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317" w:rsidRPr="00EF2492" w:rsidRDefault="00657317" w:rsidP="00657317">
      <w:pPr>
        <w:pStyle w:val="Heading1"/>
        <w:rPr>
          <w:rFonts w:ascii="Times New Roman" w:hAnsi="Times New Roman"/>
          <w:sz w:val="24"/>
          <w:szCs w:val="24"/>
          <w:lang w:val="es-419"/>
        </w:rPr>
      </w:pPr>
      <w:r w:rsidRPr="00EF2492">
        <w:rPr>
          <w:rFonts w:ascii="Times New Roman" w:hAnsi="Times New Roman"/>
          <w:sz w:val="24"/>
          <w:szCs w:val="24"/>
          <w:lang w:val="es-419"/>
        </w:rPr>
        <w:t xml:space="preserve">Material suplementario </w:t>
      </w:r>
    </w:p>
    <w:p w:rsidR="00657317" w:rsidRPr="00EF2492" w:rsidRDefault="00657317" w:rsidP="00657317">
      <w:pPr>
        <w:spacing w:after="0" w:line="240" w:lineRule="auto"/>
        <w:rPr>
          <w:rFonts w:ascii="Times New Roman" w:hAnsi="Times New Roman"/>
          <w:sz w:val="24"/>
          <w:szCs w:val="24"/>
          <w:lang w:val="es-419"/>
        </w:rPr>
      </w:pPr>
      <w:r w:rsidRPr="00EF2492">
        <w:rPr>
          <w:rFonts w:ascii="Times New Roman" w:hAnsi="Times New Roman"/>
          <w:sz w:val="24"/>
          <w:szCs w:val="24"/>
          <w:lang w:val="es-419"/>
        </w:rPr>
        <w:t xml:space="preserve">Anexo 1. Signos de sospecha de inmunodeficiencias (Sospecha de errores innatos de la inmunidad) </w:t>
      </w:r>
      <w:sdt>
        <w:sdtPr>
          <w:rPr>
            <w:rFonts w:ascii="Times New Roman" w:hAnsi="Times New Roman"/>
            <w:sz w:val="24"/>
            <w:szCs w:val="24"/>
            <w:lang w:val="es-419"/>
          </w:rPr>
          <w:id w:val="-649751230"/>
          <w:citation/>
        </w:sdtPr>
        <w:sdtContent>
          <w:r w:rsidRPr="00EF2492">
            <w:rPr>
              <w:rFonts w:ascii="Times New Roman" w:hAnsi="Times New Roman"/>
              <w:sz w:val="24"/>
              <w:szCs w:val="24"/>
              <w:lang w:val="es-419"/>
            </w:rPr>
            <w:fldChar w:fldCharType="begin"/>
          </w:r>
          <w:r w:rsidRPr="00EF2492">
            <w:rPr>
              <w:rFonts w:ascii="Times New Roman" w:hAnsi="Times New Roman"/>
              <w:sz w:val="24"/>
              <w:szCs w:val="24"/>
              <w:lang w:val="es-419"/>
            </w:rPr>
            <w:instrText xml:space="preserve"> CITATION Car2 \l 22538 </w:instrText>
          </w:r>
          <w:r w:rsidRPr="00EF2492">
            <w:rPr>
              <w:rFonts w:ascii="Times New Roman" w:hAnsi="Times New Roman"/>
              <w:sz w:val="24"/>
              <w:szCs w:val="24"/>
              <w:lang w:val="es-419"/>
            </w:rPr>
            <w:fldChar w:fldCharType="separate"/>
          </w:r>
          <w:r w:rsidRPr="00EF2492">
            <w:rPr>
              <w:rFonts w:ascii="Times New Roman" w:hAnsi="Times New Roman"/>
              <w:noProof/>
              <w:sz w:val="24"/>
              <w:szCs w:val="24"/>
              <w:lang w:val="es-419"/>
            </w:rPr>
            <w:t xml:space="preserve"> (11)</w:t>
          </w:r>
          <w:r w:rsidRPr="00EF2492">
            <w:rPr>
              <w:rFonts w:ascii="Times New Roman" w:hAnsi="Times New Roman"/>
              <w:sz w:val="24"/>
              <w:szCs w:val="24"/>
              <w:lang w:val="es-419"/>
            </w:rPr>
            <w:fldChar w:fldCharType="end"/>
          </w:r>
        </w:sdtContent>
      </w:sdt>
      <w:sdt>
        <w:sdtPr>
          <w:rPr>
            <w:rFonts w:ascii="Times New Roman" w:hAnsi="Times New Roman"/>
            <w:sz w:val="24"/>
            <w:szCs w:val="24"/>
            <w:lang w:val="es-419"/>
          </w:rPr>
          <w:id w:val="-540288655"/>
          <w:citation/>
        </w:sdtPr>
        <w:sdtContent>
          <w:r w:rsidRPr="00EF2492">
            <w:rPr>
              <w:rFonts w:ascii="Times New Roman" w:hAnsi="Times New Roman"/>
              <w:sz w:val="24"/>
              <w:szCs w:val="24"/>
              <w:lang w:val="es-419"/>
            </w:rPr>
            <w:fldChar w:fldCharType="begin"/>
          </w:r>
          <w:r w:rsidRPr="00EF2492">
            <w:rPr>
              <w:rFonts w:ascii="Times New Roman" w:hAnsi="Times New Roman"/>
              <w:sz w:val="24"/>
              <w:szCs w:val="24"/>
              <w:lang w:val="es-419"/>
            </w:rPr>
            <w:instrText xml:space="preserve"> CITATION Bon \l 22538 </w:instrText>
          </w:r>
          <w:r w:rsidRPr="00EF2492">
            <w:rPr>
              <w:rFonts w:ascii="Times New Roman" w:hAnsi="Times New Roman"/>
              <w:sz w:val="24"/>
              <w:szCs w:val="24"/>
              <w:lang w:val="es-419"/>
            </w:rPr>
            <w:fldChar w:fldCharType="separate"/>
          </w:r>
          <w:r w:rsidRPr="00EF2492">
            <w:rPr>
              <w:rFonts w:ascii="Times New Roman" w:hAnsi="Times New Roman"/>
              <w:noProof/>
              <w:sz w:val="24"/>
              <w:szCs w:val="24"/>
              <w:lang w:val="es-419"/>
            </w:rPr>
            <w:t xml:space="preserve"> (12)</w:t>
          </w:r>
          <w:r w:rsidRPr="00EF2492">
            <w:rPr>
              <w:rFonts w:ascii="Times New Roman" w:hAnsi="Times New Roman"/>
              <w:sz w:val="24"/>
              <w:szCs w:val="24"/>
              <w:lang w:val="es-419"/>
            </w:rPr>
            <w:fldChar w:fldCharType="end"/>
          </w:r>
        </w:sdtContent>
      </w:sdt>
      <w:sdt>
        <w:sdtPr>
          <w:rPr>
            <w:rFonts w:ascii="Times New Roman" w:hAnsi="Times New Roman"/>
            <w:sz w:val="24"/>
            <w:szCs w:val="24"/>
            <w:lang w:val="es-419"/>
          </w:rPr>
          <w:id w:val="-1995240214"/>
          <w:citation/>
        </w:sdtPr>
        <w:sdtContent>
          <w:r w:rsidRPr="00EF2492">
            <w:rPr>
              <w:rFonts w:ascii="Times New Roman" w:hAnsi="Times New Roman"/>
              <w:sz w:val="24"/>
              <w:szCs w:val="24"/>
              <w:lang w:val="es-419"/>
            </w:rPr>
            <w:fldChar w:fldCharType="begin"/>
          </w:r>
          <w:r w:rsidRPr="00EF2492">
            <w:rPr>
              <w:rFonts w:ascii="Times New Roman" w:hAnsi="Times New Roman"/>
              <w:sz w:val="24"/>
              <w:szCs w:val="24"/>
              <w:lang w:val="es-419"/>
            </w:rPr>
            <w:instrText xml:space="preserve"> CITATION Sei \l 22538 </w:instrText>
          </w:r>
          <w:r w:rsidRPr="00EF2492">
            <w:rPr>
              <w:rFonts w:ascii="Times New Roman" w:hAnsi="Times New Roman"/>
              <w:sz w:val="24"/>
              <w:szCs w:val="24"/>
              <w:lang w:val="es-419"/>
            </w:rPr>
            <w:fldChar w:fldCharType="separate"/>
          </w:r>
          <w:r w:rsidRPr="00EF2492">
            <w:rPr>
              <w:rFonts w:ascii="Times New Roman" w:hAnsi="Times New Roman"/>
              <w:noProof/>
              <w:sz w:val="24"/>
              <w:szCs w:val="24"/>
              <w:lang w:val="es-419"/>
            </w:rPr>
            <w:t xml:space="preserve"> (9)</w:t>
          </w:r>
          <w:r w:rsidRPr="00EF2492">
            <w:rPr>
              <w:rFonts w:ascii="Times New Roman" w:hAnsi="Times New Roman"/>
              <w:sz w:val="24"/>
              <w:szCs w:val="24"/>
              <w:lang w:val="es-419"/>
            </w:rPr>
            <w:fldChar w:fldCharType="end"/>
          </w:r>
        </w:sdtContent>
      </w:sdt>
    </w:p>
    <w:p w:rsidR="00657317" w:rsidRPr="00EF2492" w:rsidRDefault="00657317" w:rsidP="00657317">
      <w:pPr>
        <w:spacing w:after="0" w:line="240" w:lineRule="auto"/>
        <w:rPr>
          <w:rFonts w:ascii="Times New Roman" w:hAnsi="Times New Roman"/>
          <w:sz w:val="24"/>
          <w:szCs w:val="24"/>
          <w:lang w:val="es-419"/>
        </w:rPr>
      </w:pPr>
    </w:p>
    <w:tbl>
      <w:tblPr>
        <w:tblW w:w="9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80"/>
        <w:gridCol w:w="6160"/>
      </w:tblGrid>
      <w:tr w:rsidR="00657317" w:rsidRPr="00EF2492" w:rsidTr="00546C61">
        <w:trPr>
          <w:trHeight w:val="582"/>
        </w:trPr>
        <w:tc>
          <w:tcPr>
            <w:tcW w:w="2980" w:type="dxa"/>
            <w:shd w:val="clear" w:color="auto" w:fill="auto"/>
          </w:tcPr>
          <w:p w:rsidR="00657317" w:rsidRPr="00EF2492" w:rsidRDefault="00657317" w:rsidP="00546C61">
            <w:pPr>
              <w:spacing w:after="0" w:line="240" w:lineRule="auto"/>
              <w:jc w:val="both"/>
              <w:rPr>
                <w:rFonts w:ascii="Times New Roman" w:eastAsia="Times New Roman" w:hAnsi="Times New Roman"/>
                <w:color w:val="000000"/>
                <w:sz w:val="24"/>
                <w:szCs w:val="24"/>
                <w:lang w:val="es-419" w:eastAsia="es-419"/>
              </w:rPr>
            </w:pPr>
            <w:r w:rsidRPr="00EF2492">
              <w:rPr>
                <w:rFonts w:ascii="Times New Roman" w:eastAsia="Times New Roman" w:hAnsi="Times New Roman"/>
                <w:color w:val="000000"/>
                <w:sz w:val="24"/>
                <w:szCs w:val="24"/>
                <w:lang w:val="es-419" w:eastAsia="es-419"/>
              </w:rPr>
              <w:t>Incremento en la severidad y frecuencia de infecciones</w:t>
            </w:r>
          </w:p>
        </w:tc>
        <w:tc>
          <w:tcPr>
            <w:tcW w:w="6160" w:type="dxa"/>
            <w:shd w:val="clear" w:color="auto" w:fill="auto"/>
          </w:tcPr>
          <w:p w:rsidR="00657317" w:rsidRPr="00EF2492" w:rsidRDefault="00657317" w:rsidP="00546C61">
            <w:pPr>
              <w:spacing w:after="0" w:line="240" w:lineRule="auto"/>
              <w:jc w:val="both"/>
              <w:rPr>
                <w:rFonts w:ascii="Times New Roman" w:eastAsia="Times New Roman" w:hAnsi="Times New Roman"/>
                <w:color w:val="000000"/>
                <w:sz w:val="24"/>
                <w:szCs w:val="24"/>
                <w:lang w:val="es-419" w:eastAsia="es-419"/>
              </w:rPr>
            </w:pPr>
            <w:r w:rsidRPr="00EF2492">
              <w:rPr>
                <w:rFonts w:ascii="Times New Roman" w:eastAsia="Times New Roman" w:hAnsi="Times New Roman"/>
                <w:color w:val="000000"/>
                <w:sz w:val="24"/>
                <w:szCs w:val="24"/>
                <w:lang w:val="es-419" w:eastAsia="es-419"/>
              </w:rPr>
              <w:t xml:space="preserve"> Infecciones recurrentes respiratorias, gastrointestinal, del sistema nervioso central y abscesos profundos (hígado, pulmón y piel).</w:t>
            </w:r>
          </w:p>
        </w:tc>
      </w:tr>
      <w:tr w:rsidR="00657317" w:rsidRPr="00EF2492" w:rsidTr="00546C61">
        <w:trPr>
          <w:trHeight w:val="900"/>
        </w:trPr>
        <w:tc>
          <w:tcPr>
            <w:tcW w:w="2980" w:type="dxa"/>
            <w:shd w:val="clear" w:color="auto" w:fill="auto"/>
            <w:hideMark/>
          </w:tcPr>
          <w:p w:rsidR="00657317" w:rsidRPr="00EF2492" w:rsidRDefault="00657317" w:rsidP="00546C61">
            <w:pPr>
              <w:spacing w:after="0" w:line="240" w:lineRule="auto"/>
              <w:jc w:val="both"/>
              <w:rPr>
                <w:rFonts w:ascii="Times New Roman" w:eastAsia="Times New Roman" w:hAnsi="Times New Roman"/>
                <w:color w:val="000000"/>
                <w:sz w:val="24"/>
                <w:szCs w:val="24"/>
                <w:lang w:val="es-419" w:eastAsia="es-419"/>
              </w:rPr>
            </w:pPr>
            <w:r w:rsidRPr="00EF2492">
              <w:rPr>
                <w:rFonts w:ascii="Times New Roman" w:eastAsia="Times New Roman" w:hAnsi="Times New Roman"/>
                <w:color w:val="000000"/>
                <w:sz w:val="24"/>
                <w:szCs w:val="24"/>
                <w:lang w:val="es-419" w:eastAsia="es-419"/>
              </w:rPr>
              <w:t>Infecciones por gérmenes oportunistas</w:t>
            </w:r>
          </w:p>
        </w:tc>
        <w:tc>
          <w:tcPr>
            <w:tcW w:w="6160" w:type="dxa"/>
            <w:shd w:val="clear" w:color="auto" w:fill="auto"/>
            <w:hideMark/>
          </w:tcPr>
          <w:p w:rsidR="00657317" w:rsidRPr="00EF2492" w:rsidRDefault="00657317" w:rsidP="00546C61">
            <w:pPr>
              <w:spacing w:after="0" w:line="240" w:lineRule="auto"/>
              <w:jc w:val="both"/>
              <w:rPr>
                <w:rFonts w:ascii="Times New Roman" w:eastAsia="Times New Roman" w:hAnsi="Times New Roman"/>
                <w:color w:val="000000"/>
                <w:sz w:val="24"/>
                <w:szCs w:val="24"/>
                <w:lang w:val="es-419" w:eastAsia="es-419"/>
              </w:rPr>
            </w:pPr>
            <w:r w:rsidRPr="00EF2492">
              <w:rPr>
                <w:rFonts w:ascii="Times New Roman" w:eastAsia="Times New Roman" w:hAnsi="Times New Roman"/>
                <w:color w:val="000000"/>
                <w:sz w:val="24"/>
                <w:szCs w:val="24"/>
                <w:lang w:val="es-419" w:eastAsia="es-419"/>
              </w:rPr>
              <w:t xml:space="preserve">Infecciones por </w:t>
            </w:r>
            <w:proofErr w:type="spellStart"/>
            <w:r w:rsidRPr="00EF2492">
              <w:rPr>
                <w:rFonts w:ascii="Times New Roman" w:eastAsia="Times New Roman" w:hAnsi="Times New Roman"/>
                <w:i/>
                <w:iCs/>
                <w:color w:val="000000"/>
                <w:sz w:val="24"/>
                <w:szCs w:val="24"/>
                <w:lang w:val="es-419" w:eastAsia="es-419"/>
              </w:rPr>
              <w:t>Ureaplasma</w:t>
            </w:r>
            <w:proofErr w:type="spellEnd"/>
            <w:r w:rsidRPr="00EF2492">
              <w:rPr>
                <w:rFonts w:ascii="Times New Roman" w:eastAsia="Times New Roman" w:hAnsi="Times New Roman"/>
                <w:i/>
                <w:iCs/>
                <w:color w:val="000000"/>
                <w:sz w:val="24"/>
                <w:szCs w:val="24"/>
                <w:lang w:val="es-419" w:eastAsia="es-419"/>
              </w:rPr>
              <w:t xml:space="preserve"> </w:t>
            </w:r>
            <w:proofErr w:type="spellStart"/>
            <w:r w:rsidRPr="00EF2492">
              <w:rPr>
                <w:rFonts w:ascii="Times New Roman" w:eastAsia="Times New Roman" w:hAnsi="Times New Roman"/>
                <w:i/>
                <w:iCs/>
                <w:color w:val="000000"/>
                <w:sz w:val="24"/>
                <w:szCs w:val="24"/>
                <w:lang w:val="es-419" w:eastAsia="es-419"/>
              </w:rPr>
              <w:t>urealyticum</w:t>
            </w:r>
            <w:proofErr w:type="spellEnd"/>
            <w:r w:rsidRPr="00EF2492">
              <w:rPr>
                <w:rFonts w:ascii="Times New Roman" w:eastAsia="Times New Roman" w:hAnsi="Times New Roman"/>
                <w:color w:val="000000"/>
                <w:sz w:val="24"/>
                <w:szCs w:val="24"/>
                <w:lang w:val="es-419" w:eastAsia="es-419"/>
              </w:rPr>
              <w:t xml:space="preserve">, </w:t>
            </w:r>
            <w:proofErr w:type="spellStart"/>
            <w:r w:rsidRPr="00EF2492">
              <w:rPr>
                <w:rFonts w:ascii="Times New Roman" w:eastAsia="Times New Roman" w:hAnsi="Times New Roman"/>
                <w:i/>
                <w:iCs/>
                <w:color w:val="000000"/>
                <w:sz w:val="24"/>
                <w:szCs w:val="24"/>
                <w:lang w:val="es-419" w:eastAsia="es-419"/>
              </w:rPr>
              <w:t>Mycoplasma</w:t>
            </w:r>
            <w:proofErr w:type="spellEnd"/>
            <w:r w:rsidRPr="00EF2492">
              <w:rPr>
                <w:rFonts w:ascii="Times New Roman" w:eastAsia="Times New Roman" w:hAnsi="Times New Roman"/>
                <w:i/>
                <w:iCs/>
                <w:color w:val="000000"/>
                <w:sz w:val="24"/>
                <w:szCs w:val="24"/>
                <w:lang w:val="es-419" w:eastAsia="es-419"/>
              </w:rPr>
              <w:t xml:space="preserve"> </w:t>
            </w:r>
            <w:proofErr w:type="spellStart"/>
            <w:r w:rsidRPr="00EF2492">
              <w:rPr>
                <w:rFonts w:ascii="Times New Roman" w:eastAsia="Times New Roman" w:hAnsi="Times New Roman"/>
                <w:i/>
                <w:iCs/>
                <w:color w:val="000000"/>
                <w:sz w:val="24"/>
                <w:szCs w:val="24"/>
                <w:lang w:val="es-419" w:eastAsia="es-419"/>
              </w:rPr>
              <w:t>pneumoniae</w:t>
            </w:r>
            <w:proofErr w:type="spellEnd"/>
            <w:r w:rsidRPr="00EF2492">
              <w:rPr>
                <w:rFonts w:ascii="Times New Roman" w:eastAsia="Times New Roman" w:hAnsi="Times New Roman"/>
                <w:color w:val="000000"/>
                <w:sz w:val="24"/>
                <w:szCs w:val="24"/>
                <w:lang w:val="es-419" w:eastAsia="es-419"/>
              </w:rPr>
              <w:t xml:space="preserve">, </w:t>
            </w:r>
            <w:proofErr w:type="spellStart"/>
            <w:r w:rsidRPr="00EF2492">
              <w:rPr>
                <w:rFonts w:ascii="Times New Roman" w:eastAsia="Times New Roman" w:hAnsi="Times New Roman"/>
                <w:color w:val="000000"/>
                <w:sz w:val="24"/>
                <w:szCs w:val="24"/>
                <w:lang w:val="es-419" w:eastAsia="es-419"/>
              </w:rPr>
              <w:t>micobacteriosis</w:t>
            </w:r>
            <w:proofErr w:type="spellEnd"/>
            <w:r w:rsidRPr="00EF2492">
              <w:rPr>
                <w:rFonts w:ascii="Times New Roman" w:eastAsia="Times New Roman" w:hAnsi="Times New Roman"/>
                <w:color w:val="000000"/>
                <w:sz w:val="24"/>
                <w:szCs w:val="24"/>
                <w:lang w:val="es-419" w:eastAsia="es-419"/>
              </w:rPr>
              <w:t xml:space="preserve"> atípica, tuberculosis resistente, histoplasmosis o cualquier germen oportunista</w:t>
            </w:r>
          </w:p>
        </w:tc>
      </w:tr>
      <w:tr w:rsidR="00657317" w:rsidRPr="00EF2492" w:rsidTr="00546C61">
        <w:trPr>
          <w:trHeight w:val="1340"/>
        </w:trPr>
        <w:tc>
          <w:tcPr>
            <w:tcW w:w="2980" w:type="dxa"/>
            <w:shd w:val="clear" w:color="auto" w:fill="auto"/>
            <w:hideMark/>
          </w:tcPr>
          <w:p w:rsidR="00657317" w:rsidRPr="00EF2492" w:rsidRDefault="00657317" w:rsidP="00546C61">
            <w:pPr>
              <w:spacing w:after="0" w:line="240" w:lineRule="auto"/>
              <w:rPr>
                <w:rFonts w:ascii="Times New Roman" w:eastAsia="Times New Roman" w:hAnsi="Times New Roman"/>
                <w:color w:val="000000"/>
                <w:sz w:val="24"/>
                <w:szCs w:val="24"/>
                <w:lang w:val="es-419" w:eastAsia="es-419"/>
              </w:rPr>
            </w:pPr>
            <w:r w:rsidRPr="00EF2492">
              <w:rPr>
                <w:rFonts w:ascii="Times New Roman" w:eastAsia="Times New Roman" w:hAnsi="Times New Roman"/>
                <w:color w:val="000000"/>
                <w:sz w:val="24"/>
                <w:szCs w:val="24"/>
                <w:lang w:val="es-419" w:eastAsia="es-419"/>
              </w:rPr>
              <w:t xml:space="preserve">Síntomas de procesos autoinmune y </w:t>
            </w:r>
            <w:proofErr w:type="spellStart"/>
            <w:r w:rsidRPr="00EF2492">
              <w:rPr>
                <w:rFonts w:ascii="Times New Roman" w:eastAsia="Times New Roman" w:hAnsi="Times New Roman"/>
                <w:color w:val="000000"/>
                <w:sz w:val="24"/>
                <w:szCs w:val="24"/>
                <w:lang w:val="es-419" w:eastAsia="es-419"/>
              </w:rPr>
              <w:t>autoinflamación</w:t>
            </w:r>
            <w:proofErr w:type="spellEnd"/>
            <w:r w:rsidRPr="00EF2492">
              <w:rPr>
                <w:rFonts w:ascii="Times New Roman" w:eastAsia="Times New Roman" w:hAnsi="Times New Roman"/>
                <w:color w:val="000000"/>
                <w:sz w:val="24"/>
                <w:szCs w:val="24"/>
                <w:lang w:val="es-419" w:eastAsia="es-419"/>
              </w:rPr>
              <w:t>.</w:t>
            </w:r>
          </w:p>
        </w:tc>
        <w:tc>
          <w:tcPr>
            <w:tcW w:w="6160" w:type="dxa"/>
            <w:shd w:val="clear" w:color="auto" w:fill="auto"/>
            <w:hideMark/>
          </w:tcPr>
          <w:p w:rsidR="00657317" w:rsidRPr="00EF2492" w:rsidRDefault="00657317" w:rsidP="00546C61">
            <w:pPr>
              <w:spacing w:after="0" w:line="240" w:lineRule="auto"/>
              <w:jc w:val="both"/>
              <w:rPr>
                <w:rFonts w:ascii="Times New Roman" w:eastAsia="Times New Roman" w:hAnsi="Times New Roman"/>
                <w:color w:val="000000"/>
                <w:sz w:val="24"/>
                <w:szCs w:val="24"/>
                <w:lang w:val="es-419" w:eastAsia="es-419"/>
              </w:rPr>
            </w:pPr>
            <w:r w:rsidRPr="00EF2492">
              <w:rPr>
                <w:rFonts w:ascii="Times New Roman" w:eastAsia="Times New Roman" w:hAnsi="Times New Roman"/>
                <w:color w:val="000000"/>
                <w:sz w:val="24"/>
                <w:szCs w:val="24"/>
                <w:lang w:val="es-419" w:eastAsia="es-419"/>
              </w:rPr>
              <w:t xml:space="preserve">Hiperplasias linfoides, </w:t>
            </w:r>
            <w:proofErr w:type="spellStart"/>
            <w:r w:rsidRPr="00EF2492">
              <w:rPr>
                <w:rFonts w:ascii="Times New Roman" w:eastAsia="Times New Roman" w:hAnsi="Times New Roman"/>
                <w:color w:val="000000"/>
                <w:sz w:val="24"/>
                <w:szCs w:val="24"/>
                <w:lang w:val="es-419" w:eastAsia="es-419"/>
              </w:rPr>
              <w:t>hepatoesplenomegalia</w:t>
            </w:r>
            <w:proofErr w:type="spellEnd"/>
            <w:r w:rsidRPr="00EF2492">
              <w:rPr>
                <w:rFonts w:ascii="Times New Roman" w:eastAsia="Times New Roman" w:hAnsi="Times New Roman"/>
                <w:color w:val="000000"/>
                <w:sz w:val="24"/>
                <w:szCs w:val="24"/>
                <w:lang w:val="es-419" w:eastAsia="es-419"/>
              </w:rPr>
              <w:t xml:space="preserve">, granulomas, </w:t>
            </w:r>
            <w:proofErr w:type="spellStart"/>
            <w:r w:rsidRPr="00EF2492">
              <w:rPr>
                <w:rFonts w:ascii="Times New Roman" w:eastAsia="Times New Roman" w:hAnsi="Times New Roman"/>
                <w:color w:val="000000"/>
                <w:sz w:val="24"/>
                <w:szCs w:val="24"/>
                <w:lang w:val="es-419" w:eastAsia="es-419"/>
              </w:rPr>
              <w:t>citopenias</w:t>
            </w:r>
            <w:proofErr w:type="spellEnd"/>
            <w:r w:rsidRPr="00EF2492">
              <w:rPr>
                <w:rFonts w:ascii="Times New Roman" w:eastAsia="Times New Roman" w:hAnsi="Times New Roman"/>
                <w:color w:val="000000"/>
                <w:sz w:val="24"/>
                <w:szCs w:val="24"/>
                <w:lang w:val="es-419" w:eastAsia="es-419"/>
              </w:rPr>
              <w:t xml:space="preserve"> (neutropenias, </w:t>
            </w:r>
            <w:proofErr w:type="spellStart"/>
            <w:r w:rsidRPr="00EF2492">
              <w:rPr>
                <w:rFonts w:ascii="Times New Roman" w:eastAsia="Times New Roman" w:hAnsi="Times New Roman"/>
                <w:color w:val="000000"/>
                <w:sz w:val="24"/>
                <w:szCs w:val="24"/>
                <w:lang w:val="es-419" w:eastAsia="es-419"/>
              </w:rPr>
              <w:t>linfopenias</w:t>
            </w:r>
            <w:proofErr w:type="spellEnd"/>
            <w:r w:rsidRPr="00EF2492">
              <w:rPr>
                <w:rFonts w:ascii="Times New Roman" w:eastAsia="Times New Roman" w:hAnsi="Times New Roman"/>
                <w:color w:val="000000"/>
                <w:sz w:val="24"/>
                <w:szCs w:val="24"/>
                <w:lang w:val="es-419" w:eastAsia="es-419"/>
              </w:rPr>
              <w:t xml:space="preserve"> y trombocitopenias, anemia), síndrome de ojo seco, lupus eritematoso sistémico, hepatitis autoinmune, anemia hemolítica autoinmune u otra enfermedad autoinmune. Fiebre recurrente de origen desconocido.</w:t>
            </w:r>
          </w:p>
        </w:tc>
      </w:tr>
      <w:tr w:rsidR="00657317" w:rsidRPr="00EF2492" w:rsidTr="00546C61">
        <w:trPr>
          <w:trHeight w:val="315"/>
        </w:trPr>
        <w:tc>
          <w:tcPr>
            <w:tcW w:w="2980" w:type="dxa"/>
            <w:shd w:val="clear" w:color="auto" w:fill="auto"/>
            <w:hideMark/>
          </w:tcPr>
          <w:p w:rsidR="00657317" w:rsidRPr="00EF2492" w:rsidRDefault="00657317" w:rsidP="00546C61">
            <w:pPr>
              <w:spacing w:after="0" w:line="240" w:lineRule="auto"/>
              <w:rPr>
                <w:rFonts w:ascii="Times New Roman" w:eastAsia="Times New Roman" w:hAnsi="Times New Roman"/>
                <w:color w:val="000000"/>
                <w:sz w:val="24"/>
                <w:szCs w:val="24"/>
                <w:lang w:val="es-419" w:eastAsia="es-419"/>
              </w:rPr>
            </w:pPr>
            <w:r w:rsidRPr="00EF2492">
              <w:rPr>
                <w:rFonts w:ascii="Times New Roman" w:eastAsia="Times New Roman" w:hAnsi="Times New Roman"/>
                <w:color w:val="000000"/>
                <w:sz w:val="24"/>
                <w:szCs w:val="24"/>
                <w:lang w:val="es-419" w:eastAsia="es-419"/>
              </w:rPr>
              <w:t>Malignidad</w:t>
            </w:r>
          </w:p>
        </w:tc>
        <w:tc>
          <w:tcPr>
            <w:tcW w:w="6160" w:type="dxa"/>
            <w:shd w:val="clear" w:color="auto" w:fill="auto"/>
            <w:hideMark/>
          </w:tcPr>
          <w:p w:rsidR="00657317" w:rsidRPr="00EF2492" w:rsidRDefault="00657317" w:rsidP="00546C61">
            <w:pPr>
              <w:spacing w:after="0" w:line="240" w:lineRule="auto"/>
              <w:jc w:val="both"/>
              <w:rPr>
                <w:rFonts w:ascii="Times New Roman" w:eastAsia="Times New Roman" w:hAnsi="Times New Roman"/>
                <w:color w:val="000000"/>
                <w:sz w:val="24"/>
                <w:szCs w:val="24"/>
                <w:lang w:val="es-419" w:eastAsia="es-419"/>
              </w:rPr>
            </w:pPr>
            <w:r w:rsidRPr="00EF2492">
              <w:rPr>
                <w:rFonts w:ascii="Times New Roman" w:eastAsia="Times New Roman" w:hAnsi="Times New Roman"/>
                <w:color w:val="000000"/>
                <w:sz w:val="24"/>
                <w:szCs w:val="24"/>
                <w:lang w:val="es-419" w:eastAsia="es-419"/>
              </w:rPr>
              <w:t>Enfermedades malignas sobre todo linfomas</w:t>
            </w:r>
          </w:p>
        </w:tc>
      </w:tr>
      <w:tr w:rsidR="00657317" w:rsidRPr="00EF2492" w:rsidTr="00546C61">
        <w:trPr>
          <w:trHeight w:val="1080"/>
        </w:trPr>
        <w:tc>
          <w:tcPr>
            <w:tcW w:w="2980" w:type="dxa"/>
            <w:shd w:val="clear" w:color="auto" w:fill="auto"/>
            <w:hideMark/>
          </w:tcPr>
          <w:p w:rsidR="00657317" w:rsidRPr="00EF2492" w:rsidRDefault="00657317" w:rsidP="00546C61">
            <w:pPr>
              <w:spacing w:after="0" w:line="240" w:lineRule="auto"/>
              <w:rPr>
                <w:rFonts w:ascii="Times New Roman" w:eastAsia="Times New Roman" w:hAnsi="Times New Roman"/>
                <w:color w:val="000000"/>
                <w:sz w:val="24"/>
                <w:szCs w:val="24"/>
                <w:lang w:val="es-419" w:eastAsia="es-419"/>
              </w:rPr>
            </w:pPr>
            <w:r w:rsidRPr="00EF2492">
              <w:rPr>
                <w:rFonts w:ascii="Times New Roman" w:eastAsia="Times New Roman" w:hAnsi="Times New Roman"/>
                <w:color w:val="000000"/>
                <w:sz w:val="24"/>
                <w:szCs w:val="24"/>
                <w:lang w:val="es-419" w:eastAsia="es-419"/>
              </w:rPr>
              <w:t xml:space="preserve">otros signos: </w:t>
            </w:r>
          </w:p>
        </w:tc>
        <w:tc>
          <w:tcPr>
            <w:tcW w:w="6160" w:type="dxa"/>
            <w:shd w:val="clear" w:color="auto" w:fill="auto"/>
            <w:hideMark/>
          </w:tcPr>
          <w:p w:rsidR="00657317" w:rsidRPr="00EF2492" w:rsidRDefault="00657317" w:rsidP="00546C61">
            <w:pPr>
              <w:spacing w:after="0" w:line="240" w:lineRule="auto"/>
              <w:jc w:val="both"/>
              <w:rPr>
                <w:rFonts w:ascii="Times New Roman" w:eastAsia="Times New Roman" w:hAnsi="Times New Roman"/>
                <w:color w:val="000000"/>
                <w:sz w:val="24"/>
                <w:szCs w:val="24"/>
                <w:lang w:val="es-419" w:eastAsia="es-419"/>
              </w:rPr>
            </w:pPr>
            <w:r w:rsidRPr="00EF2492">
              <w:rPr>
                <w:rFonts w:ascii="Times New Roman" w:eastAsia="Times New Roman" w:hAnsi="Times New Roman"/>
                <w:color w:val="000000"/>
                <w:sz w:val="24"/>
                <w:szCs w:val="24"/>
                <w:lang w:val="es-419" w:eastAsia="es-419"/>
              </w:rPr>
              <w:t xml:space="preserve">Historia familiar de inmunodeficiencia primaria, fallo del crecimiento o no aumento de peso, </w:t>
            </w:r>
            <w:proofErr w:type="spellStart"/>
            <w:r w:rsidRPr="00EF2492">
              <w:rPr>
                <w:rFonts w:ascii="Times New Roman" w:eastAsia="Times New Roman" w:hAnsi="Times New Roman"/>
                <w:color w:val="000000"/>
                <w:sz w:val="24"/>
                <w:szCs w:val="24"/>
                <w:lang w:val="es-419" w:eastAsia="es-419"/>
              </w:rPr>
              <w:t>hipoganmaglobulinemia</w:t>
            </w:r>
            <w:proofErr w:type="spellEnd"/>
            <w:r w:rsidRPr="00EF2492">
              <w:rPr>
                <w:rFonts w:ascii="Times New Roman" w:eastAsia="Times New Roman" w:hAnsi="Times New Roman"/>
                <w:color w:val="000000"/>
                <w:sz w:val="24"/>
                <w:szCs w:val="24"/>
                <w:lang w:val="es-419" w:eastAsia="es-419"/>
              </w:rPr>
              <w:t>, prolongado uso de antibióticos endovenosos. Complicaciones después del uso de vacunas vivas atenuadas.</w:t>
            </w:r>
          </w:p>
        </w:tc>
      </w:tr>
      <w:tr w:rsidR="00657317" w:rsidRPr="00EF2492" w:rsidTr="00546C61">
        <w:trPr>
          <w:trHeight w:val="447"/>
        </w:trPr>
        <w:tc>
          <w:tcPr>
            <w:tcW w:w="9140" w:type="dxa"/>
            <w:gridSpan w:val="2"/>
            <w:shd w:val="clear" w:color="auto" w:fill="auto"/>
          </w:tcPr>
          <w:p w:rsidR="00657317" w:rsidRPr="00EF2492" w:rsidRDefault="00657317" w:rsidP="00546C61">
            <w:pPr>
              <w:spacing w:after="0" w:line="240" w:lineRule="auto"/>
              <w:jc w:val="center"/>
              <w:rPr>
                <w:rFonts w:ascii="Times New Roman" w:eastAsia="Times New Roman" w:hAnsi="Times New Roman"/>
                <w:color w:val="000000"/>
                <w:sz w:val="24"/>
                <w:szCs w:val="24"/>
                <w:lang w:val="es-419" w:eastAsia="es-419"/>
              </w:rPr>
            </w:pPr>
            <w:r w:rsidRPr="00EF2492">
              <w:rPr>
                <w:rFonts w:ascii="Times New Roman" w:eastAsia="Times New Roman" w:hAnsi="Times New Roman"/>
                <w:color w:val="000000"/>
                <w:sz w:val="24"/>
                <w:szCs w:val="24"/>
                <w:lang w:val="es-419" w:eastAsia="es-419"/>
              </w:rPr>
              <w:t>Signos de alarmas por sistemas</w:t>
            </w:r>
          </w:p>
        </w:tc>
      </w:tr>
      <w:tr w:rsidR="00657317" w:rsidRPr="00EF2492" w:rsidTr="00546C61">
        <w:trPr>
          <w:trHeight w:val="997"/>
        </w:trPr>
        <w:tc>
          <w:tcPr>
            <w:tcW w:w="2980" w:type="dxa"/>
            <w:shd w:val="clear" w:color="auto" w:fill="auto"/>
            <w:hideMark/>
          </w:tcPr>
          <w:p w:rsidR="00657317" w:rsidRPr="00EF2492" w:rsidRDefault="00657317" w:rsidP="00546C61">
            <w:pPr>
              <w:spacing w:after="0" w:line="240" w:lineRule="auto"/>
              <w:rPr>
                <w:rFonts w:ascii="Times New Roman" w:eastAsia="Times New Roman" w:hAnsi="Times New Roman"/>
                <w:color w:val="000000"/>
                <w:sz w:val="24"/>
                <w:szCs w:val="24"/>
                <w:lang w:val="es-419" w:eastAsia="es-419"/>
              </w:rPr>
            </w:pPr>
            <w:r w:rsidRPr="00EF2492">
              <w:rPr>
                <w:rFonts w:ascii="Times New Roman" w:eastAsia="Times New Roman" w:hAnsi="Times New Roman"/>
                <w:color w:val="000000"/>
                <w:sz w:val="24"/>
                <w:szCs w:val="24"/>
                <w:lang w:val="es-419" w:eastAsia="es-419"/>
              </w:rPr>
              <w:t>Sistemas respiratorios</w:t>
            </w:r>
          </w:p>
        </w:tc>
        <w:tc>
          <w:tcPr>
            <w:tcW w:w="6160" w:type="dxa"/>
            <w:shd w:val="clear" w:color="auto" w:fill="auto"/>
            <w:hideMark/>
          </w:tcPr>
          <w:p w:rsidR="00657317" w:rsidRPr="00EF2492" w:rsidRDefault="00657317" w:rsidP="00546C61">
            <w:pPr>
              <w:spacing w:after="0" w:line="240" w:lineRule="auto"/>
              <w:jc w:val="both"/>
              <w:rPr>
                <w:rFonts w:ascii="Times New Roman" w:eastAsia="Times New Roman" w:hAnsi="Times New Roman"/>
                <w:color w:val="000000"/>
                <w:sz w:val="24"/>
                <w:szCs w:val="24"/>
                <w:lang w:val="es-419" w:eastAsia="es-419"/>
              </w:rPr>
            </w:pPr>
            <w:r w:rsidRPr="00EF2492">
              <w:rPr>
                <w:rFonts w:ascii="Times New Roman" w:eastAsia="Times New Roman" w:hAnsi="Times New Roman"/>
                <w:color w:val="000000"/>
                <w:sz w:val="24"/>
                <w:szCs w:val="24"/>
                <w:lang w:val="es-419" w:eastAsia="es-419"/>
              </w:rPr>
              <w:t>Infecciones respiratorias recurrentes de vías superiores y bajas: (bronquiectasia, bronquitis, bronquiolitis, anormalidades pulmonares intersticiales, enfermedad pulmonar obstructiva crónica)</w:t>
            </w:r>
          </w:p>
        </w:tc>
      </w:tr>
      <w:tr w:rsidR="00657317" w:rsidRPr="00EF2492" w:rsidTr="00546C61">
        <w:trPr>
          <w:trHeight w:val="1593"/>
        </w:trPr>
        <w:tc>
          <w:tcPr>
            <w:tcW w:w="2980" w:type="dxa"/>
            <w:shd w:val="clear" w:color="auto" w:fill="auto"/>
            <w:hideMark/>
          </w:tcPr>
          <w:p w:rsidR="00657317" w:rsidRPr="00EF2492" w:rsidRDefault="00657317" w:rsidP="00546C61">
            <w:pPr>
              <w:spacing w:after="0" w:line="240" w:lineRule="auto"/>
              <w:rPr>
                <w:rFonts w:ascii="Times New Roman" w:eastAsia="Times New Roman" w:hAnsi="Times New Roman"/>
                <w:color w:val="000000"/>
                <w:sz w:val="24"/>
                <w:szCs w:val="24"/>
                <w:lang w:val="es-419" w:eastAsia="es-419"/>
              </w:rPr>
            </w:pPr>
            <w:r w:rsidRPr="00EF2492">
              <w:rPr>
                <w:rFonts w:ascii="Times New Roman" w:eastAsia="Times New Roman" w:hAnsi="Times New Roman"/>
                <w:color w:val="000000"/>
                <w:sz w:val="24"/>
                <w:szCs w:val="24"/>
                <w:lang w:val="es-419" w:eastAsia="es-419"/>
              </w:rPr>
              <w:t>Sistema digestivo</w:t>
            </w:r>
          </w:p>
        </w:tc>
        <w:tc>
          <w:tcPr>
            <w:tcW w:w="6160" w:type="dxa"/>
            <w:shd w:val="clear" w:color="auto" w:fill="auto"/>
            <w:hideMark/>
          </w:tcPr>
          <w:p w:rsidR="00657317" w:rsidRPr="00EF2492" w:rsidRDefault="00657317" w:rsidP="00546C61">
            <w:pPr>
              <w:spacing w:after="0" w:line="240" w:lineRule="auto"/>
              <w:jc w:val="both"/>
              <w:rPr>
                <w:rFonts w:ascii="Times New Roman" w:eastAsia="Times New Roman" w:hAnsi="Times New Roman"/>
                <w:color w:val="000000"/>
                <w:sz w:val="24"/>
                <w:szCs w:val="24"/>
                <w:lang w:val="es-419" w:eastAsia="es-419"/>
              </w:rPr>
            </w:pPr>
            <w:r w:rsidRPr="00EF2492">
              <w:rPr>
                <w:rFonts w:ascii="Times New Roman" w:eastAsia="Times New Roman" w:hAnsi="Times New Roman"/>
                <w:color w:val="000000"/>
                <w:sz w:val="24"/>
                <w:szCs w:val="24"/>
                <w:lang w:val="es-419" w:eastAsia="es-419"/>
              </w:rPr>
              <w:t>Infecciones gastrointestinales</w:t>
            </w:r>
            <w:proofErr w:type="gramStart"/>
            <w:r w:rsidRPr="00EF2492">
              <w:rPr>
                <w:rFonts w:ascii="Times New Roman" w:eastAsia="Times New Roman" w:hAnsi="Times New Roman"/>
                <w:color w:val="000000"/>
                <w:sz w:val="24"/>
                <w:szCs w:val="24"/>
                <w:lang w:val="es-419" w:eastAsia="es-419"/>
              </w:rPr>
              <w:t>:  diarreas</w:t>
            </w:r>
            <w:proofErr w:type="gramEnd"/>
            <w:r w:rsidRPr="00EF2492">
              <w:rPr>
                <w:rFonts w:ascii="Times New Roman" w:eastAsia="Times New Roman" w:hAnsi="Times New Roman"/>
                <w:color w:val="000000"/>
                <w:sz w:val="24"/>
                <w:szCs w:val="24"/>
                <w:lang w:val="es-419" w:eastAsia="es-419"/>
              </w:rPr>
              <w:t xml:space="preserve"> crónicas o colitis por protozoos, bacterias, virus y hongos (rotavirus, enterovirus, salmonelosis persistente, </w:t>
            </w:r>
            <w:proofErr w:type="spellStart"/>
            <w:r w:rsidRPr="00EF2492">
              <w:rPr>
                <w:rFonts w:ascii="Times New Roman" w:eastAsia="Times New Roman" w:hAnsi="Times New Roman"/>
                <w:i/>
                <w:iCs/>
                <w:color w:val="000000"/>
                <w:sz w:val="24"/>
                <w:szCs w:val="24"/>
                <w:lang w:val="es-419" w:eastAsia="es-419"/>
              </w:rPr>
              <w:t>Clostridium</w:t>
            </w:r>
            <w:proofErr w:type="spellEnd"/>
            <w:r w:rsidRPr="00EF2492">
              <w:rPr>
                <w:rFonts w:ascii="Times New Roman" w:eastAsia="Times New Roman" w:hAnsi="Times New Roman"/>
                <w:i/>
                <w:iCs/>
                <w:color w:val="000000"/>
                <w:sz w:val="24"/>
                <w:szCs w:val="24"/>
                <w:lang w:val="es-419" w:eastAsia="es-419"/>
              </w:rPr>
              <w:t xml:space="preserve"> </w:t>
            </w:r>
            <w:proofErr w:type="spellStart"/>
            <w:r w:rsidRPr="00EF2492">
              <w:rPr>
                <w:rFonts w:ascii="Times New Roman" w:eastAsia="Times New Roman" w:hAnsi="Times New Roman"/>
                <w:i/>
                <w:iCs/>
                <w:color w:val="000000"/>
                <w:sz w:val="24"/>
                <w:szCs w:val="24"/>
                <w:lang w:val="es-419" w:eastAsia="es-419"/>
              </w:rPr>
              <w:t>difficile</w:t>
            </w:r>
            <w:proofErr w:type="spellEnd"/>
            <w:r w:rsidRPr="00EF2492">
              <w:rPr>
                <w:rFonts w:ascii="Times New Roman" w:eastAsia="Times New Roman" w:hAnsi="Times New Roman"/>
                <w:color w:val="000000"/>
                <w:sz w:val="24"/>
                <w:szCs w:val="24"/>
                <w:lang w:val="es-419" w:eastAsia="es-419"/>
              </w:rPr>
              <w:t xml:space="preserve"> y </w:t>
            </w:r>
            <w:proofErr w:type="spellStart"/>
            <w:r w:rsidRPr="00EF2492">
              <w:rPr>
                <w:rFonts w:ascii="Times New Roman" w:eastAsia="Times New Roman" w:hAnsi="Times New Roman"/>
                <w:color w:val="000000"/>
                <w:sz w:val="24"/>
                <w:szCs w:val="24"/>
                <w:lang w:val="es-419" w:eastAsia="es-419"/>
              </w:rPr>
              <w:t>giardiasis</w:t>
            </w:r>
            <w:proofErr w:type="spellEnd"/>
            <w:r w:rsidRPr="00EF2492">
              <w:rPr>
                <w:rFonts w:ascii="Times New Roman" w:eastAsia="Times New Roman" w:hAnsi="Times New Roman"/>
                <w:color w:val="000000"/>
                <w:sz w:val="24"/>
                <w:szCs w:val="24"/>
                <w:lang w:val="es-419" w:eastAsia="es-419"/>
              </w:rPr>
              <w:t xml:space="preserve"> recurrente). Enteropatías sin causa conocida, enfermedad inflamatoria intestinal. Dolor abdominal severo que simula un abdomen agudo. Infección </w:t>
            </w:r>
            <w:proofErr w:type="spellStart"/>
            <w:r w:rsidRPr="00EF2492">
              <w:rPr>
                <w:rFonts w:ascii="Times New Roman" w:eastAsia="Times New Roman" w:hAnsi="Times New Roman"/>
                <w:color w:val="000000"/>
                <w:sz w:val="24"/>
                <w:szCs w:val="24"/>
                <w:lang w:val="es-419" w:eastAsia="es-419"/>
              </w:rPr>
              <w:t>hepatobiliar</w:t>
            </w:r>
            <w:proofErr w:type="spellEnd"/>
            <w:r w:rsidRPr="00EF2492">
              <w:rPr>
                <w:rFonts w:ascii="Times New Roman" w:eastAsia="Times New Roman" w:hAnsi="Times New Roman"/>
                <w:color w:val="000000"/>
                <w:sz w:val="24"/>
                <w:szCs w:val="24"/>
                <w:lang w:val="es-419" w:eastAsia="es-419"/>
              </w:rPr>
              <w:t xml:space="preserve">. </w:t>
            </w:r>
          </w:p>
        </w:tc>
      </w:tr>
      <w:tr w:rsidR="00657317" w:rsidRPr="00EF2492" w:rsidTr="00546C61">
        <w:trPr>
          <w:trHeight w:val="300"/>
        </w:trPr>
        <w:tc>
          <w:tcPr>
            <w:tcW w:w="2980" w:type="dxa"/>
            <w:shd w:val="clear" w:color="auto" w:fill="auto"/>
            <w:hideMark/>
          </w:tcPr>
          <w:p w:rsidR="00657317" w:rsidRPr="00EF2492" w:rsidRDefault="00657317" w:rsidP="00546C61">
            <w:pPr>
              <w:spacing w:after="0" w:line="240" w:lineRule="auto"/>
              <w:rPr>
                <w:rFonts w:ascii="Times New Roman" w:eastAsia="Times New Roman" w:hAnsi="Times New Roman"/>
                <w:color w:val="000000"/>
                <w:sz w:val="24"/>
                <w:szCs w:val="24"/>
                <w:lang w:val="es-419" w:eastAsia="es-419"/>
              </w:rPr>
            </w:pPr>
            <w:r w:rsidRPr="00EF2492">
              <w:rPr>
                <w:rFonts w:ascii="Times New Roman" w:eastAsia="Times New Roman" w:hAnsi="Times New Roman"/>
                <w:color w:val="000000"/>
                <w:sz w:val="24"/>
                <w:szCs w:val="24"/>
                <w:lang w:val="es-419" w:eastAsia="es-419"/>
              </w:rPr>
              <w:t xml:space="preserve">Sistema </w:t>
            </w:r>
            <w:proofErr w:type="spellStart"/>
            <w:r w:rsidRPr="00EF2492">
              <w:rPr>
                <w:rFonts w:ascii="Times New Roman" w:eastAsia="Times New Roman" w:hAnsi="Times New Roman"/>
                <w:color w:val="000000"/>
                <w:sz w:val="24"/>
                <w:szCs w:val="24"/>
                <w:lang w:val="es-419" w:eastAsia="es-419"/>
              </w:rPr>
              <w:t>osteomioarticular</w:t>
            </w:r>
            <w:proofErr w:type="spellEnd"/>
            <w:r w:rsidRPr="00EF2492">
              <w:rPr>
                <w:rFonts w:ascii="Times New Roman" w:eastAsia="Times New Roman" w:hAnsi="Times New Roman"/>
                <w:color w:val="000000"/>
                <w:sz w:val="24"/>
                <w:szCs w:val="24"/>
                <w:lang w:val="es-419" w:eastAsia="es-419"/>
              </w:rPr>
              <w:t xml:space="preserve"> </w:t>
            </w:r>
          </w:p>
        </w:tc>
        <w:tc>
          <w:tcPr>
            <w:tcW w:w="6160" w:type="dxa"/>
            <w:shd w:val="clear" w:color="auto" w:fill="auto"/>
            <w:hideMark/>
          </w:tcPr>
          <w:p w:rsidR="00657317" w:rsidRPr="00EF2492" w:rsidRDefault="00657317" w:rsidP="00546C61">
            <w:pPr>
              <w:spacing w:after="0" w:line="240" w:lineRule="auto"/>
              <w:jc w:val="both"/>
              <w:rPr>
                <w:rFonts w:ascii="Times New Roman" w:eastAsia="Times New Roman" w:hAnsi="Times New Roman"/>
                <w:color w:val="000000"/>
                <w:sz w:val="24"/>
                <w:szCs w:val="24"/>
                <w:lang w:val="es-419" w:eastAsia="es-419"/>
              </w:rPr>
            </w:pPr>
            <w:r w:rsidRPr="00EF2492">
              <w:rPr>
                <w:rFonts w:ascii="Times New Roman" w:eastAsia="Times New Roman" w:hAnsi="Times New Roman"/>
                <w:color w:val="000000"/>
                <w:sz w:val="24"/>
                <w:szCs w:val="24"/>
                <w:lang w:val="es-419" w:eastAsia="es-419"/>
              </w:rPr>
              <w:t>artritis/ osteomielitis</w:t>
            </w:r>
          </w:p>
        </w:tc>
      </w:tr>
      <w:tr w:rsidR="00657317" w:rsidRPr="00EF2492" w:rsidTr="00546C61">
        <w:trPr>
          <w:trHeight w:val="300"/>
        </w:trPr>
        <w:tc>
          <w:tcPr>
            <w:tcW w:w="2980" w:type="dxa"/>
            <w:shd w:val="clear" w:color="auto" w:fill="auto"/>
            <w:hideMark/>
          </w:tcPr>
          <w:p w:rsidR="00657317" w:rsidRPr="00EF2492" w:rsidRDefault="00657317" w:rsidP="00546C61">
            <w:pPr>
              <w:spacing w:after="0" w:line="240" w:lineRule="auto"/>
              <w:rPr>
                <w:rFonts w:ascii="Times New Roman" w:eastAsia="Times New Roman" w:hAnsi="Times New Roman"/>
                <w:color w:val="000000"/>
                <w:sz w:val="24"/>
                <w:szCs w:val="24"/>
                <w:lang w:val="es-419" w:eastAsia="es-419"/>
              </w:rPr>
            </w:pPr>
            <w:r w:rsidRPr="00EF2492">
              <w:rPr>
                <w:rFonts w:ascii="Times New Roman" w:eastAsia="Times New Roman" w:hAnsi="Times New Roman"/>
                <w:color w:val="000000"/>
                <w:sz w:val="24"/>
                <w:szCs w:val="24"/>
                <w:lang w:val="es-419" w:eastAsia="es-419"/>
              </w:rPr>
              <w:t xml:space="preserve">Desórdenes alérgicos / </w:t>
            </w:r>
            <w:proofErr w:type="spellStart"/>
            <w:r w:rsidRPr="00EF2492">
              <w:rPr>
                <w:rFonts w:ascii="Times New Roman" w:eastAsia="Times New Roman" w:hAnsi="Times New Roman"/>
                <w:color w:val="000000"/>
                <w:sz w:val="24"/>
                <w:szCs w:val="24"/>
                <w:lang w:val="es-419" w:eastAsia="es-419"/>
              </w:rPr>
              <w:t>Atópia</w:t>
            </w:r>
            <w:proofErr w:type="spellEnd"/>
            <w:r w:rsidRPr="00EF2492">
              <w:rPr>
                <w:rFonts w:ascii="Times New Roman" w:eastAsia="Times New Roman" w:hAnsi="Times New Roman"/>
                <w:color w:val="000000"/>
                <w:sz w:val="24"/>
                <w:szCs w:val="24"/>
                <w:lang w:val="es-419" w:eastAsia="es-419"/>
              </w:rPr>
              <w:t xml:space="preserve"> </w:t>
            </w:r>
          </w:p>
        </w:tc>
        <w:tc>
          <w:tcPr>
            <w:tcW w:w="6160" w:type="dxa"/>
            <w:shd w:val="clear" w:color="auto" w:fill="auto"/>
            <w:hideMark/>
          </w:tcPr>
          <w:p w:rsidR="00657317" w:rsidRPr="00EF2492" w:rsidRDefault="00657317" w:rsidP="00546C61">
            <w:pPr>
              <w:spacing w:after="0" w:line="240" w:lineRule="auto"/>
              <w:jc w:val="both"/>
              <w:rPr>
                <w:rFonts w:ascii="Times New Roman" w:eastAsia="Times New Roman" w:hAnsi="Times New Roman"/>
                <w:color w:val="000000"/>
                <w:sz w:val="24"/>
                <w:szCs w:val="24"/>
                <w:lang w:val="es-419" w:eastAsia="es-419"/>
              </w:rPr>
            </w:pPr>
            <w:r w:rsidRPr="00EF2492">
              <w:rPr>
                <w:rFonts w:ascii="Times New Roman" w:eastAsia="Times New Roman" w:hAnsi="Times New Roman"/>
                <w:color w:val="000000"/>
                <w:sz w:val="24"/>
                <w:szCs w:val="24"/>
                <w:lang w:val="es-419" w:eastAsia="es-419"/>
              </w:rPr>
              <w:t xml:space="preserve">Rinitis alérgica, asma bronquial y dermatitis atópica </w:t>
            </w:r>
          </w:p>
        </w:tc>
      </w:tr>
      <w:tr w:rsidR="00657317" w:rsidRPr="00EF2492" w:rsidTr="00546C61">
        <w:trPr>
          <w:trHeight w:val="917"/>
        </w:trPr>
        <w:tc>
          <w:tcPr>
            <w:tcW w:w="2980" w:type="dxa"/>
            <w:shd w:val="clear" w:color="auto" w:fill="auto"/>
            <w:hideMark/>
          </w:tcPr>
          <w:p w:rsidR="00657317" w:rsidRPr="00EF2492" w:rsidRDefault="00657317" w:rsidP="00546C61">
            <w:pPr>
              <w:spacing w:after="0" w:line="240" w:lineRule="auto"/>
              <w:rPr>
                <w:rFonts w:ascii="Times New Roman" w:eastAsia="Times New Roman" w:hAnsi="Times New Roman"/>
                <w:color w:val="000000"/>
                <w:sz w:val="24"/>
                <w:szCs w:val="24"/>
                <w:lang w:val="es-419" w:eastAsia="es-419"/>
              </w:rPr>
            </w:pPr>
            <w:r w:rsidRPr="00EF2492">
              <w:rPr>
                <w:rFonts w:ascii="Times New Roman" w:eastAsia="Times New Roman" w:hAnsi="Times New Roman"/>
                <w:color w:val="000000"/>
                <w:sz w:val="24"/>
                <w:szCs w:val="24"/>
                <w:lang w:val="es-419" w:eastAsia="es-419"/>
              </w:rPr>
              <w:t>Manifestaciones en Piel</w:t>
            </w:r>
          </w:p>
        </w:tc>
        <w:tc>
          <w:tcPr>
            <w:tcW w:w="6160" w:type="dxa"/>
            <w:shd w:val="clear" w:color="auto" w:fill="auto"/>
            <w:hideMark/>
          </w:tcPr>
          <w:p w:rsidR="00657317" w:rsidRPr="00EF2492" w:rsidRDefault="00657317" w:rsidP="00546C61">
            <w:pPr>
              <w:spacing w:after="0" w:line="240" w:lineRule="auto"/>
              <w:jc w:val="both"/>
              <w:rPr>
                <w:rFonts w:ascii="Times New Roman" w:eastAsia="Times New Roman" w:hAnsi="Times New Roman"/>
                <w:color w:val="000000"/>
                <w:sz w:val="24"/>
                <w:szCs w:val="24"/>
                <w:lang w:val="es-419" w:eastAsia="es-419"/>
              </w:rPr>
            </w:pPr>
            <w:r w:rsidRPr="00EF2492">
              <w:rPr>
                <w:rFonts w:ascii="Times New Roman" w:eastAsia="Times New Roman" w:hAnsi="Times New Roman"/>
                <w:color w:val="000000"/>
                <w:sz w:val="24"/>
                <w:szCs w:val="24"/>
                <w:lang w:val="es-419" w:eastAsia="es-419"/>
              </w:rPr>
              <w:t xml:space="preserve">Eczema, Infecciones recurrentes de la piel </w:t>
            </w:r>
            <w:r w:rsidRPr="00EF2492">
              <w:rPr>
                <w:rFonts w:ascii="Times New Roman" w:eastAsia="Times New Roman" w:hAnsi="Times New Roman"/>
                <w:i/>
                <w:iCs/>
                <w:sz w:val="24"/>
                <w:szCs w:val="24"/>
                <w:lang w:val="es-419" w:eastAsia="es-419"/>
              </w:rPr>
              <w:t xml:space="preserve">por </w:t>
            </w:r>
            <w:proofErr w:type="spellStart"/>
            <w:r w:rsidRPr="00EF2492">
              <w:rPr>
                <w:rFonts w:ascii="Times New Roman" w:eastAsia="Times New Roman" w:hAnsi="Times New Roman"/>
                <w:i/>
                <w:iCs/>
                <w:sz w:val="24"/>
                <w:szCs w:val="24"/>
                <w:lang w:val="es-419" w:eastAsia="es-419"/>
              </w:rPr>
              <w:t>Staphylococcus</w:t>
            </w:r>
            <w:proofErr w:type="spellEnd"/>
            <w:r w:rsidRPr="00EF2492">
              <w:rPr>
                <w:rFonts w:ascii="Times New Roman" w:eastAsia="Times New Roman" w:hAnsi="Times New Roman"/>
                <w:i/>
                <w:iCs/>
                <w:sz w:val="24"/>
                <w:szCs w:val="24"/>
                <w:lang w:val="es-419" w:eastAsia="es-419"/>
              </w:rPr>
              <w:t xml:space="preserve"> </w:t>
            </w:r>
            <w:proofErr w:type="spellStart"/>
            <w:r w:rsidRPr="00EF2492">
              <w:rPr>
                <w:rFonts w:ascii="Times New Roman" w:eastAsia="Times New Roman" w:hAnsi="Times New Roman"/>
                <w:i/>
                <w:iCs/>
                <w:sz w:val="24"/>
                <w:szCs w:val="24"/>
                <w:lang w:val="es-419" w:eastAsia="es-419"/>
              </w:rPr>
              <w:t>aureus</w:t>
            </w:r>
            <w:proofErr w:type="spellEnd"/>
            <w:r w:rsidRPr="00EF2492">
              <w:rPr>
                <w:rFonts w:ascii="Times New Roman" w:eastAsia="Times New Roman" w:hAnsi="Times New Roman"/>
                <w:i/>
                <w:iCs/>
                <w:sz w:val="24"/>
                <w:szCs w:val="24"/>
                <w:lang w:val="es-419" w:eastAsia="es-419"/>
              </w:rPr>
              <w:t>.</w:t>
            </w:r>
            <w:r w:rsidRPr="00EF2492">
              <w:rPr>
                <w:rFonts w:ascii="Times New Roman" w:eastAsia="Times New Roman" w:hAnsi="Times New Roman"/>
                <w:color w:val="FF0000"/>
                <w:sz w:val="24"/>
                <w:szCs w:val="24"/>
                <w:lang w:val="es-419" w:eastAsia="es-419"/>
              </w:rPr>
              <w:t xml:space="preserve"> </w:t>
            </w:r>
            <w:r w:rsidRPr="00EF2492">
              <w:rPr>
                <w:rFonts w:ascii="Times New Roman" w:eastAsia="Times New Roman" w:hAnsi="Times New Roman"/>
                <w:sz w:val="24"/>
                <w:szCs w:val="24"/>
                <w:lang w:val="es-419" w:eastAsia="es-419"/>
              </w:rPr>
              <w:t xml:space="preserve">Persistente o recurrentes candidiasis o infecciones por otros hongos o herpes cutáneo. Diseminación de verrugas y </w:t>
            </w:r>
            <w:proofErr w:type="spellStart"/>
            <w:r w:rsidRPr="00EF2492">
              <w:rPr>
                <w:rFonts w:ascii="Times New Roman" w:eastAsia="Times New Roman" w:hAnsi="Times New Roman"/>
                <w:sz w:val="24"/>
                <w:szCs w:val="24"/>
                <w:lang w:val="es-419" w:eastAsia="es-419"/>
              </w:rPr>
              <w:t>molluscum</w:t>
            </w:r>
            <w:proofErr w:type="spellEnd"/>
            <w:r w:rsidRPr="00EF2492">
              <w:rPr>
                <w:rFonts w:ascii="Times New Roman" w:eastAsia="Times New Roman" w:hAnsi="Times New Roman"/>
                <w:sz w:val="24"/>
                <w:szCs w:val="24"/>
                <w:lang w:val="es-419" w:eastAsia="es-419"/>
              </w:rPr>
              <w:t>.</w:t>
            </w:r>
          </w:p>
        </w:tc>
      </w:tr>
      <w:tr w:rsidR="00657317" w:rsidRPr="00F04804" w:rsidTr="00546C61">
        <w:trPr>
          <w:trHeight w:val="300"/>
        </w:trPr>
        <w:tc>
          <w:tcPr>
            <w:tcW w:w="2980" w:type="dxa"/>
            <w:shd w:val="clear" w:color="auto" w:fill="auto"/>
            <w:hideMark/>
          </w:tcPr>
          <w:p w:rsidR="00657317" w:rsidRPr="00EF2492" w:rsidRDefault="00657317" w:rsidP="00546C61">
            <w:pPr>
              <w:spacing w:after="0" w:line="240" w:lineRule="auto"/>
              <w:rPr>
                <w:rFonts w:ascii="Times New Roman" w:eastAsia="Times New Roman" w:hAnsi="Times New Roman"/>
                <w:color w:val="000000"/>
                <w:sz w:val="24"/>
                <w:szCs w:val="24"/>
                <w:lang w:val="es-419" w:eastAsia="es-419"/>
              </w:rPr>
            </w:pPr>
            <w:r w:rsidRPr="00EF2492">
              <w:rPr>
                <w:rFonts w:ascii="Times New Roman" w:eastAsia="Times New Roman" w:hAnsi="Times New Roman"/>
                <w:color w:val="000000"/>
                <w:sz w:val="24"/>
                <w:szCs w:val="24"/>
                <w:lang w:val="es-419" w:eastAsia="es-419"/>
              </w:rPr>
              <w:t>Sistema nervioso central</w:t>
            </w:r>
          </w:p>
        </w:tc>
        <w:tc>
          <w:tcPr>
            <w:tcW w:w="6160" w:type="dxa"/>
            <w:shd w:val="clear" w:color="auto" w:fill="auto"/>
            <w:hideMark/>
          </w:tcPr>
          <w:p w:rsidR="00657317" w:rsidRPr="00F04804" w:rsidRDefault="00657317" w:rsidP="00546C61">
            <w:pPr>
              <w:spacing w:after="0" w:line="240" w:lineRule="auto"/>
              <w:jc w:val="both"/>
              <w:rPr>
                <w:rFonts w:ascii="Times New Roman" w:eastAsia="Times New Roman" w:hAnsi="Times New Roman"/>
                <w:color w:val="000000"/>
                <w:sz w:val="24"/>
                <w:szCs w:val="24"/>
                <w:lang w:val="es-419" w:eastAsia="es-419"/>
              </w:rPr>
            </w:pPr>
            <w:r w:rsidRPr="00EF2492">
              <w:rPr>
                <w:rFonts w:ascii="Times New Roman" w:eastAsia="Times New Roman" w:hAnsi="Times New Roman"/>
                <w:color w:val="000000"/>
                <w:sz w:val="24"/>
                <w:szCs w:val="24"/>
                <w:lang w:val="es-419" w:eastAsia="es-419"/>
              </w:rPr>
              <w:t xml:space="preserve">Meningoencefalitis </w:t>
            </w:r>
            <w:proofErr w:type="spellStart"/>
            <w:r w:rsidRPr="00EF2492">
              <w:rPr>
                <w:rFonts w:ascii="Times New Roman" w:eastAsia="Times New Roman" w:hAnsi="Times New Roman"/>
                <w:color w:val="000000"/>
                <w:sz w:val="24"/>
                <w:szCs w:val="24"/>
                <w:lang w:val="es-419" w:eastAsia="es-419"/>
              </w:rPr>
              <w:t>meningocócica</w:t>
            </w:r>
            <w:proofErr w:type="spellEnd"/>
            <w:r w:rsidRPr="00EF2492">
              <w:rPr>
                <w:rFonts w:ascii="Times New Roman" w:eastAsia="Times New Roman" w:hAnsi="Times New Roman"/>
                <w:color w:val="000000"/>
                <w:sz w:val="24"/>
                <w:szCs w:val="24"/>
                <w:lang w:val="es-419" w:eastAsia="es-419"/>
              </w:rPr>
              <w:t>, por herpes u hongos.</w:t>
            </w:r>
          </w:p>
        </w:tc>
      </w:tr>
    </w:tbl>
    <w:p w:rsidR="00657317" w:rsidRPr="00F04804" w:rsidRDefault="00657317" w:rsidP="00657317">
      <w:pPr>
        <w:rPr>
          <w:rFonts w:ascii="Times New Roman" w:hAnsi="Times New Roman"/>
          <w:sz w:val="24"/>
          <w:szCs w:val="24"/>
          <w:lang w:val="es-419"/>
        </w:rPr>
      </w:pPr>
    </w:p>
    <w:p w:rsidR="00407B8D" w:rsidRDefault="00407B8D">
      <w:bookmarkStart w:id="0" w:name="_GoBack"/>
      <w:bookmarkEnd w:id="0"/>
    </w:p>
    <w:sectPr w:rsidR="00407B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317"/>
    <w:rsid w:val="00407B8D"/>
    <w:rsid w:val="0059453D"/>
    <w:rsid w:val="00657317"/>
    <w:rsid w:val="008A4C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BE9533-31EE-4765-B97E-7F0149B20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7317"/>
    <w:rPr>
      <w:rFonts w:ascii="Calibri" w:eastAsia="Calibri" w:hAnsi="Calibri" w:cs="Times New Roman"/>
      <w:lang w:val="es-MX"/>
    </w:rPr>
  </w:style>
  <w:style w:type="paragraph" w:styleId="Heading1">
    <w:name w:val="heading 1"/>
    <w:basedOn w:val="Normal"/>
    <w:next w:val="Normal"/>
    <w:link w:val="Heading1Char"/>
    <w:uiPriority w:val="9"/>
    <w:qFormat/>
    <w:rsid w:val="00657317"/>
    <w:pPr>
      <w:keepNext/>
      <w:keepLines/>
      <w:spacing w:before="480" w:after="0" w:line="276" w:lineRule="auto"/>
      <w:outlineLvl w:val="0"/>
    </w:pPr>
    <w:rPr>
      <w:rFonts w:ascii="Cambria" w:eastAsia="Times New Roman" w:hAnsi="Cambria"/>
      <w:b/>
      <w:bCs/>
      <w:color w:val="365F91"/>
      <w:sz w:val="28"/>
      <w:szCs w:val="28"/>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317"/>
    <w:rPr>
      <w:rFonts w:ascii="Cambria" w:eastAsia="Times New Roman" w:hAnsi="Cambria" w:cs="Times New Roman"/>
      <w:b/>
      <w:bCs/>
      <w:color w:val="365F91"/>
      <w:sz w:val="28"/>
      <w:szCs w:val="2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Referencia numérica" Version="1987">
  <b:Source>
    <b:Tag>Car2</b:Tag>
    <b:SourceType>Report</b:SourceType>
    <b:Guid>{749DFAE1-47F9-437A-90F4-5FD5CA4B666C}</b:Guid>
    <b:Title>Carvalho BT, Grumach AS, Franco JL, Rosales, Leiva LE, King A, et al. Attending to Warning Signs of Primary Immunodeficiency Diseases Across the Range of Clinical Practice. J Clin Immunol. 2014; 34:34:10–22. https://doi: 10.1007/s10875-013-9954-6</b:Title>
    <b:RefOrder>11</b:RefOrder>
  </b:Source>
  <b:Source>
    <b:Tag>Bon</b:Tag>
    <b:SourceType>Report</b:SourceType>
    <b:Guid>{D7C7C786-0598-464C-AD87-69BCFF5DAA31}</b:Guid>
    <b:Title>Bonilla FA, Barlan I, Chapel H, Costa-Carvalho BT, Cunningham-Rundles C, de la Morena MT, et al. International Consensus Document (ICON): Common variable immunodeficiency disorders. J Allergy Clin Immunol Pra. 2016;4:38–59, doi:10.1016/j.jaip.2015.07.025</b:Title>
    <b:RefOrder>12</b:RefOrder>
  </b:Source>
  <b:Source>
    <b:Tag>Sei</b:Tag>
    <b:SourceType>Report</b:SourceType>
    <b:Guid>{032169B3-EFD9-47A8-9C1A-AC90BFF5142C}</b:Guid>
    <b:Title>Seidel MG, Kindle G, Gathmann B, Quinti I, Buckland M, van Montfrans J, et al. The European society for immunodeficiencies (ESID) registry working definitions for the clinical diagnosis of inborn errors. 2019; 7(6):1763-70. doi: 10.1016/j.jaip.2019.02.004</b:Title>
    <b:RefOrder>9</b:RefOrder>
  </b:Source>
</b:Sources>
</file>

<file path=customXml/itemProps1.xml><?xml version="1.0" encoding="utf-8"?>
<ds:datastoreItem xmlns:ds="http://schemas.openxmlformats.org/officeDocument/2006/customXml" ds:itemID="{F0313E25-3E99-4388-A886-687A8E4AC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Razia Khatoon</dc:creator>
  <cp:keywords/>
  <dc:description/>
  <cp:lastModifiedBy>Razia Khatoon</cp:lastModifiedBy>
  <cp:revision>1</cp:revision>
  <dcterms:created xsi:type="dcterms:W3CDTF">2020-08-20T17:58:00Z</dcterms:created>
  <dcterms:modified xsi:type="dcterms:W3CDTF">2020-08-20T17:58:00Z</dcterms:modified>
</cp:coreProperties>
</file>