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748E5" w14:textId="77777777" w:rsidR="004E2E37" w:rsidRDefault="004E2E37" w:rsidP="00185B7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</w:p>
    <w:p w14:paraId="11F110C7" w14:textId="77777777" w:rsidR="001D4C8C" w:rsidRDefault="001D4C8C" w:rsidP="00185B7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</w:p>
    <w:p w14:paraId="56456682" w14:textId="77777777" w:rsidR="004E2E37" w:rsidRPr="00E6261F" w:rsidRDefault="004E2E37" w:rsidP="00185B7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</w:pPr>
      <w:r w:rsidRPr="00E6261F">
        <w:rPr>
          <w:rFonts w:ascii="Arial" w:eastAsia="Times New Roman" w:hAnsi="Arial" w:cs="Arial"/>
          <w:b/>
          <w:color w:val="000000" w:themeColor="text1"/>
          <w:sz w:val="21"/>
          <w:szCs w:val="21"/>
          <w:u w:val="single"/>
          <w:shd w:val="clear" w:color="auto" w:fill="FFFFFF"/>
        </w:rPr>
        <w:t>SUPPLIMENTARY MATERIAL</w:t>
      </w:r>
    </w:p>
    <w:p w14:paraId="3F7A77AC" w14:textId="77777777" w:rsidR="00727D67" w:rsidRPr="00E6261F" w:rsidRDefault="00727D67" w:rsidP="00185B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84DD148" w14:textId="77777777" w:rsidR="00276DAF" w:rsidRPr="00E6261F" w:rsidRDefault="004E2E37" w:rsidP="004E2E37">
      <w:pPr>
        <w:pStyle w:val="NormalWeb"/>
        <w:numPr>
          <w:ilvl w:val="0"/>
          <w:numId w:val="12"/>
        </w:numPr>
        <w:rPr>
          <w:rFonts w:ascii="ArialMT" w:hAnsi="ArialMT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b/>
          <w:color w:val="000000" w:themeColor="text1"/>
          <w:sz w:val="20"/>
          <w:u w:val="single"/>
        </w:rPr>
        <w:t>Figure S1:</w:t>
      </w:r>
      <w:r w:rsidRPr="00E6261F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276DAF" w:rsidRPr="00E6261F">
        <w:rPr>
          <w:rFonts w:ascii="Arial" w:hAnsi="Arial" w:cs="Arial"/>
          <w:color w:val="000000" w:themeColor="text1"/>
          <w:sz w:val="20"/>
        </w:rPr>
        <w:t xml:space="preserve">A flow chart </w:t>
      </w:r>
      <w:r w:rsidR="00D42122" w:rsidRPr="00E6261F">
        <w:rPr>
          <w:rFonts w:ascii="Arial" w:hAnsi="Arial" w:cs="Arial"/>
          <w:color w:val="000000" w:themeColor="text1"/>
          <w:sz w:val="20"/>
        </w:rPr>
        <w:t>showing the</w:t>
      </w:r>
      <w:r w:rsidR="00276DAF" w:rsidRPr="00E6261F">
        <w:rPr>
          <w:rFonts w:ascii="Arial" w:hAnsi="Arial" w:cs="Arial"/>
          <w:color w:val="000000" w:themeColor="text1"/>
          <w:sz w:val="20"/>
        </w:rPr>
        <w:t xml:space="preserve"> </w:t>
      </w:r>
      <w:r w:rsidR="000B7759" w:rsidRPr="00E6261F">
        <w:rPr>
          <w:rFonts w:ascii="Arial" w:hAnsi="Arial" w:cs="Arial"/>
          <w:color w:val="000000" w:themeColor="text1"/>
          <w:sz w:val="20"/>
        </w:rPr>
        <w:t xml:space="preserve">recommended </w:t>
      </w:r>
      <w:r w:rsidR="00276DAF" w:rsidRPr="00E6261F">
        <w:rPr>
          <w:rFonts w:ascii="Arial" w:hAnsi="Arial" w:cs="Arial"/>
          <w:color w:val="000000" w:themeColor="text1"/>
          <w:sz w:val="20"/>
        </w:rPr>
        <w:t>procedure for testing near horizontal fixation disparity with the Mallett Unit. As per the researchers this can also be used for vertical near fixation disparity measurements with some modification</w:t>
      </w:r>
      <w:r w:rsidRPr="00E6261F">
        <w:rPr>
          <w:rFonts w:ascii="Arial" w:hAnsi="Arial" w:cs="Arial"/>
          <w:color w:val="000000" w:themeColor="text1"/>
          <w:sz w:val="20"/>
        </w:rPr>
        <w:t>s (</w:t>
      </w:r>
      <w:r w:rsidRPr="00E6261F">
        <w:rPr>
          <w:rFonts w:ascii="ArialMT" w:hAnsi="ArialMT"/>
          <w:color w:val="000000" w:themeColor="text1"/>
          <w:sz w:val="20"/>
          <w:szCs w:val="20"/>
        </w:rPr>
        <w:t>Karania R, Evans BJW. The Mallett Fixation Disparity Test: influence of test instructions and relationship with symptoms. Ophthalmic &amp; physiological Optics. 2006;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26</w:t>
      </w:r>
      <w:r w:rsidRPr="00E6261F">
        <w:rPr>
          <w:rFonts w:ascii="ArialMT" w:hAnsi="ArialMT"/>
          <w:color w:val="000000" w:themeColor="text1"/>
          <w:sz w:val="20"/>
          <w:szCs w:val="20"/>
        </w:rPr>
        <w:t xml:space="preserve">(5):507-22.) </w:t>
      </w:r>
      <w:r w:rsidR="002A33DE" w:rsidRPr="00E6261F">
        <w:rPr>
          <w:rFonts w:ascii="Arial" w:hAnsi="Arial" w:cs="Arial"/>
          <w:color w:val="000000" w:themeColor="text1"/>
          <w:sz w:val="20"/>
        </w:rPr>
        <w:t xml:space="preserve">(reproduced with permission from </w:t>
      </w:r>
      <w:r w:rsidR="00B7410B" w:rsidRPr="00E6261F">
        <w:rPr>
          <w:rFonts w:ascii="Arial" w:hAnsi="Arial" w:cs="Arial"/>
          <w:color w:val="000000" w:themeColor="text1"/>
          <w:sz w:val="20"/>
        </w:rPr>
        <w:t>Karania and Evans, 2006)</w:t>
      </w:r>
      <w:r w:rsidR="00276DAF" w:rsidRPr="00E6261F">
        <w:rPr>
          <w:rFonts w:ascii="Arial" w:hAnsi="Arial" w:cs="Arial"/>
          <w:color w:val="000000" w:themeColor="text1"/>
          <w:sz w:val="20"/>
        </w:rPr>
        <w:t>.</w:t>
      </w:r>
    </w:p>
    <w:p w14:paraId="3C62A228" w14:textId="77777777" w:rsidR="00276DAF" w:rsidRPr="00E6261F" w:rsidRDefault="00163A35" w:rsidP="00276DAF">
      <w:pPr>
        <w:rPr>
          <w:i/>
          <w:color w:val="000000" w:themeColor="text1"/>
          <w:sz w:val="16"/>
        </w:rPr>
      </w:pPr>
      <w:r w:rsidRPr="00E6261F">
        <w:rPr>
          <w:rFonts w:ascii="Arial" w:hAnsi="Arial" w:cs="Arial"/>
          <w:noProof/>
          <w:color w:val="000000" w:themeColor="text1"/>
          <w:sz w:val="20"/>
          <w:szCs w:val="20"/>
          <w:lang w:val="en-IN" w:eastAsia="en-IN"/>
        </w:rPr>
        <w:drawing>
          <wp:inline distT="0" distB="0" distL="0" distR="0" wp14:anchorId="3B26CA3F" wp14:editId="5A29AB3A">
            <wp:extent cx="5727700" cy="671795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10-04 at 10.27.49 pm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0"/>
                    <a:stretch/>
                  </pic:blipFill>
                  <pic:spPr bwMode="auto">
                    <a:xfrm>
                      <a:off x="0" y="0"/>
                      <a:ext cx="5727700" cy="6717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F39AB2" w14:textId="77777777" w:rsidR="00276DAF" w:rsidRPr="00E6261F" w:rsidRDefault="00276DAF" w:rsidP="009F21A7">
      <w:pPr>
        <w:pStyle w:val="EndNoteBibliography"/>
        <w:spacing w:after="0"/>
        <w:ind w:left="720" w:hanging="720"/>
        <w:rPr>
          <w:rFonts w:ascii="Arial" w:hAnsi="Arial" w:cs="Arial"/>
          <w:i/>
          <w:color w:val="000000" w:themeColor="text1"/>
          <w:sz w:val="20"/>
        </w:rPr>
      </w:pPr>
    </w:p>
    <w:p w14:paraId="5282610D" w14:textId="77777777" w:rsidR="00446659" w:rsidRPr="00E6261F" w:rsidRDefault="00446659" w:rsidP="00D42122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6ED20703" w14:textId="77777777" w:rsidR="00446659" w:rsidRPr="00E6261F" w:rsidRDefault="00446659" w:rsidP="00D42122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0A63EF63" w14:textId="77777777" w:rsidR="00446659" w:rsidRPr="00E6261F" w:rsidRDefault="000B7759" w:rsidP="004E2E37">
      <w:pPr>
        <w:pStyle w:val="EndNoteBibliography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</w:rPr>
      </w:pPr>
      <w:r w:rsidRPr="00E6261F">
        <w:rPr>
          <w:rFonts w:ascii="Arial" w:hAnsi="Arial" w:cs="Arial"/>
          <w:b/>
          <w:color w:val="000000" w:themeColor="text1"/>
          <w:sz w:val="20"/>
          <w:u w:val="single"/>
        </w:rPr>
        <w:t>Table S1</w:t>
      </w:r>
      <w:r w:rsidR="004E2E37" w:rsidRPr="00E6261F">
        <w:rPr>
          <w:rFonts w:ascii="Arial" w:hAnsi="Arial" w:cs="Arial"/>
          <w:b/>
          <w:color w:val="000000" w:themeColor="text1"/>
          <w:sz w:val="20"/>
          <w:u w:val="single"/>
        </w:rPr>
        <w:t>:</w:t>
      </w:r>
      <w:r w:rsidR="004E2E37" w:rsidRPr="00E6261F">
        <w:rPr>
          <w:rFonts w:ascii="Arial" w:hAnsi="Arial" w:cs="Arial"/>
          <w:color w:val="000000" w:themeColor="text1"/>
          <w:sz w:val="20"/>
        </w:rPr>
        <w:t xml:space="preserve"> T</w:t>
      </w:r>
      <w:r w:rsidR="00F35F00" w:rsidRPr="00E6261F">
        <w:rPr>
          <w:rFonts w:ascii="Arial" w:hAnsi="Arial" w:cs="Arial"/>
          <w:color w:val="000000" w:themeColor="text1"/>
          <w:sz w:val="20"/>
        </w:rPr>
        <w:t xml:space="preserve">he number of participants who </w:t>
      </w:r>
      <w:r w:rsidR="00575C4F" w:rsidRPr="00E6261F">
        <w:rPr>
          <w:rFonts w:ascii="Arial" w:hAnsi="Arial" w:cs="Arial"/>
          <w:color w:val="000000" w:themeColor="text1"/>
          <w:sz w:val="20"/>
        </w:rPr>
        <w:t xml:space="preserve">did or did not experience </w:t>
      </w:r>
      <w:r w:rsidR="004E2E37" w:rsidRPr="00E6261F">
        <w:rPr>
          <w:rFonts w:ascii="Arial" w:hAnsi="Arial" w:cs="Arial"/>
          <w:color w:val="000000" w:themeColor="text1"/>
          <w:sz w:val="20"/>
        </w:rPr>
        <w:t>an NPA</w:t>
      </w:r>
      <w:r w:rsidR="00575C4F" w:rsidRPr="00E6261F">
        <w:rPr>
          <w:rFonts w:ascii="Arial" w:hAnsi="Arial" w:cs="Arial"/>
          <w:color w:val="000000" w:themeColor="text1"/>
          <w:sz w:val="20"/>
        </w:rPr>
        <w:t xml:space="preserve">, together with the possible presence of a fixation disparity (FD), for each instrument. </w:t>
      </w:r>
      <w:r w:rsidR="004E2E37" w:rsidRPr="00E6261F">
        <w:rPr>
          <w:rFonts w:ascii="Arial" w:hAnsi="Arial" w:cs="Arial"/>
          <w:color w:val="000000" w:themeColor="text1"/>
          <w:sz w:val="20"/>
        </w:rPr>
        <w:t>NPA</w:t>
      </w:r>
      <w:r w:rsidR="00575C4F" w:rsidRPr="00E6261F">
        <w:rPr>
          <w:rFonts w:ascii="Arial" w:hAnsi="Arial" w:cs="Arial"/>
          <w:color w:val="000000" w:themeColor="text1"/>
          <w:sz w:val="20"/>
        </w:rPr>
        <w:t xml:space="preserve"> included blurring, flashing or dimming of the Nonius markers.</w:t>
      </w:r>
    </w:p>
    <w:p w14:paraId="36E34EA8" w14:textId="77777777" w:rsidR="00446659" w:rsidRPr="00E6261F" w:rsidRDefault="00446659" w:rsidP="009F21A7">
      <w:pPr>
        <w:pStyle w:val="EndNoteBibliography"/>
        <w:spacing w:after="0"/>
        <w:ind w:left="720" w:hanging="720"/>
        <w:rPr>
          <w:rFonts w:ascii="Arial" w:hAnsi="Arial" w:cs="Arial"/>
          <w:i/>
          <w:color w:val="000000" w:themeColor="text1"/>
          <w:sz w:val="20"/>
        </w:rPr>
      </w:pPr>
    </w:p>
    <w:tbl>
      <w:tblPr>
        <w:tblStyle w:val="TableGrid"/>
        <w:tblpPr w:leftFromText="180" w:rightFromText="180" w:vertAnchor="page" w:horzAnchor="margin" w:tblpY="3954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  <w:gridCol w:w="1644"/>
      </w:tblGrid>
      <w:tr w:rsidR="00E6261F" w:rsidRPr="00E6261F" w14:paraId="5EEDC2DC" w14:textId="77777777" w:rsidTr="004E2E37">
        <w:tc>
          <w:tcPr>
            <w:tcW w:w="2263" w:type="dxa"/>
          </w:tcPr>
          <w:p w14:paraId="494D4485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</w:p>
        </w:tc>
        <w:tc>
          <w:tcPr>
            <w:tcW w:w="1701" w:type="dxa"/>
          </w:tcPr>
          <w:p w14:paraId="344A72B7" w14:textId="77777777" w:rsidR="00163A35" w:rsidRPr="00E6261F" w:rsidRDefault="00163A35" w:rsidP="004E2E37">
            <w:pPr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b/>
                <w:color w:val="000000" w:themeColor="text1"/>
                <w:sz w:val="21"/>
              </w:rPr>
              <w:t>Symptoms and FD on Mallett Unit</w:t>
            </w:r>
          </w:p>
        </w:tc>
        <w:tc>
          <w:tcPr>
            <w:tcW w:w="1701" w:type="dxa"/>
          </w:tcPr>
          <w:p w14:paraId="271FAC80" w14:textId="77777777" w:rsidR="00163A35" w:rsidRPr="00E6261F" w:rsidRDefault="00163A35" w:rsidP="004E2E37">
            <w:pPr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b/>
                <w:color w:val="000000" w:themeColor="text1"/>
                <w:sz w:val="21"/>
              </w:rPr>
              <w:t>Symptoms and no FD on Mallett Unit</w:t>
            </w:r>
          </w:p>
        </w:tc>
        <w:tc>
          <w:tcPr>
            <w:tcW w:w="1701" w:type="dxa"/>
          </w:tcPr>
          <w:p w14:paraId="0529720F" w14:textId="77777777" w:rsidR="00163A35" w:rsidRPr="00E6261F" w:rsidRDefault="00163A35" w:rsidP="004E2E37">
            <w:pPr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b/>
                <w:color w:val="000000" w:themeColor="text1"/>
                <w:sz w:val="21"/>
              </w:rPr>
              <w:t>No symptoms and FD on Mallett Unit</w:t>
            </w:r>
          </w:p>
        </w:tc>
        <w:tc>
          <w:tcPr>
            <w:tcW w:w="1644" w:type="dxa"/>
          </w:tcPr>
          <w:p w14:paraId="22096ED6" w14:textId="77777777" w:rsidR="00163A35" w:rsidRPr="00E6261F" w:rsidRDefault="00163A35" w:rsidP="004E2E37">
            <w:pPr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b/>
                <w:color w:val="000000" w:themeColor="text1"/>
                <w:sz w:val="21"/>
              </w:rPr>
              <w:t>No Symptoms and no FD on Mallett Unit</w:t>
            </w:r>
          </w:p>
        </w:tc>
      </w:tr>
      <w:tr w:rsidR="00E6261F" w:rsidRPr="00E6261F" w14:paraId="07846079" w14:textId="77777777" w:rsidTr="004E2E37">
        <w:tc>
          <w:tcPr>
            <w:tcW w:w="2263" w:type="dxa"/>
          </w:tcPr>
          <w:p w14:paraId="625957D3" w14:textId="77777777" w:rsidR="00163A35" w:rsidRPr="00E6261F" w:rsidRDefault="00163A35" w:rsidP="004E2E37">
            <w:pPr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b/>
                <w:color w:val="000000" w:themeColor="text1"/>
                <w:sz w:val="21"/>
              </w:rPr>
              <w:t>Symptoms and FD on iPad</w:t>
            </w:r>
          </w:p>
        </w:tc>
        <w:tc>
          <w:tcPr>
            <w:tcW w:w="1701" w:type="dxa"/>
          </w:tcPr>
          <w:p w14:paraId="188B14B1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7 (8.75%)</w:t>
            </w:r>
          </w:p>
        </w:tc>
        <w:tc>
          <w:tcPr>
            <w:tcW w:w="1701" w:type="dxa"/>
          </w:tcPr>
          <w:p w14:paraId="2AA59861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2 (2.5%)</w:t>
            </w:r>
          </w:p>
        </w:tc>
        <w:tc>
          <w:tcPr>
            <w:tcW w:w="1701" w:type="dxa"/>
          </w:tcPr>
          <w:p w14:paraId="2DD37F0E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1 (1.25%)</w:t>
            </w:r>
          </w:p>
        </w:tc>
        <w:tc>
          <w:tcPr>
            <w:tcW w:w="1644" w:type="dxa"/>
          </w:tcPr>
          <w:p w14:paraId="25BE104F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5 (6.25%)</w:t>
            </w:r>
          </w:p>
        </w:tc>
      </w:tr>
      <w:tr w:rsidR="00E6261F" w:rsidRPr="00E6261F" w14:paraId="0C80C3D2" w14:textId="77777777" w:rsidTr="004E2E37">
        <w:tc>
          <w:tcPr>
            <w:tcW w:w="2263" w:type="dxa"/>
          </w:tcPr>
          <w:p w14:paraId="7C75B727" w14:textId="77777777" w:rsidR="00163A35" w:rsidRPr="00E6261F" w:rsidRDefault="00163A35" w:rsidP="004E2E37">
            <w:pPr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b/>
                <w:color w:val="000000" w:themeColor="text1"/>
                <w:sz w:val="21"/>
              </w:rPr>
              <w:t>Symptoms and no FD on iPad</w:t>
            </w:r>
          </w:p>
        </w:tc>
        <w:tc>
          <w:tcPr>
            <w:tcW w:w="1701" w:type="dxa"/>
          </w:tcPr>
          <w:p w14:paraId="4B005205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3 (3.75%)</w:t>
            </w:r>
          </w:p>
        </w:tc>
        <w:tc>
          <w:tcPr>
            <w:tcW w:w="1701" w:type="dxa"/>
          </w:tcPr>
          <w:p w14:paraId="66577796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5 (6.25%)</w:t>
            </w:r>
          </w:p>
        </w:tc>
        <w:tc>
          <w:tcPr>
            <w:tcW w:w="1701" w:type="dxa"/>
          </w:tcPr>
          <w:p w14:paraId="4493934D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3 (3.75%)</w:t>
            </w:r>
          </w:p>
        </w:tc>
        <w:tc>
          <w:tcPr>
            <w:tcW w:w="1644" w:type="dxa"/>
          </w:tcPr>
          <w:p w14:paraId="6C86DAB2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1 (1.25%)</w:t>
            </w:r>
          </w:p>
        </w:tc>
      </w:tr>
      <w:tr w:rsidR="00E6261F" w:rsidRPr="00E6261F" w14:paraId="4B5CBA0E" w14:textId="77777777" w:rsidTr="004E2E37">
        <w:tc>
          <w:tcPr>
            <w:tcW w:w="2263" w:type="dxa"/>
          </w:tcPr>
          <w:p w14:paraId="42E50B28" w14:textId="77777777" w:rsidR="00163A35" w:rsidRPr="00E6261F" w:rsidRDefault="00163A35" w:rsidP="004E2E37">
            <w:pPr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b/>
                <w:color w:val="000000" w:themeColor="text1"/>
                <w:sz w:val="21"/>
              </w:rPr>
              <w:t>No symptoms and FD on iPad</w:t>
            </w:r>
          </w:p>
        </w:tc>
        <w:tc>
          <w:tcPr>
            <w:tcW w:w="1701" w:type="dxa"/>
          </w:tcPr>
          <w:p w14:paraId="67E9DC63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5 (6.25%)</w:t>
            </w:r>
          </w:p>
        </w:tc>
        <w:tc>
          <w:tcPr>
            <w:tcW w:w="1701" w:type="dxa"/>
          </w:tcPr>
          <w:p w14:paraId="11B8C086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1 (1.25%)</w:t>
            </w:r>
          </w:p>
        </w:tc>
        <w:tc>
          <w:tcPr>
            <w:tcW w:w="1701" w:type="dxa"/>
          </w:tcPr>
          <w:p w14:paraId="77BE8023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3 (3.75%)</w:t>
            </w:r>
          </w:p>
        </w:tc>
        <w:tc>
          <w:tcPr>
            <w:tcW w:w="1644" w:type="dxa"/>
          </w:tcPr>
          <w:p w14:paraId="6246A60A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5 (6.25%)</w:t>
            </w:r>
          </w:p>
        </w:tc>
      </w:tr>
      <w:tr w:rsidR="00E6261F" w:rsidRPr="00E6261F" w14:paraId="79E8D95D" w14:textId="77777777" w:rsidTr="004E2E37">
        <w:tc>
          <w:tcPr>
            <w:tcW w:w="2263" w:type="dxa"/>
          </w:tcPr>
          <w:p w14:paraId="3F5A7E8E" w14:textId="77777777" w:rsidR="00163A35" w:rsidRPr="00E6261F" w:rsidRDefault="00163A35" w:rsidP="004E2E37">
            <w:pPr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b/>
                <w:color w:val="000000" w:themeColor="text1"/>
                <w:sz w:val="21"/>
              </w:rPr>
              <w:t>No symptoms and no FD on iPad</w:t>
            </w:r>
          </w:p>
        </w:tc>
        <w:tc>
          <w:tcPr>
            <w:tcW w:w="1701" w:type="dxa"/>
          </w:tcPr>
          <w:p w14:paraId="0DB5F4C4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2 (2.5%)</w:t>
            </w:r>
          </w:p>
        </w:tc>
        <w:tc>
          <w:tcPr>
            <w:tcW w:w="1701" w:type="dxa"/>
          </w:tcPr>
          <w:p w14:paraId="187BBB41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10 (12.5%)</w:t>
            </w:r>
          </w:p>
        </w:tc>
        <w:tc>
          <w:tcPr>
            <w:tcW w:w="1701" w:type="dxa"/>
          </w:tcPr>
          <w:p w14:paraId="5DCB5AFE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18 (22.5%)</w:t>
            </w:r>
          </w:p>
        </w:tc>
        <w:tc>
          <w:tcPr>
            <w:tcW w:w="1644" w:type="dxa"/>
          </w:tcPr>
          <w:p w14:paraId="5D6EACD2" w14:textId="77777777" w:rsidR="00163A35" w:rsidRPr="00E6261F" w:rsidRDefault="00163A35" w:rsidP="004E2E37">
            <w:pPr>
              <w:rPr>
                <w:rFonts w:ascii="Arial" w:hAnsi="Arial" w:cs="Arial"/>
                <w:color w:val="000000" w:themeColor="text1"/>
                <w:sz w:val="21"/>
              </w:rPr>
            </w:pPr>
            <w:r w:rsidRPr="00E6261F">
              <w:rPr>
                <w:rFonts w:ascii="Arial" w:hAnsi="Arial" w:cs="Arial"/>
                <w:color w:val="000000" w:themeColor="text1"/>
                <w:sz w:val="21"/>
              </w:rPr>
              <w:t>9 (11.25%)</w:t>
            </w:r>
          </w:p>
        </w:tc>
      </w:tr>
    </w:tbl>
    <w:p w14:paraId="74E7C642" w14:textId="77777777" w:rsidR="00446659" w:rsidRPr="00E6261F" w:rsidRDefault="00446659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7AADCD61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78AD08BB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2134EFF0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06E5835D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2DED2A9A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7E88290A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489B4F55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093F3C89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5A020047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19D17997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14324883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681474F9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73D854D0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4D3AA008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5D1A1F1B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4E284498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79DC69BC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17D14E6E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53BA92A0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3797D499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56C3CE91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30D87A7A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7BDF6013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4375BD3A" w14:textId="77777777" w:rsidR="00575C4F" w:rsidRPr="00E6261F" w:rsidRDefault="00575C4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16E92B85" w14:textId="77777777" w:rsidR="00727AAF" w:rsidRPr="00E6261F" w:rsidRDefault="00727AA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0A3751CE" w14:textId="77777777" w:rsidR="00727AAF" w:rsidRPr="00E6261F" w:rsidRDefault="00727AA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074A0011" w14:textId="77777777" w:rsidR="00727AAF" w:rsidRPr="00E6261F" w:rsidRDefault="00727AA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3CF13071" w14:textId="77777777" w:rsidR="00727AAF" w:rsidRPr="00E6261F" w:rsidRDefault="00727AAF" w:rsidP="00F35F00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0BDC3599" w14:textId="77777777" w:rsidR="00446659" w:rsidRPr="00E6261F" w:rsidRDefault="00446659" w:rsidP="004E2E37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1A00DA31" w14:textId="77777777" w:rsidR="004E2E37" w:rsidRPr="00E6261F" w:rsidRDefault="004E2E37" w:rsidP="004E2E37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2DBF58B4" w14:textId="77777777" w:rsidR="00D42122" w:rsidRPr="00E6261F" w:rsidRDefault="00D42122" w:rsidP="004E2E37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20BAAF22" w14:textId="77777777" w:rsidR="00D42122" w:rsidRPr="00E6261F" w:rsidRDefault="00D42122" w:rsidP="004E2E37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34DD789B" w14:textId="77777777" w:rsidR="00D42122" w:rsidRPr="00E6261F" w:rsidRDefault="00D42122" w:rsidP="004E2E37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5970CFB7" w14:textId="6B7B1BDA" w:rsidR="00D42122" w:rsidRDefault="00D42122" w:rsidP="004E2E37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6CE87107" w14:textId="2C451D0B" w:rsidR="006519F9" w:rsidRDefault="006519F9" w:rsidP="004E2E37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72780071" w14:textId="00B5D9E7" w:rsidR="006519F9" w:rsidRDefault="006519F9" w:rsidP="004E2E37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5B75274B" w14:textId="77777777" w:rsidR="006519F9" w:rsidRPr="00E6261F" w:rsidRDefault="006519F9" w:rsidP="004E2E37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71725715" w14:textId="77777777" w:rsidR="00446659" w:rsidRPr="00E6261F" w:rsidRDefault="00446659" w:rsidP="006519F9">
      <w:pPr>
        <w:pStyle w:val="EndNoteBibliography"/>
        <w:spacing w:after="0"/>
        <w:rPr>
          <w:rFonts w:ascii="Arial" w:hAnsi="Arial" w:cs="Arial"/>
          <w:i/>
          <w:color w:val="000000" w:themeColor="text1"/>
          <w:sz w:val="20"/>
        </w:rPr>
      </w:pPr>
    </w:p>
    <w:p w14:paraId="4A83C015" w14:textId="77777777" w:rsidR="00446659" w:rsidRPr="00E6261F" w:rsidRDefault="00446659" w:rsidP="00163A35">
      <w:pPr>
        <w:pStyle w:val="EndNoteBibliography"/>
        <w:spacing w:after="0"/>
        <w:rPr>
          <w:rFonts w:ascii="Arial" w:hAnsi="Arial" w:cs="Arial"/>
          <w:b/>
          <w:color w:val="000000" w:themeColor="text1"/>
          <w:sz w:val="21"/>
          <w:u w:val="single"/>
        </w:rPr>
      </w:pPr>
      <w:r w:rsidRPr="00E6261F">
        <w:rPr>
          <w:rFonts w:ascii="Arial" w:hAnsi="Arial" w:cs="Arial"/>
          <w:b/>
          <w:color w:val="000000" w:themeColor="text1"/>
          <w:sz w:val="21"/>
          <w:u w:val="single"/>
        </w:rPr>
        <w:t>REFERENCES</w:t>
      </w:r>
    </w:p>
    <w:p w14:paraId="3B6CBE6B" w14:textId="77777777" w:rsidR="00497AAB" w:rsidRPr="00E6261F" w:rsidRDefault="00497AAB" w:rsidP="009F21A7">
      <w:pPr>
        <w:pStyle w:val="EndNoteBibliography"/>
        <w:spacing w:after="0"/>
        <w:ind w:left="720" w:hanging="720"/>
        <w:rPr>
          <w:rFonts w:ascii="Arial" w:hAnsi="Arial" w:cs="Arial"/>
          <w:b/>
          <w:color w:val="000000" w:themeColor="text1"/>
          <w:sz w:val="21"/>
          <w:u w:val="single"/>
        </w:rPr>
      </w:pPr>
    </w:p>
    <w:p w14:paraId="55D1F213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Evans BJ. Pickwell's Binocular Vision Anomalies. 5th ed. UK: Butterworth Heinemann; 2007.</w:t>
      </w:r>
    </w:p>
    <w:p w14:paraId="7240AF9F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Rowe FJ. Clinical Orthoptics. 3rd ed. ed. Chichester, West Sussex: </w:t>
      </w:r>
      <w:proofErr w:type="gramStart"/>
      <w:r w:rsidRPr="00E6261F">
        <w:rPr>
          <w:rFonts w:ascii="Arial" w:hAnsi="Arial" w:cs="Arial"/>
          <w:color w:val="000000" w:themeColor="text1"/>
          <w:sz w:val="20"/>
          <w:szCs w:val="20"/>
        </w:rPr>
        <w:t>Hoboken :</w:t>
      </w:r>
      <w:proofErr w:type="gramEnd"/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 Wiley; 2012. </w:t>
      </w:r>
    </w:p>
    <w:p w14:paraId="369E561B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Ogle KN, Mussey F, De HPA. Fixation disparity and the fusional processes in binocular single vision. American journal of ophthalmology. 1949;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32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(8):1069-87. </w:t>
      </w:r>
    </w:p>
    <w:p w14:paraId="735A20A6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Ogle KN. Researches in binocular vision. Philadelphia: Saunders; 1950. </w:t>
      </w:r>
    </w:p>
    <w:p w14:paraId="63A36E26" w14:textId="77777777" w:rsidR="004E2E37" w:rsidRPr="00E6261F" w:rsidRDefault="004E2E37" w:rsidP="004E2E3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Ogle KN, Martens TG, Dyer JA. Oculomotor imbalance in binocular vision and fixation</w:t>
      </w:r>
    </w:p>
    <w:p w14:paraId="0FC58CBD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Mallett RFJ. The investigation of heterophoria at near and a new fixation disparity technique. Optician. 1964;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148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(3845):573-81. </w:t>
      </w:r>
    </w:p>
    <w:p w14:paraId="28B4D57A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Yekta A, Pickwell L. The relationship between heterophoria and fixation disparity. Clinical and Experimental Optometry. 1986;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69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(6):228-31. </w:t>
      </w:r>
    </w:p>
    <w:p w14:paraId="3E26BFB8" w14:textId="77777777" w:rsidR="00496A76" w:rsidRPr="00E6261F" w:rsidRDefault="00496A76" w:rsidP="00496A76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6261F">
        <w:rPr>
          <w:rFonts w:ascii="Arial" w:hAnsi="Arial" w:cs="Arial"/>
          <w:color w:val="000000" w:themeColor="text1"/>
          <w:sz w:val="20"/>
          <w:szCs w:val="20"/>
        </w:rPr>
        <w:t>Karania</w:t>
      </w:r>
      <w:proofErr w:type="spellEnd"/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 R, Evans BJW. The Mallett Fixation Disparity Test: influence of test instructions and relationship with symptoms. Ophthalmic &amp; physiological Optics. 2006;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26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(5):507-22. </w:t>
      </w:r>
    </w:p>
    <w:p w14:paraId="79DA3ADA" w14:textId="77777777" w:rsidR="00496A76" w:rsidRPr="00E6261F" w:rsidRDefault="00496A76" w:rsidP="00496A76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Jenkins TC, </w:t>
      </w:r>
      <w:proofErr w:type="spellStart"/>
      <w:r w:rsidRPr="00E626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Pickwell</w:t>
      </w:r>
      <w:proofErr w:type="spellEnd"/>
      <w:r w:rsidRPr="00E626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LD, </w:t>
      </w:r>
      <w:proofErr w:type="spellStart"/>
      <w:r w:rsidRPr="00E626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Yekta</w:t>
      </w:r>
      <w:proofErr w:type="spellEnd"/>
      <w:r w:rsidRPr="00E626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A. Criteria for decompensation in binocular vision. Ophthalmic and Physiological Optics. 1989;9(</w:t>
      </w:r>
      <w:r w:rsidRPr="00E6261F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2</w:t>
      </w:r>
      <w:r w:rsidRPr="00E6261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):121-5.</w:t>
      </w:r>
    </w:p>
    <w:p w14:paraId="3C6E603E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Patel T. Comparison of the Fixation Disparity Test Parameters on different Near Vision Fixation Disparity Units. BSc [Optometry Thesis]. London: City University London; 2012.</w:t>
      </w:r>
    </w:p>
    <w:p w14:paraId="716F09D4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Thomson Software Solutions. Test Chart 2016, http://www.thomson-software- solutions.com/T est%20Chart%202016/Help/T est%20Chart%202016.html?Introduction.html; [accessed 16</w:t>
      </w:r>
      <w:r w:rsidRPr="00E6261F">
        <w:rPr>
          <w:rFonts w:ascii="Arial" w:hAnsi="Arial" w:cs="Arial"/>
          <w:color w:val="000000" w:themeColor="text1"/>
          <w:position w:val="8"/>
          <w:sz w:val="20"/>
          <w:szCs w:val="20"/>
        </w:rPr>
        <w:t xml:space="preserve">th 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August 2017] </w:t>
      </w:r>
    </w:p>
    <w:p w14:paraId="2E2DB817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Evans B, </w:t>
      </w:r>
      <w:proofErr w:type="spellStart"/>
      <w:r w:rsidRPr="00E6261F">
        <w:rPr>
          <w:rFonts w:ascii="Arial" w:hAnsi="Arial" w:cs="Arial"/>
          <w:color w:val="000000" w:themeColor="text1"/>
          <w:sz w:val="20"/>
          <w:szCs w:val="20"/>
        </w:rPr>
        <w:t>Pickwell</w:t>
      </w:r>
      <w:proofErr w:type="spellEnd"/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 D. Pickwell's Binocular Vision Anomalies: Investigation and Treatments. 3rd ed: </w:t>
      </w:r>
      <w:proofErr w:type="gramStart"/>
      <w:r w:rsidRPr="00E6261F">
        <w:rPr>
          <w:rFonts w:ascii="Arial" w:hAnsi="Arial" w:cs="Arial"/>
          <w:color w:val="000000" w:themeColor="text1"/>
          <w:sz w:val="20"/>
          <w:szCs w:val="20"/>
        </w:rPr>
        <w:t>Oxford :</w:t>
      </w:r>
      <w:proofErr w:type="gramEnd"/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 Butterworth-Heinemann; 1997. </w:t>
      </w:r>
    </w:p>
    <w:p w14:paraId="2AFC1D74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Pickwell LD, Yekta AA, Jenkins TCA. Effect of reading in low illumination on fixation disparity. Optometry &amp; Vision Science. 1987;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64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(7):513-8. </w:t>
      </w:r>
    </w:p>
    <w:p w14:paraId="2502AF7A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Bland J, Altman D. Measuring agreement in method comparison studies. Statistical Methods in Medical Research. 1999;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(2):135-60. </w:t>
      </w:r>
    </w:p>
    <w:p w14:paraId="7312A7F8" w14:textId="77777777" w:rsidR="004E2E37" w:rsidRPr="00E6261F" w:rsidRDefault="004E2E37" w:rsidP="004E2E3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Ukwade MT. Effects of nonius line and fusion lock Parameters on Fixation Disparity. Optometry &amp; Vision Science. 2000;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77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>(6):309-20.</w:t>
      </w:r>
    </w:p>
    <w:p w14:paraId="2DC2CE54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Wildsoet CF, Cameron KD. The effect of illumination and foveal fixation lock on clinical fixation disparity measurements with the Sheedy Disparometer. Ophthalmic &amp; physiological Optics. 1985;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(2): 171-8 </w:t>
      </w:r>
    </w:p>
    <w:p w14:paraId="25724276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Brautaset RL, Jennings JAM. Measurements of objective and subjective fixation disparity with and without a central fusion stimulus. Medical science monitor. 2006;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12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(2):MT1-MT4. </w:t>
      </w:r>
    </w:p>
    <w:p w14:paraId="2B6C6975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Pickwell LD, Gilchrist J, Hesler J. Comparison of associated heterophoria measurements using the Mallett test for near vision and the Sheedy Disparometer. Ophthalmic and Physiological Optics. 1988;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(1):19-25. </w:t>
      </w:r>
    </w:p>
    <w:p w14:paraId="79167701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Fogt N, Jones R. Comparison of fixation disparities obtained by objective and subjective methods. Vision research. 1998;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38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(3):411-21. </w:t>
      </w:r>
    </w:p>
    <w:p w14:paraId="6DE068D5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Shimono K, Ono H, Saida S, Mapp AP. Methodological caveats for monitoring binocular eye position with nonius stimuli. Vision research. 1998;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38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(4):591-600. </w:t>
      </w:r>
    </w:p>
    <w:p w14:paraId="55229CCD" w14:textId="77777777" w:rsidR="00244F61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Jaschinski W, Kloke W-b, Jainta S, Buchholz J. Horizontal fixation disparity measures with nonius lines. Optometry &amp; Vision Science. 2005;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82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(11):988-99. </w:t>
      </w:r>
    </w:p>
    <w:p w14:paraId="118FF366" w14:textId="78BF4AB9" w:rsidR="00496A76" w:rsidRPr="00E6261F" w:rsidRDefault="00496A76" w:rsidP="00244F61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The Vision Council. Eyes Overexposed: The Digital Device Dilemma. Digital eyestrain Report 2016.</w:t>
      </w:r>
    </w:p>
    <w:p w14:paraId="2BE65431" w14:textId="1F1BCA98" w:rsidR="00244F61" w:rsidRPr="00E6261F" w:rsidRDefault="00244F61" w:rsidP="00244F61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6261F">
        <w:rPr>
          <w:rFonts w:ascii="Arial" w:hAnsi="Arial" w:cs="Arial"/>
          <w:color w:val="000000" w:themeColor="text1"/>
          <w:sz w:val="20"/>
          <w:szCs w:val="20"/>
        </w:rPr>
        <w:t>Köpper</w:t>
      </w:r>
      <w:proofErr w:type="spellEnd"/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 M, </w:t>
      </w:r>
      <w:proofErr w:type="spellStart"/>
      <w:r w:rsidRPr="00E6261F">
        <w:rPr>
          <w:rFonts w:ascii="Arial" w:hAnsi="Arial" w:cs="Arial"/>
          <w:color w:val="000000" w:themeColor="text1"/>
          <w:sz w:val="20"/>
          <w:szCs w:val="20"/>
        </w:rPr>
        <w:t>Mayr</w:t>
      </w:r>
      <w:proofErr w:type="spellEnd"/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 S, Buchner A. Reading from computer screen versus reading from paper: does it still make a difference? Ergonomics. 2016;</w:t>
      </w:r>
      <w:r w:rsidRPr="00E6261F">
        <w:rPr>
          <w:rFonts w:ascii="Arial" w:hAnsi="Arial" w:cs="Arial"/>
          <w:b/>
          <w:color w:val="000000" w:themeColor="text1"/>
          <w:sz w:val="20"/>
          <w:szCs w:val="20"/>
        </w:rPr>
        <w:t>59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>(5):615-32.</w:t>
      </w:r>
    </w:p>
    <w:p w14:paraId="53BAD96A" w14:textId="77777777" w:rsidR="002C1F94" w:rsidRPr="00E6261F" w:rsidRDefault="002C1F94" w:rsidP="002C1F94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Hayes JR, Sheedy JE, </w:t>
      </w:r>
      <w:proofErr w:type="spellStart"/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Stelmack</w:t>
      </w:r>
      <w:proofErr w:type="spellEnd"/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JA, Heaney CA. Computer use, symptoms, and quality of life. Optometry and Vision Science. 2007</w:t>
      </w:r>
      <w:proofErr w:type="gramStart"/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;</w:t>
      </w:r>
      <w:r w:rsidRPr="00E6261F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</w:rPr>
        <w:t>84</w:t>
      </w:r>
      <w:proofErr w:type="gramEnd"/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(8):E738-55.</w:t>
      </w:r>
    </w:p>
    <w:p w14:paraId="17ADDD95" w14:textId="7689447A" w:rsidR="002C1F94" w:rsidRDefault="002C1F94" w:rsidP="002C1F94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Agarwal S, Goel D, Sharma A. Evaluation of the Factors which Contribute to the Ocular Complaints in Computer Users. Journal of Clinical &amp; Diagnostic Research. 2013;</w:t>
      </w:r>
      <w:r w:rsidRPr="00E6261F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>(2):331-5.</w:t>
      </w:r>
    </w:p>
    <w:p w14:paraId="0B14ED8A" w14:textId="04EB6CD6" w:rsidR="00457375" w:rsidRPr="00915051" w:rsidRDefault="00457375" w:rsidP="0045737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</w:pPr>
      <w:proofErr w:type="spellStart"/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>Phamonvaechavan</w:t>
      </w:r>
      <w:proofErr w:type="spellEnd"/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 xml:space="preserve"> P. A comparison between effect of viewing text on computer screen and iPad® on visual symptoms and functions. </w:t>
      </w:r>
      <w:proofErr w:type="spellStart"/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>Siriraj</w:t>
      </w:r>
      <w:proofErr w:type="spellEnd"/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 xml:space="preserve"> Medical Journal. 2017;</w:t>
      </w:r>
      <w:r w:rsidRPr="00915051">
        <w:rPr>
          <w:rFonts w:ascii="Arial" w:eastAsia="Times New Roman" w:hAnsi="Arial" w:cs="Arial"/>
          <w:b/>
          <w:color w:val="70AD47" w:themeColor="accent6"/>
          <w:sz w:val="20"/>
          <w:szCs w:val="20"/>
          <w:shd w:val="clear" w:color="auto" w:fill="FFFFFF"/>
        </w:rPr>
        <w:t>69</w:t>
      </w:r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>(4):185-9.</w:t>
      </w:r>
    </w:p>
    <w:p w14:paraId="0837D98D" w14:textId="56BAF90D" w:rsidR="00496A76" w:rsidRDefault="002C1F94" w:rsidP="00244F61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Coles Brennan C, </w:t>
      </w:r>
      <w:proofErr w:type="spellStart"/>
      <w:r w:rsidRPr="00E6261F">
        <w:rPr>
          <w:rFonts w:ascii="Arial" w:hAnsi="Arial" w:cs="Arial"/>
          <w:color w:val="000000" w:themeColor="text1"/>
          <w:sz w:val="20"/>
          <w:szCs w:val="20"/>
        </w:rPr>
        <w:t>Sulley</w:t>
      </w:r>
      <w:proofErr w:type="spellEnd"/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 A, Young G. Management of digital eye strain. Clinical and Experimental Optometry. 2019;</w:t>
      </w:r>
      <w:r w:rsidRPr="00E6261F">
        <w:rPr>
          <w:rFonts w:ascii="Arial" w:hAnsi="Arial" w:cs="Arial"/>
          <w:b/>
          <w:color w:val="000000" w:themeColor="text1"/>
          <w:sz w:val="20"/>
          <w:szCs w:val="20"/>
        </w:rPr>
        <w:t>102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>(1):18-29.</w:t>
      </w:r>
    </w:p>
    <w:p w14:paraId="1A546CB1" w14:textId="24D28E30" w:rsidR="00457375" w:rsidRPr="00915051" w:rsidRDefault="00457375" w:rsidP="0045737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</w:pPr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>Rosenfield M. Computer vision syndrome: a review of ocular causes and potential treatments. Ophthalmic and Physiological Optics. 2011;</w:t>
      </w:r>
      <w:r w:rsidRPr="00915051">
        <w:rPr>
          <w:rFonts w:ascii="Arial" w:eastAsia="Times New Roman" w:hAnsi="Arial" w:cs="Arial"/>
          <w:b/>
          <w:color w:val="70AD47" w:themeColor="accent6"/>
          <w:sz w:val="20"/>
          <w:szCs w:val="20"/>
          <w:shd w:val="clear" w:color="auto" w:fill="FFFFFF"/>
        </w:rPr>
        <w:t>31</w:t>
      </w:r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>(5):502-15.</w:t>
      </w:r>
    </w:p>
    <w:p w14:paraId="5DF1581B" w14:textId="1187801D" w:rsidR="00457375" w:rsidRPr="00915051" w:rsidRDefault="00457375" w:rsidP="0045737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24"/>
          <w:szCs w:val="24"/>
        </w:rPr>
      </w:pPr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lastRenderedPageBreak/>
        <w:t xml:space="preserve">Hue JE, </w:t>
      </w:r>
      <w:proofErr w:type="spellStart"/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>Rosenfield</w:t>
      </w:r>
      <w:proofErr w:type="spellEnd"/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 xml:space="preserve"> M, </w:t>
      </w:r>
      <w:proofErr w:type="spellStart"/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>Saá</w:t>
      </w:r>
      <w:proofErr w:type="spellEnd"/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 xml:space="preserve"> G. Reading from electronic devices versus hardcopy text. Work. 2014;</w:t>
      </w:r>
      <w:r w:rsidRPr="00915051">
        <w:rPr>
          <w:rFonts w:ascii="Arial" w:eastAsia="Times New Roman" w:hAnsi="Arial" w:cs="Arial"/>
          <w:b/>
          <w:color w:val="70AD47" w:themeColor="accent6"/>
          <w:sz w:val="20"/>
          <w:szCs w:val="20"/>
          <w:shd w:val="clear" w:color="auto" w:fill="FFFFFF"/>
        </w:rPr>
        <w:t>47</w:t>
      </w:r>
      <w:r w:rsidRPr="00915051">
        <w:rPr>
          <w:rFonts w:ascii="Arial" w:eastAsia="Times New Roman" w:hAnsi="Arial" w:cs="Arial"/>
          <w:color w:val="70AD47" w:themeColor="accent6"/>
          <w:sz w:val="20"/>
          <w:szCs w:val="20"/>
          <w:shd w:val="clear" w:color="auto" w:fill="FFFFFF"/>
        </w:rPr>
        <w:t>(3):303-7.</w:t>
      </w:r>
    </w:p>
    <w:p w14:paraId="71566E5E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6261F">
        <w:rPr>
          <w:rFonts w:ascii="Arial" w:hAnsi="Arial" w:cs="Arial"/>
          <w:color w:val="000000" w:themeColor="text1"/>
          <w:sz w:val="20"/>
          <w:szCs w:val="20"/>
        </w:rPr>
        <w:t>Vancleef</w:t>
      </w:r>
      <w:proofErr w:type="spellEnd"/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 K, Read JC, Herbert W, Goodship N, Woodhouse M, Serrano-Pedraza I. Overestimation of stereo thresholds by the TNO stereotest is not due to global stereopsis. Ophthalmic and Physiological Optics. 2017; 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37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(4):507-20. </w:t>
      </w:r>
    </w:p>
    <w:p w14:paraId="1BD505C2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Simons K, Elhatton K. Artefacts in fusion and stereopsis testing based on red/green dichoptic image separation. Journal of paediatric ophthalmology and strabismus. 1994;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31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(5):290-7. </w:t>
      </w:r>
    </w:p>
    <w:p w14:paraId="564AB5D2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Larson WL. Effect of TNO red-green glasses on local stereoacuity. Optometry and Vision Science. 1988;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65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(12):946-50. </w:t>
      </w:r>
    </w:p>
    <w:p w14:paraId="0B2E2B09" w14:textId="5A85B781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Grolman B. Binocular refraction—fixation disparity. Optician. 1971;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162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(4195):16-9. </w:t>
      </w:r>
    </w:p>
    <w:p w14:paraId="56DDC533" w14:textId="1498C33B" w:rsidR="00496A76" w:rsidRPr="00E6261F" w:rsidRDefault="00496A76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E6261F">
        <w:rPr>
          <w:rFonts w:ascii="Arial" w:hAnsi="Arial" w:cs="Arial"/>
          <w:color w:val="000000" w:themeColor="text1"/>
          <w:sz w:val="20"/>
          <w:szCs w:val="20"/>
        </w:rPr>
        <w:t>Kommerell</w:t>
      </w:r>
      <w:proofErr w:type="spellEnd"/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 G, </w:t>
      </w:r>
      <w:proofErr w:type="spellStart"/>
      <w:r w:rsidRPr="00E6261F">
        <w:rPr>
          <w:rFonts w:ascii="Arial" w:hAnsi="Arial" w:cs="Arial"/>
          <w:color w:val="000000" w:themeColor="text1"/>
          <w:sz w:val="20"/>
          <w:szCs w:val="20"/>
        </w:rPr>
        <w:t>Kromeier</w:t>
      </w:r>
      <w:proofErr w:type="spellEnd"/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 M, Scharff F, Bach M. Asthenopia, associated phoria, and self-selected prism. Strabismus. 2015;</w:t>
      </w:r>
      <w:r w:rsidRPr="00E6261F">
        <w:rPr>
          <w:rFonts w:ascii="Arial" w:hAnsi="Arial" w:cs="Arial"/>
          <w:b/>
          <w:color w:val="000000" w:themeColor="text1"/>
          <w:sz w:val="20"/>
          <w:szCs w:val="20"/>
        </w:rPr>
        <w:t>23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>(2):51-65.</w:t>
      </w:r>
    </w:p>
    <w:p w14:paraId="0535A169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Alhassan M, Hovis JK, Chou RB. Repeatability of Associated Phoria Tests. Optometry &amp; Vision Science. 2015;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92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(8):900-7. </w:t>
      </w:r>
    </w:p>
    <w:p w14:paraId="40D97156" w14:textId="77777777" w:rsidR="00496A76" w:rsidRPr="00E6261F" w:rsidRDefault="00496A76" w:rsidP="00496A76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Payne CR, Grisham DJ, Thomas KL. A clinical evaluation of fixation disparity. Optometry and Vision Science. 1974;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51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(2):88-90. </w:t>
      </w:r>
    </w:p>
    <w:p w14:paraId="757DE1E7" w14:textId="77777777" w:rsidR="004E2E37" w:rsidRPr="00E6261F" w:rsidRDefault="004E2E37" w:rsidP="004E2E37">
      <w:pPr>
        <w:pStyle w:val="NormalWeb"/>
        <w:numPr>
          <w:ilvl w:val="0"/>
          <w:numId w:val="3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6261F">
        <w:rPr>
          <w:rFonts w:ascii="Arial" w:hAnsi="Arial" w:cs="Arial"/>
          <w:color w:val="000000" w:themeColor="text1"/>
          <w:sz w:val="20"/>
          <w:szCs w:val="20"/>
        </w:rPr>
        <w:t>O'Leary CI, Evans BJW. Double-masked randomised placebo-controlled trial of the effect of prismatic corrections on rate of reading and the relationship with symptoms. Ophthalmic and Physiological Optics. 2006;</w:t>
      </w:r>
      <w:r w:rsidRPr="00E6261F">
        <w:rPr>
          <w:rFonts w:ascii="Arial" w:hAnsi="Arial" w:cs="Arial"/>
          <w:b/>
          <w:bCs/>
          <w:color w:val="000000" w:themeColor="text1"/>
          <w:sz w:val="20"/>
          <w:szCs w:val="20"/>
        </w:rPr>
        <w:t>26</w:t>
      </w:r>
      <w:r w:rsidRPr="00E6261F">
        <w:rPr>
          <w:rFonts w:ascii="Arial" w:hAnsi="Arial" w:cs="Arial"/>
          <w:color w:val="000000" w:themeColor="text1"/>
          <w:sz w:val="20"/>
          <w:szCs w:val="20"/>
        </w:rPr>
        <w:t xml:space="preserve">(6):555-65. </w:t>
      </w:r>
    </w:p>
    <w:p w14:paraId="19B0926D" w14:textId="77777777" w:rsidR="004E2E37" w:rsidRPr="00E6261F" w:rsidRDefault="004E2E37" w:rsidP="004E2E37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Jenkins TC, Abd</w:t>
      </w:r>
      <w:r w:rsidRPr="00E6261F">
        <w:rPr>
          <w:rFonts w:ascii="Cambria Math" w:eastAsia="Times New Roman" w:hAnsi="Cambria Math" w:cs="Cambria Math"/>
          <w:color w:val="000000" w:themeColor="text1"/>
          <w:sz w:val="20"/>
          <w:szCs w:val="20"/>
          <w:shd w:val="clear" w:color="auto" w:fill="FFFFFF"/>
        </w:rPr>
        <w:t>‐</w:t>
      </w:r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Manan F, Pardhan S. Fixation disparity and near visual acuity. Ophthalmic and Physiological Optics. 1995;</w:t>
      </w:r>
      <w:r w:rsidRPr="00E6261F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</w:rPr>
        <w:t>15</w:t>
      </w:r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(1):53-8.</w:t>
      </w:r>
    </w:p>
    <w:p w14:paraId="25EE25A8" w14:textId="77777777" w:rsidR="004E2E37" w:rsidRPr="00E6261F" w:rsidRDefault="004E2E37" w:rsidP="004E2E37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Jenkins TC, Abd MF, Pardhan S. The effect of artificially created fixation disparity on near visual acuity. Optom. Vis. Sci. 1994</w:t>
      </w:r>
      <w:proofErr w:type="gramStart"/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;71:647</w:t>
      </w:r>
      <w:proofErr w:type="gramEnd"/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-8.</w:t>
      </w:r>
    </w:p>
    <w:p w14:paraId="3C277180" w14:textId="77777777" w:rsidR="004E2E37" w:rsidRPr="00E6261F" w:rsidRDefault="004E2E37" w:rsidP="004E2E37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Jenkins TC, Abd</w:t>
      </w:r>
      <w:r w:rsidRPr="00E6261F">
        <w:rPr>
          <w:rFonts w:ascii="Cambria Math" w:eastAsia="Times New Roman" w:hAnsi="Cambria Math" w:cs="Cambria Math"/>
          <w:color w:val="000000" w:themeColor="text1"/>
          <w:sz w:val="20"/>
          <w:szCs w:val="20"/>
          <w:shd w:val="clear" w:color="auto" w:fill="FFFFFF"/>
        </w:rPr>
        <w:t>‐</w:t>
      </w:r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Manan F, Pardhan S, Murgatroyd RN. Effect of fixation disparity on distance binocular visual acuity. Ophthalmic and Physiological Optics. 1994;</w:t>
      </w:r>
      <w:r w:rsidRPr="00E6261F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</w:rPr>
        <w:t>14</w:t>
      </w:r>
      <w:r w:rsidRPr="00E6261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(2):129-31.</w:t>
      </w:r>
    </w:p>
    <w:p w14:paraId="503A22AD" w14:textId="77777777" w:rsidR="00412EDC" w:rsidRPr="00E6261F" w:rsidRDefault="00412EDC" w:rsidP="0002687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412EDC" w:rsidRPr="00E6261F" w:rsidSect="00D339E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56A52"/>
    <w:multiLevelType w:val="hybridMultilevel"/>
    <w:tmpl w:val="59629E4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B480408"/>
    <w:multiLevelType w:val="hybridMultilevel"/>
    <w:tmpl w:val="B946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F02E0"/>
    <w:multiLevelType w:val="multilevel"/>
    <w:tmpl w:val="F6A6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72DD8"/>
    <w:multiLevelType w:val="multilevel"/>
    <w:tmpl w:val="E47C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02620"/>
    <w:multiLevelType w:val="hybridMultilevel"/>
    <w:tmpl w:val="54C8D210"/>
    <w:lvl w:ilvl="0" w:tplc="197ABFC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B5EED"/>
    <w:multiLevelType w:val="multilevel"/>
    <w:tmpl w:val="C6C6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FC0066"/>
    <w:multiLevelType w:val="hybridMultilevel"/>
    <w:tmpl w:val="131218A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8563C"/>
    <w:multiLevelType w:val="multilevel"/>
    <w:tmpl w:val="0C1C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D39AF"/>
    <w:multiLevelType w:val="multilevel"/>
    <w:tmpl w:val="63B0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A10B4B"/>
    <w:multiLevelType w:val="multilevel"/>
    <w:tmpl w:val="BFBC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085DDE"/>
    <w:multiLevelType w:val="multilevel"/>
    <w:tmpl w:val="B6A4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173EFD"/>
    <w:multiLevelType w:val="multilevel"/>
    <w:tmpl w:val="77AE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41FB1"/>
    <w:multiLevelType w:val="multilevel"/>
    <w:tmpl w:val="F7CC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77782C"/>
    <w:multiLevelType w:val="multilevel"/>
    <w:tmpl w:val="F620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AF1FE3"/>
    <w:multiLevelType w:val="hybridMultilevel"/>
    <w:tmpl w:val="1B6E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11923"/>
    <w:multiLevelType w:val="multilevel"/>
    <w:tmpl w:val="03FE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DD61C3"/>
    <w:multiLevelType w:val="multilevel"/>
    <w:tmpl w:val="A7B68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E13D53"/>
    <w:multiLevelType w:val="hybridMultilevel"/>
    <w:tmpl w:val="B0D8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24E94"/>
    <w:multiLevelType w:val="hybridMultilevel"/>
    <w:tmpl w:val="B35C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F2BC9"/>
    <w:multiLevelType w:val="hybridMultilevel"/>
    <w:tmpl w:val="2082713C"/>
    <w:lvl w:ilvl="0" w:tplc="638A1DE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67816"/>
    <w:multiLevelType w:val="multilevel"/>
    <w:tmpl w:val="8CF2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BE0DAA"/>
    <w:multiLevelType w:val="multilevel"/>
    <w:tmpl w:val="D304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724406"/>
    <w:multiLevelType w:val="multilevel"/>
    <w:tmpl w:val="CA302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3073A4"/>
    <w:multiLevelType w:val="multilevel"/>
    <w:tmpl w:val="396A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9326A2"/>
    <w:multiLevelType w:val="hybridMultilevel"/>
    <w:tmpl w:val="B642A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A190A"/>
    <w:multiLevelType w:val="hybridMultilevel"/>
    <w:tmpl w:val="B50A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E680D"/>
    <w:multiLevelType w:val="multilevel"/>
    <w:tmpl w:val="F64E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78497B"/>
    <w:multiLevelType w:val="multilevel"/>
    <w:tmpl w:val="4FC6D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E2279A"/>
    <w:multiLevelType w:val="multilevel"/>
    <w:tmpl w:val="CEEC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735C36"/>
    <w:multiLevelType w:val="hybridMultilevel"/>
    <w:tmpl w:val="E4925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66CF3"/>
    <w:multiLevelType w:val="hybridMultilevel"/>
    <w:tmpl w:val="DE7A8A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E264C"/>
    <w:multiLevelType w:val="multilevel"/>
    <w:tmpl w:val="D5AE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D93EFB"/>
    <w:multiLevelType w:val="multilevel"/>
    <w:tmpl w:val="C0D4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7E5F95"/>
    <w:multiLevelType w:val="hybridMultilevel"/>
    <w:tmpl w:val="23E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496"/>
    <w:multiLevelType w:val="multilevel"/>
    <w:tmpl w:val="F208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0A3A6F"/>
    <w:multiLevelType w:val="hybridMultilevel"/>
    <w:tmpl w:val="CA48D52A"/>
    <w:lvl w:ilvl="0" w:tplc="3A0A23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4"/>
  </w:num>
  <w:num w:numId="4">
    <w:abstractNumId w:val="18"/>
  </w:num>
  <w:num w:numId="5">
    <w:abstractNumId w:val="29"/>
  </w:num>
  <w:num w:numId="6">
    <w:abstractNumId w:val="17"/>
  </w:num>
  <w:num w:numId="7">
    <w:abstractNumId w:val="33"/>
  </w:num>
  <w:num w:numId="8">
    <w:abstractNumId w:val="4"/>
  </w:num>
  <w:num w:numId="9">
    <w:abstractNumId w:val="30"/>
  </w:num>
  <w:num w:numId="10">
    <w:abstractNumId w:val="19"/>
  </w:num>
  <w:num w:numId="11">
    <w:abstractNumId w:val="1"/>
  </w:num>
  <w:num w:numId="12">
    <w:abstractNumId w:val="6"/>
  </w:num>
  <w:num w:numId="13">
    <w:abstractNumId w:val="26"/>
  </w:num>
  <w:num w:numId="14">
    <w:abstractNumId w:val="12"/>
  </w:num>
  <w:num w:numId="15">
    <w:abstractNumId w:val="22"/>
  </w:num>
  <w:num w:numId="16">
    <w:abstractNumId w:val="11"/>
  </w:num>
  <w:num w:numId="17">
    <w:abstractNumId w:val="28"/>
  </w:num>
  <w:num w:numId="18">
    <w:abstractNumId w:val="9"/>
  </w:num>
  <w:num w:numId="19">
    <w:abstractNumId w:val="32"/>
  </w:num>
  <w:num w:numId="20">
    <w:abstractNumId w:val="13"/>
  </w:num>
  <w:num w:numId="21">
    <w:abstractNumId w:val="27"/>
  </w:num>
  <w:num w:numId="22">
    <w:abstractNumId w:val="15"/>
  </w:num>
  <w:num w:numId="23">
    <w:abstractNumId w:val="7"/>
  </w:num>
  <w:num w:numId="24">
    <w:abstractNumId w:val="31"/>
  </w:num>
  <w:num w:numId="25">
    <w:abstractNumId w:val="16"/>
  </w:num>
  <w:num w:numId="26">
    <w:abstractNumId w:val="10"/>
  </w:num>
  <w:num w:numId="27">
    <w:abstractNumId w:val="5"/>
  </w:num>
  <w:num w:numId="28">
    <w:abstractNumId w:val="2"/>
  </w:num>
  <w:num w:numId="29">
    <w:abstractNumId w:val="20"/>
  </w:num>
  <w:num w:numId="30">
    <w:abstractNumId w:val="8"/>
  </w:num>
  <w:num w:numId="31">
    <w:abstractNumId w:val="23"/>
  </w:num>
  <w:num w:numId="32">
    <w:abstractNumId w:val="3"/>
  </w:num>
  <w:num w:numId="33">
    <w:abstractNumId w:val="21"/>
  </w:num>
  <w:num w:numId="34">
    <w:abstractNumId w:val="34"/>
  </w:num>
  <w:num w:numId="35">
    <w:abstractNumId w:val="2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D81750"/>
    <w:rsid w:val="00005394"/>
    <w:rsid w:val="00015674"/>
    <w:rsid w:val="000164EA"/>
    <w:rsid w:val="000242E0"/>
    <w:rsid w:val="0002687A"/>
    <w:rsid w:val="00044BB3"/>
    <w:rsid w:val="00047D6B"/>
    <w:rsid w:val="00050D03"/>
    <w:rsid w:val="00051382"/>
    <w:rsid w:val="00052E7F"/>
    <w:rsid w:val="0005507D"/>
    <w:rsid w:val="00056D06"/>
    <w:rsid w:val="00057133"/>
    <w:rsid w:val="00065024"/>
    <w:rsid w:val="0006738E"/>
    <w:rsid w:val="000705A6"/>
    <w:rsid w:val="0008272B"/>
    <w:rsid w:val="0009696B"/>
    <w:rsid w:val="00097ACC"/>
    <w:rsid w:val="000A005E"/>
    <w:rsid w:val="000A7936"/>
    <w:rsid w:val="000B4872"/>
    <w:rsid w:val="000B6BE3"/>
    <w:rsid w:val="000B7759"/>
    <w:rsid w:val="000C200C"/>
    <w:rsid w:val="000D1B87"/>
    <w:rsid w:val="000D2A43"/>
    <w:rsid w:val="000E5A3E"/>
    <w:rsid w:val="000F0425"/>
    <w:rsid w:val="000F5A8A"/>
    <w:rsid w:val="000F70BC"/>
    <w:rsid w:val="001006B0"/>
    <w:rsid w:val="00104625"/>
    <w:rsid w:val="001131D5"/>
    <w:rsid w:val="00115CAE"/>
    <w:rsid w:val="00124125"/>
    <w:rsid w:val="001324EE"/>
    <w:rsid w:val="00150C8D"/>
    <w:rsid w:val="001549D7"/>
    <w:rsid w:val="001607E4"/>
    <w:rsid w:val="00163A35"/>
    <w:rsid w:val="001643CD"/>
    <w:rsid w:val="0017325C"/>
    <w:rsid w:val="00177BC1"/>
    <w:rsid w:val="00183272"/>
    <w:rsid w:val="00185B7A"/>
    <w:rsid w:val="001934DC"/>
    <w:rsid w:val="0019647B"/>
    <w:rsid w:val="00196916"/>
    <w:rsid w:val="001A42D7"/>
    <w:rsid w:val="001A54EC"/>
    <w:rsid w:val="001B42A6"/>
    <w:rsid w:val="001B5983"/>
    <w:rsid w:val="001C37DF"/>
    <w:rsid w:val="001D15C2"/>
    <w:rsid w:val="001D4C8C"/>
    <w:rsid w:val="001D5907"/>
    <w:rsid w:val="001E0A1E"/>
    <w:rsid w:val="001E2E9E"/>
    <w:rsid w:val="001E51EE"/>
    <w:rsid w:val="001F65A4"/>
    <w:rsid w:val="00204FAB"/>
    <w:rsid w:val="0020561E"/>
    <w:rsid w:val="002106D6"/>
    <w:rsid w:val="00214C2A"/>
    <w:rsid w:val="0021634A"/>
    <w:rsid w:val="00221512"/>
    <w:rsid w:val="00225C98"/>
    <w:rsid w:val="00240CD4"/>
    <w:rsid w:val="00244F61"/>
    <w:rsid w:val="002523BA"/>
    <w:rsid w:val="00252837"/>
    <w:rsid w:val="00260221"/>
    <w:rsid w:val="00270778"/>
    <w:rsid w:val="00276DAF"/>
    <w:rsid w:val="00287716"/>
    <w:rsid w:val="002930FE"/>
    <w:rsid w:val="00296D26"/>
    <w:rsid w:val="002977F3"/>
    <w:rsid w:val="002A0D94"/>
    <w:rsid w:val="002A2033"/>
    <w:rsid w:val="002A33DE"/>
    <w:rsid w:val="002A7B73"/>
    <w:rsid w:val="002B1AF1"/>
    <w:rsid w:val="002B38EF"/>
    <w:rsid w:val="002B50CB"/>
    <w:rsid w:val="002B6BEA"/>
    <w:rsid w:val="002C1F94"/>
    <w:rsid w:val="002C67B5"/>
    <w:rsid w:val="002D0F60"/>
    <w:rsid w:val="002D3144"/>
    <w:rsid w:val="002E18EA"/>
    <w:rsid w:val="002F02B1"/>
    <w:rsid w:val="002F21EE"/>
    <w:rsid w:val="00310DEC"/>
    <w:rsid w:val="00312447"/>
    <w:rsid w:val="00320CCB"/>
    <w:rsid w:val="00342E63"/>
    <w:rsid w:val="00346F4E"/>
    <w:rsid w:val="00347B1F"/>
    <w:rsid w:val="003508F0"/>
    <w:rsid w:val="00352A43"/>
    <w:rsid w:val="00360893"/>
    <w:rsid w:val="00363CC7"/>
    <w:rsid w:val="003649AE"/>
    <w:rsid w:val="003823E0"/>
    <w:rsid w:val="00383A5C"/>
    <w:rsid w:val="003849A4"/>
    <w:rsid w:val="00385886"/>
    <w:rsid w:val="00391676"/>
    <w:rsid w:val="003A6C26"/>
    <w:rsid w:val="003B582B"/>
    <w:rsid w:val="003D0703"/>
    <w:rsid w:val="003E66F6"/>
    <w:rsid w:val="003F003F"/>
    <w:rsid w:val="003F12DD"/>
    <w:rsid w:val="003F5ED1"/>
    <w:rsid w:val="003F7B61"/>
    <w:rsid w:val="00402E3C"/>
    <w:rsid w:val="00406849"/>
    <w:rsid w:val="00412E8C"/>
    <w:rsid w:val="00412EDC"/>
    <w:rsid w:val="00417779"/>
    <w:rsid w:val="00417B5E"/>
    <w:rsid w:val="0043078B"/>
    <w:rsid w:val="00445DF2"/>
    <w:rsid w:val="00445E0F"/>
    <w:rsid w:val="00446659"/>
    <w:rsid w:val="00451CBB"/>
    <w:rsid w:val="0045387C"/>
    <w:rsid w:val="00457375"/>
    <w:rsid w:val="0046340A"/>
    <w:rsid w:val="0047562A"/>
    <w:rsid w:val="0049230F"/>
    <w:rsid w:val="00494166"/>
    <w:rsid w:val="00496A76"/>
    <w:rsid w:val="00497AAB"/>
    <w:rsid w:val="004A01C6"/>
    <w:rsid w:val="004A03A7"/>
    <w:rsid w:val="004B024B"/>
    <w:rsid w:val="004B2C4C"/>
    <w:rsid w:val="004B7A1D"/>
    <w:rsid w:val="004C565A"/>
    <w:rsid w:val="004D22BC"/>
    <w:rsid w:val="004D261A"/>
    <w:rsid w:val="004E2E37"/>
    <w:rsid w:val="004E37EE"/>
    <w:rsid w:val="004E5323"/>
    <w:rsid w:val="004E669B"/>
    <w:rsid w:val="004F1114"/>
    <w:rsid w:val="004F49AF"/>
    <w:rsid w:val="00500578"/>
    <w:rsid w:val="00502531"/>
    <w:rsid w:val="0051520F"/>
    <w:rsid w:val="00522C1C"/>
    <w:rsid w:val="00530759"/>
    <w:rsid w:val="00533E38"/>
    <w:rsid w:val="00537933"/>
    <w:rsid w:val="00552575"/>
    <w:rsid w:val="00563450"/>
    <w:rsid w:val="005645AC"/>
    <w:rsid w:val="00565FCF"/>
    <w:rsid w:val="00575C4F"/>
    <w:rsid w:val="005800B2"/>
    <w:rsid w:val="005849D5"/>
    <w:rsid w:val="0058656E"/>
    <w:rsid w:val="0059043A"/>
    <w:rsid w:val="00592B09"/>
    <w:rsid w:val="00592DA3"/>
    <w:rsid w:val="00597666"/>
    <w:rsid w:val="005A4AC1"/>
    <w:rsid w:val="005A5555"/>
    <w:rsid w:val="005B2007"/>
    <w:rsid w:val="005C0A28"/>
    <w:rsid w:val="005C4F4B"/>
    <w:rsid w:val="005C6032"/>
    <w:rsid w:val="005D2A5D"/>
    <w:rsid w:val="005D5BC1"/>
    <w:rsid w:val="005E3E10"/>
    <w:rsid w:val="005F6021"/>
    <w:rsid w:val="006029DA"/>
    <w:rsid w:val="00617DA5"/>
    <w:rsid w:val="00622F5E"/>
    <w:rsid w:val="00626D75"/>
    <w:rsid w:val="006271DB"/>
    <w:rsid w:val="00637B7E"/>
    <w:rsid w:val="00644AA4"/>
    <w:rsid w:val="006519F9"/>
    <w:rsid w:val="006522C4"/>
    <w:rsid w:val="006533BE"/>
    <w:rsid w:val="006602A8"/>
    <w:rsid w:val="00667C7A"/>
    <w:rsid w:val="00683D64"/>
    <w:rsid w:val="00693971"/>
    <w:rsid w:val="00694028"/>
    <w:rsid w:val="006A5D40"/>
    <w:rsid w:val="006B0D14"/>
    <w:rsid w:val="006B5123"/>
    <w:rsid w:val="006C188B"/>
    <w:rsid w:val="006C417A"/>
    <w:rsid w:val="006D7FF9"/>
    <w:rsid w:val="006E2FFF"/>
    <w:rsid w:val="006E7DBE"/>
    <w:rsid w:val="00700E7F"/>
    <w:rsid w:val="007041E6"/>
    <w:rsid w:val="0070426B"/>
    <w:rsid w:val="007110EF"/>
    <w:rsid w:val="00716D04"/>
    <w:rsid w:val="0072131C"/>
    <w:rsid w:val="00727AAF"/>
    <w:rsid w:val="00727D67"/>
    <w:rsid w:val="00734351"/>
    <w:rsid w:val="00737041"/>
    <w:rsid w:val="00747B34"/>
    <w:rsid w:val="00765B9F"/>
    <w:rsid w:val="00770982"/>
    <w:rsid w:val="0077532B"/>
    <w:rsid w:val="007A70F5"/>
    <w:rsid w:val="007A75C9"/>
    <w:rsid w:val="007B0D81"/>
    <w:rsid w:val="007B7234"/>
    <w:rsid w:val="007C0794"/>
    <w:rsid w:val="007C5170"/>
    <w:rsid w:val="007C76DC"/>
    <w:rsid w:val="007E2921"/>
    <w:rsid w:val="007E3397"/>
    <w:rsid w:val="007F02D1"/>
    <w:rsid w:val="008108E6"/>
    <w:rsid w:val="008135BD"/>
    <w:rsid w:val="0083051C"/>
    <w:rsid w:val="0084226D"/>
    <w:rsid w:val="00851C51"/>
    <w:rsid w:val="008543A6"/>
    <w:rsid w:val="00857209"/>
    <w:rsid w:val="00857BD7"/>
    <w:rsid w:val="00864CE8"/>
    <w:rsid w:val="00865135"/>
    <w:rsid w:val="008708CD"/>
    <w:rsid w:val="00875208"/>
    <w:rsid w:val="00876FEB"/>
    <w:rsid w:val="00880EA0"/>
    <w:rsid w:val="00882D00"/>
    <w:rsid w:val="0089162C"/>
    <w:rsid w:val="008A1231"/>
    <w:rsid w:val="008B182D"/>
    <w:rsid w:val="008B34B9"/>
    <w:rsid w:val="008B6895"/>
    <w:rsid w:val="008C0C03"/>
    <w:rsid w:val="008D01C5"/>
    <w:rsid w:val="008F372F"/>
    <w:rsid w:val="008F3BAE"/>
    <w:rsid w:val="008F5E4A"/>
    <w:rsid w:val="008F6B73"/>
    <w:rsid w:val="00914FFA"/>
    <w:rsid w:val="00915051"/>
    <w:rsid w:val="0093616D"/>
    <w:rsid w:val="00943EA6"/>
    <w:rsid w:val="009473E5"/>
    <w:rsid w:val="00950939"/>
    <w:rsid w:val="0095194C"/>
    <w:rsid w:val="00952F81"/>
    <w:rsid w:val="0096023C"/>
    <w:rsid w:val="0097538A"/>
    <w:rsid w:val="00980A19"/>
    <w:rsid w:val="00985E16"/>
    <w:rsid w:val="00990A79"/>
    <w:rsid w:val="00992850"/>
    <w:rsid w:val="0099318F"/>
    <w:rsid w:val="00995EBA"/>
    <w:rsid w:val="00996140"/>
    <w:rsid w:val="009A065B"/>
    <w:rsid w:val="009A1F8B"/>
    <w:rsid w:val="009A408E"/>
    <w:rsid w:val="009B1515"/>
    <w:rsid w:val="009B2EC1"/>
    <w:rsid w:val="009B3B6E"/>
    <w:rsid w:val="009B4024"/>
    <w:rsid w:val="009C0851"/>
    <w:rsid w:val="009C46D7"/>
    <w:rsid w:val="009E3504"/>
    <w:rsid w:val="009E6848"/>
    <w:rsid w:val="009F21A7"/>
    <w:rsid w:val="009F3959"/>
    <w:rsid w:val="009F6AD7"/>
    <w:rsid w:val="00A02268"/>
    <w:rsid w:val="00A032CC"/>
    <w:rsid w:val="00A04A96"/>
    <w:rsid w:val="00A16130"/>
    <w:rsid w:val="00A20F7E"/>
    <w:rsid w:val="00A21D27"/>
    <w:rsid w:val="00A22F34"/>
    <w:rsid w:val="00A233DF"/>
    <w:rsid w:val="00A24519"/>
    <w:rsid w:val="00A27761"/>
    <w:rsid w:val="00A31D1C"/>
    <w:rsid w:val="00A35A40"/>
    <w:rsid w:val="00A369D8"/>
    <w:rsid w:val="00A42364"/>
    <w:rsid w:val="00A45A64"/>
    <w:rsid w:val="00A505B9"/>
    <w:rsid w:val="00A52345"/>
    <w:rsid w:val="00A52F2D"/>
    <w:rsid w:val="00A55C40"/>
    <w:rsid w:val="00A61F99"/>
    <w:rsid w:val="00A65CF8"/>
    <w:rsid w:val="00A932AC"/>
    <w:rsid w:val="00A95205"/>
    <w:rsid w:val="00AA1133"/>
    <w:rsid w:val="00AA778F"/>
    <w:rsid w:val="00AB7AA6"/>
    <w:rsid w:val="00AD03F9"/>
    <w:rsid w:val="00AF5657"/>
    <w:rsid w:val="00AF75FC"/>
    <w:rsid w:val="00B06C83"/>
    <w:rsid w:val="00B17ECB"/>
    <w:rsid w:val="00B212A1"/>
    <w:rsid w:val="00B24910"/>
    <w:rsid w:val="00B266D7"/>
    <w:rsid w:val="00B341EE"/>
    <w:rsid w:val="00B46A08"/>
    <w:rsid w:val="00B4755F"/>
    <w:rsid w:val="00B700C6"/>
    <w:rsid w:val="00B7410B"/>
    <w:rsid w:val="00B7689E"/>
    <w:rsid w:val="00B83EB0"/>
    <w:rsid w:val="00B84C0E"/>
    <w:rsid w:val="00B86453"/>
    <w:rsid w:val="00B90C9D"/>
    <w:rsid w:val="00B946FE"/>
    <w:rsid w:val="00B94E23"/>
    <w:rsid w:val="00B950E3"/>
    <w:rsid w:val="00B96326"/>
    <w:rsid w:val="00B97662"/>
    <w:rsid w:val="00BA3A4A"/>
    <w:rsid w:val="00BA7300"/>
    <w:rsid w:val="00BB2858"/>
    <w:rsid w:val="00BB5436"/>
    <w:rsid w:val="00BC298A"/>
    <w:rsid w:val="00BC7EBC"/>
    <w:rsid w:val="00BD2FBA"/>
    <w:rsid w:val="00BE7F42"/>
    <w:rsid w:val="00BF2C0A"/>
    <w:rsid w:val="00BF3450"/>
    <w:rsid w:val="00C0091E"/>
    <w:rsid w:val="00C00A8A"/>
    <w:rsid w:val="00C054B0"/>
    <w:rsid w:val="00C0551D"/>
    <w:rsid w:val="00C1559B"/>
    <w:rsid w:val="00C17FE7"/>
    <w:rsid w:val="00C210F4"/>
    <w:rsid w:val="00C22C67"/>
    <w:rsid w:val="00C33D6E"/>
    <w:rsid w:val="00C36A2F"/>
    <w:rsid w:val="00C50F08"/>
    <w:rsid w:val="00C54B0C"/>
    <w:rsid w:val="00C554A1"/>
    <w:rsid w:val="00C55E25"/>
    <w:rsid w:val="00C80A49"/>
    <w:rsid w:val="00C91CEC"/>
    <w:rsid w:val="00C97C9D"/>
    <w:rsid w:val="00CA0E21"/>
    <w:rsid w:val="00CB279E"/>
    <w:rsid w:val="00CC4E74"/>
    <w:rsid w:val="00CD13F6"/>
    <w:rsid w:val="00CD5E88"/>
    <w:rsid w:val="00CE46D6"/>
    <w:rsid w:val="00CF465A"/>
    <w:rsid w:val="00D07C05"/>
    <w:rsid w:val="00D12C71"/>
    <w:rsid w:val="00D212BA"/>
    <w:rsid w:val="00D23862"/>
    <w:rsid w:val="00D242C1"/>
    <w:rsid w:val="00D33987"/>
    <w:rsid w:val="00D339E3"/>
    <w:rsid w:val="00D37C8D"/>
    <w:rsid w:val="00D42122"/>
    <w:rsid w:val="00D46ECE"/>
    <w:rsid w:val="00D61229"/>
    <w:rsid w:val="00D62F9C"/>
    <w:rsid w:val="00D73BC5"/>
    <w:rsid w:val="00D803A3"/>
    <w:rsid w:val="00D81750"/>
    <w:rsid w:val="00D90481"/>
    <w:rsid w:val="00D91F3E"/>
    <w:rsid w:val="00D96FAF"/>
    <w:rsid w:val="00DA5B60"/>
    <w:rsid w:val="00DA6F0B"/>
    <w:rsid w:val="00DB1848"/>
    <w:rsid w:val="00DB296B"/>
    <w:rsid w:val="00DB7D8D"/>
    <w:rsid w:val="00DD1404"/>
    <w:rsid w:val="00DD1470"/>
    <w:rsid w:val="00DD424A"/>
    <w:rsid w:val="00DD7423"/>
    <w:rsid w:val="00E001BC"/>
    <w:rsid w:val="00E02703"/>
    <w:rsid w:val="00E25FB2"/>
    <w:rsid w:val="00E27100"/>
    <w:rsid w:val="00E3006D"/>
    <w:rsid w:val="00E35FCF"/>
    <w:rsid w:val="00E37F90"/>
    <w:rsid w:val="00E4169C"/>
    <w:rsid w:val="00E6261F"/>
    <w:rsid w:val="00E708C4"/>
    <w:rsid w:val="00E8230D"/>
    <w:rsid w:val="00E9560B"/>
    <w:rsid w:val="00E95CC0"/>
    <w:rsid w:val="00E96053"/>
    <w:rsid w:val="00EA03C1"/>
    <w:rsid w:val="00EB12E2"/>
    <w:rsid w:val="00EB2E7E"/>
    <w:rsid w:val="00ED0942"/>
    <w:rsid w:val="00ED376C"/>
    <w:rsid w:val="00ED450F"/>
    <w:rsid w:val="00ED534B"/>
    <w:rsid w:val="00EE3877"/>
    <w:rsid w:val="00EE4A0F"/>
    <w:rsid w:val="00EE576C"/>
    <w:rsid w:val="00EE586D"/>
    <w:rsid w:val="00EE673A"/>
    <w:rsid w:val="00EE70B9"/>
    <w:rsid w:val="00EF19E0"/>
    <w:rsid w:val="00F03A4B"/>
    <w:rsid w:val="00F063A4"/>
    <w:rsid w:val="00F12372"/>
    <w:rsid w:val="00F13127"/>
    <w:rsid w:val="00F14107"/>
    <w:rsid w:val="00F30D74"/>
    <w:rsid w:val="00F35F00"/>
    <w:rsid w:val="00F377C7"/>
    <w:rsid w:val="00F57D45"/>
    <w:rsid w:val="00F7351F"/>
    <w:rsid w:val="00F8169B"/>
    <w:rsid w:val="00F94B22"/>
    <w:rsid w:val="00F962B3"/>
    <w:rsid w:val="00FA72D1"/>
    <w:rsid w:val="00FB5C07"/>
    <w:rsid w:val="00FB6BC3"/>
    <w:rsid w:val="00FC2588"/>
    <w:rsid w:val="00FC324E"/>
    <w:rsid w:val="00FC33A4"/>
    <w:rsid w:val="00FC7BDC"/>
    <w:rsid w:val="00FD4958"/>
    <w:rsid w:val="00FE0005"/>
    <w:rsid w:val="00FE0B2B"/>
    <w:rsid w:val="00FE21CE"/>
    <w:rsid w:val="00FE56B9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942F"/>
  <w14:defaultImageDpi w14:val="32767"/>
  <w15:docId w15:val="{A3FCFE52-7BFF-3648-B5A5-50FEB7A9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5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44F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81750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D81750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FE0B2B"/>
    <w:pPr>
      <w:spacing w:after="0"/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0B2B"/>
    <w:rPr>
      <w:rFonts w:ascii="Calibri" w:hAnsi="Calibri" w:cs="Calibri"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E0B2B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E0B2B"/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E0B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E0B2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DA5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1">
    <w:name w:val="Grid Table 1 Light - Accent 21"/>
    <w:basedOn w:val="TableNormal"/>
    <w:uiPriority w:val="46"/>
    <w:rsid w:val="00F7351F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F7351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2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E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00C6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637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37B7E"/>
    <w:rPr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451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D23862"/>
  </w:style>
  <w:style w:type="character" w:customStyle="1" w:styleId="Heading1Char">
    <w:name w:val="Heading 1 Char"/>
    <w:basedOn w:val="DefaultParagraphFont"/>
    <w:link w:val="Heading1"/>
    <w:uiPriority w:val="9"/>
    <w:rsid w:val="00244F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lmarticle-title">
    <w:name w:val="nlm_article-title"/>
    <w:basedOn w:val="DefaultParagraphFont"/>
    <w:rsid w:val="0024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3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9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9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2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3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Ketan Parmar</dc:creator>
  <cp:lastModifiedBy>Bandana Sharma</cp:lastModifiedBy>
  <cp:revision>2</cp:revision>
  <dcterms:created xsi:type="dcterms:W3CDTF">2019-04-24T06:55:00Z</dcterms:created>
  <dcterms:modified xsi:type="dcterms:W3CDTF">2019-04-24T06:55:00Z</dcterms:modified>
</cp:coreProperties>
</file>