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DEF" w:rsidRPr="006C5872" w:rsidRDefault="006C5872" w:rsidP="00666DEF">
      <w:pPr>
        <w:spacing w:line="360" w:lineRule="auto"/>
        <w:jc w:val="both"/>
        <w:rPr>
          <w:rFonts w:ascii="Times New Roman" w:hAnsi="Times New Roman" w:cs="Times New Roman"/>
          <w:b/>
          <w:sz w:val="24"/>
          <w:szCs w:val="24"/>
          <w:lang w:val="en-US"/>
        </w:rPr>
      </w:pPr>
      <w:bookmarkStart w:id="0" w:name="_GoBack"/>
      <w:bookmarkEnd w:id="0"/>
      <w:r w:rsidRPr="006C5872">
        <w:rPr>
          <w:rFonts w:ascii="Times New Roman" w:hAnsi="Times New Roman" w:cs="Times New Roman"/>
          <w:b/>
          <w:sz w:val="24"/>
          <w:szCs w:val="24"/>
          <w:lang w:val="en-US"/>
        </w:rPr>
        <w:t>Supplementary material</w:t>
      </w:r>
      <w:r w:rsidR="0072384A">
        <w:rPr>
          <w:rFonts w:ascii="Times New Roman" w:hAnsi="Times New Roman" w:cs="Times New Roman"/>
          <w:b/>
          <w:sz w:val="24"/>
          <w:szCs w:val="24"/>
          <w:lang w:val="en-US"/>
        </w:rPr>
        <w:t>:</w:t>
      </w:r>
      <w:r w:rsidRPr="006C5872">
        <w:rPr>
          <w:rFonts w:ascii="Times New Roman" w:hAnsi="Times New Roman" w:cs="Times New Roman"/>
          <w:b/>
          <w:sz w:val="24"/>
          <w:szCs w:val="24"/>
          <w:lang w:val="en-US"/>
        </w:rPr>
        <w:t xml:space="preserve"> </w:t>
      </w:r>
      <w:r w:rsidR="00666DEF" w:rsidRPr="006C5872">
        <w:rPr>
          <w:rFonts w:ascii="Times New Roman" w:hAnsi="Times New Roman" w:cs="Times New Roman"/>
          <w:b/>
          <w:sz w:val="24"/>
          <w:szCs w:val="24"/>
          <w:lang w:val="en-US"/>
        </w:rPr>
        <w:t>Predictor models for each diagnostic category</w:t>
      </w:r>
    </w:p>
    <w:p w:rsidR="006C5872" w:rsidRDefault="006C5872" w:rsidP="006C5872">
      <w:pPr>
        <w:spacing w:line="360" w:lineRule="auto"/>
        <w:jc w:val="both"/>
        <w:rPr>
          <w:rFonts w:ascii="Times New Roman" w:hAnsi="Times New Roman" w:cs="Times New Roman"/>
          <w:sz w:val="24"/>
          <w:szCs w:val="24"/>
          <w:lang w:val="en-US"/>
        </w:rPr>
      </w:pPr>
      <w:r w:rsidRPr="006C5872">
        <w:rPr>
          <w:rFonts w:ascii="Times New Roman" w:hAnsi="Times New Roman" w:cs="Times New Roman"/>
          <w:sz w:val="24"/>
          <w:szCs w:val="24"/>
          <w:lang w:val="en-US"/>
        </w:rPr>
        <w:t>When we repeated the binary logistic regression analyses in each of the diagnostic groups, we found that the model predicted “response” with higher accuracy. For instance, when applied to the affective disorder group, the model (</w:t>
      </w:r>
      <w:r w:rsidRPr="006C5872">
        <w:rPr>
          <w:rFonts w:ascii="Times New Roman" w:hAnsi="Times New Roman" w:cs="Times New Roman"/>
          <w:i/>
          <w:sz w:val="24"/>
          <w:szCs w:val="24"/>
          <w:lang w:val="en-US"/>
        </w:rPr>
        <w:t>X</w:t>
      </w:r>
      <w:r w:rsidRPr="006C5872">
        <w:rPr>
          <w:rFonts w:ascii="Times New Roman" w:hAnsi="Times New Roman" w:cs="Times New Roman"/>
          <w:i/>
          <w:sz w:val="24"/>
          <w:szCs w:val="24"/>
          <w:vertAlign w:val="superscript"/>
          <w:lang w:val="en-US"/>
        </w:rPr>
        <w:t>2</w:t>
      </w:r>
      <w:r w:rsidRPr="006C5872">
        <w:rPr>
          <w:rFonts w:ascii="Times New Roman" w:hAnsi="Times New Roman" w:cs="Times New Roman"/>
          <w:sz w:val="24"/>
          <w:szCs w:val="24"/>
          <w:lang w:val="en-US"/>
        </w:rPr>
        <w:t>(9)= 38.76, R</w:t>
      </w:r>
      <w:r w:rsidRPr="006C5872">
        <w:rPr>
          <w:rFonts w:ascii="Times New Roman" w:hAnsi="Times New Roman" w:cs="Times New Roman"/>
          <w:sz w:val="24"/>
          <w:szCs w:val="24"/>
          <w:vertAlign w:val="superscript"/>
          <w:lang w:val="en-US"/>
        </w:rPr>
        <w:t>2</w:t>
      </w:r>
      <w:r w:rsidRPr="006C5872">
        <w:rPr>
          <w:rFonts w:ascii="Times New Roman" w:hAnsi="Times New Roman" w:cs="Times New Roman"/>
          <w:sz w:val="24"/>
          <w:szCs w:val="24"/>
          <w:lang w:val="en-US"/>
        </w:rPr>
        <w:t xml:space="preserve"> </w:t>
      </w:r>
      <w:proofErr w:type="spellStart"/>
      <w:r w:rsidRPr="006C5872">
        <w:rPr>
          <w:rFonts w:ascii="Times New Roman" w:hAnsi="Times New Roman" w:cs="Times New Roman"/>
          <w:sz w:val="24"/>
          <w:szCs w:val="24"/>
          <w:lang w:val="en-US"/>
        </w:rPr>
        <w:t>Nalgelkerke</w:t>
      </w:r>
      <w:proofErr w:type="spellEnd"/>
      <w:r w:rsidRPr="006C5872">
        <w:rPr>
          <w:rFonts w:ascii="Times New Roman" w:hAnsi="Times New Roman" w:cs="Times New Roman"/>
          <w:sz w:val="24"/>
          <w:szCs w:val="24"/>
          <w:lang w:val="en-US"/>
        </w:rPr>
        <w:t xml:space="preserve"> = 0.628, p&lt;0.001) predicted “response” with 86.9% accuracy and correctly classified 89.7% of ‘good responder’ patients and 84.4% of those with ‘poor response’; where only baseline BPRS severity </w:t>
      </w:r>
      <w:r w:rsidR="002D4816">
        <w:rPr>
          <w:rFonts w:ascii="Times New Roman" w:hAnsi="Times New Roman" w:cs="Times New Roman"/>
          <w:sz w:val="24"/>
          <w:szCs w:val="24"/>
          <w:lang w:val="en-US"/>
        </w:rPr>
        <w:t xml:space="preserve">emerged </w:t>
      </w:r>
      <w:r w:rsidRPr="006C5872">
        <w:rPr>
          <w:rFonts w:ascii="Times New Roman" w:hAnsi="Times New Roman" w:cs="Times New Roman"/>
          <w:sz w:val="24"/>
          <w:szCs w:val="24"/>
          <w:lang w:val="en-US"/>
        </w:rPr>
        <w:t xml:space="preserve">a significant predictor (OR = 1.423; 95% CI  1.148–1.763; p =0.001). </w:t>
      </w:r>
    </w:p>
    <w:p w:rsidR="006C5872" w:rsidRDefault="006C5872" w:rsidP="006C5872">
      <w:pPr>
        <w:spacing w:line="360" w:lineRule="auto"/>
        <w:jc w:val="both"/>
        <w:rPr>
          <w:rFonts w:ascii="Times New Roman" w:hAnsi="Times New Roman" w:cs="Times New Roman"/>
          <w:sz w:val="24"/>
          <w:szCs w:val="24"/>
          <w:lang w:val="en-US"/>
        </w:rPr>
      </w:pPr>
      <w:r w:rsidRPr="006C5872">
        <w:rPr>
          <w:rFonts w:ascii="Times New Roman" w:hAnsi="Times New Roman" w:cs="Times New Roman"/>
          <w:sz w:val="24"/>
          <w:szCs w:val="24"/>
          <w:lang w:val="en-US"/>
        </w:rPr>
        <w:t>For the bipolar disorder patients’ group, the model (</w:t>
      </w:r>
      <w:r w:rsidRPr="006C5872">
        <w:rPr>
          <w:rFonts w:ascii="Times New Roman" w:hAnsi="Times New Roman" w:cs="Times New Roman"/>
          <w:i/>
          <w:sz w:val="24"/>
          <w:szCs w:val="24"/>
          <w:lang w:val="en-US"/>
        </w:rPr>
        <w:t>X</w:t>
      </w:r>
      <w:r w:rsidRPr="006C5872">
        <w:rPr>
          <w:rFonts w:ascii="Times New Roman" w:hAnsi="Times New Roman" w:cs="Times New Roman"/>
          <w:i/>
          <w:sz w:val="24"/>
          <w:szCs w:val="24"/>
          <w:vertAlign w:val="superscript"/>
          <w:lang w:val="en-US"/>
        </w:rPr>
        <w:t>2</w:t>
      </w:r>
      <w:r w:rsidRPr="006C5872">
        <w:rPr>
          <w:rFonts w:ascii="Times New Roman" w:hAnsi="Times New Roman" w:cs="Times New Roman"/>
          <w:sz w:val="24"/>
          <w:szCs w:val="24"/>
          <w:lang w:val="en-US"/>
        </w:rPr>
        <w:t>(9)= 35.43, R</w:t>
      </w:r>
      <w:r w:rsidRPr="006C5872">
        <w:rPr>
          <w:rFonts w:ascii="Times New Roman" w:hAnsi="Times New Roman" w:cs="Times New Roman"/>
          <w:sz w:val="24"/>
          <w:szCs w:val="24"/>
          <w:vertAlign w:val="superscript"/>
          <w:lang w:val="en-US"/>
        </w:rPr>
        <w:t>2</w:t>
      </w:r>
      <w:r w:rsidRPr="006C5872">
        <w:rPr>
          <w:rFonts w:ascii="Times New Roman" w:hAnsi="Times New Roman" w:cs="Times New Roman"/>
          <w:sz w:val="24"/>
          <w:szCs w:val="24"/>
          <w:lang w:val="en-US"/>
        </w:rPr>
        <w:t xml:space="preserve"> </w:t>
      </w:r>
      <w:proofErr w:type="spellStart"/>
      <w:r w:rsidRPr="006C5872">
        <w:rPr>
          <w:rFonts w:ascii="Times New Roman" w:hAnsi="Times New Roman" w:cs="Times New Roman"/>
          <w:sz w:val="24"/>
          <w:szCs w:val="24"/>
          <w:lang w:val="en-US"/>
        </w:rPr>
        <w:t>Nalgelkerke</w:t>
      </w:r>
      <w:proofErr w:type="spellEnd"/>
      <w:r w:rsidRPr="006C5872">
        <w:rPr>
          <w:rFonts w:ascii="Times New Roman" w:hAnsi="Times New Roman" w:cs="Times New Roman"/>
          <w:sz w:val="24"/>
          <w:szCs w:val="24"/>
          <w:lang w:val="en-US"/>
        </w:rPr>
        <w:t xml:space="preserve"> = 0.561, p&lt;0.001) predicted “response” with 81.5% accuracy and correctly classified 83.9% of ‘good responder’ patients and 79.4% of those with ‘poor response’; and gender (OR = 4.937; 95% CI  0.860–28.339; p =0.073)   and civil status (OR = 0.186; 95% CI  0.028–1.215; p =0.079) maintained a trend towards significance as predictors. </w:t>
      </w:r>
    </w:p>
    <w:p w:rsidR="006C5872" w:rsidRPr="006C5872" w:rsidRDefault="006C5872" w:rsidP="006C587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And finally, </w:t>
      </w:r>
      <w:r w:rsidRPr="006C5872">
        <w:rPr>
          <w:rFonts w:ascii="Times New Roman" w:hAnsi="Times New Roman" w:cs="Times New Roman"/>
          <w:sz w:val="24"/>
          <w:szCs w:val="24"/>
          <w:lang w:val="en-US"/>
        </w:rPr>
        <w:t>for the Non-affective psychosis group, the model (</w:t>
      </w:r>
      <w:r w:rsidRPr="006C5872">
        <w:rPr>
          <w:rFonts w:ascii="Times New Roman" w:hAnsi="Times New Roman" w:cs="Times New Roman"/>
          <w:i/>
          <w:sz w:val="24"/>
          <w:szCs w:val="24"/>
          <w:lang w:val="en-US"/>
        </w:rPr>
        <w:t>X</w:t>
      </w:r>
      <w:r w:rsidRPr="006C5872">
        <w:rPr>
          <w:rFonts w:ascii="Times New Roman" w:hAnsi="Times New Roman" w:cs="Times New Roman"/>
          <w:i/>
          <w:sz w:val="24"/>
          <w:szCs w:val="24"/>
          <w:vertAlign w:val="superscript"/>
          <w:lang w:val="en-US"/>
        </w:rPr>
        <w:t>2</w:t>
      </w:r>
      <w:r w:rsidRPr="006C5872">
        <w:rPr>
          <w:rFonts w:ascii="Times New Roman" w:hAnsi="Times New Roman" w:cs="Times New Roman"/>
          <w:sz w:val="24"/>
          <w:szCs w:val="24"/>
          <w:lang w:val="en-US"/>
        </w:rPr>
        <w:t>(9)= 19.10, R</w:t>
      </w:r>
      <w:r w:rsidRPr="006C5872">
        <w:rPr>
          <w:rFonts w:ascii="Times New Roman" w:hAnsi="Times New Roman" w:cs="Times New Roman"/>
          <w:sz w:val="24"/>
          <w:szCs w:val="24"/>
          <w:vertAlign w:val="superscript"/>
          <w:lang w:val="en-US"/>
        </w:rPr>
        <w:t>2</w:t>
      </w:r>
      <w:r w:rsidRPr="006C5872">
        <w:rPr>
          <w:rFonts w:ascii="Times New Roman" w:hAnsi="Times New Roman" w:cs="Times New Roman"/>
          <w:sz w:val="24"/>
          <w:szCs w:val="24"/>
          <w:lang w:val="en-US"/>
        </w:rPr>
        <w:t xml:space="preserve"> </w:t>
      </w:r>
      <w:proofErr w:type="spellStart"/>
      <w:r w:rsidRPr="006C5872">
        <w:rPr>
          <w:rFonts w:ascii="Times New Roman" w:hAnsi="Times New Roman" w:cs="Times New Roman"/>
          <w:sz w:val="24"/>
          <w:szCs w:val="24"/>
          <w:lang w:val="en-US"/>
        </w:rPr>
        <w:t>Nalgelkerke</w:t>
      </w:r>
      <w:proofErr w:type="spellEnd"/>
      <w:r w:rsidRPr="006C5872">
        <w:rPr>
          <w:rFonts w:ascii="Times New Roman" w:hAnsi="Times New Roman" w:cs="Times New Roman"/>
          <w:sz w:val="24"/>
          <w:szCs w:val="24"/>
          <w:lang w:val="en-US"/>
        </w:rPr>
        <w:t xml:space="preserve"> = 0.323, p=0.024) predicted “response” with 78.3% accuracy and correctly classified 81.1% of ‘good responder’ patients and 75.0% of those with ‘poor response’; where only baseline CGI (OR = 3.348; 95% CI  1.301–8.614; p =0.012) </w:t>
      </w:r>
      <w:r w:rsidR="002D4816">
        <w:rPr>
          <w:rFonts w:ascii="Times New Roman" w:hAnsi="Times New Roman" w:cs="Times New Roman"/>
          <w:sz w:val="24"/>
          <w:szCs w:val="24"/>
          <w:lang w:val="en-US"/>
        </w:rPr>
        <w:t xml:space="preserve">emerged </w:t>
      </w:r>
      <w:r w:rsidRPr="006C5872">
        <w:rPr>
          <w:rFonts w:ascii="Times New Roman" w:hAnsi="Times New Roman" w:cs="Times New Roman"/>
          <w:sz w:val="24"/>
          <w:szCs w:val="24"/>
          <w:lang w:val="en-US"/>
        </w:rPr>
        <w:t xml:space="preserve">as a significant predictor, and baseline BPRS (OR = 1.119; 95% CI  0.999–1.252; p =0.051) and duration of hospitalization (OR = 0.936; 95% CI  0.869–1.008; p =0.080) maintained a trend towards association as predictors.  </w:t>
      </w:r>
    </w:p>
    <w:p w:rsidR="006B21F5" w:rsidRPr="006C5872" w:rsidRDefault="006B21F5" w:rsidP="006C5872">
      <w:pPr>
        <w:spacing w:line="360" w:lineRule="auto"/>
        <w:jc w:val="both"/>
        <w:rPr>
          <w:rFonts w:ascii="Times New Roman" w:hAnsi="Times New Roman" w:cs="Times New Roman"/>
          <w:sz w:val="24"/>
          <w:szCs w:val="24"/>
          <w:lang w:val="en-US"/>
        </w:rPr>
      </w:pPr>
    </w:p>
    <w:sectPr w:rsidR="006B21F5" w:rsidRPr="006C5872" w:rsidSect="00233F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72"/>
    <w:rsid w:val="00233FE0"/>
    <w:rsid w:val="002C7502"/>
    <w:rsid w:val="002D4816"/>
    <w:rsid w:val="00372153"/>
    <w:rsid w:val="004C24E5"/>
    <w:rsid w:val="00666DEF"/>
    <w:rsid w:val="006B21F5"/>
    <w:rsid w:val="006C5872"/>
    <w:rsid w:val="0072384A"/>
    <w:rsid w:val="00BB30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31B5D-C4A2-4D83-97AD-15355FA7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66DEF"/>
    <w:pPr>
      <w:spacing w:after="0" w:line="240" w:lineRule="auto"/>
    </w:pPr>
    <w:rPr>
      <w:rFonts w:ascii="Calibri" w:eastAsia="SimSu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Norkey Bhutia</cp:lastModifiedBy>
  <cp:revision>3</cp:revision>
  <dcterms:created xsi:type="dcterms:W3CDTF">2019-05-21T08:22:00Z</dcterms:created>
  <dcterms:modified xsi:type="dcterms:W3CDTF">2019-05-21T08:22:00Z</dcterms:modified>
</cp:coreProperties>
</file>