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20" w:rsidRDefault="00220F20" w:rsidP="00220F20">
      <w:pPr>
        <w:pageBreakBefore/>
        <w:shd w:val="clear" w:color="auto" w:fill="FFFFFF"/>
        <w:spacing w:line="480" w:lineRule="auto"/>
        <w:jc w:val="both"/>
      </w:pPr>
      <w:r w:rsidRPr="00777BF1">
        <w:rPr>
          <w:rFonts w:ascii="Arial" w:hAnsi="Arial" w:cs="Arial"/>
          <w:b/>
          <w:bCs/>
          <w:color w:val="000000"/>
          <w:lang w:val="es-ES"/>
        </w:rPr>
        <w:t xml:space="preserve">Anexo. Tablas </w:t>
      </w:r>
    </w:p>
    <w:p w:rsidR="00220F20" w:rsidRDefault="00220F20" w:rsidP="00220F20">
      <w:pPr>
        <w:shd w:val="clear" w:color="auto" w:fill="FFFFFF"/>
        <w:jc w:val="both"/>
      </w:pPr>
      <w:r w:rsidRPr="00777BF1">
        <w:rPr>
          <w:rFonts w:ascii="Arial" w:hAnsi="Arial" w:cs="Arial"/>
          <w:color w:val="000000"/>
          <w:lang w:val="es-ES"/>
        </w:rPr>
        <w:t>Tabla 1: Características generales de la muestra de pacientes con</w:t>
      </w:r>
      <w:r w:rsidRPr="00777BF1">
        <w:rPr>
          <w:rFonts w:ascii="Arial" w:hAnsi="Arial" w:cs="Arial"/>
          <w:i/>
          <w:color w:val="000000"/>
          <w:lang w:val="es-ES"/>
        </w:rPr>
        <w:t xml:space="preserve"> “dedo en resorte” </w:t>
      </w:r>
      <w:r w:rsidRPr="00777BF1">
        <w:rPr>
          <w:rFonts w:ascii="Arial" w:hAnsi="Arial" w:cs="Arial"/>
          <w:color w:val="000000"/>
          <w:lang w:val="es-ES"/>
        </w:rPr>
        <w:t>intervenidos quirúrgicamente en nuestro centro (n=298)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2"/>
        <w:gridCol w:w="4288"/>
      </w:tblGrid>
      <w:tr w:rsidR="00220F20" w:rsidTr="00AA7B2F">
        <w:trPr>
          <w:trHeight w:val="23"/>
        </w:trPr>
        <w:tc>
          <w:tcPr>
            <w:tcW w:w="872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Pacientes con</w:t>
            </w:r>
            <w:r>
              <w:rPr>
                <w:i/>
                <w:sz w:val="18"/>
                <w:szCs w:val="18"/>
              </w:rPr>
              <w:t xml:space="preserve"> “dedo en resorte” </w:t>
            </w:r>
            <w:r>
              <w:rPr>
                <w:sz w:val="18"/>
                <w:szCs w:val="18"/>
              </w:rPr>
              <w:t>intervenido quirúrgicamente (n=298)</w:t>
            </w:r>
          </w:p>
        </w:tc>
      </w:tr>
      <w:tr w:rsidR="00220F20" w:rsidTr="00AA7B2F">
        <w:trPr>
          <w:trHeight w:val="287"/>
        </w:trPr>
        <w:tc>
          <w:tcPr>
            <w:tcW w:w="443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Edad media</w:t>
            </w:r>
          </w:p>
        </w:tc>
        <w:tc>
          <w:tcPr>
            <w:tcW w:w="428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48,45 +/- 9,01 (rango 22-62)</w:t>
            </w:r>
          </w:p>
        </w:tc>
      </w:tr>
      <w:tr w:rsidR="00220F20" w:rsidTr="00AA7B2F">
        <w:trPr>
          <w:trHeight w:val="23"/>
        </w:trPr>
        <w:tc>
          <w:tcPr>
            <w:tcW w:w="443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Sexo (mujer/varón)</w:t>
            </w:r>
          </w:p>
        </w:tc>
        <w:tc>
          <w:tcPr>
            <w:tcW w:w="428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165 (59,1%) / 114 (40,9%)</w:t>
            </w:r>
          </w:p>
        </w:tc>
      </w:tr>
      <w:tr w:rsidR="00220F20" w:rsidTr="00AA7B2F">
        <w:trPr>
          <w:trHeight w:val="23"/>
        </w:trPr>
        <w:tc>
          <w:tcPr>
            <w:tcW w:w="443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Dedos en resorte intervenidos</w:t>
            </w:r>
          </w:p>
        </w:tc>
        <w:tc>
          <w:tcPr>
            <w:tcW w:w="428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368</w:t>
            </w:r>
          </w:p>
        </w:tc>
      </w:tr>
      <w:tr w:rsidR="00220F20" w:rsidTr="00AA7B2F">
        <w:trPr>
          <w:trHeight w:val="23"/>
        </w:trPr>
        <w:tc>
          <w:tcPr>
            <w:tcW w:w="443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Mano dominante</w:t>
            </w:r>
          </w:p>
        </w:tc>
        <w:tc>
          <w:tcPr>
            <w:tcW w:w="428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217 (77,8%)</w:t>
            </w:r>
          </w:p>
        </w:tc>
      </w:tr>
      <w:tr w:rsidR="00220F20" w:rsidTr="00AA7B2F">
        <w:trPr>
          <w:trHeight w:val="23"/>
        </w:trPr>
        <w:tc>
          <w:tcPr>
            <w:tcW w:w="443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Bilateralidad</w:t>
            </w:r>
          </w:p>
        </w:tc>
        <w:tc>
          <w:tcPr>
            <w:tcW w:w="428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23 (8,2%)</w:t>
            </w:r>
          </w:p>
        </w:tc>
      </w:tr>
      <w:tr w:rsidR="00220F20" w:rsidTr="00AA7B2F">
        <w:trPr>
          <w:trHeight w:val="23"/>
        </w:trPr>
        <w:tc>
          <w:tcPr>
            <w:tcW w:w="443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Diabetes Mellitus</w:t>
            </w:r>
          </w:p>
        </w:tc>
        <w:tc>
          <w:tcPr>
            <w:tcW w:w="428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21 (7,5%)</w:t>
            </w:r>
          </w:p>
        </w:tc>
      </w:tr>
      <w:tr w:rsidR="00220F20" w:rsidTr="00AA7B2F">
        <w:trPr>
          <w:trHeight w:val="23"/>
        </w:trPr>
        <w:tc>
          <w:tcPr>
            <w:tcW w:w="443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Hipotiroidismo</w:t>
            </w:r>
          </w:p>
        </w:tc>
        <w:tc>
          <w:tcPr>
            <w:tcW w:w="428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14 (5%)</w:t>
            </w:r>
          </w:p>
        </w:tc>
      </w:tr>
      <w:tr w:rsidR="00220F20" w:rsidTr="00AA7B2F">
        <w:trPr>
          <w:trHeight w:val="23"/>
        </w:trPr>
        <w:tc>
          <w:tcPr>
            <w:tcW w:w="443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Hipertiroidismo</w:t>
            </w:r>
          </w:p>
        </w:tc>
        <w:tc>
          <w:tcPr>
            <w:tcW w:w="428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1 (0,3%)</w:t>
            </w:r>
          </w:p>
        </w:tc>
      </w:tr>
      <w:tr w:rsidR="00220F20" w:rsidTr="00AA7B2F">
        <w:trPr>
          <w:trHeight w:val="23"/>
        </w:trPr>
        <w:tc>
          <w:tcPr>
            <w:tcW w:w="443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STC</w:t>
            </w:r>
          </w:p>
        </w:tc>
        <w:tc>
          <w:tcPr>
            <w:tcW w:w="428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55 (19,7%)</w:t>
            </w:r>
          </w:p>
        </w:tc>
      </w:tr>
      <w:tr w:rsidR="00220F20" w:rsidTr="00AA7B2F">
        <w:trPr>
          <w:trHeight w:val="23"/>
        </w:trPr>
        <w:tc>
          <w:tcPr>
            <w:tcW w:w="443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proofErr w:type="spellStart"/>
            <w:r>
              <w:rPr>
                <w:sz w:val="18"/>
                <w:szCs w:val="18"/>
              </w:rPr>
              <w:t>Epicondilalgia</w:t>
            </w:r>
            <w:proofErr w:type="spellEnd"/>
          </w:p>
        </w:tc>
        <w:tc>
          <w:tcPr>
            <w:tcW w:w="428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16 (5,7%)</w:t>
            </w:r>
          </w:p>
        </w:tc>
      </w:tr>
      <w:tr w:rsidR="00220F20" w:rsidTr="00AA7B2F">
        <w:trPr>
          <w:trHeight w:val="23"/>
        </w:trPr>
        <w:tc>
          <w:tcPr>
            <w:tcW w:w="443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 xml:space="preserve">Enfermedad De </w:t>
            </w:r>
            <w:proofErr w:type="spellStart"/>
            <w:r>
              <w:rPr>
                <w:sz w:val="18"/>
                <w:szCs w:val="18"/>
              </w:rPr>
              <w:t>Quervain</w:t>
            </w:r>
            <w:proofErr w:type="spellEnd"/>
          </w:p>
        </w:tc>
        <w:tc>
          <w:tcPr>
            <w:tcW w:w="428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4 (5%)</w:t>
            </w:r>
          </w:p>
        </w:tc>
      </w:tr>
      <w:tr w:rsidR="00220F20" w:rsidTr="00AA7B2F">
        <w:trPr>
          <w:trHeight w:val="23"/>
        </w:trPr>
        <w:tc>
          <w:tcPr>
            <w:tcW w:w="443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 xml:space="preserve">Enfermedad </w:t>
            </w:r>
            <w:proofErr w:type="spellStart"/>
            <w:r>
              <w:rPr>
                <w:sz w:val="18"/>
                <w:szCs w:val="18"/>
              </w:rPr>
              <w:t>Dupuytren</w:t>
            </w:r>
            <w:proofErr w:type="spellEnd"/>
          </w:p>
        </w:tc>
        <w:tc>
          <w:tcPr>
            <w:tcW w:w="428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2 (0,7%)</w:t>
            </w:r>
          </w:p>
        </w:tc>
      </w:tr>
      <w:tr w:rsidR="00220F20" w:rsidTr="00AA7B2F">
        <w:trPr>
          <w:trHeight w:val="260"/>
        </w:trPr>
        <w:tc>
          <w:tcPr>
            <w:tcW w:w="443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Artritis Reumatoide</w:t>
            </w:r>
          </w:p>
        </w:tc>
        <w:tc>
          <w:tcPr>
            <w:tcW w:w="428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1 (0,3%)</w:t>
            </w:r>
          </w:p>
        </w:tc>
      </w:tr>
      <w:tr w:rsidR="00220F20" w:rsidTr="00AA7B2F">
        <w:trPr>
          <w:trHeight w:val="23"/>
        </w:trPr>
        <w:tc>
          <w:tcPr>
            <w:tcW w:w="443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Profesión manual demandante</w:t>
            </w:r>
          </w:p>
        </w:tc>
        <w:tc>
          <w:tcPr>
            <w:tcW w:w="428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254 (91%)</w:t>
            </w:r>
          </w:p>
        </w:tc>
      </w:tr>
      <w:tr w:rsidR="00220F20" w:rsidTr="00AA7B2F">
        <w:trPr>
          <w:trHeight w:val="23"/>
        </w:trPr>
        <w:tc>
          <w:tcPr>
            <w:tcW w:w="443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Traumatismo previo</w:t>
            </w:r>
          </w:p>
        </w:tc>
        <w:tc>
          <w:tcPr>
            <w:tcW w:w="428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80 (28,7%)</w:t>
            </w:r>
          </w:p>
        </w:tc>
      </w:tr>
      <w:tr w:rsidR="00220F20" w:rsidTr="00AA7B2F">
        <w:trPr>
          <w:trHeight w:val="23"/>
        </w:trPr>
        <w:tc>
          <w:tcPr>
            <w:tcW w:w="4432" w:type="dxa"/>
            <w:tcBorders>
              <w:bottom w:val="single" w:sz="4" w:space="0" w:color="000000"/>
            </w:tcBorders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Recidivas</w:t>
            </w:r>
          </w:p>
        </w:tc>
        <w:tc>
          <w:tcPr>
            <w:tcW w:w="4288" w:type="dxa"/>
            <w:tcBorders>
              <w:bottom w:val="single" w:sz="4" w:space="0" w:color="000000"/>
            </w:tcBorders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15 (5,4%)</w:t>
            </w:r>
          </w:p>
        </w:tc>
      </w:tr>
    </w:tbl>
    <w:p w:rsidR="00220F20" w:rsidRDefault="00220F20" w:rsidP="00220F20">
      <w:pPr>
        <w:shd w:val="clear" w:color="auto" w:fill="FFFFFF"/>
        <w:spacing w:line="480" w:lineRule="auto"/>
        <w:jc w:val="both"/>
        <w:rPr>
          <w:rFonts w:ascii="Arial" w:hAnsi="Arial" w:cs="Arial"/>
          <w:color w:val="000000"/>
          <w:lang w:val="en-GB"/>
        </w:rPr>
      </w:pPr>
    </w:p>
    <w:p w:rsidR="00220F20" w:rsidRDefault="00220F20" w:rsidP="00220F20">
      <w:pPr>
        <w:shd w:val="clear" w:color="auto" w:fill="FFFFFF"/>
        <w:spacing w:line="480" w:lineRule="auto"/>
        <w:jc w:val="both"/>
        <w:rPr>
          <w:rFonts w:ascii="Arial" w:hAnsi="Arial" w:cs="Arial"/>
          <w:color w:val="000000"/>
          <w:lang w:val="en-GB"/>
        </w:rPr>
      </w:pPr>
    </w:p>
    <w:p w:rsidR="00220F20" w:rsidRDefault="00220F20" w:rsidP="00220F20">
      <w:pPr>
        <w:shd w:val="clear" w:color="auto" w:fill="FFFFFF"/>
        <w:jc w:val="both"/>
      </w:pPr>
      <w:r w:rsidRPr="00777BF1">
        <w:rPr>
          <w:rFonts w:ascii="Arial" w:hAnsi="Arial" w:cs="Arial"/>
          <w:color w:val="000000"/>
          <w:lang w:val="es-ES"/>
        </w:rPr>
        <w:t>Tabla 2: Diferencias en cuanto a características demográficas y potenciales factores relacionados entre pacientes con uno o múltiples dedos en resorte.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9"/>
        <w:gridCol w:w="2253"/>
        <w:gridCol w:w="2253"/>
        <w:gridCol w:w="1155"/>
      </w:tblGrid>
      <w:tr w:rsidR="00220F20" w:rsidTr="00AA7B2F">
        <w:trPr>
          <w:trHeight w:val="23"/>
        </w:trPr>
        <w:tc>
          <w:tcPr>
            <w:tcW w:w="30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220F20" w:rsidRDefault="00220F20" w:rsidP="00AA7B2F">
            <w:pPr>
              <w:snapToGrid w:val="0"/>
              <w:spacing w:line="240" w:lineRule="exac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Factores</w:t>
            </w:r>
          </w:p>
        </w:tc>
        <w:tc>
          <w:tcPr>
            <w:tcW w:w="22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DR múltiple</w:t>
            </w:r>
          </w:p>
        </w:tc>
        <w:tc>
          <w:tcPr>
            <w:tcW w:w="22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DR único</w:t>
            </w:r>
          </w:p>
        </w:tc>
        <w:tc>
          <w:tcPr>
            <w:tcW w:w="11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220F20" w:rsidRDefault="00220F20" w:rsidP="00AA7B2F">
            <w:pPr>
              <w:spacing w:line="240" w:lineRule="exact"/>
            </w:pPr>
            <w:r>
              <w:rPr>
                <w:i/>
                <w:sz w:val="18"/>
                <w:szCs w:val="18"/>
              </w:rPr>
              <w:t>p</w:t>
            </w:r>
          </w:p>
        </w:tc>
      </w:tr>
      <w:tr w:rsidR="00220F20" w:rsidTr="00AA7B2F">
        <w:trPr>
          <w:trHeight w:val="23"/>
        </w:trPr>
        <w:tc>
          <w:tcPr>
            <w:tcW w:w="3059" w:type="dxa"/>
            <w:tcBorders>
              <w:top w:val="single" w:sz="12" w:space="0" w:color="000000"/>
            </w:tcBorders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Edad</w:t>
            </w:r>
          </w:p>
        </w:tc>
        <w:tc>
          <w:tcPr>
            <w:tcW w:w="2253" w:type="dxa"/>
            <w:tcBorders>
              <w:top w:val="single" w:sz="12" w:space="0" w:color="000000"/>
            </w:tcBorders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49,53 +/- 7,74</w:t>
            </w:r>
          </w:p>
        </w:tc>
        <w:tc>
          <w:tcPr>
            <w:tcW w:w="2253" w:type="dxa"/>
            <w:tcBorders>
              <w:top w:val="single" w:sz="12" w:space="0" w:color="000000"/>
            </w:tcBorders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48,16 +/- 9,32</w:t>
            </w:r>
          </w:p>
        </w:tc>
        <w:tc>
          <w:tcPr>
            <w:tcW w:w="1155" w:type="dxa"/>
            <w:tcBorders>
              <w:top w:val="single" w:sz="12" w:space="0" w:color="000000"/>
            </w:tcBorders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0,302</w:t>
            </w:r>
          </w:p>
        </w:tc>
      </w:tr>
      <w:tr w:rsidR="00220F20" w:rsidTr="00AA7B2F">
        <w:trPr>
          <w:trHeight w:val="23"/>
        </w:trPr>
        <w:tc>
          <w:tcPr>
            <w:tcW w:w="3059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Sexo femenino</w:t>
            </w:r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40 (67,8%)</w:t>
            </w:r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125 (56,8%)</w:t>
            </w:r>
          </w:p>
        </w:tc>
        <w:tc>
          <w:tcPr>
            <w:tcW w:w="1155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E</w:t>
            </w:r>
          </w:p>
        </w:tc>
      </w:tr>
      <w:tr w:rsidR="00220F20" w:rsidTr="00AA7B2F">
        <w:trPr>
          <w:trHeight w:val="23"/>
        </w:trPr>
        <w:tc>
          <w:tcPr>
            <w:tcW w:w="3059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STC</w:t>
            </w:r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19 (32,2%)</w:t>
            </w:r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36 (16,4%)</w:t>
            </w:r>
          </w:p>
        </w:tc>
        <w:tc>
          <w:tcPr>
            <w:tcW w:w="1155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0,007</w:t>
            </w:r>
          </w:p>
        </w:tc>
      </w:tr>
      <w:tr w:rsidR="00220F20" w:rsidTr="00AA7B2F">
        <w:trPr>
          <w:trHeight w:val="23"/>
        </w:trPr>
        <w:tc>
          <w:tcPr>
            <w:tcW w:w="3059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Hipotiroidismo</w:t>
            </w:r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5 (8,5%)</w:t>
            </w:r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9 (4,1%)</w:t>
            </w:r>
          </w:p>
        </w:tc>
        <w:tc>
          <w:tcPr>
            <w:tcW w:w="1155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0,171</w:t>
            </w:r>
          </w:p>
        </w:tc>
      </w:tr>
      <w:tr w:rsidR="00220F20" w:rsidTr="00AA7B2F">
        <w:trPr>
          <w:trHeight w:val="23"/>
        </w:trPr>
        <w:tc>
          <w:tcPr>
            <w:tcW w:w="3059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Diabetes Mellitus</w:t>
            </w:r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12 (20,3%)</w:t>
            </w:r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9 (4,1%)</w:t>
            </w:r>
          </w:p>
        </w:tc>
        <w:tc>
          <w:tcPr>
            <w:tcW w:w="1155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&lt;0,01</w:t>
            </w:r>
          </w:p>
        </w:tc>
      </w:tr>
      <w:tr w:rsidR="00220F20" w:rsidTr="00AA7B2F">
        <w:trPr>
          <w:trHeight w:val="23"/>
        </w:trPr>
        <w:tc>
          <w:tcPr>
            <w:tcW w:w="3059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proofErr w:type="spellStart"/>
            <w:r>
              <w:rPr>
                <w:sz w:val="18"/>
                <w:szCs w:val="18"/>
              </w:rPr>
              <w:t>Epicondilalgia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4 (6,8%)</w:t>
            </w:r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2 (5,5%)</w:t>
            </w:r>
          </w:p>
        </w:tc>
        <w:tc>
          <w:tcPr>
            <w:tcW w:w="1155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0,753</w:t>
            </w:r>
          </w:p>
        </w:tc>
      </w:tr>
      <w:tr w:rsidR="00220F20" w:rsidTr="00AA7B2F">
        <w:trPr>
          <w:trHeight w:val="23"/>
        </w:trPr>
        <w:tc>
          <w:tcPr>
            <w:tcW w:w="3059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 xml:space="preserve">De </w:t>
            </w:r>
            <w:proofErr w:type="spellStart"/>
            <w:r>
              <w:rPr>
                <w:sz w:val="18"/>
                <w:szCs w:val="18"/>
              </w:rPr>
              <w:t>Quervain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5 (8,5%)</w:t>
            </w:r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9 (4,1%)</w:t>
            </w:r>
          </w:p>
        </w:tc>
        <w:tc>
          <w:tcPr>
            <w:tcW w:w="1155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0,171</w:t>
            </w:r>
          </w:p>
        </w:tc>
      </w:tr>
      <w:tr w:rsidR="00220F20" w:rsidTr="00AA7B2F">
        <w:trPr>
          <w:trHeight w:val="23"/>
        </w:trPr>
        <w:tc>
          <w:tcPr>
            <w:tcW w:w="3059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proofErr w:type="spellStart"/>
            <w:r>
              <w:rPr>
                <w:sz w:val="18"/>
                <w:szCs w:val="18"/>
              </w:rPr>
              <w:t>Dupuytren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0 (0%)</w:t>
            </w:r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2 (0,9%)</w:t>
            </w:r>
          </w:p>
        </w:tc>
        <w:tc>
          <w:tcPr>
            <w:tcW w:w="1155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1</w:t>
            </w:r>
          </w:p>
        </w:tc>
      </w:tr>
      <w:tr w:rsidR="00220F20" w:rsidTr="00AA7B2F">
        <w:trPr>
          <w:trHeight w:val="23"/>
        </w:trPr>
        <w:tc>
          <w:tcPr>
            <w:tcW w:w="3059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Profesión manual</w:t>
            </w:r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53 (89,8%)</w:t>
            </w:r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201 (1,4%)</w:t>
            </w:r>
          </w:p>
        </w:tc>
        <w:tc>
          <w:tcPr>
            <w:tcW w:w="1155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0,714</w:t>
            </w:r>
          </w:p>
        </w:tc>
      </w:tr>
      <w:tr w:rsidR="00220F20" w:rsidTr="00AA7B2F">
        <w:trPr>
          <w:trHeight w:val="23"/>
        </w:trPr>
        <w:tc>
          <w:tcPr>
            <w:tcW w:w="3059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Mano dominante</w:t>
            </w:r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color w:val="000000"/>
                <w:sz w:val="18"/>
                <w:szCs w:val="18"/>
              </w:rPr>
              <w:t>55 (93,2%)</w:t>
            </w:r>
          </w:p>
        </w:tc>
        <w:tc>
          <w:tcPr>
            <w:tcW w:w="2253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color w:val="000000"/>
                <w:sz w:val="18"/>
                <w:szCs w:val="18"/>
              </w:rPr>
              <w:t>162 (73,6%)</w:t>
            </w:r>
          </w:p>
        </w:tc>
        <w:tc>
          <w:tcPr>
            <w:tcW w:w="1155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&lt;0,01</w:t>
            </w:r>
          </w:p>
        </w:tc>
      </w:tr>
      <w:tr w:rsidR="00220F20" w:rsidTr="00AA7B2F">
        <w:trPr>
          <w:trHeight w:val="23"/>
        </w:trPr>
        <w:tc>
          <w:tcPr>
            <w:tcW w:w="3059" w:type="dxa"/>
            <w:tcBorders>
              <w:bottom w:val="single" w:sz="4" w:space="0" w:color="000000"/>
            </w:tcBorders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Traumatismo previo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color w:val="000000"/>
                <w:sz w:val="18"/>
                <w:szCs w:val="18"/>
              </w:rPr>
              <w:t>11 (18,6%)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color w:val="000000"/>
                <w:sz w:val="18"/>
                <w:szCs w:val="18"/>
              </w:rPr>
              <w:t>69 (31,4%)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0,055</w:t>
            </w:r>
          </w:p>
        </w:tc>
      </w:tr>
    </w:tbl>
    <w:p w:rsidR="00220F20" w:rsidRPr="004E55DC" w:rsidRDefault="00220F20" w:rsidP="00220F20">
      <w:pPr>
        <w:shd w:val="clear" w:color="auto" w:fill="FFFFFF"/>
        <w:spacing w:line="480" w:lineRule="auto"/>
        <w:jc w:val="both"/>
        <w:rPr>
          <w:color w:val="000000"/>
          <w:lang w:val="en-GB"/>
        </w:rPr>
      </w:pPr>
      <w:r w:rsidRPr="004E55DC">
        <w:rPr>
          <w:color w:val="000000"/>
          <w:lang w:val="en-GB"/>
        </w:rPr>
        <w:t xml:space="preserve">DR: </w:t>
      </w:r>
      <w:proofErr w:type="spellStart"/>
      <w:r w:rsidRPr="004E55DC">
        <w:rPr>
          <w:color w:val="000000"/>
          <w:lang w:val="en-GB"/>
        </w:rPr>
        <w:t>dedo</w:t>
      </w:r>
      <w:proofErr w:type="spellEnd"/>
      <w:r w:rsidRPr="004E55DC">
        <w:rPr>
          <w:color w:val="000000"/>
          <w:lang w:val="en-GB"/>
        </w:rPr>
        <w:t xml:space="preserve"> en </w:t>
      </w:r>
      <w:proofErr w:type="spellStart"/>
      <w:r w:rsidRPr="004E55DC">
        <w:rPr>
          <w:color w:val="000000"/>
          <w:lang w:val="en-GB"/>
        </w:rPr>
        <w:t>resorte</w:t>
      </w:r>
      <w:proofErr w:type="spellEnd"/>
    </w:p>
    <w:p w:rsidR="00220F20" w:rsidRDefault="00220F20" w:rsidP="00220F20">
      <w:pPr>
        <w:pageBreakBefore/>
        <w:shd w:val="clear" w:color="auto" w:fill="FFFFFF"/>
        <w:spacing w:line="480" w:lineRule="auto"/>
        <w:jc w:val="both"/>
        <w:rPr>
          <w:rFonts w:ascii="Arial" w:hAnsi="Arial" w:cs="Arial"/>
          <w:color w:val="000000"/>
          <w:lang w:val="en-GB"/>
        </w:rPr>
      </w:pPr>
    </w:p>
    <w:p w:rsidR="00220F20" w:rsidRDefault="00220F20" w:rsidP="00220F20">
      <w:pPr>
        <w:shd w:val="clear" w:color="auto" w:fill="FFFFFF"/>
        <w:jc w:val="both"/>
      </w:pPr>
      <w:r w:rsidRPr="00777BF1">
        <w:rPr>
          <w:rFonts w:ascii="Arial" w:hAnsi="Arial" w:cs="Arial"/>
          <w:color w:val="000000"/>
          <w:lang w:val="es-ES"/>
        </w:rPr>
        <w:t xml:space="preserve">Tabla 3: Análisis de regresión logística </w:t>
      </w:r>
      <w:proofErr w:type="spellStart"/>
      <w:r w:rsidRPr="00777BF1">
        <w:rPr>
          <w:rFonts w:ascii="Arial" w:hAnsi="Arial" w:cs="Arial"/>
          <w:color w:val="000000"/>
          <w:lang w:val="es-ES"/>
        </w:rPr>
        <w:t>multivariante</w:t>
      </w:r>
      <w:proofErr w:type="spellEnd"/>
      <w:r w:rsidRPr="00777BF1">
        <w:rPr>
          <w:rFonts w:ascii="Arial" w:hAnsi="Arial" w:cs="Arial"/>
          <w:color w:val="000000"/>
          <w:lang w:val="es-ES"/>
        </w:rPr>
        <w:t xml:space="preserve"> de los potenciales factores de asociación y la existencia de dedos en resorte múltiples.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5"/>
        <w:gridCol w:w="1205"/>
        <w:gridCol w:w="2410"/>
        <w:gridCol w:w="1134"/>
        <w:gridCol w:w="1630"/>
        <w:gridCol w:w="687"/>
        <w:gridCol w:w="943"/>
      </w:tblGrid>
      <w:tr w:rsidR="00220F20" w:rsidTr="00AA7B2F">
        <w:trPr>
          <w:trHeight w:val="314"/>
        </w:trPr>
        <w:tc>
          <w:tcPr>
            <w:tcW w:w="120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F20" w:rsidRDefault="00220F20" w:rsidP="00AA7B2F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F20" w:rsidRDefault="00220F20" w:rsidP="00AA7B2F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74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F20" w:rsidRDefault="00220F20" w:rsidP="00AA7B2F">
            <w:pPr>
              <w:spacing w:line="240" w:lineRule="exact"/>
              <w:jc w:val="center"/>
            </w:pPr>
            <w:r>
              <w:rPr>
                <w:b/>
                <w:sz w:val="18"/>
                <w:szCs w:val="18"/>
              </w:rPr>
              <w:t>DR múltiple</w:t>
            </w:r>
          </w:p>
        </w:tc>
        <w:tc>
          <w:tcPr>
            <w:tcW w:w="1630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F20" w:rsidRDefault="00220F20" w:rsidP="00AA7B2F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220F20" w:rsidTr="00AA7B2F">
        <w:trPr>
          <w:trHeight w:val="314"/>
        </w:trPr>
        <w:tc>
          <w:tcPr>
            <w:tcW w:w="2410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F20" w:rsidRDefault="00220F20" w:rsidP="00AA7B2F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F20" w:rsidRDefault="00220F20" w:rsidP="00AA7B2F">
            <w:pPr>
              <w:spacing w:line="240" w:lineRule="exact"/>
            </w:pPr>
            <w:proofErr w:type="spellStart"/>
            <w:r>
              <w:rPr>
                <w:b/>
                <w:sz w:val="18"/>
                <w:szCs w:val="18"/>
              </w:rPr>
              <w:t>Univariante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20F20" w:rsidRDefault="00220F20" w:rsidP="00AA7B2F">
            <w:pPr>
              <w:spacing w:line="240" w:lineRule="exact"/>
            </w:pPr>
            <w:proofErr w:type="spellStart"/>
            <w:r>
              <w:rPr>
                <w:b/>
                <w:sz w:val="18"/>
                <w:szCs w:val="18"/>
              </w:rPr>
              <w:t>Multivariante</w:t>
            </w:r>
            <w:proofErr w:type="spellEnd"/>
          </w:p>
        </w:tc>
      </w:tr>
      <w:tr w:rsidR="00220F20" w:rsidTr="00AA7B2F">
        <w:tc>
          <w:tcPr>
            <w:tcW w:w="24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  <w:vAlign w:val="center"/>
          </w:tcPr>
          <w:p w:rsidR="00220F20" w:rsidRDefault="00220F20" w:rsidP="00AA7B2F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OR (IC 95%)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i/>
                <w:sz w:val="18"/>
                <w:szCs w:val="18"/>
              </w:rPr>
              <w:t>valor-p</w:t>
            </w:r>
          </w:p>
        </w:tc>
        <w:tc>
          <w:tcPr>
            <w:tcW w:w="231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OR (IC 95%)</w:t>
            </w:r>
          </w:p>
        </w:tc>
        <w:tc>
          <w:tcPr>
            <w:tcW w:w="9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i/>
                <w:sz w:val="18"/>
                <w:szCs w:val="18"/>
              </w:rPr>
              <w:t xml:space="preserve">Valor p </w:t>
            </w:r>
          </w:p>
        </w:tc>
      </w:tr>
      <w:tr w:rsidR="00220F20" w:rsidTr="00AA7B2F">
        <w:trPr>
          <w:trHeight w:val="287"/>
        </w:trPr>
        <w:tc>
          <w:tcPr>
            <w:tcW w:w="2410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Edad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  <w:lang w:eastAsia="en-US"/>
              </w:rPr>
              <w:t>1,018 (0,984-1,052)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0,301</w:t>
            </w:r>
          </w:p>
        </w:tc>
        <w:tc>
          <w:tcPr>
            <w:tcW w:w="2317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1,013 (0,978-1,05)</w:t>
            </w:r>
          </w:p>
        </w:tc>
        <w:tc>
          <w:tcPr>
            <w:tcW w:w="94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0,461</w:t>
            </w:r>
          </w:p>
        </w:tc>
      </w:tr>
      <w:tr w:rsidR="00220F20" w:rsidTr="00AA7B2F">
        <w:tc>
          <w:tcPr>
            <w:tcW w:w="2410" w:type="dxa"/>
            <w:gridSpan w:val="2"/>
            <w:shd w:val="clear" w:color="auto" w:fill="F2F2F2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Sexo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  <w:lang w:eastAsia="en-US"/>
              </w:rPr>
              <w:t>1,6 (0,871-2,938)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1,336 (0,698-2,56)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0,382</w:t>
            </w:r>
          </w:p>
        </w:tc>
      </w:tr>
      <w:tr w:rsidR="00220F20" w:rsidTr="00AA7B2F">
        <w:trPr>
          <w:trHeight w:val="316"/>
        </w:trPr>
        <w:tc>
          <w:tcPr>
            <w:tcW w:w="2410" w:type="dxa"/>
            <w:gridSpan w:val="2"/>
            <w:shd w:val="clear" w:color="auto" w:fill="F2F2F2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STC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  <w:lang w:eastAsia="en-US"/>
              </w:rPr>
              <w:t>2,428 (1,264-4,662)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0,008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2,089 (1,045-4,174)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0,037</w:t>
            </w:r>
          </w:p>
        </w:tc>
      </w:tr>
      <w:tr w:rsidR="00220F20" w:rsidTr="00AA7B2F">
        <w:trPr>
          <w:trHeight w:val="316"/>
        </w:trPr>
        <w:tc>
          <w:tcPr>
            <w:tcW w:w="2410" w:type="dxa"/>
            <w:gridSpan w:val="2"/>
            <w:shd w:val="clear" w:color="auto" w:fill="F2F2F2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Diabetes Mellitus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  <w:lang w:eastAsia="en-US"/>
              </w:rPr>
              <w:t>5,986 (2,385-15,024)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&lt;0,01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4,979 (1,908-12,994)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0,001</w:t>
            </w:r>
          </w:p>
        </w:tc>
      </w:tr>
      <w:tr w:rsidR="00220F20" w:rsidTr="00AA7B2F">
        <w:trPr>
          <w:trHeight w:val="316"/>
        </w:trPr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Mano dominante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  <w:lang w:eastAsia="en-US"/>
              </w:rPr>
              <w:t>4,923 (1,708-14,186)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0,003</w:t>
            </w:r>
          </w:p>
        </w:tc>
        <w:tc>
          <w:tcPr>
            <w:tcW w:w="23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3,759 (1,274-11,093)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0,016</w:t>
            </w:r>
          </w:p>
        </w:tc>
      </w:tr>
    </w:tbl>
    <w:p w:rsidR="00220F20" w:rsidRDefault="00220F20" w:rsidP="00220F20">
      <w:pPr>
        <w:shd w:val="clear" w:color="auto" w:fill="FFFFFF"/>
        <w:spacing w:line="480" w:lineRule="auto"/>
        <w:jc w:val="both"/>
        <w:rPr>
          <w:rFonts w:ascii="Arial" w:hAnsi="Arial" w:cs="Arial"/>
          <w:color w:val="000000"/>
          <w:lang w:val="en-GB"/>
        </w:rPr>
      </w:pPr>
    </w:p>
    <w:p w:rsidR="00220F20" w:rsidRDefault="00220F20" w:rsidP="00220F20">
      <w:pPr>
        <w:shd w:val="clear" w:color="auto" w:fill="FFFFFF"/>
        <w:spacing w:line="480" w:lineRule="auto"/>
        <w:jc w:val="both"/>
        <w:rPr>
          <w:rFonts w:ascii="Arial" w:hAnsi="Arial" w:cs="Arial"/>
          <w:color w:val="000000"/>
          <w:lang w:val="en-GB"/>
        </w:rPr>
      </w:pPr>
    </w:p>
    <w:p w:rsidR="00220F20" w:rsidRDefault="00220F20" w:rsidP="00220F20">
      <w:pPr>
        <w:shd w:val="clear" w:color="auto" w:fill="FFFFFF"/>
        <w:jc w:val="both"/>
      </w:pPr>
      <w:bookmarkStart w:id="0" w:name="_Hlk528431066"/>
      <w:bookmarkEnd w:id="0"/>
      <w:r>
        <w:t>Tabla 4: Comparativa de prevalencias de Diabetes Mellitus, hipotiroidismo y Síndrome del Túnel Carpiano (STC) entre la muestra de pacientes afectos de dedo en resorte y la teórica poblacional.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2"/>
        <w:gridCol w:w="2928"/>
        <w:gridCol w:w="3530"/>
      </w:tblGrid>
      <w:tr w:rsidR="00220F20" w:rsidTr="00AA7B2F">
        <w:trPr>
          <w:trHeight w:val="23"/>
        </w:trPr>
        <w:tc>
          <w:tcPr>
            <w:tcW w:w="22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Asociación muestra/población</w:t>
            </w:r>
          </w:p>
        </w:tc>
        <w:tc>
          <w:tcPr>
            <w:tcW w:w="29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Prevalencia en la muestra n=279</w:t>
            </w:r>
          </w:p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 xml:space="preserve">Edad media 48,45 años </w:t>
            </w:r>
          </w:p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(rango 22-62 años)</w:t>
            </w:r>
          </w:p>
        </w:tc>
        <w:tc>
          <w:tcPr>
            <w:tcW w:w="3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220F20" w:rsidRDefault="00220F20" w:rsidP="00AA7B2F">
            <w:pPr>
              <w:spacing w:line="240" w:lineRule="exact"/>
            </w:pPr>
            <w:r>
              <w:rPr>
                <w:i/>
                <w:sz w:val="18"/>
                <w:szCs w:val="18"/>
              </w:rPr>
              <w:t>Prevalencia teórica poblacional (mismo rango de edad)</w:t>
            </w:r>
          </w:p>
        </w:tc>
      </w:tr>
      <w:tr w:rsidR="00220F20" w:rsidTr="00AA7B2F">
        <w:trPr>
          <w:trHeight w:val="258"/>
        </w:trPr>
        <w:tc>
          <w:tcPr>
            <w:tcW w:w="226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Diabetes mellitus</w:t>
            </w:r>
          </w:p>
        </w:tc>
        <w:tc>
          <w:tcPr>
            <w:tcW w:w="292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7,53%</w:t>
            </w:r>
          </w:p>
        </w:tc>
        <w:tc>
          <w:tcPr>
            <w:tcW w:w="3530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6-6,5%</w:t>
            </w:r>
          </w:p>
        </w:tc>
      </w:tr>
      <w:tr w:rsidR="00220F20" w:rsidTr="00AA7B2F">
        <w:trPr>
          <w:trHeight w:val="23"/>
        </w:trPr>
        <w:tc>
          <w:tcPr>
            <w:tcW w:w="2262" w:type="dxa"/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Hipotiroidismo</w:t>
            </w:r>
          </w:p>
        </w:tc>
        <w:tc>
          <w:tcPr>
            <w:tcW w:w="2928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3530" w:type="dxa"/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sz w:val="18"/>
                <w:szCs w:val="18"/>
              </w:rPr>
              <w:t>3-4%</w:t>
            </w:r>
          </w:p>
        </w:tc>
      </w:tr>
      <w:tr w:rsidR="00220F20" w:rsidTr="00AA7B2F">
        <w:trPr>
          <w:trHeight w:val="23"/>
        </w:trPr>
        <w:tc>
          <w:tcPr>
            <w:tcW w:w="2262" w:type="dxa"/>
            <w:tcBorders>
              <w:bottom w:val="single" w:sz="4" w:space="0" w:color="000000"/>
            </w:tcBorders>
            <w:shd w:val="clear" w:color="auto" w:fill="F2F2F2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STC</w:t>
            </w:r>
          </w:p>
        </w:tc>
        <w:tc>
          <w:tcPr>
            <w:tcW w:w="2928" w:type="dxa"/>
            <w:tcBorders>
              <w:bottom w:val="single" w:sz="4" w:space="0" w:color="000000"/>
            </w:tcBorders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19,7%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auto"/>
          </w:tcPr>
          <w:p w:rsidR="00220F20" w:rsidRDefault="00220F20" w:rsidP="00AA7B2F">
            <w:pPr>
              <w:spacing w:line="240" w:lineRule="exact"/>
            </w:pPr>
            <w:r>
              <w:rPr>
                <w:b/>
                <w:sz w:val="18"/>
                <w:szCs w:val="18"/>
              </w:rPr>
              <w:t>2-4%</w:t>
            </w:r>
          </w:p>
        </w:tc>
      </w:tr>
    </w:tbl>
    <w:p w:rsidR="00220F20" w:rsidRDefault="00220F20" w:rsidP="00220F20">
      <w:pPr>
        <w:shd w:val="clear" w:color="auto" w:fill="FFFFFF"/>
        <w:spacing w:line="480" w:lineRule="auto"/>
        <w:rPr>
          <w:lang w:val="en-US" w:eastAsia="en-US"/>
        </w:rPr>
      </w:pPr>
    </w:p>
    <w:p w:rsidR="007D4459" w:rsidRDefault="007D4459">
      <w:bookmarkStart w:id="1" w:name="_GoBack"/>
      <w:bookmarkEnd w:id="1"/>
    </w:p>
    <w:sectPr w:rsidR="007D4459" w:rsidSect="00220F2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20"/>
    <w:rsid w:val="00220F20"/>
    <w:rsid w:val="007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3F80D-341E-445C-9A14-D678345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2019-01-22T06:38:00Z</dcterms:created>
  <dcterms:modified xsi:type="dcterms:W3CDTF">2019-01-22T06:38:00Z</dcterms:modified>
</cp:coreProperties>
</file>