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4A2D" w14:textId="77777777" w:rsidR="00FB18B1" w:rsidRPr="00F17668" w:rsidRDefault="00FB18B1" w:rsidP="00FB18B1">
      <w:pPr>
        <w:spacing w:line="360" w:lineRule="auto"/>
        <w:jc w:val="both"/>
        <w:rPr>
          <w:rFonts w:ascii="Arial" w:hAnsi="Arial" w:cs="Arial"/>
          <w:b/>
          <w:color w:val="44546A" w:themeColor="text2"/>
        </w:rPr>
      </w:pPr>
      <w:bookmarkStart w:id="0" w:name="_GoBack"/>
      <w:bookmarkEnd w:id="0"/>
      <w:r w:rsidRPr="00F17668">
        <w:rPr>
          <w:rFonts w:ascii="Arial" w:hAnsi="Arial" w:cs="Arial"/>
          <w:b/>
          <w:color w:val="44546A" w:themeColor="text2"/>
        </w:rPr>
        <w:t>Anexo 1: Aspectos a considerar para un cuidado integral del paciente con fractura de cadera</w:t>
      </w: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1838"/>
        <w:gridCol w:w="3465"/>
        <w:gridCol w:w="4653"/>
      </w:tblGrid>
      <w:tr w:rsidR="00FB18B1" w:rsidRPr="004D4E84" w14:paraId="08CB7454" w14:textId="77777777" w:rsidTr="005840A9">
        <w:tc>
          <w:tcPr>
            <w:tcW w:w="1838" w:type="dxa"/>
          </w:tcPr>
          <w:p w14:paraId="15BD5EC4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hideMark/>
          </w:tcPr>
          <w:p w14:paraId="1CE94472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Consideraciones / Riesgos</w:t>
            </w:r>
          </w:p>
        </w:tc>
        <w:tc>
          <w:tcPr>
            <w:tcW w:w="4653" w:type="dxa"/>
            <w:hideMark/>
          </w:tcPr>
          <w:p w14:paraId="3BF38894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Medidas a adoptar</w:t>
            </w:r>
          </w:p>
        </w:tc>
      </w:tr>
      <w:tr w:rsidR="00FB18B1" w:rsidRPr="004D4E84" w14:paraId="12C6D7E0" w14:textId="77777777" w:rsidTr="005840A9">
        <w:tc>
          <w:tcPr>
            <w:tcW w:w="1838" w:type="dxa"/>
            <w:hideMark/>
          </w:tcPr>
          <w:p w14:paraId="003A76D6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Anemia perioperatoria</w:t>
            </w:r>
          </w:p>
        </w:tc>
        <w:tc>
          <w:tcPr>
            <w:tcW w:w="3465" w:type="dxa"/>
            <w:hideMark/>
          </w:tcPr>
          <w:p w14:paraId="5DEDABAF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Etiología mixta </w:t>
            </w:r>
          </w:p>
        </w:tc>
        <w:tc>
          <w:tcPr>
            <w:tcW w:w="4653" w:type="dxa"/>
            <w:hideMark/>
          </w:tcPr>
          <w:p w14:paraId="01E03E68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Controles diarios Hierro IV carboximaltosa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  <w:t>. (500-1000 mg) en caso de Hb 9 - 13 g.dL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  <w:lang w:eastAsia="es-ES"/>
              </w:rPr>
              <w:t>-1</w:t>
            </w:r>
          </w:p>
        </w:tc>
      </w:tr>
      <w:tr w:rsidR="00FB18B1" w:rsidRPr="004D4E84" w14:paraId="63FBAD51" w14:textId="77777777" w:rsidTr="005840A9">
        <w:tc>
          <w:tcPr>
            <w:tcW w:w="1838" w:type="dxa"/>
            <w:hideMark/>
          </w:tcPr>
          <w:p w14:paraId="715479C7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Transfusión</w:t>
            </w:r>
          </w:p>
        </w:tc>
        <w:tc>
          <w:tcPr>
            <w:tcW w:w="3465" w:type="dxa"/>
            <w:hideMark/>
          </w:tcPr>
          <w:p w14:paraId="50D0AA1F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  <w:t>Criterios restrictivos (Hb de 8g.dL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  <w:lang w:eastAsia="es-ES"/>
              </w:rPr>
              <w:t>-1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  <w:t>) carecen de diferencias significativas en morbimortalidad.</w:t>
            </w:r>
          </w:p>
        </w:tc>
        <w:tc>
          <w:tcPr>
            <w:tcW w:w="4653" w:type="dxa"/>
            <w:hideMark/>
          </w:tcPr>
          <w:p w14:paraId="701B5794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  <w:t>Fundamentada en la clínica, comorbilidades, y niveles de Hb. Administración de una en una, y reevalución.</w:t>
            </w:r>
          </w:p>
        </w:tc>
      </w:tr>
      <w:tr w:rsidR="00FB18B1" w:rsidRPr="004D4E84" w14:paraId="62815A69" w14:textId="77777777" w:rsidTr="005840A9">
        <w:tc>
          <w:tcPr>
            <w:tcW w:w="1838" w:type="dxa"/>
            <w:hideMark/>
          </w:tcPr>
          <w:p w14:paraId="4934F3A3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Antiagregación y anticoagulación</w:t>
            </w:r>
          </w:p>
        </w:tc>
        <w:tc>
          <w:tcPr>
            <w:tcW w:w="3465" w:type="dxa"/>
            <w:hideMark/>
          </w:tcPr>
          <w:p w14:paraId="0F738DAF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  <w:t>Aumentan el sangrado quirúrgico, contraindican anestesia neuroaxial</w:t>
            </w:r>
          </w:p>
        </w:tc>
        <w:tc>
          <w:tcPr>
            <w:tcW w:w="4653" w:type="dxa"/>
            <w:hideMark/>
          </w:tcPr>
          <w:p w14:paraId="5F0F2167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  <w:t>Pautas de sustitución definidas, estratificando el riego hemorrágico y el trombótico.</w:t>
            </w:r>
          </w:p>
        </w:tc>
      </w:tr>
      <w:tr w:rsidR="00FB18B1" w:rsidRPr="004D4E84" w14:paraId="1F6586D8" w14:textId="77777777" w:rsidTr="005840A9">
        <w:tc>
          <w:tcPr>
            <w:tcW w:w="1838" w:type="dxa"/>
            <w:hideMark/>
          </w:tcPr>
          <w:p w14:paraId="177660DD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Trombosis</w:t>
            </w:r>
          </w:p>
        </w:tc>
        <w:tc>
          <w:tcPr>
            <w:tcW w:w="3465" w:type="dxa"/>
            <w:hideMark/>
          </w:tcPr>
          <w:p w14:paraId="336EB549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  <w:t>Trombosis venosa profunda y tromboembolismo pulmonar</w:t>
            </w:r>
          </w:p>
        </w:tc>
        <w:tc>
          <w:tcPr>
            <w:tcW w:w="4653" w:type="dxa"/>
            <w:hideMark/>
          </w:tcPr>
          <w:p w14:paraId="392D716F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s-ES"/>
              </w:rPr>
              <w:t>Medidas mecánicas y/o farmacológicas (HBPM, aumenta algo el riesgo de sangrado).</w:t>
            </w:r>
          </w:p>
        </w:tc>
      </w:tr>
      <w:tr w:rsidR="00FB18B1" w:rsidRPr="004D4E84" w14:paraId="792F1B8B" w14:textId="77777777" w:rsidTr="005840A9">
        <w:tc>
          <w:tcPr>
            <w:tcW w:w="1838" w:type="dxa"/>
            <w:hideMark/>
          </w:tcPr>
          <w:p w14:paraId="14F2C5F1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Control de la glucemia</w:t>
            </w:r>
          </w:p>
        </w:tc>
        <w:tc>
          <w:tcPr>
            <w:tcW w:w="3465" w:type="dxa"/>
            <w:hideMark/>
          </w:tcPr>
          <w:p w14:paraId="40A06E3D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Factor importante en la reducción de la morbilidad.</w:t>
            </w:r>
          </w:p>
        </w:tc>
        <w:tc>
          <w:tcPr>
            <w:tcW w:w="4653" w:type="dxa"/>
            <w:hideMark/>
          </w:tcPr>
          <w:p w14:paraId="65B20322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Objetivo: glucemias entre 60 - 180 mg.dL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con pautas de insulina</w:t>
            </w:r>
          </w:p>
        </w:tc>
      </w:tr>
      <w:tr w:rsidR="00FB18B1" w:rsidRPr="004D4E84" w14:paraId="19420E00" w14:textId="77777777" w:rsidTr="005840A9">
        <w:tc>
          <w:tcPr>
            <w:tcW w:w="1838" w:type="dxa"/>
            <w:hideMark/>
          </w:tcPr>
          <w:p w14:paraId="1F40AECA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Control hidroelectrolítico</w:t>
            </w:r>
          </w:p>
        </w:tc>
        <w:tc>
          <w:tcPr>
            <w:tcW w:w="3465" w:type="dxa"/>
            <w:hideMark/>
          </w:tcPr>
          <w:p w14:paraId="0F7E48A3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Deshidratación o sobrecarga de líquidos, y alteraciones electrolíticas</w:t>
            </w:r>
          </w:p>
        </w:tc>
        <w:tc>
          <w:tcPr>
            <w:tcW w:w="4653" w:type="dxa"/>
            <w:hideMark/>
          </w:tcPr>
          <w:p w14:paraId="7AB5531A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Niveles de Na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entre 120 – 150 meq.dL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y de K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entre 2,8 - 6 meq.dL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18B1" w:rsidRPr="004D4E84" w14:paraId="44B2E111" w14:textId="77777777" w:rsidTr="005840A9">
        <w:tc>
          <w:tcPr>
            <w:tcW w:w="1838" w:type="dxa"/>
            <w:hideMark/>
          </w:tcPr>
          <w:p w14:paraId="161FCBBA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Función renal</w:t>
            </w:r>
          </w:p>
        </w:tc>
        <w:tc>
          <w:tcPr>
            <w:tcW w:w="3465" w:type="dxa"/>
            <w:hideMark/>
          </w:tcPr>
          <w:p w14:paraId="5CD75B1C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Valores de creatinina falsamente normales por atrofia muscular</w:t>
            </w:r>
          </w:p>
        </w:tc>
        <w:tc>
          <w:tcPr>
            <w:tcW w:w="4653" w:type="dxa"/>
            <w:hideMark/>
          </w:tcPr>
          <w:p w14:paraId="4CCF3862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Valorar la tasa de filtrado glomerular</w:t>
            </w:r>
          </w:p>
        </w:tc>
      </w:tr>
      <w:tr w:rsidR="00FB18B1" w:rsidRPr="004D4E84" w14:paraId="0C8E9E1C" w14:textId="77777777" w:rsidTr="005840A9">
        <w:tc>
          <w:tcPr>
            <w:tcW w:w="1838" w:type="dxa"/>
            <w:hideMark/>
          </w:tcPr>
          <w:p w14:paraId="1D711E5F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Nutrición</w:t>
            </w:r>
          </w:p>
        </w:tc>
        <w:tc>
          <w:tcPr>
            <w:tcW w:w="3465" w:type="dxa"/>
            <w:hideMark/>
          </w:tcPr>
          <w:p w14:paraId="17A6EA25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Albumina &lt; 3,5 g.dL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indica mayor mortalidad perioperatoria.</w:t>
            </w:r>
          </w:p>
        </w:tc>
        <w:tc>
          <w:tcPr>
            <w:tcW w:w="4653" w:type="dxa"/>
            <w:hideMark/>
          </w:tcPr>
          <w:p w14:paraId="797159CA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Suplementos nutricionales hiperproteicos</w:t>
            </w:r>
          </w:p>
        </w:tc>
      </w:tr>
      <w:tr w:rsidR="00FB18B1" w:rsidRPr="004D4E84" w14:paraId="2CD307FC" w14:textId="77777777" w:rsidTr="005840A9">
        <w:tc>
          <w:tcPr>
            <w:tcW w:w="1838" w:type="dxa"/>
          </w:tcPr>
          <w:p w14:paraId="5654583C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Estado hemodinámico</w:t>
            </w:r>
          </w:p>
        </w:tc>
        <w:tc>
          <w:tcPr>
            <w:tcW w:w="3465" w:type="dxa"/>
          </w:tcPr>
          <w:p w14:paraId="7CC9DB3F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Cuantificable mediante el Índice de Goldman. No precisan evaluación especializada soplos y arritmias sin inestabilidad hemodinámica.</w:t>
            </w:r>
          </w:p>
        </w:tc>
        <w:tc>
          <w:tcPr>
            <w:tcW w:w="4653" w:type="dxa"/>
          </w:tcPr>
          <w:p w14:paraId="66ECFDD7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Fibrilación auricular: se recomienda un ritmo ventricular &lt; a 100 lpm, corrigiendo los factores causales y si no es suficiente, administrando betabloqueantes o el verapamilo de elección.</w:t>
            </w:r>
          </w:p>
        </w:tc>
      </w:tr>
      <w:tr w:rsidR="00FB18B1" w:rsidRPr="004D4E84" w14:paraId="241CEE7A" w14:textId="77777777" w:rsidTr="005840A9">
        <w:tc>
          <w:tcPr>
            <w:tcW w:w="1838" w:type="dxa"/>
          </w:tcPr>
          <w:p w14:paraId="36E61116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Infección respiratoria</w:t>
            </w:r>
          </w:p>
        </w:tc>
        <w:tc>
          <w:tcPr>
            <w:tcW w:w="3465" w:type="dxa"/>
          </w:tcPr>
          <w:p w14:paraId="332A37DC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Riesgo por encamamiento prolongado y patologías coexistentes.</w:t>
            </w:r>
          </w:p>
        </w:tc>
        <w:tc>
          <w:tcPr>
            <w:tcW w:w="4653" w:type="dxa"/>
          </w:tcPr>
          <w:p w14:paraId="75ADB59B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Profilaxis antibiótica y fisioterapia respiratoria. La anestesia subaracnoidea, movilización precoz y analgesia fisioterapia.</w:t>
            </w:r>
          </w:p>
        </w:tc>
      </w:tr>
      <w:tr w:rsidR="00FB18B1" w:rsidRPr="004D4E84" w14:paraId="410947A5" w14:textId="77777777" w:rsidTr="005840A9">
        <w:tc>
          <w:tcPr>
            <w:tcW w:w="1838" w:type="dxa"/>
            <w:hideMark/>
          </w:tcPr>
          <w:p w14:paraId="04F578D8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Oxigenoterapia</w:t>
            </w:r>
          </w:p>
        </w:tc>
        <w:tc>
          <w:tcPr>
            <w:tcW w:w="3465" w:type="dxa"/>
            <w:hideMark/>
          </w:tcPr>
          <w:p w14:paraId="5829A4A0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Hay episodios de hipoxia desde el momento del ingreso hasta el quinto día del postoperatorio.</w:t>
            </w:r>
          </w:p>
        </w:tc>
        <w:tc>
          <w:tcPr>
            <w:tcW w:w="4653" w:type="dxa"/>
            <w:hideMark/>
          </w:tcPr>
          <w:p w14:paraId="509D63C4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SpO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&gt; 92% e idealmente &gt; 95%. Oxigeno suplementario a 2-3 lpm desde el ingreso hasta al menos las 48 horas de postoperatorio</w:t>
            </w:r>
          </w:p>
        </w:tc>
      </w:tr>
      <w:tr w:rsidR="00FB18B1" w:rsidRPr="004D4E84" w14:paraId="21F1F5FD" w14:textId="77777777" w:rsidTr="005840A9">
        <w:tc>
          <w:tcPr>
            <w:tcW w:w="1838" w:type="dxa"/>
            <w:hideMark/>
          </w:tcPr>
          <w:p w14:paraId="1C0E5EEF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Analgesia perioperatoria</w:t>
            </w:r>
          </w:p>
        </w:tc>
        <w:tc>
          <w:tcPr>
            <w:tcW w:w="3465" w:type="dxa"/>
            <w:hideMark/>
          </w:tcPr>
          <w:p w14:paraId="6E5CB011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Reduce la morbilidad respiratoria, cardiovascular, gastrointestinal, riesgo delirio y estancia hospitalaria, y facilita movilización precoz.</w:t>
            </w:r>
          </w:p>
        </w:tc>
        <w:tc>
          <w:tcPr>
            <w:tcW w:w="4653" w:type="dxa"/>
            <w:hideMark/>
          </w:tcPr>
          <w:p w14:paraId="74DB73AF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Infraestimada, especialmente en 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desorientados o con demencia. Debe ser multimodal, evitando opiáceos y exceso de AINEs. El uso de bloqueos nerviosos periféricos es deseable.</w:t>
            </w:r>
          </w:p>
        </w:tc>
      </w:tr>
      <w:tr w:rsidR="00FB18B1" w:rsidRPr="004D4E84" w14:paraId="226A2D3B" w14:textId="77777777" w:rsidTr="005840A9">
        <w:tc>
          <w:tcPr>
            <w:tcW w:w="1838" w:type="dxa"/>
            <w:hideMark/>
          </w:tcPr>
          <w:p w14:paraId="5A76B6A9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Sondaje vesical</w:t>
            </w:r>
          </w:p>
        </w:tc>
        <w:tc>
          <w:tcPr>
            <w:tcW w:w="3465" w:type="dxa"/>
            <w:hideMark/>
          </w:tcPr>
          <w:p w14:paraId="174A63BD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Tanto la retención urinaria como el sondaje favorecen la 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infección urinaria.</w:t>
            </w:r>
          </w:p>
        </w:tc>
        <w:tc>
          <w:tcPr>
            <w:tcW w:w="4653" w:type="dxa"/>
            <w:hideMark/>
          </w:tcPr>
          <w:p w14:paraId="1BE1042F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Evitar el sondaje sistemático (usar sondaje evacuador intermitente, en caso 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de retención). Si se sonda en la cirugía, promover su retirada a las 24 horas, tras iniciar la movilización. </w:t>
            </w:r>
          </w:p>
        </w:tc>
      </w:tr>
      <w:tr w:rsidR="00FB18B1" w:rsidRPr="004D4E84" w14:paraId="6CE2939C" w14:textId="77777777" w:rsidTr="005840A9">
        <w:tc>
          <w:tcPr>
            <w:tcW w:w="1838" w:type="dxa"/>
          </w:tcPr>
          <w:p w14:paraId="5E560613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Intraoperatorio</w:t>
            </w:r>
          </w:p>
        </w:tc>
        <w:tc>
          <w:tcPr>
            <w:tcW w:w="3465" w:type="dxa"/>
            <w:hideMark/>
          </w:tcPr>
          <w:p w14:paraId="2533F859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Las complicaciones, estancia hospitalaria y mortalidad se reducen cuando aumenta la experiencia del equipo quirúrgico y anestésico.</w:t>
            </w:r>
          </w:p>
        </w:tc>
        <w:tc>
          <w:tcPr>
            <w:tcW w:w="4653" w:type="dxa"/>
            <w:hideMark/>
          </w:tcPr>
          <w:p w14:paraId="55CB21F5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Hay que realizar correctamente la profilaxis antibiótica, 30-60 minutos antes de la cirugía. Se recomienda la anestesia subaracnoidea siempre que las condiciones lo permitan.</w:t>
            </w:r>
          </w:p>
        </w:tc>
      </w:tr>
      <w:tr w:rsidR="00FB18B1" w:rsidRPr="004D4E84" w14:paraId="00033559" w14:textId="77777777" w:rsidTr="005840A9">
        <w:tc>
          <w:tcPr>
            <w:tcW w:w="1838" w:type="dxa"/>
            <w:hideMark/>
          </w:tcPr>
          <w:p w14:paraId="4B45BF2F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Delirio</w:t>
            </w:r>
          </w:p>
        </w:tc>
        <w:tc>
          <w:tcPr>
            <w:tcW w:w="3465" w:type="dxa"/>
            <w:hideMark/>
          </w:tcPr>
          <w:p w14:paraId="4DC43D20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Incidencia 60%, especialmente si hay condicionantes previos. Detectar a los pacientes de riesgo.</w:t>
            </w:r>
          </w:p>
        </w:tc>
        <w:tc>
          <w:tcPr>
            <w:tcW w:w="4653" w:type="dxa"/>
            <w:hideMark/>
          </w:tcPr>
          <w:p w14:paraId="7C69C04D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Pautar medidas preventivas y tratamiento precoz (haloperidol (0,25-0,5 mg.6h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), olanzapina (2,5 mg.24 h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.SC o VO) o risperidona (0,25 - 0,5mg VO), evitando la contención mecánica. </w:t>
            </w:r>
          </w:p>
        </w:tc>
      </w:tr>
      <w:tr w:rsidR="00FB18B1" w:rsidRPr="004D4E84" w14:paraId="5CB0C029" w14:textId="77777777" w:rsidTr="005840A9">
        <w:tc>
          <w:tcPr>
            <w:tcW w:w="1838" w:type="dxa"/>
            <w:hideMark/>
          </w:tcPr>
          <w:p w14:paraId="1622560D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Movilización precoz</w:t>
            </w:r>
          </w:p>
        </w:tc>
        <w:tc>
          <w:tcPr>
            <w:tcW w:w="3465" w:type="dxa"/>
            <w:hideMark/>
          </w:tcPr>
          <w:p w14:paraId="3E4BE579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Reduce úlceras por decúbito, las complicaciones respiratorias, y el riesgo de TVP</w:t>
            </w:r>
          </w:p>
        </w:tc>
        <w:tc>
          <w:tcPr>
            <w:tcW w:w="4653" w:type="dxa"/>
            <w:hideMark/>
          </w:tcPr>
          <w:p w14:paraId="00AF35D4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Movilización temprana al día siguiente de la intervención, si es posible</w:t>
            </w:r>
          </w:p>
        </w:tc>
      </w:tr>
      <w:tr w:rsidR="00FB18B1" w:rsidRPr="004D4E84" w14:paraId="5BFD99AD" w14:textId="77777777" w:rsidTr="005840A9">
        <w:tc>
          <w:tcPr>
            <w:tcW w:w="1838" w:type="dxa"/>
            <w:hideMark/>
          </w:tcPr>
          <w:p w14:paraId="03C8BCF1" w14:textId="77777777" w:rsidR="00FB18B1" w:rsidRPr="004D4E84" w:rsidRDefault="00FB18B1" w:rsidP="005840A9">
            <w:pPr>
              <w:contextualSpacing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Profilaxis secundaria</w:t>
            </w:r>
          </w:p>
        </w:tc>
        <w:tc>
          <w:tcPr>
            <w:tcW w:w="3465" w:type="dxa"/>
            <w:hideMark/>
          </w:tcPr>
          <w:p w14:paraId="47051289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Existe un riesgo</w:t>
            </w:r>
            <w:r w:rsidRPr="004D4E84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elevado de fractura contralateral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53" w:type="dxa"/>
            <w:hideMark/>
          </w:tcPr>
          <w:p w14:paraId="28A4F952" w14:textId="77777777" w:rsidR="00FB18B1" w:rsidRPr="004D4E84" w:rsidRDefault="00FB18B1" w:rsidP="005840A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Tratamiento al alta hospitalaria calcio con vitamina D, salvo contraindicación.</w:t>
            </w:r>
          </w:p>
        </w:tc>
      </w:tr>
    </w:tbl>
    <w:p w14:paraId="2AFD685A" w14:textId="77777777" w:rsidR="00FB18B1" w:rsidRPr="004D4E84" w:rsidRDefault="00FB18B1" w:rsidP="00FB18B1">
      <w:pPr>
        <w:ind w:left="708" w:hanging="708"/>
        <w:jc w:val="both"/>
        <w:rPr>
          <w:rFonts w:ascii="Arial" w:hAnsi="Arial" w:cs="Arial"/>
          <w:b/>
          <w:color w:val="000000" w:themeColor="text1"/>
          <w:highlight w:val="yellow"/>
        </w:rPr>
      </w:pPr>
      <w:r w:rsidRPr="004D4E84">
        <w:rPr>
          <w:rFonts w:ascii="Arial" w:hAnsi="Arial" w:cs="Arial"/>
          <w:color w:val="000000" w:themeColor="text1"/>
        </w:rPr>
        <w:br w:type="page"/>
      </w:r>
      <w:r w:rsidRPr="004D4E84">
        <w:rPr>
          <w:rFonts w:ascii="Arial" w:hAnsi="Arial" w:cs="Arial"/>
          <w:b/>
          <w:color w:val="000000" w:themeColor="text1"/>
        </w:rPr>
        <w:lastRenderedPageBreak/>
        <w:t>Tabla 1: Características demográficas:</w:t>
      </w:r>
    </w:p>
    <w:p w14:paraId="56990AC1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6"/>
        <w:gridCol w:w="2606"/>
        <w:gridCol w:w="1595"/>
        <w:gridCol w:w="1450"/>
        <w:gridCol w:w="1559"/>
      </w:tblGrid>
      <w:tr w:rsidR="00FB18B1" w:rsidRPr="004D4E84" w14:paraId="255D2ADA" w14:textId="77777777" w:rsidTr="005840A9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19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Grupo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84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26B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422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IMPL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D68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FB18B1" w:rsidRPr="004D4E84" w14:paraId="143F7216" w14:textId="77777777" w:rsidTr="005840A9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A1F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Edad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5F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B81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86,8±5.9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296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84,8±6,8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74B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85,1±7,1</w:t>
            </w:r>
          </w:p>
        </w:tc>
      </w:tr>
      <w:tr w:rsidR="00FB18B1" w:rsidRPr="004D4E84" w14:paraId="398F4A9D" w14:textId="77777777" w:rsidTr="005840A9">
        <w:trPr>
          <w:trHeight w:val="153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869EA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Sexo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17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Mujer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F6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C2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63,4%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DE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77,9%</w:t>
            </w:r>
          </w:p>
        </w:tc>
      </w:tr>
      <w:tr w:rsidR="00FB18B1" w:rsidRPr="004D4E84" w14:paraId="6CA4A1C0" w14:textId="77777777" w:rsidTr="005840A9"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5C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3A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Hombre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0BE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67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36,6%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CE0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22,1%</w:t>
            </w:r>
          </w:p>
        </w:tc>
      </w:tr>
      <w:tr w:rsidR="00FB18B1" w:rsidRPr="004D4E84" w14:paraId="2DEF7260" w14:textId="77777777" w:rsidTr="005840A9"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E351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46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7C6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1FA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995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  <w:tr w:rsidR="00FB18B1" w:rsidRPr="004D4E84" w14:paraId="33BB9EDE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3A98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73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56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5,3%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CE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10,7%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32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9,0%</w:t>
            </w:r>
          </w:p>
        </w:tc>
      </w:tr>
      <w:tr w:rsidR="00FB18B1" w:rsidRPr="004D4E84" w14:paraId="1717A2DC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85F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FE7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1D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93,7%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E1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83,9%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72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85,2%</w:t>
            </w:r>
          </w:p>
        </w:tc>
      </w:tr>
      <w:tr w:rsidR="00FB18B1" w:rsidRPr="004D4E84" w14:paraId="64BF4904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F8B8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11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30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2B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4,4%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96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4,5%</w:t>
            </w:r>
          </w:p>
        </w:tc>
      </w:tr>
      <w:tr w:rsidR="00FB18B1" w:rsidRPr="004D4E84" w14:paraId="092C0328" w14:textId="77777777" w:rsidTr="005840A9"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6102E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fractura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48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Extracapsular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B3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9D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48,2%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75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37,3%</w:t>
            </w:r>
          </w:p>
        </w:tc>
      </w:tr>
      <w:tr w:rsidR="00FB18B1" w:rsidRPr="004D4E84" w14:paraId="5D0CD2A6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1CD8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BA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Intracapsular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B0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48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51,8%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54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62,7%</w:t>
            </w:r>
          </w:p>
        </w:tc>
      </w:tr>
      <w:tr w:rsidR="00FB18B1" w:rsidRPr="004D4E84" w14:paraId="0AA18EA1" w14:textId="77777777" w:rsidTr="005840A9"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A017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Técnica anestésica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5C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General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AD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9.52%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10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18.02%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AA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8.82%</w:t>
            </w:r>
          </w:p>
        </w:tc>
      </w:tr>
      <w:tr w:rsidR="00FB18B1" w:rsidRPr="004D4E84" w14:paraId="10ADE494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7A4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E3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Subaracnoidea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6F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90.48%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91A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81.98%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FCB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87.75%</w:t>
            </w:r>
          </w:p>
        </w:tc>
      </w:tr>
      <w:tr w:rsidR="00FB18B1" w:rsidRPr="004D4E84" w14:paraId="0AF977D0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6AF7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72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Bloqueos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70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61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ACA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3.43%</w:t>
            </w:r>
          </w:p>
        </w:tc>
      </w:tr>
      <w:tr w:rsidR="00FB18B1" w:rsidRPr="004D4E84" w14:paraId="1A525C2C" w14:textId="77777777" w:rsidTr="005840A9"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7626E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Consumo fármacos que alteran la hemostasia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D1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AAS 100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5EB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31,82%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70AB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27,68%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A5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27,45%</w:t>
            </w:r>
          </w:p>
        </w:tc>
      </w:tr>
      <w:tr w:rsidR="00FB18B1" w:rsidRPr="004D4E84" w14:paraId="68BF4711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6CDF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4B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AAS 300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DB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5,88%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DD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1,79%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D29A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0,49%</w:t>
            </w:r>
          </w:p>
        </w:tc>
      </w:tr>
      <w:tr w:rsidR="00FB18B1" w:rsidRPr="004D4E84" w14:paraId="7FC8EA61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6515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206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Clopidogrel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43E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4,55%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81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3,57%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70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6,37%</w:t>
            </w:r>
          </w:p>
        </w:tc>
      </w:tr>
      <w:tr w:rsidR="00FB18B1" w:rsidRPr="004D4E84" w14:paraId="2C157C8B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4943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09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Acenocumarol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AC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20,45%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487" w14:textId="77777777" w:rsidR="00FB18B1" w:rsidRPr="004D4E84" w:rsidRDefault="00FB18B1" w:rsidP="005840A9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21,43%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0B33" w14:textId="77777777" w:rsidR="00FB18B1" w:rsidRPr="004D4E84" w:rsidRDefault="00FB18B1" w:rsidP="005840A9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12,75%</w:t>
            </w:r>
          </w:p>
        </w:tc>
      </w:tr>
      <w:tr w:rsidR="00FB18B1" w:rsidRPr="004D4E84" w14:paraId="1E00CE9F" w14:textId="77777777" w:rsidTr="005840A9"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7B23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4E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NACOS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C3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1,14%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975" w14:textId="77777777" w:rsidR="00FB18B1" w:rsidRPr="004D4E84" w:rsidRDefault="00FB18B1" w:rsidP="005840A9">
            <w:pPr>
              <w:pStyle w:val="NormalWeb"/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1,79%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CED" w14:textId="77777777" w:rsidR="00FB18B1" w:rsidRPr="004D4E84" w:rsidRDefault="00FB18B1" w:rsidP="005840A9">
            <w:pPr>
              <w:pStyle w:val="NormalWeb"/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2,45%</w:t>
            </w:r>
          </w:p>
        </w:tc>
      </w:tr>
    </w:tbl>
    <w:p w14:paraId="20035A3E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BA9C401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 xml:space="preserve">Sin diferencias estadísticamente significativas entre los grupos en edad, sexo o grado ASA. </w:t>
      </w:r>
    </w:p>
    <w:p w14:paraId="7AD13F23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>Nota: En el PRE todas las fracturas fueron extracapsulares, debido al código utilizado para localizar las historias clínicas (esta parte del estudio se realizó retrospectivamente).</w:t>
      </w:r>
    </w:p>
    <w:p w14:paraId="48702DAE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>Sin diferencias estadísticamente significativas entre los grupos en la distribución o en el porcentaje de los fármacos antiagregantes (p=0,165) o anticoagulantes (p=0,318) consumidos.</w:t>
      </w:r>
    </w:p>
    <w:p w14:paraId="129551BE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>NACOS: nuevos anticoagulantes orales</w:t>
      </w:r>
    </w:p>
    <w:p w14:paraId="056D9E39" w14:textId="77777777" w:rsidR="00FB18B1" w:rsidRPr="004D4E84" w:rsidRDefault="00FB18B1" w:rsidP="00FB18B1">
      <w:pPr>
        <w:rPr>
          <w:rFonts w:ascii="Arial" w:hAnsi="Arial" w:cs="Arial"/>
          <w:b/>
          <w:color w:val="000000" w:themeColor="text1"/>
        </w:rPr>
      </w:pPr>
      <w:r w:rsidRPr="004D4E84">
        <w:rPr>
          <w:rFonts w:ascii="Arial" w:hAnsi="Arial" w:cs="Arial"/>
          <w:b/>
          <w:color w:val="000000" w:themeColor="text1"/>
        </w:rPr>
        <w:br w:type="page"/>
      </w:r>
    </w:p>
    <w:p w14:paraId="595BAD06" w14:textId="77777777" w:rsidR="00FB18B1" w:rsidRPr="00F17668" w:rsidRDefault="00FB18B1" w:rsidP="00FB18B1">
      <w:pPr>
        <w:rPr>
          <w:rFonts w:ascii="Arial" w:hAnsi="Arial" w:cs="Arial"/>
          <w:b/>
          <w:color w:val="44546A" w:themeColor="text2"/>
        </w:rPr>
      </w:pPr>
      <w:r w:rsidRPr="00F17668">
        <w:rPr>
          <w:rFonts w:ascii="Arial" w:hAnsi="Arial" w:cs="Arial"/>
          <w:b/>
          <w:color w:val="44546A" w:themeColor="text2"/>
        </w:rPr>
        <w:lastRenderedPageBreak/>
        <w:t>Tabla 2: Anemia perioperatoria</w:t>
      </w:r>
    </w:p>
    <w:p w14:paraId="2D09A17D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1"/>
        <w:gridCol w:w="1959"/>
        <w:gridCol w:w="1959"/>
        <w:gridCol w:w="1937"/>
      </w:tblGrid>
      <w:tr w:rsidR="00FB18B1" w:rsidRPr="004D4E84" w14:paraId="5727D30F" w14:textId="77777777" w:rsidTr="005840A9">
        <w:tc>
          <w:tcPr>
            <w:tcW w:w="2059" w:type="pct"/>
          </w:tcPr>
          <w:p w14:paraId="6584F7D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pct"/>
          </w:tcPr>
          <w:p w14:paraId="3926207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</w:t>
            </w:r>
          </w:p>
        </w:tc>
        <w:tc>
          <w:tcPr>
            <w:tcW w:w="984" w:type="pct"/>
          </w:tcPr>
          <w:p w14:paraId="06B7879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IMPL</w:t>
            </w:r>
          </w:p>
        </w:tc>
        <w:tc>
          <w:tcPr>
            <w:tcW w:w="973" w:type="pct"/>
          </w:tcPr>
          <w:p w14:paraId="49DA4F7A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FB18B1" w:rsidRPr="004D4E84" w14:paraId="2D751695" w14:textId="77777777" w:rsidTr="005840A9">
        <w:tc>
          <w:tcPr>
            <w:tcW w:w="2059" w:type="pct"/>
          </w:tcPr>
          <w:p w14:paraId="2DD8DB30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Hemoglobina al ingreso</w:t>
            </w: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 xml:space="preserve"> *</w:t>
            </w: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</w:tcPr>
          <w:p w14:paraId="735D9A2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12,1±1,6</w:t>
            </w:r>
          </w:p>
        </w:tc>
        <w:tc>
          <w:tcPr>
            <w:tcW w:w="984" w:type="pct"/>
          </w:tcPr>
          <w:p w14:paraId="68EEA7B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12,5±1,8</w:t>
            </w:r>
          </w:p>
        </w:tc>
        <w:tc>
          <w:tcPr>
            <w:tcW w:w="973" w:type="pct"/>
          </w:tcPr>
          <w:p w14:paraId="26A545D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12,5±1,7</w:t>
            </w:r>
          </w:p>
        </w:tc>
      </w:tr>
      <w:tr w:rsidR="00FB18B1" w:rsidRPr="004D4E84" w14:paraId="0109E77C" w14:textId="77777777" w:rsidTr="005840A9">
        <w:tc>
          <w:tcPr>
            <w:tcW w:w="2059" w:type="pct"/>
            <w:vAlign w:val="center"/>
          </w:tcPr>
          <w:p w14:paraId="7FF024EC" w14:textId="77777777" w:rsidR="00FB18B1" w:rsidRPr="004D4E84" w:rsidRDefault="00FB18B1" w:rsidP="005840A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Hemoglobina a las 24h</w:t>
            </w: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984" w:type="pct"/>
            <w:vAlign w:val="center"/>
          </w:tcPr>
          <w:p w14:paraId="3AC566EC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10,3±1,7 </w:t>
            </w:r>
          </w:p>
        </w:tc>
        <w:tc>
          <w:tcPr>
            <w:tcW w:w="984" w:type="pct"/>
            <w:vAlign w:val="center"/>
          </w:tcPr>
          <w:p w14:paraId="420A48DF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11,7± </w:t>
            </w:r>
          </w:p>
        </w:tc>
        <w:tc>
          <w:tcPr>
            <w:tcW w:w="973" w:type="pct"/>
            <w:vAlign w:val="center"/>
          </w:tcPr>
          <w:p w14:paraId="1F9A6463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11,2± </w:t>
            </w:r>
          </w:p>
        </w:tc>
      </w:tr>
      <w:tr w:rsidR="00FB18B1" w:rsidRPr="004D4E84" w14:paraId="70141522" w14:textId="77777777" w:rsidTr="005840A9">
        <w:tc>
          <w:tcPr>
            <w:tcW w:w="2059" w:type="pct"/>
            <w:vAlign w:val="center"/>
          </w:tcPr>
          <w:p w14:paraId="74023864" w14:textId="77777777" w:rsidR="00FB18B1" w:rsidRPr="004D4E84" w:rsidRDefault="00FB18B1" w:rsidP="005840A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Hemoglobina a las 48h</w:t>
            </w: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984" w:type="pct"/>
            <w:vAlign w:val="center"/>
          </w:tcPr>
          <w:p w14:paraId="143A44F3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9,8±1,4 </w:t>
            </w:r>
          </w:p>
        </w:tc>
        <w:tc>
          <w:tcPr>
            <w:tcW w:w="984" w:type="pct"/>
            <w:vAlign w:val="center"/>
          </w:tcPr>
          <w:p w14:paraId="1A73DD98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11,2± </w:t>
            </w:r>
          </w:p>
        </w:tc>
        <w:tc>
          <w:tcPr>
            <w:tcW w:w="973" w:type="pct"/>
            <w:vAlign w:val="center"/>
          </w:tcPr>
          <w:p w14:paraId="6A08D659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10,6± </w:t>
            </w:r>
          </w:p>
        </w:tc>
      </w:tr>
      <w:tr w:rsidR="00FB18B1" w:rsidRPr="004D4E84" w14:paraId="66F04B7E" w14:textId="77777777" w:rsidTr="005840A9">
        <w:tc>
          <w:tcPr>
            <w:tcW w:w="2059" w:type="pct"/>
            <w:vAlign w:val="center"/>
          </w:tcPr>
          <w:p w14:paraId="4D7B9C68" w14:textId="77777777" w:rsidR="00FB18B1" w:rsidRPr="004D4E84" w:rsidRDefault="00FB18B1" w:rsidP="005840A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Hemoglobina postquirúrgica</w:t>
            </w:r>
          </w:p>
        </w:tc>
        <w:tc>
          <w:tcPr>
            <w:tcW w:w="984" w:type="pct"/>
            <w:vAlign w:val="center"/>
          </w:tcPr>
          <w:p w14:paraId="1A2C20B8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9,0±1,4</w:t>
            </w:r>
          </w:p>
        </w:tc>
        <w:tc>
          <w:tcPr>
            <w:tcW w:w="984" w:type="pct"/>
            <w:vAlign w:val="center"/>
          </w:tcPr>
          <w:p w14:paraId="29EFEBA4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10,0±1,7</w:t>
            </w:r>
          </w:p>
        </w:tc>
        <w:tc>
          <w:tcPr>
            <w:tcW w:w="973" w:type="pct"/>
            <w:vAlign w:val="center"/>
          </w:tcPr>
          <w:p w14:paraId="742FC047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9,6±1,7</w:t>
            </w:r>
          </w:p>
        </w:tc>
      </w:tr>
      <w:tr w:rsidR="00FB18B1" w:rsidRPr="004D4E84" w14:paraId="6F0A55AC" w14:textId="77777777" w:rsidTr="005840A9">
        <w:tc>
          <w:tcPr>
            <w:tcW w:w="2059" w:type="pct"/>
            <w:vAlign w:val="center"/>
          </w:tcPr>
          <w:p w14:paraId="2B8D099A" w14:textId="77777777" w:rsidR="00FB18B1" w:rsidRPr="004D4E84" w:rsidRDefault="00FB18B1" w:rsidP="005840A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Hemoglobina al alta</w:t>
            </w:r>
          </w:p>
        </w:tc>
        <w:tc>
          <w:tcPr>
            <w:tcW w:w="984" w:type="pct"/>
            <w:vAlign w:val="center"/>
          </w:tcPr>
          <w:p w14:paraId="5CB610D7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10,3±1,1</w:t>
            </w:r>
          </w:p>
        </w:tc>
        <w:tc>
          <w:tcPr>
            <w:tcW w:w="984" w:type="pct"/>
            <w:vAlign w:val="center"/>
          </w:tcPr>
          <w:p w14:paraId="4FB0F546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10,2±1,2</w:t>
            </w:r>
          </w:p>
        </w:tc>
        <w:tc>
          <w:tcPr>
            <w:tcW w:w="973" w:type="pct"/>
            <w:vAlign w:val="center"/>
          </w:tcPr>
          <w:p w14:paraId="52BE7138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10,1±1,2</w:t>
            </w:r>
          </w:p>
        </w:tc>
      </w:tr>
      <w:tr w:rsidR="00FB18B1" w:rsidRPr="004D4E84" w14:paraId="4EDA9496" w14:textId="77777777" w:rsidTr="005840A9">
        <w:tc>
          <w:tcPr>
            <w:tcW w:w="2059" w:type="pct"/>
            <w:vAlign w:val="center"/>
          </w:tcPr>
          <w:p w14:paraId="7A8589A3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Anemia al ingreso</w:t>
            </w:r>
          </w:p>
        </w:tc>
        <w:tc>
          <w:tcPr>
            <w:tcW w:w="984" w:type="pct"/>
          </w:tcPr>
          <w:p w14:paraId="6FFE309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49%</w:t>
            </w:r>
          </w:p>
        </w:tc>
        <w:tc>
          <w:tcPr>
            <w:tcW w:w="984" w:type="pct"/>
          </w:tcPr>
          <w:p w14:paraId="059C07BA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61%</w:t>
            </w:r>
          </w:p>
        </w:tc>
        <w:tc>
          <w:tcPr>
            <w:tcW w:w="973" w:type="pct"/>
          </w:tcPr>
          <w:p w14:paraId="4DE1147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62%</w:t>
            </w:r>
          </w:p>
        </w:tc>
      </w:tr>
      <w:tr w:rsidR="00FB18B1" w:rsidRPr="004D4E84" w14:paraId="5114A3A5" w14:textId="77777777" w:rsidTr="005840A9">
        <w:tc>
          <w:tcPr>
            <w:tcW w:w="2059" w:type="pct"/>
            <w:vAlign w:val="center"/>
          </w:tcPr>
          <w:p w14:paraId="32830E4B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Anemia al alta</w:t>
            </w:r>
          </w:p>
        </w:tc>
        <w:tc>
          <w:tcPr>
            <w:tcW w:w="984" w:type="pct"/>
            <w:vAlign w:val="center"/>
          </w:tcPr>
          <w:p w14:paraId="68C817E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97,73%</w:t>
            </w:r>
          </w:p>
        </w:tc>
        <w:tc>
          <w:tcPr>
            <w:tcW w:w="984" w:type="pct"/>
            <w:vAlign w:val="center"/>
          </w:tcPr>
          <w:p w14:paraId="5F48FB4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88,99%</w:t>
            </w:r>
          </w:p>
        </w:tc>
        <w:tc>
          <w:tcPr>
            <w:tcW w:w="973" w:type="pct"/>
            <w:vAlign w:val="center"/>
          </w:tcPr>
          <w:p w14:paraId="0DDC221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94,12%</w:t>
            </w:r>
          </w:p>
        </w:tc>
      </w:tr>
    </w:tbl>
    <w:p w14:paraId="1FD6E23C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1B1E3DA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b/>
          <w:color w:val="000000" w:themeColor="text1"/>
          <w:vertAlign w:val="superscript"/>
        </w:rPr>
        <w:t>*</w:t>
      </w:r>
      <w:r w:rsidRPr="004D4E84">
        <w:rPr>
          <w:rFonts w:ascii="Arial" w:hAnsi="Arial" w:cs="Arial"/>
          <w:b/>
          <w:color w:val="000000" w:themeColor="text1"/>
        </w:rPr>
        <w:t xml:space="preserve"> </w:t>
      </w:r>
      <w:r w:rsidRPr="004D4E84">
        <w:rPr>
          <w:rFonts w:ascii="Arial" w:hAnsi="Arial" w:cs="Arial"/>
          <w:color w:val="000000" w:themeColor="text1"/>
        </w:rPr>
        <w:t>p&lt;0,001</w:t>
      </w:r>
    </w:p>
    <w:p w14:paraId="707EE3AE" w14:textId="77777777" w:rsidR="00FB18B1" w:rsidRPr="004D4E84" w:rsidRDefault="00FB18B1" w:rsidP="00FB18B1">
      <w:pPr>
        <w:rPr>
          <w:rFonts w:ascii="Arial" w:hAnsi="Arial" w:cs="Arial"/>
          <w:b/>
          <w:color w:val="000000" w:themeColor="text1"/>
        </w:rPr>
      </w:pPr>
      <w:r w:rsidRPr="004D4E84">
        <w:rPr>
          <w:rFonts w:ascii="Arial" w:eastAsia="Calibri" w:hAnsi="Arial" w:cs="Arial"/>
          <w:color w:val="000000"/>
          <w:lang w:eastAsia="es-ES"/>
        </w:rPr>
        <w:br w:type="page"/>
      </w:r>
    </w:p>
    <w:p w14:paraId="4EF180F9" w14:textId="77777777" w:rsidR="00FB18B1" w:rsidRPr="004D4E84" w:rsidRDefault="00FB18B1" w:rsidP="00FB18B1">
      <w:pPr>
        <w:rPr>
          <w:rFonts w:ascii="Arial" w:eastAsia="Calibri" w:hAnsi="Arial" w:cs="Arial"/>
          <w:color w:val="000000"/>
          <w:lang w:eastAsia="es-ES"/>
        </w:rPr>
      </w:pPr>
      <w:r w:rsidRPr="004D4E84">
        <w:rPr>
          <w:rFonts w:ascii="Arial" w:hAnsi="Arial" w:cs="Arial"/>
          <w:b/>
          <w:color w:val="000000" w:themeColor="text1"/>
        </w:rPr>
        <w:lastRenderedPageBreak/>
        <w:t>Tabla 3: Terapia transfusional</w:t>
      </w:r>
    </w:p>
    <w:p w14:paraId="21EDA68D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2051"/>
        <w:gridCol w:w="1959"/>
        <w:gridCol w:w="1959"/>
        <w:gridCol w:w="1922"/>
      </w:tblGrid>
      <w:tr w:rsidR="00FB18B1" w:rsidRPr="004D4E84" w14:paraId="37271BDC" w14:textId="77777777" w:rsidTr="005840A9">
        <w:tc>
          <w:tcPr>
            <w:tcW w:w="2067" w:type="pct"/>
            <w:gridSpan w:val="2"/>
          </w:tcPr>
          <w:p w14:paraId="351B3DC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pct"/>
          </w:tcPr>
          <w:p w14:paraId="711CB00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</w:t>
            </w:r>
          </w:p>
        </w:tc>
        <w:tc>
          <w:tcPr>
            <w:tcW w:w="984" w:type="pct"/>
          </w:tcPr>
          <w:p w14:paraId="749944F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IMPL</w:t>
            </w:r>
          </w:p>
        </w:tc>
        <w:tc>
          <w:tcPr>
            <w:tcW w:w="965" w:type="pct"/>
          </w:tcPr>
          <w:p w14:paraId="36F6DA7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FB18B1" w:rsidRPr="004D4E84" w14:paraId="55B312CF" w14:textId="77777777" w:rsidTr="005840A9">
        <w:tc>
          <w:tcPr>
            <w:tcW w:w="2067" w:type="pct"/>
            <w:gridSpan w:val="2"/>
            <w:vAlign w:val="center"/>
          </w:tcPr>
          <w:p w14:paraId="72649598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pacientes trasfundidos *</w:t>
            </w:r>
          </w:p>
        </w:tc>
        <w:tc>
          <w:tcPr>
            <w:tcW w:w="984" w:type="pct"/>
          </w:tcPr>
          <w:p w14:paraId="17CBDDC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68,97%</w:t>
            </w:r>
          </w:p>
        </w:tc>
        <w:tc>
          <w:tcPr>
            <w:tcW w:w="984" w:type="pct"/>
          </w:tcPr>
          <w:p w14:paraId="03081B5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44,55%</w:t>
            </w:r>
          </w:p>
        </w:tc>
        <w:tc>
          <w:tcPr>
            <w:tcW w:w="965" w:type="pct"/>
          </w:tcPr>
          <w:p w14:paraId="690DE91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49,51%</w:t>
            </w:r>
          </w:p>
        </w:tc>
      </w:tr>
      <w:tr w:rsidR="00FB18B1" w:rsidRPr="004D4E84" w14:paraId="3F66A7FA" w14:textId="77777777" w:rsidTr="005840A9">
        <w:tc>
          <w:tcPr>
            <w:tcW w:w="1037" w:type="pct"/>
            <w:vMerge w:val="restart"/>
            <w:vAlign w:val="center"/>
          </w:tcPr>
          <w:p w14:paraId="51E573AD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Nº concentrados de hematíes trasfundidos</w:t>
            </w:r>
            <w:r w:rsidR="00D5453B"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**</w:t>
            </w:r>
          </w:p>
        </w:tc>
        <w:tc>
          <w:tcPr>
            <w:tcW w:w="1030" w:type="pct"/>
          </w:tcPr>
          <w:p w14:paraId="6A93A3F0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14:paraId="3D05243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6,67%</w:t>
            </w:r>
          </w:p>
        </w:tc>
        <w:tc>
          <w:tcPr>
            <w:tcW w:w="984" w:type="pct"/>
          </w:tcPr>
          <w:p w14:paraId="094A959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26,53%</w:t>
            </w:r>
          </w:p>
        </w:tc>
        <w:tc>
          <w:tcPr>
            <w:tcW w:w="965" w:type="pct"/>
          </w:tcPr>
          <w:p w14:paraId="0D598C4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29,70%</w:t>
            </w:r>
          </w:p>
        </w:tc>
      </w:tr>
      <w:tr w:rsidR="00FB18B1" w:rsidRPr="004D4E84" w14:paraId="0DB8BADA" w14:textId="77777777" w:rsidTr="005840A9">
        <w:tc>
          <w:tcPr>
            <w:tcW w:w="1037" w:type="pct"/>
            <w:vMerge/>
            <w:vAlign w:val="center"/>
          </w:tcPr>
          <w:p w14:paraId="60470027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pct"/>
          </w:tcPr>
          <w:p w14:paraId="1EDDCC4F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14:paraId="3DF3BB0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66,67%</w:t>
            </w:r>
          </w:p>
        </w:tc>
        <w:tc>
          <w:tcPr>
            <w:tcW w:w="984" w:type="pct"/>
          </w:tcPr>
          <w:p w14:paraId="4A59FA1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59,18%</w:t>
            </w:r>
          </w:p>
        </w:tc>
        <w:tc>
          <w:tcPr>
            <w:tcW w:w="965" w:type="pct"/>
          </w:tcPr>
          <w:p w14:paraId="78DB3CC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48,51%</w:t>
            </w:r>
          </w:p>
        </w:tc>
      </w:tr>
      <w:tr w:rsidR="00FB18B1" w:rsidRPr="004D4E84" w14:paraId="235DBF36" w14:textId="77777777" w:rsidTr="005840A9">
        <w:tc>
          <w:tcPr>
            <w:tcW w:w="1037" w:type="pct"/>
            <w:vMerge/>
            <w:vAlign w:val="center"/>
          </w:tcPr>
          <w:p w14:paraId="02E4F52C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pct"/>
          </w:tcPr>
          <w:p w14:paraId="249E4066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4" w:type="pct"/>
          </w:tcPr>
          <w:p w14:paraId="6619515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984" w:type="pct"/>
          </w:tcPr>
          <w:p w14:paraId="7453322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2,04%</w:t>
            </w:r>
          </w:p>
        </w:tc>
        <w:tc>
          <w:tcPr>
            <w:tcW w:w="965" w:type="pct"/>
          </w:tcPr>
          <w:p w14:paraId="36B6F18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11,88%</w:t>
            </w:r>
          </w:p>
        </w:tc>
      </w:tr>
      <w:tr w:rsidR="00FB18B1" w:rsidRPr="004D4E84" w14:paraId="6A7DA35B" w14:textId="77777777" w:rsidTr="005840A9">
        <w:tc>
          <w:tcPr>
            <w:tcW w:w="1037" w:type="pct"/>
            <w:vMerge/>
            <w:vAlign w:val="center"/>
          </w:tcPr>
          <w:p w14:paraId="5E7D404D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pct"/>
          </w:tcPr>
          <w:p w14:paraId="0618A0F8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4" w:type="pct"/>
          </w:tcPr>
          <w:p w14:paraId="79E3F92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984" w:type="pct"/>
          </w:tcPr>
          <w:p w14:paraId="39DA035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12,24%</w:t>
            </w:r>
          </w:p>
        </w:tc>
        <w:tc>
          <w:tcPr>
            <w:tcW w:w="965" w:type="pct"/>
          </w:tcPr>
          <w:p w14:paraId="7BBF070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7,92%</w:t>
            </w:r>
          </w:p>
        </w:tc>
      </w:tr>
      <w:tr w:rsidR="00FB18B1" w:rsidRPr="004D4E84" w14:paraId="449847CC" w14:textId="77777777" w:rsidTr="005840A9">
        <w:tc>
          <w:tcPr>
            <w:tcW w:w="1037" w:type="pct"/>
            <w:vMerge w:val="restart"/>
            <w:vAlign w:val="center"/>
          </w:tcPr>
          <w:p w14:paraId="70F0D829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Umbral transfusional *</w:t>
            </w:r>
            <w:r w:rsidR="00D5453B"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0" w:type="pct"/>
            <w:vAlign w:val="center"/>
          </w:tcPr>
          <w:p w14:paraId="62A191A2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&lt; 7 g /dl Hb</w:t>
            </w:r>
          </w:p>
        </w:tc>
        <w:tc>
          <w:tcPr>
            <w:tcW w:w="984" w:type="pct"/>
            <w:vAlign w:val="center"/>
          </w:tcPr>
          <w:p w14:paraId="6B5CCDB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6,67%</w:t>
            </w:r>
          </w:p>
        </w:tc>
        <w:tc>
          <w:tcPr>
            <w:tcW w:w="984" w:type="pct"/>
            <w:vAlign w:val="center"/>
          </w:tcPr>
          <w:p w14:paraId="624BD0F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965" w:type="pct"/>
            <w:vAlign w:val="center"/>
          </w:tcPr>
          <w:p w14:paraId="119CBA0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14.14%</w:t>
            </w:r>
          </w:p>
        </w:tc>
      </w:tr>
      <w:tr w:rsidR="00FB18B1" w:rsidRPr="004D4E84" w14:paraId="4F0A35F2" w14:textId="77777777" w:rsidTr="005840A9">
        <w:tc>
          <w:tcPr>
            <w:tcW w:w="1037" w:type="pct"/>
            <w:vMerge/>
            <w:vAlign w:val="center"/>
          </w:tcPr>
          <w:p w14:paraId="210746FC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2F3AFE46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≥7-8 g / dl Hb</w:t>
            </w:r>
          </w:p>
        </w:tc>
        <w:tc>
          <w:tcPr>
            <w:tcW w:w="984" w:type="pct"/>
            <w:vAlign w:val="center"/>
          </w:tcPr>
          <w:p w14:paraId="05399D4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38,33%</w:t>
            </w:r>
          </w:p>
        </w:tc>
        <w:tc>
          <w:tcPr>
            <w:tcW w:w="984" w:type="pct"/>
            <w:vAlign w:val="center"/>
          </w:tcPr>
          <w:p w14:paraId="0E5331B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965" w:type="pct"/>
            <w:vAlign w:val="center"/>
          </w:tcPr>
          <w:p w14:paraId="28A7F90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5,57%</w:t>
            </w:r>
          </w:p>
        </w:tc>
      </w:tr>
      <w:tr w:rsidR="00FB18B1" w:rsidRPr="004D4E84" w14:paraId="719E8141" w14:textId="77777777" w:rsidTr="005840A9">
        <w:tc>
          <w:tcPr>
            <w:tcW w:w="1037" w:type="pct"/>
            <w:vMerge/>
            <w:vAlign w:val="center"/>
          </w:tcPr>
          <w:p w14:paraId="55C47707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6D1739E2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≥8 -9g/ dl Hb</w:t>
            </w:r>
          </w:p>
        </w:tc>
        <w:tc>
          <w:tcPr>
            <w:tcW w:w="984" w:type="pct"/>
            <w:vAlign w:val="center"/>
          </w:tcPr>
          <w:p w14:paraId="2F1473F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53,33%</w:t>
            </w:r>
          </w:p>
        </w:tc>
        <w:tc>
          <w:tcPr>
            <w:tcW w:w="984" w:type="pct"/>
            <w:vAlign w:val="center"/>
          </w:tcPr>
          <w:p w14:paraId="3EB25F2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965" w:type="pct"/>
            <w:vAlign w:val="center"/>
          </w:tcPr>
          <w:p w14:paraId="5BF8C4B0" w14:textId="77777777" w:rsidR="00FB18B1" w:rsidRPr="004D4E84" w:rsidRDefault="00FB18B1" w:rsidP="005840A9">
            <w:pPr>
              <w:keepNext/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29,29%</w:t>
            </w:r>
          </w:p>
        </w:tc>
      </w:tr>
      <w:tr w:rsidR="00FB18B1" w:rsidRPr="004D4E84" w14:paraId="28382786" w14:textId="77777777" w:rsidTr="005840A9">
        <w:tc>
          <w:tcPr>
            <w:tcW w:w="1037" w:type="pct"/>
            <w:vMerge w:val="restart"/>
            <w:vAlign w:val="center"/>
          </w:tcPr>
          <w:p w14:paraId="68D19B57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Momento de la transfusión **</w:t>
            </w:r>
            <w:r w:rsidR="00D5453B"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0" w:type="pct"/>
            <w:vAlign w:val="center"/>
          </w:tcPr>
          <w:p w14:paraId="4C4134D7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Previo a cirugía</w:t>
            </w:r>
          </w:p>
        </w:tc>
        <w:tc>
          <w:tcPr>
            <w:tcW w:w="984" w:type="pct"/>
            <w:vAlign w:val="center"/>
          </w:tcPr>
          <w:p w14:paraId="7C950CF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984" w:type="pct"/>
            <w:vAlign w:val="center"/>
          </w:tcPr>
          <w:p w14:paraId="7D1E8EE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10,20%</w:t>
            </w:r>
          </w:p>
        </w:tc>
        <w:tc>
          <w:tcPr>
            <w:tcW w:w="965" w:type="pct"/>
            <w:vAlign w:val="center"/>
          </w:tcPr>
          <w:p w14:paraId="185C4E6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3.96%</w:t>
            </w:r>
          </w:p>
        </w:tc>
      </w:tr>
      <w:tr w:rsidR="00FB18B1" w:rsidRPr="004D4E84" w14:paraId="010F92A7" w14:textId="77777777" w:rsidTr="005840A9">
        <w:tc>
          <w:tcPr>
            <w:tcW w:w="1037" w:type="pct"/>
            <w:vMerge/>
            <w:vAlign w:val="center"/>
          </w:tcPr>
          <w:p w14:paraId="0D510751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78925469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Intraoperatorio</w:t>
            </w:r>
          </w:p>
        </w:tc>
        <w:tc>
          <w:tcPr>
            <w:tcW w:w="984" w:type="pct"/>
            <w:vAlign w:val="center"/>
          </w:tcPr>
          <w:p w14:paraId="20BD43D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984" w:type="pct"/>
            <w:vAlign w:val="center"/>
          </w:tcPr>
          <w:p w14:paraId="17E1821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965" w:type="pct"/>
            <w:vAlign w:val="center"/>
          </w:tcPr>
          <w:p w14:paraId="4147F85B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1,98%</w:t>
            </w:r>
          </w:p>
        </w:tc>
      </w:tr>
      <w:tr w:rsidR="00FB18B1" w:rsidRPr="004D4E84" w14:paraId="1EFEDD19" w14:textId="77777777" w:rsidTr="005840A9">
        <w:tc>
          <w:tcPr>
            <w:tcW w:w="1037" w:type="pct"/>
            <w:vMerge/>
            <w:vAlign w:val="center"/>
          </w:tcPr>
          <w:p w14:paraId="4D79D11B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5557DABD" w14:textId="77777777" w:rsidR="00FB18B1" w:rsidRPr="004D4E84" w:rsidRDefault="00FB18B1" w:rsidP="005840A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Postquirúrgico</w:t>
            </w:r>
          </w:p>
        </w:tc>
        <w:tc>
          <w:tcPr>
            <w:tcW w:w="984" w:type="pct"/>
            <w:vAlign w:val="center"/>
          </w:tcPr>
          <w:p w14:paraId="266F797A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984" w:type="pct"/>
            <w:vAlign w:val="center"/>
          </w:tcPr>
          <w:p w14:paraId="1D93F79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73,47%</w:t>
            </w:r>
          </w:p>
        </w:tc>
        <w:tc>
          <w:tcPr>
            <w:tcW w:w="965" w:type="pct"/>
            <w:vAlign w:val="center"/>
          </w:tcPr>
          <w:p w14:paraId="508F280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81,19%</w:t>
            </w:r>
          </w:p>
        </w:tc>
      </w:tr>
    </w:tbl>
    <w:p w14:paraId="3274D20A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6AA87D3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>*</w:t>
      </w:r>
      <w:r w:rsidRPr="004D4E84">
        <w:rPr>
          <w:rFonts w:ascii="Arial" w:hAnsi="Arial" w:cs="Arial"/>
          <w:b/>
          <w:color w:val="000000" w:themeColor="text1"/>
          <w:vertAlign w:val="superscript"/>
        </w:rPr>
        <w:t xml:space="preserve"> </w:t>
      </w:r>
      <w:r w:rsidRPr="004D4E84">
        <w:rPr>
          <w:rFonts w:ascii="Arial" w:hAnsi="Arial" w:cs="Arial"/>
          <w:color w:val="000000" w:themeColor="text1"/>
        </w:rPr>
        <w:t>p = 0,002 entre IMPL y POST respecto al PRE</w:t>
      </w:r>
      <w:r w:rsidR="006151A9" w:rsidRPr="004D4E84">
        <w:rPr>
          <w:rFonts w:ascii="Arial" w:hAnsi="Arial" w:cs="Arial"/>
          <w:color w:val="000000" w:themeColor="text1"/>
        </w:rPr>
        <w:t>.</w:t>
      </w:r>
    </w:p>
    <w:p w14:paraId="17297A5A" w14:textId="77777777" w:rsidR="00D5453B" w:rsidRPr="004D4E84" w:rsidRDefault="00D5453B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 xml:space="preserve">** </w:t>
      </w:r>
      <w:r w:rsidRPr="004D4E84">
        <w:rPr>
          <w:rFonts w:ascii="Arial" w:hAnsi="Arial" w:cs="Arial"/>
        </w:rPr>
        <w:t>p=0.041 entre el POST y el PRE en el número de pacientes a los que se les transfunde sólo un concentrado de hematíes respecto a quienes se les transfunden dos o más</w:t>
      </w:r>
      <w:r w:rsidR="006151A9" w:rsidRPr="004D4E84">
        <w:rPr>
          <w:rFonts w:ascii="Arial" w:hAnsi="Arial" w:cs="Arial"/>
          <w:color w:val="000000" w:themeColor="text1"/>
        </w:rPr>
        <w:t>.</w:t>
      </w:r>
    </w:p>
    <w:p w14:paraId="2D479A39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>*</w:t>
      </w:r>
      <w:r w:rsidR="00D5453B" w:rsidRPr="004D4E84">
        <w:rPr>
          <w:rFonts w:ascii="Arial" w:hAnsi="Arial" w:cs="Arial"/>
          <w:color w:val="000000" w:themeColor="text1"/>
        </w:rPr>
        <w:t>*</w:t>
      </w:r>
      <w:r w:rsidRPr="004D4E84">
        <w:rPr>
          <w:rFonts w:ascii="Arial" w:hAnsi="Arial" w:cs="Arial"/>
          <w:color w:val="000000" w:themeColor="text1"/>
        </w:rPr>
        <w:t>* p = 0.004 entre PRE y IMPL respecto al POST</w:t>
      </w:r>
      <w:r w:rsidR="006151A9" w:rsidRPr="004D4E84">
        <w:rPr>
          <w:rFonts w:ascii="Arial" w:hAnsi="Arial" w:cs="Arial"/>
          <w:color w:val="000000" w:themeColor="text1"/>
        </w:rPr>
        <w:t>.</w:t>
      </w:r>
    </w:p>
    <w:p w14:paraId="2EF45A25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b/>
          <w:color w:val="000000" w:themeColor="text1"/>
        </w:rPr>
        <w:t>*</w:t>
      </w:r>
      <w:r w:rsidR="00D5453B" w:rsidRPr="004D4E84">
        <w:rPr>
          <w:rFonts w:ascii="Arial" w:hAnsi="Arial" w:cs="Arial"/>
          <w:color w:val="000000" w:themeColor="text1"/>
        </w:rPr>
        <w:t>*</w:t>
      </w:r>
      <w:r w:rsidRPr="004D4E84">
        <w:rPr>
          <w:rFonts w:ascii="Arial" w:hAnsi="Arial" w:cs="Arial"/>
          <w:b/>
          <w:color w:val="000000" w:themeColor="text1"/>
        </w:rPr>
        <w:t xml:space="preserve">** </w:t>
      </w:r>
      <w:r w:rsidRPr="004D4E84">
        <w:rPr>
          <w:rFonts w:ascii="Arial" w:hAnsi="Arial" w:cs="Arial"/>
          <w:color w:val="000000" w:themeColor="text1"/>
        </w:rPr>
        <w:t>p= 0.006</w:t>
      </w:r>
      <w:r w:rsidR="006151A9" w:rsidRPr="004D4E84">
        <w:rPr>
          <w:rFonts w:ascii="Arial" w:hAnsi="Arial" w:cs="Arial"/>
          <w:color w:val="000000" w:themeColor="text1"/>
        </w:rPr>
        <w:t>.</w:t>
      </w:r>
      <w:r w:rsidRPr="004D4E84">
        <w:rPr>
          <w:rFonts w:ascii="Arial" w:hAnsi="Arial" w:cs="Arial"/>
          <w:color w:val="000000" w:themeColor="text1"/>
        </w:rPr>
        <w:t xml:space="preserve"> En el grupo PRE existe una alta tasa de transfusión preoperatoria</w:t>
      </w:r>
      <w:r w:rsidR="006151A9" w:rsidRPr="004D4E84">
        <w:rPr>
          <w:rFonts w:ascii="Arial" w:hAnsi="Arial" w:cs="Arial"/>
          <w:color w:val="000000" w:themeColor="text1"/>
        </w:rPr>
        <w:t>.</w:t>
      </w:r>
    </w:p>
    <w:p w14:paraId="6F330452" w14:textId="77777777" w:rsidR="00D5453B" w:rsidRPr="004D4E84" w:rsidRDefault="00D5453B" w:rsidP="00FB18B1">
      <w:pPr>
        <w:rPr>
          <w:rFonts w:ascii="Arial" w:hAnsi="Arial" w:cs="Arial"/>
          <w:b/>
          <w:color w:val="000000" w:themeColor="text1"/>
        </w:rPr>
      </w:pPr>
    </w:p>
    <w:p w14:paraId="1339B78D" w14:textId="77777777" w:rsidR="00FB18B1" w:rsidRPr="004D4E84" w:rsidRDefault="00FB18B1" w:rsidP="00FB18B1">
      <w:pPr>
        <w:rPr>
          <w:rFonts w:ascii="Arial" w:hAnsi="Arial" w:cs="Arial"/>
          <w:b/>
          <w:color w:val="000000" w:themeColor="text1"/>
        </w:rPr>
      </w:pPr>
      <w:r w:rsidRPr="004D4E84">
        <w:rPr>
          <w:rFonts w:ascii="Arial" w:hAnsi="Arial" w:cs="Arial"/>
          <w:b/>
          <w:color w:val="000000" w:themeColor="text1"/>
        </w:rPr>
        <w:br w:type="page"/>
      </w:r>
    </w:p>
    <w:p w14:paraId="28435625" w14:textId="77777777" w:rsidR="00FB18B1" w:rsidRPr="00F17668" w:rsidRDefault="00FB18B1" w:rsidP="00FB18B1">
      <w:pPr>
        <w:ind w:left="708" w:hanging="708"/>
        <w:jc w:val="both"/>
        <w:rPr>
          <w:rFonts w:ascii="Arial" w:hAnsi="Arial" w:cs="Arial"/>
          <w:b/>
          <w:color w:val="44546A" w:themeColor="text2"/>
          <w:highlight w:val="yellow"/>
        </w:rPr>
      </w:pPr>
      <w:r w:rsidRPr="00F17668">
        <w:rPr>
          <w:rFonts w:ascii="Arial" w:hAnsi="Arial" w:cs="Arial"/>
          <w:b/>
          <w:color w:val="44546A" w:themeColor="text2"/>
        </w:rPr>
        <w:lastRenderedPageBreak/>
        <w:t>Tabla 4: Datos de gestión relativos a la cirugía de fractura de cadera:</w:t>
      </w:r>
    </w:p>
    <w:p w14:paraId="3A4C8C94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8"/>
        <w:gridCol w:w="2551"/>
        <w:gridCol w:w="1460"/>
        <w:gridCol w:w="1450"/>
        <w:gridCol w:w="1557"/>
      </w:tblGrid>
      <w:tr w:rsidR="00FB18B1" w:rsidRPr="004D4E84" w14:paraId="28D20B7B" w14:textId="77777777" w:rsidTr="005840A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A0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Grupo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38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BE9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ABAD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IMPL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CE0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FB18B1" w:rsidRPr="004D4E84" w14:paraId="6532D125" w14:textId="77777777" w:rsidTr="005840A9"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F359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Intervención quirúrgica *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42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Antes de 48 horas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C737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8,43%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70E7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17,12%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4BBA" w14:textId="77777777" w:rsidR="00FB18B1" w:rsidRPr="004D4E84" w:rsidRDefault="00FB18B1" w:rsidP="005840A9">
            <w:pPr>
              <w:keepNext/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39,22%</w:t>
            </w:r>
          </w:p>
        </w:tc>
      </w:tr>
      <w:tr w:rsidR="00FB18B1" w:rsidRPr="004D4E84" w14:paraId="43B64990" w14:textId="77777777" w:rsidTr="005840A9">
        <w:tc>
          <w:tcPr>
            <w:tcW w:w="1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E699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D9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Después de 48 horas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368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91,57%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611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82,88%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73D" w14:textId="77777777" w:rsidR="00FB18B1" w:rsidRPr="004D4E84" w:rsidRDefault="00FB18B1" w:rsidP="005840A9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60,78%</w:t>
            </w:r>
          </w:p>
        </w:tc>
      </w:tr>
      <w:tr w:rsidR="00FB18B1" w:rsidRPr="004D4E84" w14:paraId="233F196E" w14:textId="77777777" w:rsidTr="005840A9"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015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Procedencia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86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Domicilio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ED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48,9%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9B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50,9%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34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50,5%</w:t>
            </w:r>
          </w:p>
        </w:tc>
      </w:tr>
      <w:tr w:rsidR="00FB18B1" w:rsidRPr="004D4E84" w14:paraId="7319B5F3" w14:textId="77777777" w:rsidTr="005840A9">
        <w:tc>
          <w:tcPr>
            <w:tcW w:w="1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F543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31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Residencia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FB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51,1%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C9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49,1%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0F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49,5%</w:t>
            </w:r>
          </w:p>
        </w:tc>
      </w:tr>
      <w:tr w:rsidR="00FB18B1" w:rsidRPr="004D4E84" w14:paraId="376BCD7C" w14:textId="77777777" w:rsidTr="005840A9"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617C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Destino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15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Domicilio a Domicilio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63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25,30%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C7A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24,53%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91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30,10%</w:t>
            </w:r>
          </w:p>
        </w:tc>
      </w:tr>
      <w:tr w:rsidR="00FB18B1" w:rsidRPr="004D4E84" w14:paraId="0B0D8599" w14:textId="77777777" w:rsidTr="005840A9">
        <w:tc>
          <w:tcPr>
            <w:tcW w:w="1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6CEB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C9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Domicilio a Residencia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39D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21,69%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6E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26,42%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480B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21,43%</w:t>
            </w:r>
          </w:p>
        </w:tc>
      </w:tr>
      <w:tr w:rsidR="00FB18B1" w:rsidRPr="004D4E84" w14:paraId="5AA9458E" w14:textId="77777777" w:rsidTr="005840A9">
        <w:tc>
          <w:tcPr>
            <w:tcW w:w="1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AE98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9D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Residencia a Residencia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61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53,01%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F6C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49,06%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DE1" w14:textId="77777777" w:rsidR="00FB18B1" w:rsidRPr="004D4E84" w:rsidRDefault="00FB18B1" w:rsidP="005840A9">
            <w:pPr>
              <w:keepNext/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48,47%</w:t>
            </w:r>
          </w:p>
        </w:tc>
      </w:tr>
      <w:tr w:rsidR="00FB18B1" w:rsidRPr="004D4E84" w14:paraId="0B69465B" w14:textId="77777777" w:rsidTr="005840A9"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E4A1B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Días ingreso según destino </w:t>
            </w:r>
            <w:r w:rsidRPr="004D4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(P25-P50-P75)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86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Domicilio a Domicilio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52E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9-11-13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FCF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8-10-13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D4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7-9-11</w:t>
            </w:r>
          </w:p>
        </w:tc>
      </w:tr>
      <w:tr w:rsidR="00FB18B1" w:rsidRPr="004D4E84" w14:paraId="0681438D" w14:textId="77777777" w:rsidTr="005840A9">
        <w:tc>
          <w:tcPr>
            <w:tcW w:w="1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CCC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F3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Domicilio a Residencia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16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8-10-13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09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11-14-16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C2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11-14-18</w:t>
            </w:r>
          </w:p>
        </w:tc>
      </w:tr>
      <w:tr w:rsidR="00FB18B1" w:rsidRPr="004D4E84" w14:paraId="57AF2E38" w14:textId="77777777" w:rsidTr="005840A9"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A9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13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Residencia a Residencia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45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9-11-12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FD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8-9-11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F17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6-7-9</w:t>
            </w:r>
          </w:p>
        </w:tc>
      </w:tr>
      <w:tr w:rsidR="00FB18B1" w:rsidRPr="004D4E84" w14:paraId="2F3941DD" w14:textId="77777777" w:rsidTr="005840A9"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0484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Mortalidad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48E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Intrahospitalaria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4F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6,82%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04BA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3,57%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8A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3,43%</w:t>
            </w:r>
          </w:p>
        </w:tc>
      </w:tr>
      <w:tr w:rsidR="00FB18B1" w:rsidRPr="004D4E84" w14:paraId="7631C43A" w14:textId="77777777" w:rsidTr="005840A9">
        <w:tc>
          <w:tcPr>
            <w:tcW w:w="1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0864A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7E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A las 6 semanas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CA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14.77%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D1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6.25%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AC3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4.41%</w:t>
            </w:r>
          </w:p>
        </w:tc>
      </w:tr>
      <w:tr w:rsidR="00FB18B1" w:rsidRPr="004D4E84" w14:paraId="0BF8D668" w14:textId="77777777" w:rsidTr="005840A9">
        <w:tc>
          <w:tcPr>
            <w:tcW w:w="1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D9A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425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A los 3 meses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1D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17.05%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67C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6.25%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A6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7.84%</w:t>
            </w:r>
          </w:p>
        </w:tc>
      </w:tr>
      <w:tr w:rsidR="00FB18B1" w:rsidRPr="004D4E84" w14:paraId="3C1E0B3C" w14:textId="77777777" w:rsidTr="005840A9"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BC9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D3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A los 6 meses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FBB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18.18%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786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9.82%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CA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11.27%</w:t>
            </w:r>
          </w:p>
        </w:tc>
      </w:tr>
      <w:tr w:rsidR="00FB18B1" w:rsidRPr="004D4E84" w14:paraId="00F2475C" w14:textId="77777777" w:rsidTr="005840A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24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Reingreso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010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En los 3 primeros meses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79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23,17%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DA1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17,59%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A68" w14:textId="77777777" w:rsidR="00FB18B1" w:rsidRPr="004D4E84" w:rsidRDefault="00FB18B1" w:rsidP="005840A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84">
              <w:rPr>
                <w:rFonts w:ascii="Arial" w:hAnsi="Arial" w:cs="Arial"/>
                <w:color w:val="000000" w:themeColor="text1"/>
                <w:sz w:val="24"/>
                <w:szCs w:val="24"/>
              </w:rPr>
              <w:t>6,70%</w:t>
            </w:r>
          </w:p>
        </w:tc>
      </w:tr>
    </w:tbl>
    <w:p w14:paraId="69A84426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74B5AB1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 xml:space="preserve">* p = 0.001 entre PRE e IMPL y POST. </w:t>
      </w:r>
    </w:p>
    <w:p w14:paraId="20E32B65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4E84">
        <w:rPr>
          <w:rFonts w:ascii="Arial" w:hAnsi="Arial" w:cs="Arial"/>
          <w:color w:val="000000" w:themeColor="text1"/>
        </w:rPr>
        <w:t>P25-P50-P75 son los percentiles 25, 50 y 75 respectivamente.</w:t>
      </w:r>
    </w:p>
    <w:p w14:paraId="4604752B" w14:textId="77777777" w:rsidR="00FB18B1" w:rsidRPr="004D4E84" w:rsidRDefault="00FB18B1" w:rsidP="00FB18B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40FC44B" w14:textId="77777777" w:rsidR="005B55B6" w:rsidRPr="004D4E84" w:rsidRDefault="005B55B6" w:rsidP="005B55B6">
      <w:pPr>
        <w:pStyle w:val="Caption"/>
        <w:spacing w:line="360" w:lineRule="auto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sectPr w:rsidR="005B55B6" w:rsidRPr="004D4E84" w:rsidSect="0065574F">
      <w:footerReference w:type="default" r:id="rId8"/>
      <w:headerReference w:type="first" r:id="rId9"/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BEC9B" w14:textId="77777777" w:rsidR="00E11816" w:rsidRDefault="00E11816" w:rsidP="00F81355">
      <w:r>
        <w:separator/>
      </w:r>
    </w:p>
  </w:endnote>
  <w:endnote w:type="continuationSeparator" w:id="0">
    <w:p w14:paraId="69589E73" w14:textId="77777777" w:rsidR="00E11816" w:rsidRDefault="00E11816" w:rsidP="00F8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641682"/>
      <w:docPartObj>
        <w:docPartGallery w:val="Page Numbers (Bottom of Page)"/>
        <w:docPartUnique/>
      </w:docPartObj>
    </w:sdtPr>
    <w:sdtEndPr/>
    <w:sdtContent>
      <w:p w14:paraId="1E3A0A59" w14:textId="77777777" w:rsidR="0040796C" w:rsidRDefault="004079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8D">
          <w:rPr>
            <w:noProof/>
          </w:rPr>
          <w:t>6</w:t>
        </w:r>
        <w:r>
          <w:fldChar w:fldCharType="end"/>
        </w:r>
      </w:p>
    </w:sdtContent>
  </w:sdt>
  <w:p w14:paraId="33ABAD9B" w14:textId="77777777" w:rsidR="0040796C" w:rsidRDefault="0040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0FC42" w14:textId="77777777" w:rsidR="00E11816" w:rsidRDefault="00E11816" w:rsidP="00F81355">
      <w:r>
        <w:separator/>
      </w:r>
    </w:p>
  </w:footnote>
  <w:footnote w:type="continuationSeparator" w:id="0">
    <w:p w14:paraId="1221D957" w14:textId="77777777" w:rsidR="00E11816" w:rsidRDefault="00E11816" w:rsidP="00F8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081250"/>
      <w:docPartObj>
        <w:docPartGallery w:val="Page Numbers (Top of Page)"/>
        <w:docPartUnique/>
      </w:docPartObj>
    </w:sdtPr>
    <w:sdtEndPr/>
    <w:sdtContent>
      <w:p w14:paraId="368132C7" w14:textId="77777777" w:rsidR="0040796C" w:rsidRDefault="0040796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85D383" w14:textId="77777777" w:rsidR="0040796C" w:rsidRDefault="0040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85E"/>
    <w:multiLevelType w:val="hybridMultilevel"/>
    <w:tmpl w:val="B9FCA21C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3C13"/>
    <w:multiLevelType w:val="hybridMultilevel"/>
    <w:tmpl w:val="C2F0FC7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450D"/>
    <w:multiLevelType w:val="hybridMultilevel"/>
    <w:tmpl w:val="A14416AA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0135"/>
    <w:multiLevelType w:val="multilevel"/>
    <w:tmpl w:val="D3AE30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0D0066E1"/>
    <w:multiLevelType w:val="hybridMultilevel"/>
    <w:tmpl w:val="0B5647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02C31"/>
    <w:multiLevelType w:val="hybridMultilevel"/>
    <w:tmpl w:val="07C8FF2E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90D0B"/>
    <w:multiLevelType w:val="hybridMultilevel"/>
    <w:tmpl w:val="0E4001A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56680"/>
    <w:multiLevelType w:val="hybridMultilevel"/>
    <w:tmpl w:val="7C0AF40C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096B68"/>
    <w:multiLevelType w:val="hybridMultilevel"/>
    <w:tmpl w:val="7DD4AE98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131CE"/>
    <w:multiLevelType w:val="hybridMultilevel"/>
    <w:tmpl w:val="F1447510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4690F"/>
    <w:multiLevelType w:val="hybridMultilevel"/>
    <w:tmpl w:val="53705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45AE0"/>
    <w:multiLevelType w:val="hybridMultilevel"/>
    <w:tmpl w:val="1E866D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D5337A"/>
    <w:multiLevelType w:val="hybridMultilevel"/>
    <w:tmpl w:val="042C4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E69BD"/>
    <w:multiLevelType w:val="hybridMultilevel"/>
    <w:tmpl w:val="19C623E2"/>
    <w:lvl w:ilvl="0" w:tplc="37F654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5FB5"/>
    <w:multiLevelType w:val="hybridMultilevel"/>
    <w:tmpl w:val="BCBAAE76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0961"/>
    <w:multiLevelType w:val="hybridMultilevel"/>
    <w:tmpl w:val="A600EF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7198F"/>
    <w:multiLevelType w:val="hybridMultilevel"/>
    <w:tmpl w:val="16308B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37EED"/>
    <w:multiLevelType w:val="hybridMultilevel"/>
    <w:tmpl w:val="51A8FBDE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4620C"/>
    <w:multiLevelType w:val="hybridMultilevel"/>
    <w:tmpl w:val="3E187EA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857950"/>
    <w:multiLevelType w:val="hybridMultilevel"/>
    <w:tmpl w:val="66D098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641FF"/>
    <w:multiLevelType w:val="hybridMultilevel"/>
    <w:tmpl w:val="38A8FCFA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3BB19A6"/>
    <w:multiLevelType w:val="hybridMultilevel"/>
    <w:tmpl w:val="43F695F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66116F"/>
    <w:multiLevelType w:val="multilevel"/>
    <w:tmpl w:val="1DA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8519CC"/>
    <w:multiLevelType w:val="hybridMultilevel"/>
    <w:tmpl w:val="EA4E7A6A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9924443"/>
    <w:multiLevelType w:val="hybridMultilevel"/>
    <w:tmpl w:val="C2F0FC7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D030B4"/>
    <w:multiLevelType w:val="hybridMultilevel"/>
    <w:tmpl w:val="35C64FE0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024"/>
    <w:multiLevelType w:val="hybridMultilevel"/>
    <w:tmpl w:val="21C4D3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10DB0"/>
    <w:multiLevelType w:val="hybridMultilevel"/>
    <w:tmpl w:val="0ABE946C"/>
    <w:lvl w:ilvl="0" w:tplc="87ECF9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F7A07"/>
    <w:multiLevelType w:val="hybridMultilevel"/>
    <w:tmpl w:val="57F2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26476"/>
    <w:multiLevelType w:val="hybridMultilevel"/>
    <w:tmpl w:val="8E6662B8"/>
    <w:lvl w:ilvl="0" w:tplc="858AA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"/>
  </w:num>
  <w:num w:numId="5">
    <w:abstractNumId w:val="24"/>
  </w:num>
  <w:num w:numId="6">
    <w:abstractNumId w:val="6"/>
  </w:num>
  <w:num w:numId="7">
    <w:abstractNumId w:val="12"/>
  </w:num>
  <w:num w:numId="8">
    <w:abstractNumId w:val="9"/>
  </w:num>
  <w:num w:numId="9">
    <w:abstractNumId w:val="22"/>
  </w:num>
  <w:num w:numId="10">
    <w:abstractNumId w:val="7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28"/>
  </w:num>
  <w:num w:numId="16">
    <w:abstractNumId w:val="20"/>
  </w:num>
  <w:num w:numId="17">
    <w:abstractNumId w:val="23"/>
  </w:num>
  <w:num w:numId="18">
    <w:abstractNumId w:val="26"/>
  </w:num>
  <w:num w:numId="19">
    <w:abstractNumId w:val="15"/>
  </w:num>
  <w:num w:numId="20">
    <w:abstractNumId w:val="19"/>
  </w:num>
  <w:num w:numId="21">
    <w:abstractNumId w:val="9"/>
  </w:num>
  <w:num w:numId="22">
    <w:abstractNumId w:val="26"/>
  </w:num>
  <w:num w:numId="23">
    <w:abstractNumId w:val="15"/>
  </w:num>
  <w:num w:numId="24">
    <w:abstractNumId w:val="14"/>
  </w:num>
  <w:num w:numId="25">
    <w:abstractNumId w:val="0"/>
  </w:num>
  <w:num w:numId="26">
    <w:abstractNumId w:val="29"/>
  </w:num>
  <w:num w:numId="27">
    <w:abstractNumId w:val="17"/>
  </w:num>
  <w:num w:numId="28">
    <w:abstractNumId w:val="8"/>
  </w:num>
  <w:num w:numId="29">
    <w:abstractNumId w:val="2"/>
  </w:num>
  <w:num w:numId="30">
    <w:abstractNumId w:val="25"/>
  </w:num>
  <w:num w:numId="31">
    <w:abstractNumId w:val="5"/>
  </w:num>
  <w:num w:numId="32">
    <w:abstractNumId w:val="27"/>
  </w:num>
  <w:num w:numId="3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F"/>
    <w:rsid w:val="00002CE4"/>
    <w:rsid w:val="000055FE"/>
    <w:rsid w:val="00005764"/>
    <w:rsid w:val="00005D61"/>
    <w:rsid w:val="000144C0"/>
    <w:rsid w:val="00014DD4"/>
    <w:rsid w:val="00016E3F"/>
    <w:rsid w:val="0002402D"/>
    <w:rsid w:val="00033EBF"/>
    <w:rsid w:val="000366A5"/>
    <w:rsid w:val="00046066"/>
    <w:rsid w:val="0004678B"/>
    <w:rsid w:val="00046F69"/>
    <w:rsid w:val="0004743A"/>
    <w:rsid w:val="00051813"/>
    <w:rsid w:val="00053385"/>
    <w:rsid w:val="00055BC2"/>
    <w:rsid w:val="000621AF"/>
    <w:rsid w:val="00067113"/>
    <w:rsid w:val="00071121"/>
    <w:rsid w:val="0007178D"/>
    <w:rsid w:val="00071B7C"/>
    <w:rsid w:val="00073C7E"/>
    <w:rsid w:val="000872D7"/>
    <w:rsid w:val="00087819"/>
    <w:rsid w:val="000A751B"/>
    <w:rsid w:val="000B228F"/>
    <w:rsid w:val="000C14D8"/>
    <w:rsid w:val="000C5AE7"/>
    <w:rsid w:val="000C71C8"/>
    <w:rsid w:val="000D1797"/>
    <w:rsid w:val="000D506B"/>
    <w:rsid w:val="000D5F4E"/>
    <w:rsid w:val="000D61D7"/>
    <w:rsid w:val="000D695E"/>
    <w:rsid w:val="000E5798"/>
    <w:rsid w:val="000F09E7"/>
    <w:rsid w:val="000F6A10"/>
    <w:rsid w:val="00101246"/>
    <w:rsid w:val="0010691B"/>
    <w:rsid w:val="001158ED"/>
    <w:rsid w:val="00123AAC"/>
    <w:rsid w:val="00127A2D"/>
    <w:rsid w:val="00131082"/>
    <w:rsid w:val="00132F69"/>
    <w:rsid w:val="001334B4"/>
    <w:rsid w:val="00147959"/>
    <w:rsid w:val="0015422F"/>
    <w:rsid w:val="001641E6"/>
    <w:rsid w:val="00172B25"/>
    <w:rsid w:val="00174E71"/>
    <w:rsid w:val="00185E4E"/>
    <w:rsid w:val="001867A6"/>
    <w:rsid w:val="001869F3"/>
    <w:rsid w:val="001926F0"/>
    <w:rsid w:val="001936B3"/>
    <w:rsid w:val="001A11BB"/>
    <w:rsid w:val="001A3DD4"/>
    <w:rsid w:val="001B52EA"/>
    <w:rsid w:val="001B603F"/>
    <w:rsid w:val="001D55CC"/>
    <w:rsid w:val="001D683F"/>
    <w:rsid w:val="001E0FF9"/>
    <w:rsid w:val="001E5A46"/>
    <w:rsid w:val="001E7F4C"/>
    <w:rsid w:val="001F071D"/>
    <w:rsid w:val="001F2A37"/>
    <w:rsid w:val="001F7176"/>
    <w:rsid w:val="00200683"/>
    <w:rsid w:val="00201F61"/>
    <w:rsid w:val="0020332D"/>
    <w:rsid w:val="00203DC4"/>
    <w:rsid w:val="00207D07"/>
    <w:rsid w:val="00212DB1"/>
    <w:rsid w:val="0021471E"/>
    <w:rsid w:val="002216FD"/>
    <w:rsid w:val="002328CE"/>
    <w:rsid w:val="002331EB"/>
    <w:rsid w:val="0024131D"/>
    <w:rsid w:val="0024505B"/>
    <w:rsid w:val="00256E27"/>
    <w:rsid w:val="00260D32"/>
    <w:rsid w:val="00261DF8"/>
    <w:rsid w:val="00263B90"/>
    <w:rsid w:val="002727A4"/>
    <w:rsid w:val="002735A3"/>
    <w:rsid w:val="0028104C"/>
    <w:rsid w:val="002948A3"/>
    <w:rsid w:val="002B1D2C"/>
    <w:rsid w:val="002B2470"/>
    <w:rsid w:val="002B40E2"/>
    <w:rsid w:val="002B6C2C"/>
    <w:rsid w:val="002B7A4B"/>
    <w:rsid w:val="002C1CC0"/>
    <w:rsid w:val="002C632E"/>
    <w:rsid w:val="002D0826"/>
    <w:rsid w:val="002D2669"/>
    <w:rsid w:val="002E14B9"/>
    <w:rsid w:val="002E2638"/>
    <w:rsid w:val="002E4192"/>
    <w:rsid w:val="002F1FF8"/>
    <w:rsid w:val="002F6140"/>
    <w:rsid w:val="0030208B"/>
    <w:rsid w:val="003061B3"/>
    <w:rsid w:val="00307B71"/>
    <w:rsid w:val="0031254F"/>
    <w:rsid w:val="0031316C"/>
    <w:rsid w:val="00317BC6"/>
    <w:rsid w:val="00321558"/>
    <w:rsid w:val="00332975"/>
    <w:rsid w:val="0033411A"/>
    <w:rsid w:val="00335682"/>
    <w:rsid w:val="003454B9"/>
    <w:rsid w:val="0035179B"/>
    <w:rsid w:val="0035676E"/>
    <w:rsid w:val="00362707"/>
    <w:rsid w:val="00363A18"/>
    <w:rsid w:val="003714C6"/>
    <w:rsid w:val="00375703"/>
    <w:rsid w:val="0038112A"/>
    <w:rsid w:val="00383C57"/>
    <w:rsid w:val="003867A4"/>
    <w:rsid w:val="00392C88"/>
    <w:rsid w:val="00395BB9"/>
    <w:rsid w:val="003A01DD"/>
    <w:rsid w:val="003A3C3C"/>
    <w:rsid w:val="003A61CE"/>
    <w:rsid w:val="003A6F31"/>
    <w:rsid w:val="003B0B44"/>
    <w:rsid w:val="003B4894"/>
    <w:rsid w:val="003B71BB"/>
    <w:rsid w:val="003B76A5"/>
    <w:rsid w:val="003D0E58"/>
    <w:rsid w:val="003E1A9B"/>
    <w:rsid w:val="003E614D"/>
    <w:rsid w:val="003E661E"/>
    <w:rsid w:val="003F1DA9"/>
    <w:rsid w:val="003F29D2"/>
    <w:rsid w:val="003F6B64"/>
    <w:rsid w:val="00401132"/>
    <w:rsid w:val="00403A6F"/>
    <w:rsid w:val="0040796C"/>
    <w:rsid w:val="004115A3"/>
    <w:rsid w:val="004161E1"/>
    <w:rsid w:val="0041695A"/>
    <w:rsid w:val="00416FB2"/>
    <w:rsid w:val="0041720C"/>
    <w:rsid w:val="00421D35"/>
    <w:rsid w:val="004253BD"/>
    <w:rsid w:val="004268BE"/>
    <w:rsid w:val="00436D5D"/>
    <w:rsid w:val="00446951"/>
    <w:rsid w:val="00460C94"/>
    <w:rsid w:val="004622C8"/>
    <w:rsid w:val="00470C0D"/>
    <w:rsid w:val="00471CCC"/>
    <w:rsid w:val="00474379"/>
    <w:rsid w:val="00474D1E"/>
    <w:rsid w:val="00484FF3"/>
    <w:rsid w:val="0048784E"/>
    <w:rsid w:val="0049275B"/>
    <w:rsid w:val="004939A8"/>
    <w:rsid w:val="00494417"/>
    <w:rsid w:val="0049701B"/>
    <w:rsid w:val="00497F47"/>
    <w:rsid w:val="004A17C1"/>
    <w:rsid w:val="004A3C2D"/>
    <w:rsid w:val="004A705A"/>
    <w:rsid w:val="004B22A8"/>
    <w:rsid w:val="004B6453"/>
    <w:rsid w:val="004B7F1B"/>
    <w:rsid w:val="004C16D8"/>
    <w:rsid w:val="004C19F4"/>
    <w:rsid w:val="004C4BA4"/>
    <w:rsid w:val="004C6EAE"/>
    <w:rsid w:val="004C7D97"/>
    <w:rsid w:val="004D2574"/>
    <w:rsid w:val="004D4E84"/>
    <w:rsid w:val="004E27CF"/>
    <w:rsid w:val="004E65A4"/>
    <w:rsid w:val="004E7B68"/>
    <w:rsid w:val="005001CA"/>
    <w:rsid w:val="00503EC1"/>
    <w:rsid w:val="00505BBC"/>
    <w:rsid w:val="0050730B"/>
    <w:rsid w:val="00511096"/>
    <w:rsid w:val="00511FF3"/>
    <w:rsid w:val="00515297"/>
    <w:rsid w:val="00524C97"/>
    <w:rsid w:val="00527E1F"/>
    <w:rsid w:val="005362C6"/>
    <w:rsid w:val="00540F2A"/>
    <w:rsid w:val="00541D0C"/>
    <w:rsid w:val="00543B0A"/>
    <w:rsid w:val="005464DF"/>
    <w:rsid w:val="00546BF4"/>
    <w:rsid w:val="005534F4"/>
    <w:rsid w:val="0056455F"/>
    <w:rsid w:val="005662BA"/>
    <w:rsid w:val="0056714A"/>
    <w:rsid w:val="00570E40"/>
    <w:rsid w:val="00581353"/>
    <w:rsid w:val="00582C03"/>
    <w:rsid w:val="005840A9"/>
    <w:rsid w:val="005B348F"/>
    <w:rsid w:val="005B55B6"/>
    <w:rsid w:val="005B6D28"/>
    <w:rsid w:val="005B6D48"/>
    <w:rsid w:val="005C276B"/>
    <w:rsid w:val="005C2DBB"/>
    <w:rsid w:val="005D16AC"/>
    <w:rsid w:val="005D657B"/>
    <w:rsid w:val="005E7422"/>
    <w:rsid w:val="005E783D"/>
    <w:rsid w:val="005F0604"/>
    <w:rsid w:val="005F2F46"/>
    <w:rsid w:val="005F3D00"/>
    <w:rsid w:val="005F5992"/>
    <w:rsid w:val="00613F3A"/>
    <w:rsid w:val="006142F8"/>
    <w:rsid w:val="006146DC"/>
    <w:rsid w:val="006151A9"/>
    <w:rsid w:val="006222F8"/>
    <w:rsid w:val="006303D3"/>
    <w:rsid w:val="00637009"/>
    <w:rsid w:val="00651393"/>
    <w:rsid w:val="0065574F"/>
    <w:rsid w:val="0065782F"/>
    <w:rsid w:val="0068342F"/>
    <w:rsid w:val="0068433D"/>
    <w:rsid w:val="00685D38"/>
    <w:rsid w:val="00694043"/>
    <w:rsid w:val="00696C9E"/>
    <w:rsid w:val="006A2F84"/>
    <w:rsid w:val="006A3B4C"/>
    <w:rsid w:val="006C360E"/>
    <w:rsid w:val="006C6D15"/>
    <w:rsid w:val="006D4224"/>
    <w:rsid w:val="006E7E8D"/>
    <w:rsid w:val="006F3E08"/>
    <w:rsid w:val="006F5C48"/>
    <w:rsid w:val="006F5D66"/>
    <w:rsid w:val="006F74D5"/>
    <w:rsid w:val="007040C0"/>
    <w:rsid w:val="00710E6A"/>
    <w:rsid w:val="007167FA"/>
    <w:rsid w:val="00721E4C"/>
    <w:rsid w:val="00724E3D"/>
    <w:rsid w:val="007261ED"/>
    <w:rsid w:val="007300FF"/>
    <w:rsid w:val="00730E18"/>
    <w:rsid w:val="0073335B"/>
    <w:rsid w:val="0073428F"/>
    <w:rsid w:val="00737E02"/>
    <w:rsid w:val="00744C27"/>
    <w:rsid w:val="00747C07"/>
    <w:rsid w:val="00757631"/>
    <w:rsid w:val="00762239"/>
    <w:rsid w:val="00762B14"/>
    <w:rsid w:val="00762EFF"/>
    <w:rsid w:val="007671F1"/>
    <w:rsid w:val="00775C03"/>
    <w:rsid w:val="007A5049"/>
    <w:rsid w:val="007A7998"/>
    <w:rsid w:val="007B2624"/>
    <w:rsid w:val="007B2991"/>
    <w:rsid w:val="007B65F2"/>
    <w:rsid w:val="007B6B9F"/>
    <w:rsid w:val="007C100F"/>
    <w:rsid w:val="007C1368"/>
    <w:rsid w:val="007C4141"/>
    <w:rsid w:val="007C529E"/>
    <w:rsid w:val="007D3033"/>
    <w:rsid w:val="007E0DB2"/>
    <w:rsid w:val="007E14E7"/>
    <w:rsid w:val="007E4158"/>
    <w:rsid w:val="007F2D3B"/>
    <w:rsid w:val="007F3EF7"/>
    <w:rsid w:val="007F645F"/>
    <w:rsid w:val="00806FBF"/>
    <w:rsid w:val="0081257B"/>
    <w:rsid w:val="00814C83"/>
    <w:rsid w:val="00816625"/>
    <w:rsid w:val="0081691E"/>
    <w:rsid w:val="008241BE"/>
    <w:rsid w:val="008479DF"/>
    <w:rsid w:val="00857FA4"/>
    <w:rsid w:val="0086712D"/>
    <w:rsid w:val="0086734A"/>
    <w:rsid w:val="00874865"/>
    <w:rsid w:val="00874E2C"/>
    <w:rsid w:val="00877B21"/>
    <w:rsid w:val="008844AB"/>
    <w:rsid w:val="008856FA"/>
    <w:rsid w:val="00887E79"/>
    <w:rsid w:val="00890F70"/>
    <w:rsid w:val="00891838"/>
    <w:rsid w:val="008A1BB3"/>
    <w:rsid w:val="008A27AA"/>
    <w:rsid w:val="008A3DA3"/>
    <w:rsid w:val="008B03AE"/>
    <w:rsid w:val="008B200B"/>
    <w:rsid w:val="008B7DA5"/>
    <w:rsid w:val="008C1F34"/>
    <w:rsid w:val="008C2B30"/>
    <w:rsid w:val="008C4713"/>
    <w:rsid w:val="008C5963"/>
    <w:rsid w:val="008C7B84"/>
    <w:rsid w:val="008C7FC1"/>
    <w:rsid w:val="008D213C"/>
    <w:rsid w:val="008D3B3C"/>
    <w:rsid w:val="008D614B"/>
    <w:rsid w:val="008E03B2"/>
    <w:rsid w:val="008E2804"/>
    <w:rsid w:val="008E6AEA"/>
    <w:rsid w:val="008F13F1"/>
    <w:rsid w:val="008F3A92"/>
    <w:rsid w:val="008F45C6"/>
    <w:rsid w:val="00900C4A"/>
    <w:rsid w:val="00901ED3"/>
    <w:rsid w:val="0090329B"/>
    <w:rsid w:val="00913DED"/>
    <w:rsid w:val="00923607"/>
    <w:rsid w:val="009345B3"/>
    <w:rsid w:val="00936347"/>
    <w:rsid w:val="0094447C"/>
    <w:rsid w:val="0094486C"/>
    <w:rsid w:val="0095149D"/>
    <w:rsid w:val="009520CE"/>
    <w:rsid w:val="00954B77"/>
    <w:rsid w:val="00954CB4"/>
    <w:rsid w:val="00964AC4"/>
    <w:rsid w:val="009718EA"/>
    <w:rsid w:val="0097331F"/>
    <w:rsid w:val="00973F69"/>
    <w:rsid w:val="00982F7A"/>
    <w:rsid w:val="009832D6"/>
    <w:rsid w:val="00984C6B"/>
    <w:rsid w:val="009A082E"/>
    <w:rsid w:val="009A0B7D"/>
    <w:rsid w:val="009A3926"/>
    <w:rsid w:val="009A4CAC"/>
    <w:rsid w:val="009B55BA"/>
    <w:rsid w:val="009B61CC"/>
    <w:rsid w:val="009D040D"/>
    <w:rsid w:val="009D3D56"/>
    <w:rsid w:val="009D4764"/>
    <w:rsid w:val="009D6DAE"/>
    <w:rsid w:val="009E2503"/>
    <w:rsid w:val="009F012E"/>
    <w:rsid w:val="009F6FE4"/>
    <w:rsid w:val="00A018A9"/>
    <w:rsid w:val="00A0385B"/>
    <w:rsid w:val="00A12EC5"/>
    <w:rsid w:val="00A1518B"/>
    <w:rsid w:val="00A22E33"/>
    <w:rsid w:val="00A261EB"/>
    <w:rsid w:val="00A26FFF"/>
    <w:rsid w:val="00A304B0"/>
    <w:rsid w:val="00A401E7"/>
    <w:rsid w:val="00A51204"/>
    <w:rsid w:val="00A55ACA"/>
    <w:rsid w:val="00A5620C"/>
    <w:rsid w:val="00A5673B"/>
    <w:rsid w:val="00A57B77"/>
    <w:rsid w:val="00A80EEB"/>
    <w:rsid w:val="00A81EEC"/>
    <w:rsid w:val="00A81F2C"/>
    <w:rsid w:val="00A902A4"/>
    <w:rsid w:val="00A93978"/>
    <w:rsid w:val="00AA2FAA"/>
    <w:rsid w:val="00AA5C3D"/>
    <w:rsid w:val="00AB3741"/>
    <w:rsid w:val="00AB4D98"/>
    <w:rsid w:val="00AC2CE8"/>
    <w:rsid w:val="00AC7296"/>
    <w:rsid w:val="00AD2328"/>
    <w:rsid w:val="00AE3E36"/>
    <w:rsid w:val="00B05630"/>
    <w:rsid w:val="00B07C04"/>
    <w:rsid w:val="00B1760C"/>
    <w:rsid w:val="00B21168"/>
    <w:rsid w:val="00B24F2B"/>
    <w:rsid w:val="00B25C9E"/>
    <w:rsid w:val="00B25F18"/>
    <w:rsid w:val="00B27E7F"/>
    <w:rsid w:val="00B31310"/>
    <w:rsid w:val="00B40A45"/>
    <w:rsid w:val="00B517CF"/>
    <w:rsid w:val="00B71917"/>
    <w:rsid w:val="00B77A93"/>
    <w:rsid w:val="00B916AD"/>
    <w:rsid w:val="00BA0182"/>
    <w:rsid w:val="00BA2162"/>
    <w:rsid w:val="00BA34A5"/>
    <w:rsid w:val="00BA7D1B"/>
    <w:rsid w:val="00BB1E76"/>
    <w:rsid w:val="00BB77AA"/>
    <w:rsid w:val="00BC1A2A"/>
    <w:rsid w:val="00BC40AF"/>
    <w:rsid w:val="00BC57E2"/>
    <w:rsid w:val="00BC7FD9"/>
    <w:rsid w:val="00BD033E"/>
    <w:rsid w:val="00BD0C8D"/>
    <w:rsid w:val="00BD1B23"/>
    <w:rsid w:val="00BD2216"/>
    <w:rsid w:val="00BD3E7F"/>
    <w:rsid w:val="00BE41DD"/>
    <w:rsid w:val="00BE49BA"/>
    <w:rsid w:val="00BE4D38"/>
    <w:rsid w:val="00BF4537"/>
    <w:rsid w:val="00BF6BA3"/>
    <w:rsid w:val="00C03910"/>
    <w:rsid w:val="00C10D55"/>
    <w:rsid w:val="00C12680"/>
    <w:rsid w:val="00C14FC0"/>
    <w:rsid w:val="00C151BF"/>
    <w:rsid w:val="00C25775"/>
    <w:rsid w:val="00C33551"/>
    <w:rsid w:val="00C52A81"/>
    <w:rsid w:val="00C5319C"/>
    <w:rsid w:val="00C55DBA"/>
    <w:rsid w:val="00C5644F"/>
    <w:rsid w:val="00C602F5"/>
    <w:rsid w:val="00C657DA"/>
    <w:rsid w:val="00C674D5"/>
    <w:rsid w:val="00C7130C"/>
    <w:rsid w:val="00C76417"/>
    <w:rsid w:val="00C80DDC"/>
    <w:rsid w:val="00C810B4"/>
    <w:rsid w:val="00C814BB"/>
    <w:rsid w:val="00C8471A"/>
    <w:rsid w:val="00C85950"/>
    <w:rsid w:val="00C93B22"/>
    <w:rsid w:val="00C97AA7"/>
    <w:rsid w:val="00CB6236"/>
    <w:rsid w:val="00CC5BAF"/>
    <w:rsid w:val="00CD620D"/>
    <w:rsid w:val="00CE3EB0"/>
    <w:rsid w:val="00CF0737"/>
    <w:rsid w:val="00CF3582"/>
    <w:rsid w:val="00CF4F5E"/>
    <w:rsid w:val="00D005B6"/>
    <w:rsid w:val="00D016DE"/>
    <w:rsid w:val="00D051CD"/>
    <w:rsid w:val="00D13037"/>
    <w:rsid w:val="00D23BE4"/>
    <w:rsid w:val="00D25EDF"/>
    <w:rsid w:val="00D2756F"/>
    <w:rsid w:val="00D33357"/>
    <w:rsid w:val="00D334E3"/>
    <w:rsid w:val="00D43AF1"/>
    <w:rsid w:val="00D466F9"/>
    <w:rsid w:val="00D47580"/>
    <w:rsid w:val="00D522D9"/>
    <w:rsid w:val="00D523D0"/>
    <w:rsid w:val="00D5453B"/>
    <w:rsid w:val="00D554ED"/>
    <w:rsid w:val="00D57517"/>
    <w:rsid w:val="00D611A6"/>
    <w:rsid w:val="00D6219A"/>
    <w:rsid w:val="00D73BE5"/>
    <w:rsid w:val="00D775BB"/>
    <w:rsid w:val="00D80181"/>
    <w:rsid w:val="00D80C6E"/>
    <w:rsid w:val="00D83432"/>
    <w:rsid w:val="00D910D6"/>
    <w:rsid w:val="00D914E5"/>
    <w:rsid w:val="00D92DAE"/>
    <w:rsid w:val="00D93CBF"/>
    <w:rsid w:val="00D942E3"/>
    <w:rsid w:val="00D96E56"/>
    <w:rsid w:val="00DA726F"/>
    <w:rsid w:val="00DB39FE"/>
    <w:rsid w:val="00DC4767"/>
    <w:rsid w:val="00DC587F"/>
    <w:rsid w:val="00DD39BE"/>
    <w:rsid w:val="00DE3683"/>
    <w:rsid w:val="00DE536E"/>
    <w:rsid w:val="00DE6BA1"/>
    <w:rsid w:val="00DE753B"/>
    <w:rsid w:val="00DF1F5D"/>
    <w:rsid w:val="00DF26FA"/>
    <w:rsid w:val="00E04943"/>
    <w:rsid w:val="00E04A44"/>
    <w:rsid w:val="00E05DCA"/>
    <w:rsid w:val="00E07EBA"/>
    <w:rsid w:val="00E104F5"/>
    <w:rsid w:val="00E11816"/>
    <w:rsid w:val="00E1200E"/>
    <w:rsid w:val="00E13BBB"/>
    <w:rsid w:val="00E14061"/>
    <w:rsid w:val="00E21DFD"/>
    <w:rsid w:val="00E22F41"/>
    <w:rsid w:val="00E26C92"/>
    <w:rsid w:val="00E30482"/>
    <w:rsid w:val="00E32087"/>
    <w:rsid w:val="00E353ED"/>
    <w:rsid w:val="00E35C55"/>
    <w:rsid w:val="00E41BB9"/>
    <w:rsid w:val="00E43ED8"/>
    <w:rsid w:val="00E45148"/>
    <w:rsid w:val="00E46C5B"/>
    <w:rsid w:val="00E55822"/>
    <w:rsid w:val="00E6074E"/>
    <w:rsid w:val="00E618D2"/>
    <w:rsid w:val="00E6490D"/>
    <w:rsid w:val="00E735F2"/>
    <w:rsid w:val="00E87236"/>
    <w:rsid w:val="00E93375"/>
    <w:rsid w:val="00E93CBB"/>
    <w:rsid w:val="00E94C89"/>
    <w:rsid w:val="00EA06D5"/>
    <w:rsid w:val="00EA17E6"/>
    <w:rsid w:val="00EA3672"/>
    <w:rsid w:val="00EB368E"/>
    <w:rsid w:val="00EC7391"/>
    <w:rsid w:val="00ED0DF0"/>
    <w:rsid w:val="00ED74C3"/>
    <w:rsid w:val="00EF06AE"/>
    <w:rsid w:val="00EF4B40"/>
    <w:rsid w:val="00F00423"/>
    <w:rsid w:val="00F011A4"/>
    <w:rsid w:val="00F059AE"/>
    <w:rsid w:val="00F0643B"/>
    <w:rsid w:val="00F110D7"/>
    <w:rsid w:val="00F1122D"/>
    <w:rsid w:val="00F12BC8"/>
    <w:rsid w:val="00F17668"/>
    <w:rsid w:val="00F17CAE"/>
    <w:rsid w:val="00F248DE"/>
    <w:rsid w:val="00F3009E"/>
    <w:rsid w:val="00F3194F"/>
    <w:rsid w:val="00F31D5A"/>
    <w:rsid w:val="00F35725"/>
    <w:rsid w:val="00F43A08"/>
    <w:rsid w:val="00F43B6A"/>
    <w:rsid w:val="00F44179"/>
    <w:rsid w:val="00F622DB"/>
    <w:rsid w:val="00F63519"/>
    <w:rsid w:val="00F7286F"/>
    <w:rsid w:val="00F7729A"/>
    <w:rsid w:val="00F81355"/>
    <w:rsid w:val="00F82539"/>
    <w:rsid w:val="00F8529D"/>
    <w:rsid w:val="00F8677B"/>
    <w:rsid w:val="00F87514"/>
    <w:rsid w:val="00F978A2"/>
    <w:rsid w:val="00FA648C"/>
    <w:rsid w:val="00FA6F16"/>
    <w:rsid w:val="00FB18B1"/>
    <w:rsid w:val="00FB2658"/>
    <w:rsid w:val="00FB2AF4"/>
    <w:rsid w:val="00FD7773"/>
    <w:rsid w:val="00FE12A6"/>
    <w:rsid w:val="00FE28B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5C8B"/>
  <w15:docId w15:val="{66FD45BC-B9C3-0146-9596-F6DAF9F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3B"/>
    <w:rPr>
      <w:rFonts w:ascii="Times New Roman" w:eastAsia="Times New Roman" w:hAnsi="Times New Roman" w:cs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CB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954CB4"/>
    <w:pPr>
      <w:keepNext/>
      <w:keepLines/>
      <w:spacing w:after="249" w:line="259" w:lineRule="auto"/>
      <w:ind w:left="161" w:hanging="10"/>
      <w:jc w:val="center"/>
      <w:outlineLvl w:val="2"/>
    </w:pPr>
    <w:rPr>
      <w:rFonts w:ascii="Arial" w:eastAsia="Arial" w:hAnsi="Arial" w:cs="Arial"/>
      <w:b/>
      <w:color w:val="000000"/>
      <w:sz w:val="28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701B"/>
    <w:pPr>
      <w:ind w:left="720"/>
      <w:contextualSpacing/>
    </w:pPr>
    <w:rPr>
      <w:lang w:eastAsia="es-ES"/>
    </w:rPr>
  </w:style>
  <w:style w:type="table" w:styleId="TableGrid">
    <w:name w:val="Table Grid"/>
    <w:basedOn w:val="TableNormal"/>
    <w:uiPriority w:val="39"/>
    <w:rsid w:val="006F5C4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F5C48"/>
    <w:pPr>
      <w:spacing w:after="16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1">
    <w:name w:val="Tabla con cuadrícula1"/>
    <w:basedOn w:val="TableNormal"/>
    <w:next w:val="TableGrid"/>
    <w:uiPriority w:val="39"/>
    <w:rsid w:val="00F357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1355"/>
  </w:style>
  <w:style w:type="paragraph" w:styleId="Footer">
    <w:name w:val="footer"/>
    <w:basedOn w:val="Normal"/>
    <w:link w:val="FooterChar"/>
    <w:uiPriority w:val="99"/>
    <w:unhideWhenUsed/>
    <w:rsid w:val="00F81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1355"/>
  </w:style>
  <w:style w:type="paragraph" w:styleId="BalloonText">
    <w:name w:val="Balloon Text"/>
    <w:basedOn w:val="Normal"/>
    <w:link w:val="BalloonTextChar"/>
    <w:uiPriority w:val="99"/>
    <w:semiHidden/>
    <w:unhideWhenUsed/>
    <w:rsid w:val="00954C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4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CB4"/>
    <w:rPr>
      <w:rFonts w:ascii="Arial" w:eastAsia="Arial" w:hAnsi="Arial" w:cs="Arial"/>
      <w:b/>
      <w:color w:val="000000"/>
      <w:sz w:val="28"/>
      <w:szCs w:val="22"/>
      <w:lang w:eastAsia="es-ES"/>
    </w:rPr>
  </w:style>
  <w:style w:type="paragraph" w:styleId="NormalWeb">
    <w:name w:val="Normal (Web)"/>
    <w:basedOn w:val="Normal"/>
    <w:uiPriority w:val="99"/>
    <w:unhideWhenUsed/>
    <w:rsid w:val="00954CB4"/>
    <w:pPr>
      <w:spacing w:before="100" w:beforeAutospacing="1" w:after="100" w:afterAutospacing="1"/>
    </w:pPr>
    <w:rPr>
      <w:lang w:eastAsia="es-ES"/>
    </w:rPr>
  </w:style>
  <w:style w:type="paragraph" w:styleId="NoSpacing">
    <w:name w:val="No Spacing"/>
    <w:link w:val="NoSpacingChar"/>
    <w:uiPriority w:val="1"/>
    <w:qFormat/>
    <w:rsid w:val="00954CB4"/>
    <w:rPr>
      <w:rFonts w:eastAsiaTheme="minorEastAsia"/>
      <w:sz w:val="22"/>
      <w:szCs w:val="22"/>
      <w:lang w:val="en-US" w:eastAsia="zh-CN"/>
    </w:rPr>
  </w:style>
  <w:style w:type="paragraph" w:styleId="Revision">
    <w:name w:val="Revision"/>
    <w:hidden/>
    <w:uiPriority w:val="99"/>
    <w:semiHidden/>
    <w:rsid w:val="00954CB4"/>
    <w:rPr>
      <w:sz w:val="22"/>
      <w:szCs w:val="22"/>
    </w:rPr>
  </w:style>
  <w:style w:type="character" w:customStyle="1" w:styleId="elsevierstylesup1">
    <w:name w:val="elsevierstylesup1"/>
    <w:basedOn w:val="DefaultParagraphFont"/>
    <w:rsid w:val="00954CB4"/>
    <w:rPr>
      <w:sz w:val="17"/>
      <w:szCs w:val="17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CB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54CB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CB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CB4"/>
    <w:rPr>
      <w:b/>
      <w:bCs/>
      <w:sz w:val="20"/>
      <w:szCs w:val="20"/>
    </w:rPr>
  </w:style>
  <w:style w:type="table" w:customStyle="1" w:styleId="Tabladelista7concolores-nfasis51">
    <w:name w:val="Tabla de lista 7 con colores - Énfasis 51"/>
    <w:basedOn w:val="TableNormal"/>
    <w:uiPriority w:val="52"/>
    <w:rsid w:val="00954CB4"/>
    <w:rPr>
      <w:color w:val="2E74B5" w:themeColor="accent5" w:themeShade="BF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eNormal"/>
    <w:uiPriority w:val="52"/>
    <w:rsid w:val="00954CB4"/>
    <w:rPr>
      <w:color w:val="2F5496" w:themeColor="accent1" w:themeShade="BF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eNormal"/>
    <w:uiPriority w:val="51"/>
    <w:rsid w:val="00954CB4"/>
    <w:rPr>
      <w:color w:val="2F5496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Emphasis">
    <w:name w:val="Emphasis"/>
    <w:basedOn w:val="DefaultParagraphFont"/>
    <w:uiPriority w:val="20"/>
    <w:qFormat/>
    <w:rsid w:val="00954CB4"/>
    <w:rPr>
      <w:b/>
      <w:bCs/>
      <w:i w:val="0"/>
      <w:iCs w:val="0"/>
    </w:rPr>
  </w:style>
  <w:style w:type="character" w:customStyle="1" w:styleId="st1">
    <w:name w:val="st1"/>
    <w:basedOn w:val="DefaultParagraphFont"/>
    <w:rsid w:val="00954CB4"/>
  </w:style>
  <w:style w:type="character" w:styleId="Hyperlink">
    <w:name w:val="Hyperlink"/>
    <w:basedOn w:val="DefaultParagraphFont"/>
    <w:uiPriority w:val="99"/>
    <w:unhideWhenUsed/>
    <w:rsid w:val="00954CB4"/>
    <w:rPr>
      <w:color w:val="0000FF"/>
      <w:u w:val="single"/>
    </w:rPr>
  </w:style>
  <w:style w:type="table" w:customStyle="1" w:styleId="Tablaconcuadrcula2">
    <w:name w:val="Tabla con cuadrícula2"/>
    <w:basedOn w:val="TableNormal"/>
    <w:next w:val="TableGrid"/>
    <w:uiPriority w:val="39"/>
    <w:rsid w:val="00954CB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CB4"/>
    <w:pPr>
      <w:pBdr>
        <w:bottom w:val="single" w:sz="4" w:space="4" w:color="4472C4" w:themeColor="accent1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CB4"/>
    <w:rPr>
      <w:b/>
      <w:bCs/>
      <w:i/>
      <w:iCs/>
      <w:color w:val="4472C4" w:themeColor="accent1"/>
      <w:sz w:val="22"/>
      <w:szCs w:val="22"/>
    </w:rPr>
  </w:style>
  <w:style w:type="character" w:customStyle="1" w:styleId="negrita1">
    <w:name w:val="negrita1"/>
    <w:basedOn w:val="DefaultParagraphFont"/>
    <w:rsid w:val="00954CB4"/>
    <w:rPr>
      <w:b/>
      <w:bCs/>
    </w:rPr>
  </w:style>
  <w:style w:type="character" w:customStyle="1" w:styleId="highlight2">
    <w:name w:val="highlight2"/>
    <w:basedOn w:val="DefaultParagraphFont"/>
    <w:rsid w:val="00954CB4"/>
  </w:style>
  <w:style w:type="paragraph" w:styleId="TableofFigures">
    <w:name w:val="table of figures"/>
    <w:basedOn w:val="Normal"/>
    <w:next w:val="Normal"/>
    <w:uiPriority w:val="99"/>
    <w:unhideWhenUsed/>
    <w:rsid w:val="00954CB4"/>
    <w:pPr>
      <w:spacing w:line="259" w:lineRule="auto"/>
    </w:pPr>
    <w:rPr>
      <w:rFonts w:ascii="Arial" w:eastAsiaTheme="minorHAnsi" w:hAnsi="Arial" w:cstheme="minorBidi"/>
      <w:color w:val="171717" w:themeColor="background2" w:themeShade="1A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54CB4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954CB4"/>
    <w:pPr>
      <w:spacing w:after="100" w:line="259" w:lineRule="auto"/>
    </w:pPr>
    <w:rPr>
      <w:rFonts w:ascii="Arial" w:eastAsiaTheme="minorHAnsi" w:hAnsi="Arial" w:cs="Arial"/>
      <w:b/>
      <w:bCs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54CB4"/>
    <w:pPr>
      <w:spacing w:after="100" w:line="259" w:lineRule="auto"/>
      <w:ind w:left="216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54CB4"/>
    <w:pPr>
      <w:spacing w:after="100" w:line="259" w:lineRule="auto"/>
      <w:ind w:left="446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54C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954C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OC6">
    <w:name w:val="toc 6"/>
    <w:basedOn w:val="Normal"/>
    <w:next w:val="Normal"/>
    <w:autoRedefine/>
    <w:uiPriority w:val="39"/>
    <w:unhideWhenUsed/>
    <w:rsid w:val="00954C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OC7">
    <w:name w:val="toc 7"/>
    <w:basedOn w:val="Normal"/>
    <w:next w:val="Normal"/>
    <w:autoRedefine/>
    <w:uiPriority w:val="39"/>
    <w:unhideWhenUsed/>
    <w:rsid w:val="00954C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OC8">
    <w:name w:val="toc 8"/>
    <w:basedOn w:val="Normal"/>
    <w:next w:val="Normal"/>
    <w:autoRedefine/>
    <w:uiPriority w:val="39"/>
    <w:unhideWhenUsed/>
    <w:rsid w:val="00954C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OC9">
    <w:name w:val="toc 9"/>
    <w:basedOn w:val="Normal"/>
    <w:next w:val="Normal"/>
    <w:autoRedefine/>
    <w:uiPriority w:val="39"/>
    <w:unhideWhenUsed/>
    <w:rsid w:val="00954C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54CB4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954CB4"/>
    <w:rPr>
      <w:rFonts w:eastAsiaTheme="minorEastAsia"/>
      <w:sz w:val="22"/>
      <w:szCs w:val="22"/>
      <w:lang w:val="en-US" w:eastAsia="zh-CN"/>
    </w:rPr>
  </w:style>
  <w:style w:type="character" w:customStyle="1" w:styleId="jrnl">
    <w:name w:val="jrnl"/>
    <w:basedOn w:val="DefaultParagraphFont"/>
    <w:rsid w:val="00954CB4"/>
  </w:style>
  <w:style w:type="paragraph" w:customStyle="1" w:styleId="desc2">
    <w:name w:val="desc2"/>
    <w:basedOn w:val="Normal"/>
    <w:rsid w:val="00954CB4"/>
    <w:rPr>
      <w:sz w:val="26"/>
      <w:szCs w:val="26"/>
      <w:lang w:eastAsia="es-ES"/>
    </w:rPr>
  </w:style>
  <w:style w:type="paragraph" w:customStyle="1" w:styleId="details1">
    <w:name w:val="details1"/>
    <w:basedOn w:val="Normal"/>
    <w:rsid w:val="00954CB4"/>
    <w:rPr>
      <w:sz w:val="22"/>
      <w:szCs w:val="22"/>
      <w:lang w:eastAsia="es-ES"/>
    </w:rPr>
  </w:style>
  <w:style w:type="character" w:customStyle="1" w:styleId="highlight">
    <w:name w:val="highlight"/>
    <w:basedOn w:val="DefaultParagraphFont"/>
    <w:rsid w:val="00954CB4"/>
  </w:style>
  <w:style w:type="character" w:styleId="LineNumber">
    <w:name w:val="line number"/>
    <w:basedOn w:val="DefaultParagraphFont"/>
    <w:uiPriority w:val="99"/>
    <w:semiHidden/>
    <w:unhideWhenUsed/>
    <w:rsid w:val="0031316C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A1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1AF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7C529E"/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5534F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B55B6"/>
    <w:rPr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BA99-D121-4EDA-B3DA-D6BDF70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Ortiz Gómez</dc:creator>
  <cp:lastModifiedBy>Norkey Bhutia</cp:lastModifiedBy>
  <cp:revision>3</cp:revision>
  <cp:lastPrinted>2019-12-24T11:50:00Z</cp:lastPrinted>
  <dcterms:created xsi:type="dcterms:W3CDTF">2021-02-15T08:51:00Z</dcterms:created>
  <dcterms:modified xsi:type="dcterms:W3CDTF">2021-02-15T08:51:00Z</dcterms:modified>
</cp:coreProperties>
</file>