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bookmarkStart w:id="0" w:name="_GoBack"/>
      <w:r w:rsidRPr="000F2E94">
        <w:rPr>
          <w:rFonts w:ascii="Verdana" w:hAnsi="Verdana" w:cs="Arial"/>
          <w:b/>
          <w:bCs/>
          <w:sz w:val="20"/>
          <w:szCs w:val="20"/>
          <w:lang w:val="en-GB"/>
        </w:rPr>
        <w:t>SUPPLEMENTARY MATERIAL</w:t>
      </w:r>
    </w:p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0F2E94">
        <w:rPr>
          <w:rFonts w:ascii="Verdana" w:hAnsi="Verdana" w:cs="Arial"/>
          <w:b/>
          <w:bCs/>
          <w:sz w:val="20"/>
          <w:szCs w:val="20"/>
          <w:lang w:val="en-GB"/>
        </w:rPr>
        <w:t>Supplementary table 1.</w:t>
      </w:r>
      <w:r w:rsidRPr="000F2E94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E3776">
        <w:rPr>
          <w:rFonts w:ascii="Verdana" w:hAnsi="Verdana" w:cs="Arial"/>
          <w:b/>
          <w:bCs/>
          <w:sz w:val="20"/>
          <w:szCs w:val="20"/>
          <w:lang w:val="en-GB"/>
        </w:rPr>
        <w:t>A</w:t>
      </w:r>
      <w:r w:rsidRPr="00FE3776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E3776">
        <w:rPr>
          <w:rFonts w:ascii="Verdana" w:hAnsi="Verdana" w:cs="Arial"/>
          <w:b/>
          <w:bCs/>
          <w:sz w:val="20"/>
          <w:szCs w:val="20"/>
          <w:lang w:val="en-GB"/>
        </w:rPr>
        <w:t xml:space="preserve">multivariate analysis of the association between </w:t>
      </w:r>
      <w:r w:rsidR="000F2E94" w:rsidRPr="00FE3776">
        <w:rPr>
          <w:rFonts w:ascii="Verdana" w:hAnsi="Verdana" w:cs="Arial"/>
          <w:b/>
          <w:bCs/>
          <w:sz w:val="20"/>
          <w:szCs w:val="20"/>
          <w:lang w:val="en-GB"/>
        </w:rPr>
        <w:t xml:space="preserve">different </w:t>
      </w:r>
      <w:r w:rsidRPr="00FE3776">
        <w:rPr>
          <w:rFonts w:ascii="Verdana" w:hAnsi="Verdana" w:cs="Arial"/>
          <w:b/>
          <w:bCs/>
          <w:sz w:val="20"/>
          <w:szCs w:val="20"/>
          <w:lang w:val="en-GB"/>
        </w:rPr>
        <w:t>cardiovascular risk factors and abnormal UACR.</w:t>
      </w:r>
    </w:p>
    <w:tbl>
      <w:tblPr>
        <w:tblW w:w="62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50"/>
        <w:gridCol w:w="1134"/>
      </w:tblGrid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150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p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1.04 (1.02–1.07)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Obesity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1.12 (0.69–1.82)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3.44 (2.12–5.57)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Dyslipidaemia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2.13 (1.33–3.40)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Pathological eGFR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1.93 (0.95–3.92)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NLR (per unit)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1.4 (1.13–1.75)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HOMA-IR</w:t>
            </w:r>
          </w:p>
        </w:tc>
        <w:tc>
          <w:tcPr>
            <w:tcW w:w="2150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1.11 (1.04–1.20)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</w:tbl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0F2E94">
        <w:rPr>
          <w:rFonts w:ascii="Verdana" w:hAnsi="Verdana" w:cs="Arial"/>
          <w:sz w:val="20"/>
          <w:szCs w:val="20"/>
          <w:lang w:val="en-GB"/>
        </w:rPr>
        <w:t>eGFR: Estimated Glomerular Filtration Rate; HOMA-IR: Homeostatic Model Assessment of Insulin Resistance; NLR: Neutrophil/Lymphocyte Ratio; OR: Odds Ratio.</w:t>
      </w:r>
    </w:p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0F2E94">
        <w:rPr>
          <w:rFonts w:ascii="Verdana" w:hAnsi="Verdana" w:cs="Arial"/>
          <w:b/>
          <w:bCs/>
          <w:sz w:val="20"/>
          <w:szCs w:val="20"/>
          <w:lang w:val="en-GB"/>
        </w:rPr>
        <w:t xml:space="preserve">Supplementary table 2. A multivariate analysis of the association between </w:t>
      </w:r>
      <w:r w:rsidR="000F2E94" w:rsidRPr="00FE3776">
        <w:rPr>
          <w:rFonts w:ascii="Verdana" w:hAnsi="Verdana" w:cs="Arial"/>
          <w:b/>
          <w:bCs/>
          <w:sz w:val="20"/>
          <w:szCs w:val="20"/>
          <w:lang w:val="en-GB"/>
        </w:rPr>
        <w:t xml:space="preserve">different </w:t>
      </w:r>
      <w:r w:rsidRPr="00FE3776">
        <w:rPr>
          <w:rFonts w:ascii="Verdana" w:hAnsi="Verdana" w:cs="Arial"/>
          <w:b/>
          <w:bCs/>
          <w:sz w:val="20"/>
          <w:szCs w:val="20"/>
          <w:lang w:val="en-GB"/>
        </w:rPr>
        <w:t>cardiovascular risk factors, NLR and altered UACR in a subgroup of 439 patients.</w:t>
      </w:r>
    </w:p>
    <w:tbl>
      <w:tblPr>
        <w:tblW w:w="6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77"/>
        <w:gridCol w:w="992"/>
      </w:tblGrid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277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992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p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 (0.97–1.04)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Obesity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1.17 (0.53–2.61)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1.94 (0.84–4.50)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Diabetes mellitus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4.37 (1.78–10.77)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Dyslipidaemia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3.08 (1.04–9.18)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0.05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Pathological eGFR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7.02 (1.99–24.77)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NLR (per unit)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1.6 (1.14–2.25)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</w:tbl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0F2E94">
        <w:rPr>
          <w:rFonts w:ascii="Verdana" w:hAnsi="Verdana" w:cs="Arial"/>
          <w:sz w:val="20"/>
          <w:szCs w:val="20"/>
          <w:lang w:val="en-GB"/>
        </w:rPr>
        <w:t>eGFR: Estimated Glomerular Filtration Rate; NLR: Neutrophil/Lymphocyte Ratio; OR: Odds Ratio.</w:t>
      </w:r>
    </w:p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0F2E94">
        <w:rPr>
          <w:rFonts w:ascii="Verdana" w:hAnsi="Verdana" w:cs="Arial"/>
          <w:b/>
          <w:bCs/>
          <w:sz w:val="20"/>
          <w:szCs w:val="20"/>
          <w:lang w:val="en-GB"/>
        </w:rPr>
        <w:t>Supplementary table 3.</w:t>
      </w:r>
      <w:r w:rsidRPr="000F2E94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E3776">
        <w:rPr>
          <w:rFonts w:ascii="Verdana" w:hAnsi="Verdana" w:cs="Arial"/>
          <w:b/>
          <w:bCs/>
          <w:sz w:val="20"/>
          <w:szCs w:val="20"/>
          <w:lang w:val="en-GB"/>
        </w:rPr>
        <w:t xml:space="preserve">A multivariate analysis of the association between </w:t>
      </w:r>
      <w:r w:rsidR="000F2E94" w:rsidRPr="00FE3776">
        <w:rPr>
          <w:rFonts w:ascii="Verdana" w:hAnsi="Verdana" w:cs="Arial"/>
          <w:b/>
          <w:bCs/>
          <w:sz w:val="20"/>
          <w:szCs w:val="20"/>
          <w:lang w:val="en-GB"/>
        </w:rPr>
        <w:t>different</w:t>
      </w:r>
      <w:r w:rsidRPr="00FE3776">
        <w:rPr>
          <w:rFonts w:ascii="Verdana" w:hAnsi="Verdana" w:cs="Arial"/>
          <w:b/>
          <w:bCs/>
          <w:sz w:val="20"/>
          <w:szCs w:val="20"/>
          <w:lang w:val="en-GB"/>
        </w:rPr>
        <w:t xml:space="preserve"> cardiovascular risk factors, CRP and abnormal UACR in a subgroup of 439 patients.</w:t>
      </w:r>
    </w:p>
    <w:p w:rsidR="000A74B8" w:rsidRPr="00FE3776" w:rsidRDefault="000A74B8" w:rsidP="000A74B8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W w:w="63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77"/>
        <w:gridCol w:w="1134"/>
      </w:tblGrid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277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p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 (0.97–1.04)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Obesity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1.19 (0.55–2.62)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2.21 (0.98–5.01)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Diabetes mellitus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4.07 (1.69–9.79)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0.05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Dyslipidaemia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2.95 (1.00–8.76)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0.05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Pathological eGFR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6.83 (1.77–23.06)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&lt; 0.01</w:t>
            </w:r>
          </w:p>
        </w:tc>
      </w:tr>
      <w:tr w:rsidR="000A74B8" w:rsidRPr="00FE3776" w:rsidTr="001D1FD0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CRP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0.94 (0.56–1.67)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A74B8" w:rsidRPr="00FE3776" w:rsidRDefault="000A74B8" w:rsidP="001D1FD0">
            <w:pPr>
              <w:spacing w:line="480" w:lineRule="auto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F2E94">
              <w:rPr>
                <w:rFonts w:ascii="Verdana" w:hAnsi="Verdana" w:cs="Arial"/>
                <w:sz w:val="20"/>
                <w:szCs w:val="20"/>
                <w:lang w:val="en-GB"/>
              </w:rPr>
              <w:t>NS</w:t>
            </w:r>
          </w:p>
        </w:tc>
      </w:tr>
    </w:tbl>
    <w:p w:rsidR="000A74B8" w:rsidRPr="00FE3776" w:rsidRDefault="000A74B8" w:rsidP="000A74B8">
      <w:pPr>
        <w:spacing w:line="48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0F2E94">
        <w:rPr>
          <w:rFonts w:ascii="Verdana" w:hAnsi="Verdana" w:cs="Arial"/>
          <w:sz w:val="20"/>
          <w:szCs w:val="20"/>
          <w:lang w:val="en-GB"/>
        </w:rPr>
        <w:t>eGFR: Estimated Glomerular Filtration Rate; CRP: C-Reactive Protein; OR: Odds Ratio.</w:t>
      </w:r>
    </w:p>
    <w:p w:rsidR="000A74B8" w:rsidRPr="00FE3776" w:rsidRDefault="000A74B8" w:rsidP="000A74B8">
      <w:pPr>
        <w:rPr>
          <w:lang w:val="en-GB"/>
        </w:rPr>
      </w:pPr>
    </w:p>
    <w:bookmarkEnd w:id="0"/>
    <w:p w:rsidR="00DD554E" w:rsidRPr="00FE3776" w:rsidRDefault="00DD554E">
      <w:pPr>
        <w:rPr>
          <w:lang w:val="en-GB"/>
        </w:rPr>
      </w:pPr>
    </w:p>
    <w:sectPr w:rsidR="00DD554E" w:rsidRPr="00FE3776" w:rsidSect="00F9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B8"/>
    <w:rsid w:val="000A74B8"/>
    <w:rsid w:val="000F2E94"/>
    <w:rsid w:val="0073527B"/>
    <w:rsid w:val="00DD554E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18CF"/>
  <w15:docId w15:val="{E7FE65B4-6C76-4A90-B201-626F369B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4B8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9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Exploración Medicina Interna (Todas);NOVA Traductors i Intèrprets, S.L.</dc:creator>
  <cp:keywords/>
  <dc:description/>
  <cp:lastModifiedBy>NOVA</cp:lastModifiedBy>
  <cp:revision>3</cp:revision>
  <dcterms:created xsi:type="dcterms:W3CDTF">2016-10-10T08:12:00Z</dcterms:created>
  <dcterms:modified xsi:type="dcterms:W3CDTF">2016-10-10T08:13:00Z</dcterms:modified>
</cp:coreProperties>
</file>