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0EFD" w:rsidRPr="00120EFD" w:rsidRDefault="008B5945" w:rsidP="00120EFD">
      <w:pPr>
        <w:pStyle w:val="StileTitolo1BookAntiqua"/>
        <w:jc w:val="center"/>
        <w:rPr>
          <w:rFonts w:ascii="Times New Roman" w:hAnsi="Times New Roman" w:cs="Times New Roman"/>
          <w:sz w:val="28"/>
          <w:szCs w:val="28"/>
          <w:lang w:val="en-US"/>
        </w:rPr>
      </w:pPr>
      <w:bookmarkStart w:id="0" w:name="_Toc384724937"/>
      <w:bookmarkStart w:id="1" w:name="_GoBack"/>
      <w:bookmarkEnd w:id="1"/>
      <w:r w:rsidRPr="00120EFD">
        <w:rPr>
          <w:rFonts w:ascii="Times New Roman" w:hAnsi="Times New Roman" w:cs="Times New Roman"/>
          <w:sz w:val="28"/>
          <w:szCs w:val="28"/>
          <w:lang w:val="en-US"/>
        </w:rPr>
        <w:t xml:space="preserve">Appendix B </w:t>
      </w:r>
      <w:proofErr w:type="gramStart"/>
      <w:r w:rsidRPr="00120EFD">
        <w:rPr>
          <w:rFonts w:ascii="Times New Roman" w:hAnsi="Times New Roman" w:cs="Times New Roman"/>
          <w:sz w:val="28"/>
          <w:szCs w:val="28"/>
          <w:lang w:val="en-US"/>
        </w:rPr>
        <w:t xml:space="preserve">-  </w:t>
      </w:r>
      <w:r w:rsidR="008C2F0E" w:rsidRPr="00120EFD">
        <w:rPr>
          <w:rFonts w:ascii="Times New Roman" w:hAnsi="Times New Roman" w:cs="Times New Roman"/>
          <w:sz w:val="28"/>
          <w:szCs w:val="28"/>
          <w:lang w:val="en-US"/>
        </w:rPr>
        <w:t>Tables</w:t>
      </w:r>
      <w:proofErr w:type="gramEnd"/>
      <w:r w:rsidR="008C2F0E" w:rsidRPr="00120EFD">
        <w:rPr>
          <w:rFonts w:ascii="Times New Roman" w:hAnsi="Times New Roman" w:cs="Times New Roman"/>
          <w:sz w:val="28"/>
          <w:szCs w:val="28"/>
          <w:lang w:val="en-US"/>
        </w:rPr>
        <w:t xml:space="preserve"> and </w:t>
      </w:r>
      <w:r w:rsidRPr="00120EFD">
        <w:rPr>
          <w:rFonts w:ascii="Times New Roman" w:hAnsi="Times New Roman" w:cs="Times New Roman"/>
          <w:sz w:val="28"/>
          <w:szCs w:val="28"/>
          <w:lang w:val="en-US"/>
        </w:rPr>
        <w:t xml:space="preserve">Supplementary </w:t>
      </w:r>
      <w:r w:rsidR="008C2F0E" w:rsidRPr="00120EFD">
        <w:rPr>
          <w:rFonts w:ascii="Times New Roman" w:hAnsi="Times New Roman" w:cs="Times New Roman"/>
          <w:sz w:val="28"/>
          <w:szCs w:val="28"/>
          <w:lang w:val="en-US"/>
        </w:rPr>
        <w:t>Figures</w:t>
      </w:r>
      <w:bookmarkEnd w:id="0"/>
    </w:p>
    <w:p w:rsidR="00D10FDE" w:rsidRPr="00120EFD" w:rsidRDefault="00AC549B" w:rsidP="00120EFD">
      <w:pPr>
        <w:rPr>
          <w:b/>
        </w:rPr>
      </w:pPr>
      <w:r w:rsidRPr="00120EFD">
        <w:rPr>
          <w:b/>
          <w:sz w:val="32"/>
          <w:szCs w:val="32"/>
          <w:lang w:val="en-US"/>
        </w:rPr>
        <w:t xml:space="preserve"> </w:t>
      </w:r>
      <w:r w:rsidR="00173760" w:rsidRPr="00120EFD">
        <w:rPr>
          <w:b/>
        </w:rPr>
        <w:t xml:space="preserve">Table </w:t>
      </w:r>
      <w:r w:rsidR="00FC45F4" w:rsidRPr="00120EFD">
        <w:rPr>
          <w:b/>
        </w:rPr>
        <w:t>B.</w:t>
      </w:r>
      <w:r w:rsidRPr="00120EFD">
        <w:rPr>
          <w:b/>
        </w:rPr>
        <w:t>1</w:t>
      </w:r>
      <w:r w:rsidR="00173760" w:rsidRPr="00120EFD">
        <w:rPr>
          <w:b/>
        </w:rPr>
        <w:t xml:space="preserve"> - </w:t>
      </w:r>
      <w:r w:rsidR="00D10FDE" w:rsidRPr="00120EFD">
        <w:rPr>
          <w:b/>
        </w:rPr>
        <w:t>List events and results of the survey</w:t>
      </w:r>
    </w:p>
    <w:tbl>
      <w:tblPr>
        <w:tblW w:w="9431" w:type="dxa"/>
        <w:tblInd w:w="55" w:type="dxa"/>
        <w:tblLayout w:type="fixed"/>
        <w:tblCellMar>
          <w:left w:w="70" w:type="dxa"/>
          <w:right w:w="70" w:type="dxa"/>
        </w:tblCellMar>
        <w:tblLook w:val="04A0" w:firstRow="1" w:lastRow="0" w:firstColumn="1" w:lastColumn="0" w:noHBand="0" w:noVBand="1"/>
      </w:tblPr>
      <w:tblGrid>
        <w:gridCol w:w="625"/>
        <w:gridCol w:w="5934"/>
        <w:gridCol w:w="778"/>
        <w:gridCol w:w="475"/>
        <w:gridCol w:w="366"/>
        <w:gridCol w:w="412"/>
        <w:gridCol w:w="841"/>
      </w:tblGrid>
      <w:tr w:rsidR="00DB79C4" w:rsidTr="0028107C">
        <w:trPr>
          <w:trHeight w:val="63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9C4" w:rsidRDefault="00DB79C4">
            <w:pPr>
              <w:jc w:val="center"/>
              <w:rPr>
                <w:rFonts w:ascii="Calibri" w:hAnsi="Calibri" w:cs="Calibri"/>
                <w:b/>
                <w:bCs/>
                <w:color w:val="16365C"/>
                <w:sz w:val="22"/>
                <w:szCs w:val="22"/>
              </w:rPr>
            </w:pPr>
            <w:r>
              <w:rPr>
                <w:rFonts w:ascii="Calibri" w:hAnsi="Calibri" w:cs="Calibri"/>
                <w:b/>
                <w:bCs/>
                <w:color w:val="16365C"/>
                <w:sz w:val="22"/>
                <w:szCs w:val="22"/>
              </w:rPr>
              <w:t>Year</w:t>
            </w:r>
          </w:p>
        </w:tc>
        <w:tc>
          <w:tcPr>
            <w:tcW w:w="7187" w:type="dxa"/>
            <w:gridSpan w:val="3"/>
            <w:tcBorders>
              <w:top w:val="single" w:sz="4" w:space="0" w:color="auto"/>
              <w:left w:val="nil"/>
              <w:bottom w:val="single" w:sz="4" w:space="0" w:color="auto"/>
              <w:right w:val="single" w:sz="4" w:space="0" w:color="auto"/>
            </w:tcBorders>
            <w:shd w:val="clear" w:color="auto" w:fill="auto"/>
            <w:vAlign w:val="center"/>
            <w:hideMark/>
          </w:tcPr>
          <w:p w:rsidR="00DB79C4" w:rsidRDefault="00DB79C4" w:rsidP="00DB79C4">
            <w:pPr>
              <w:ind w:right="-70"/>
              <w:jc w:val="center"/>
              <w:rPr>
                <w:b/>
                <w:bCs/>
                <w:color w:val="16365C"/>
              </w:rPr>
            </w:pPr>
            <w:r>
              <w:rPr>
                <w:b/>
                <w:bCs/>
                <w:color w:val="16365C"/>
              </w:rPr>
              <w:t>Event</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9C4" w:rsidRDefault="00DB79C4">
            <w:pPr>
              <w:jc w:val="center"/>
              <w:rPr>
                <w:b/>
                <w:bCs/>
                <w:color w:val="16365C"/>
              </w:rPr>
            </w:pPr>
            <w:r>
              <w:rPr>
                <w:b/>
                <w:bCs/>
                <w:color w:val="16365C"/>
              </w:rPr>
              <w:t>Mean</w:t>
            </w:r>
          </w:p>
        </w:tc>
        <w:tc>
          <w:tcPr>
            <w:tcW w:w="841" w:type="dxa"/>
            <w:tcBorders>
              <w:top w:val="single" w:sz="4" w:space="0" w:color="auto"/>
              <w:left w:val="nil"/>
              <w:bottom w:val="single" w:sz="4" w:space="0" w:color="auto"/>
              <w:right w:val="nil"/>
            </w:tcBorders>
            <w:shd w:val="clear" w:color="auto" w:fill="auto"/>
            <w:vAlign w:val="center"/>
            <w:hideMark/>
          </w:tcPr>
          <w:p w:rsidR="00DB79C4" w:rsidRDefault="00DB79C4" w:rsidP="00DB79C4">
            <w:pPr>
              <w:jc w:val="center"/>
              <w:rPr>
                <w:b/>
                <w:bCs/>
                <w:color w:val="16365C"/>
              </w:rPr>
            </w:pPr>
            <w:r>
              <w:rPr>
                <w:b/>
                <w:bCs/>
                <w:color w:val="16365C"/>
              </w:rPr>
              <w:t xml:space="preserve">Stand. Dev. </w:t>
            </w:r>
          </w:p>
        </w:tc>
      </w:tr>
      <w:tr w:rsidR="00DB79C4" w:rsidTr="0028107C">
        <w:trPr>
          <w:trHeight w:val="284"/>
        </w:trPr>
        <w:tc>
          <w:tcPr>
            <w:tcW w:w="625" w:type="dxa"/>
            <w:vMerge w:val="restart"/>
            <w:tcBorders>
              <w:top w:val="nil"/>
              <w:left w:val="single" w:sz="4" w:space="0" w:color="auto"/>
              <w:bottom w:val="single" w:sz="4" w:space="0" w:color="000000"/>
              <w:right w:val="single" w:sz="4" w:space="0" w:color="auto"/>
            </w:tcBorders>
            <w:shd w:val="clear" w:color="auto" w:fill="auto"/>
            <w:hideMark/>
          </w:tcPr>
          <w:p w:rsidR="00DB79C4" w:rsidRDefault="00DB79C4">
            <w:pPr>
              <w:rPr>
                <w:rFonts w:ascii="Calibri" w:hAnsi="Calibri" w:cs="Calibri"/>
                <w:color w:val="2317B9"/>
                <w:sz w:val="22"/>
                <w:szCs w:val="22"/>
              </w:rPr>
            </w:pPr>
            <w:r>
              <w:rPr>
                <w:rFonts w:ascii="Calibri" w:hAnsi="Calibri" w:cs="Calibri"/>
                <w:color w:val="2317B9"/>
                <w:sz w:val="22"/>
                <w:szCs w:val="22"/>
              </w:rPr>
              <w:t>2007</w:t>
            </w: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FB13B7" w:rsidP="0028107C">
            <w:pPr>
              <w:ind w:right="-70"/>
              <w:rPr>
                <w:color w:val="2317B9"/>
                <w:sz w:val="22"/>
                <w:szCs w:val="22"/>
              </w:rPr>
            </w:pPr>
            <w:r w:rsidRPr="00FB13B7">
              <w:rPr>
                <w:color w:val="2317B9"/>
                <w:sz w:val="22"/>
                <w:szCs w:val="22"/>
              </w:rPr>
              <w:t>Summer 2007: 1st phase of the financial turmoil.</w:t>
            </w:r>
          </w:p>
        </w:tc>
        <w:tc>
          <w:tcPr>
            <w:tcW w:w="778" w:type="dxa"/>
            <w:gridSpan w:val="2"/>
            <w:tcBorders>
              <w:top w:val="nil"/>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1.793</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0.726</w:t>
            </w:r>
          </w:p>
        </w:tc>
      </w:tr>
      <w:tr w:rsidR="00DB79C4" w:rsidTr="0028107C">
        <w:trPr>
          <w:trHeight w:val="284"/>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FB13B7" w:rsidP="0028107C">
            <w:pPr>
              <w:ind w:right="-70"/>
              <w:rPr>
                <w:color w:val="2317B9"/>
                <w:sz w:val="22"/>
                <w:szCs w:val="22"/>
              </w:rPr>
            </w:pPr>
            <w:r>
              <w:rPr>
                <w:color w:val="2317B9"/>
                <w:sz w:val="22"/>
                <w:szCs w:val="22"/>
              </w:rPr>
              <w:t>September 2007: b</w:t>
            </w:r>
            <w:r w:rsidRPr="00FB13B7">
              <w:rPr>
                <w:color w:val="2317B9"/>
                <w:sz w:val="22"/>
                <w:szCs w:val="22"/>
              </w:rPr>
              <w:t>ank run of Northern Rock.</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1.828</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0.539</w:t>
            </w:r>
          </w:p>
        </w:tc>
      </w:tr>
      <w:tr w:rsidR="00DB79C4" w:rsidTr="0028107C">
        <w:trPr>
          <w:trHeight w:val="284"/>
        </w:trPr>
        <w:tc>
          <w:tcPr>
            <w:tcW w:w="625" w:type="dxa"/>
            <w:vMerge w:val="restart"/>
            <w:tcBorders>
              <w:top w:val="nil"/>
              <w:left w:val="single" w:sz="4" w:space="0" w:color="auto"/>
              <w:bottom w:val="single" w:sz="4" w:space="0" w:color="000000"/>
              <w:right w:val="single" w:sz="4" w:space="0" w:color="auto"/>
            </w:tcBorders>
            <w:shd w:val="clear" w:color="auto" w:fill="auto"/>
            <w:hideMark/>
          </w:tcPr>
          <w:p w:rsidR="00DB79C4" w:rsidRDefault="00DB79C4">
            <w:pPr>
              <w:rPr>
                <w:rFonts w:ascii="Calibri" w:hAnsi="Calibri" w:cs="Calibri"/>
                <w:color w:val="2317B9"/>
                <w:sz w:val="22"/>
                <w:szCs w:val="22"/>
              </w:rPr>
            </w:pPr>
            <w:r>
              <w:rPr>
                <w:rFonts w:ascii="Calibri" w:hAnsi="Calibri" w:cs="Calibri"/>
                <w:color w:val="2317B9"/>
                <w:sz w:val="22"/>
                <w:szCs w:val="22"/>
              </w:rPr>
              <w:t>2008</w:t>
            </w: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FB13B7" w:rsidP="0028107C">
            <w:pPr>
              <w:ind w:right="-70"/>
              <w:rPr>
                <w:color w:val="2317B9"/>
                <w:sz w:val="22"/>
                <w:szCs w:val="22"/>
              </w:rPr>
            </w:pPr>
            <w:r w:rsidRPr="00FB13B7">
              <w:rPr>
                <w:color w:val="2317B9"/>
                <w:sz w:val="22"/>
                <w:szCs w:val="22"/>
              </w:rPr>
              <w:t>March 2008: Bear Stearns bailout.</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1.897</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0.673</w:t>
            </w:r>
          </w:p>
        </w:tc>
      </w:tr>
      <w:tr w:rsidR="00DB79C4" w:rsidTr="0028107C">
        <w:trPr>
          <w:trHeight w:val="284"/>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FB13B7" w:rsidP="0028107C">
            <w:pPr>
              <w:ind w:right="-70"/>
              <w:rPr>
                <w:color w:val="2317B9"/>
                <w:sz w:val="22"/>
                <w:szCs w:val="22"/>
              </w:rPr>
            </w:pPr>
            <w:r>
              <w:rPr>
                <w:color w:val="2317B9"/>
                <w:sz w:val="22"/>
                <w:szCs w:val="22"/>
              </w:rPr>
              <w:t>First semester of 2008: b</w:t>
            </w:r>
            <w:r w:rsidR="00DB79C4" w:rsidRPr="0028107C">
              <w:rPr>
                <w:color w:val="2317B9"/>
                <w:sz w:val="22"/>
                <w:szCs w:val="22"/>
              </w:rPr>
              <w:t>anking crisis in Ireland/Iceland.</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1.897</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0.489</w:t>
            </w:r>
          </w:p>
        </w:tc>
      </w:tr>
      <w:tr w:rsidR="00DB79C4" w:rsidTr="0028107C">
        <w:trPr>
          <w:trHeight w:val="284"/>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000000" w:fill="FABF8F"/>
            <w:vAlign w:val="center"/>
            <w:hideMark/>
          </w:tcPr>
          <w:p w:rsidR="00DB79C4" w:rsidRPr="0028107C" w:rsidRDefault="00DB79C4" w:rsidP="0028107C">
            <w:pPr>
              <w:ind w:right="-70"/>
              <w:rPr>
                <w:color w:val="2317B9"/>
                <w:sz w:val="22"/>
                <w:szCs w:val="22"/>
              </w:rPr>
            </w:pPr>
            <w:r w:rsidRPr="0028107C">
              <w:rPr>
                <w:color w:val="2317B9"/>
                <w:sz w:val="22"/>
                <w:szCs w:val="22"/>
              </w:rPr>
              <w:t>S</w:t>
            </w:r>
            <w:r w:rsidR="00FB13B7">
              <w:rPr>
                <w:color w:val="2317B9"/>
                <w:sz w:val="22"/>
                <w:szCs w:val="22"/>
              </w:rPr>
              <w:t>eptember 2008: Lehman Brothers d</w:t>
            </w:r>
            <w:r w:rsidRPr="0028107C">
              <w:rPr>
                <w:color w:val="2317B9"/>
                <w:sz w:val="22"/>
                <w:szCs w:val="22"/>
              </w:rPr>
              <w:t>efault.</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2.828</w:t>
            </w:r>
          </w:p>
        </w:tc>
        <w:tc>
          <w:tcPr>
            <w:tcW w:w="841" w:type="dxa"/>
            <w:tcBorders>
              <w:top w:val="nil"/>
              <w:left w:val="nil"/>
              <w:bottom w:val="single" w:sz="4" w:space="0" w:color="auto"/>
              <w:right w:val="nil"/>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0.384</w:t>
            </w:r>
          </w:p>
        </w:tc>
      </w:tr>
      <w:tr w:rsidR="00DB79C4" w:rsidTr="0028107C">
        <w:trPr>
          <w:trHeight w:val="660"/>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000000" w:fill="FABF8F"/>
            <w:vAlign w:val="center"/>
            <w:hideMark/>
          </w:tcPr>
          <w:p w:rsidR="00DB79C4" w:rsidRPr="0028107C" w:rsidRDefault="00DB79C4" w:rsidP="0028107C">
            <w:pPr>
              <w:ind w:right="-70"/>
              <w:rPr>
                <w:color w:val="2317B9"/>
                <w:sz w:val="22"/>
                <w:szCs w:val="22"/>
              </w:rPr>
            </w:pPr>
            <w:r w:rsidRPr="0028107C">
              <w:rPr>
                <w:color w:val="2317B9"/>
                <w:sz w:val="22"/>
                <w:szCs w:val="22"/>
              </w:rPr>
              <w:t xml:space="preserve">September 2008/ </w:t>
            </w:r>
            <w:r w:rsidR="00FB13B7">
              <w:rPr>
                <w:color w:val="2317B9"/>
                <w:sz w:val="22"/>
                <w:szCs w:val="22"/>
              </w:rPr>
              <w:t>March 2009: b</w:t>
            </w:r>
            <w:r w:rsidRPr="0028107C">
              <w:rPr>
                <w:color w:val="2317B9"/>
                <w:sz w:val="22"/>
                <w:szCs w:val="22"/>
              </w:rPr>
              <w:t xml:space="preserve">ail-out of AIG, Fortis, Fannie Mae and Freddie Mac. Bank rescues in USA and UK. </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2.552</w:t>
            </w:r>
          </w:p>
        </w:tc>
        <w:tc>
          <w:tcPr>
            <w:tcW w:w="841" w:type="dxa"/>
            <w:tcBorders>
              <w:top w:val="nil"/>
              <w:left w:val="nil"/>
              <w:bottom w:val="single" w:sz="4" w:space="0" w:color="auto"/>
              <w:right w:val="nil"/>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0.686</w:t>
            </w:r>
          </w:p>
        </w:tc>
      </w:tr>
      <w:tr w:rsidR="00DB79C4" w:rsidTr="0028107C">
        <w:trPr>
          <w:trHeight w:val="284"/>
        </w:trPr>
        <w:tc>
          <w:tcPr>
            <w:tcW w:w="625" w:type="dxa"/>
            <w:vMerge w:val="restart"/>
            <w:tcBorders>
              <w:top w:val="nil"/>
              <w:left w:val="single" w:sz="4" w:space="0" w:color="auto"/>
              <w:bottom w:val="single" w:sz="4" w:space="0" w:color="000000"/>
              <w:right w:val="single" w:sz="4" w:space="0" w:color="auto"/>
            </w:tcBorders>
            <w:shd w:val="clear" w:color="auto" w:fill="auto"/>
            <w:hideMark/>
          </w:tcPr>
          <w:p w:rsidR="00DB79C4" w:rsidRDefault="00DB79C4">
            <w:pPr>
              <w:rPr>
                <w:rFonts w:ascii="Calibri" w:hAnsi="Calibri" w:cs="Calibri"/>
                <w:color w:val="2317B9"/>
                <w:sz w:val="22"/>
                <w:szCs w:val="22"/>
              </w:rPr>
            </w:pPr>
            <w:r>
              <w:rPr>
                <w:rFonts w:ascii="Calibri" w:hAnsi="Calibri" w:cs="Calibri"/>
                <w:color w:val="2317B9"/>
                <w:sz w:val="22"/>
                <w:szCs w:val="22"/>
              </w:rPr>
              <w:t>2009</w:t>
            </w: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FB13B7" w:rsidP="0028107C">
            <w:pPr>
              <w:ind w:right="-70"/>
              <w:rPr>
                <w:color w:val="2317B9"/>
                <w:sz w:val="22"/>
                <w:szCs w:val="22"/>
              </w:rPr>
            </w:pPr>
            <w:r>
              <w:rPr>
                <w:color w:val="2317B9"/>
                <w:sz w:val="22"/>
                <w:szCs w:val="22"/>
              </w:rPr>
              <w:t>October 2009: b</w:t>
            </w:r>
            <w:r w:rsidR="00DB79C4" w:rsidRPr="0028107C">
              <w:rPr>
                <w:color w:val="2317B9"/>
                <w:sz w:val="22"/>
                <w:szCs w:val="22"/>
              </w:rPr>
              <w:t>eginning of the concern over public finances in Greece.</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1.700</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0.702</w:t>
            </w:r>
          </w:p>
        </w:tc>
      </w:tr>
      <w:tr w:rsidR="00DB79C4" w:rsidTr="0028107C">
        <w:trPr>
          <w:trHeight w:val="284"/>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DB79C4" w:rsidP="0028107C">
            <w:pPr>
              <w:ind w:right="-70"/>
              <w:rPr>
                <w:color w:val="2317B9"/>
                <w:sz w:val="22"/>
                <w:szCs w:val="22"/>
              </w:rPr>
            </w:pPr>
            <w:r w:rsidRPr="0028107C">
              <w:rPr>
                <w:color w:val="2317B9"/>
                <w:sz w:val="22"/>
                <w:szCs w:val="22"/>
              </w:rPr>
              <w:t>November 2009: Dubai default.</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1.393</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0.567</w:t>
            </w:r>
          </w:p>
        </w:tc>
      </w:tr>
      <w:tr w:rsidR="00DB79C4" w:rsidTr="0028107C">
        <w:trPr>
          <w:trHeight w:val="284"/>
        </w:trPr>
        <w:tc>
          <w:tcPr>
            <w:tcW w:w="625" w:type="dxa"/>
            <w:vMerge w:val="restart"/>
            <w:tcBorders>
              <w:top w:val="nil"/>
              <w:left w:val="single" w:sz="4" w:space="0" w:color="auto"/>
              <w:bottom w:val="single" w:sz="4" w:space="0" w:color="000000"/>
              <w:right w:val="single" w:sz="4" w:space="0" w:color="auto"/>
            </w:tcBorders>
            <w:shd w:val="clear" w:color="auto" w:fill="auto"/>
            <w:hideMark/>
          </w:tcPr>
          <w:p w:rsidR="00DB79C4" w:rsidRDefault="00DB79C4">
            <w:pPr>
              <w:rPr>
                <w:rFonts w:ascii="Calibri" w:hAnsi="Calibri" w:cs="Calibri"/>
                <w:color w:val="2317B9"/>
                <w:sz w:val="22"/>
                <w:szCs w:val="22"/>
              </w:rPr>
            </w:pPr>
            <w:r>
              <w:rPr>
                <w:rFonts w:ascii="Calibri" w:hAnsi="Calibri" w:cs="Calibri"/>
                <w:color w:val="2317B9"/>
                <w:sz w:val="22"/>
                <w:szCs w:val="22"/>
              </w:rPr>
              <w:t>2010</w:t>
            </w:r>
          </w:p>
        </w:tc>
        <w:tc>
          <w:tcPr>
            <w:tcW w:w="7187" w:type="dxa"/>
            <w:gridSpan w:val="3"/>
            <w:tcBorders>
              <w:top w:val="nil"/>
              <w:left w:val="nil"/>
              <w:bottom w:val="single" w:sz="4" w:space="0" w:color="auto"/>
              <w:right w:val="single" w:sz="4" w:space="0" w:color="auto"/>
            </w:tcBorders>
            <w:shd w:val="clear" w:color="000000" w:fill="FABF8F"/>
            <w:vAlign w:val="center"/>
            <w:hideMark/>
          </w:tcPr>
          <w:p w:rsidR="00DB79C4" w:rsidRPr="0028107C" w:rsidRDefault="00DB79C4" w:rsidP="0028107C">
            <w:pPr>
              <w:ind w:right="-70"/>
              <w:rPr>
                <w:color w:val="2317B9"/>
                <w:sz w:val="22"/>
                <w:szCs w:val="22"/>
              </w:rPr>
            </w:pPr>
            <w:r w:rsidRPr="0028107C">
              <w:rPr>
                <w:color w:val="2317B9"/>
                <w:sz w:val="22"/>
                <w:szCs w:val="22"/>
              </w:rPr>
              <w:t>April/May 2010: Greece applies for Financial Support Mechanism.</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2.533</w:t>
            </w:r>
          </w:p>
        </w:tc>
        <w:tc>
          <w:tcPr>
            <w:tcW w:w="841" w:type="dxa"/>
            <w:tcBorders>
              <w:top w:val="nil"/>
              <w:left w:val="nil"/>
              <w:bottom w:val="single" w:sz="4" w:space="0" w:color="auto"/>
              <w:right w:val="nil"/>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0.507</w:t>
            </w:r>
          </w:p>
        </w:tc>
      </w:tr>
      <w:tr w:rsidR="00DB79C4" w:rsidTr="0028107C">
        <w:trPr>
          <w:trHeight w:val="284"/>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000000" w:fill="FABF8F"/>
            <w:vAlign w:val="center"/>
            <w:hideMark/>
          </w:tcPr>
          <w:p w:rsidR="00DB79C4" w:rsidRPr="0028107C" w:rsidRDefault="00DB79C4" w:rsidP="0028107C">
            <w:pPr>
              <w:ind w:right="-70"/>
              <w:rPr>
                <w:color w:val="2317B9"/>
                <w:sz w:val="22"/>
                <w:szCs w:val="22"/>
              </w:rPr>
            </w:pPr>
            <w:r w:rsidRPr="0028107C">
              <w:rPr>
                <w:color w:val="2317B9"/>
                <w:sz w:val="22"/>
                <w:szCs w:val="22"/>
              </w:rPr>
              <w:t>November/December 2010: Ireland seeks financial support.</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2.500</w:t>
            </w:r>
          </w:p>
        </w:tc>
        <w:tc>
          <w:tcPr>
            <w:tcW w:w="841" w:type="dxa"/>
            <w:tcBorders>
              <w:top w:val="nil"/>
              <w:left w:val="nil"/>
              <w:bottom w:val="single" w:sz="4" w:space="0" w:color="auto"/>
              <w:right w:val="nil"/>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0.509</w:t>
            </w:r>
          </w:p>
        </w:tc>
      </w:tr>
      <w:tr w:rsidR="00DB79C4" w:rsidTr="0028107C">
        <w:trPr>
          <w:trHeight w:val="284"/>
        </w:trPr>
        <w:tc>
          <w:tcPr>
            <w:tcW w:w="625" w:type="dxa"/>
            <w:vMerge w:val="restart"/>
            <w:tcBorders>
              <w:top w:val="nil"/>
              <w:left w:val="single" w:sz="4" w:space="0" w:color="auto"/>
              <w:bottom w:val="single" w:sz="4" w:space="0" w:color="000000"/>
              <w:right w:val="single" w:sz="4" w:space="0" w:color="auto"/>
            </w:tcBorders>
            <w:shd w:val="clear" w:color="auto" w:fill="auto"/>
            <w:hideMark/>
          </w:tcPr>
          <w:p w:rsidR="00DB79C4" w:rsidRDefault="00DB79C4">
            <w:pPr>
              <w:rPr>
                <w:rFonts w:ascii="Calibri" w:hAnsi="Calibri" w:cs="Calibri"/>
                <w:color w:val="2317B9"/>
                <w:sz w:val="22"/>
                <w:szCs w:val="22"/>
              </w:rPr>
            </w:pPr>
            <w:r>
              <w:rPr>
                <w:rFonts w:ascii="Calibri" w:hAnsi="Calibri" w:cs="Calibri"/>
                <w:color w:val="2317B9"/>
                <w:sz w:val="22"/>
                <w:szCs w:val="22"/>
              </w:rPr>
              <w:t>2011</w:t>
            </w: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DB79C4" w:rsidP="0028107C">
            <w:pPr>
              <w:ind w:right="-70"/>
              <w:rPr>
                <w:color w:val="2317B9"/>
                <w:sz w:val="22"/>
                <w:szCs w:val="22"/>
              </w:rPr>
            </w:pPr>
            <w:r w:rsidRPr="0028107C">
              <w:rPr>
                <w:color w:val="2317B9"/>
                <w:sz w:val="22"/>
                <w:szCs w:val="22"/>
              </w:rPr>
              <w:t>April 2011: Portugal requests activation of aid mechanism.</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2.033</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0.556</w:t>
            </w:r>
          </w:p>
        </w:tc>
      </w:tr>
      <w:tr w:rsidR="00DB79C4" w:rsidTr="0028107C">
        <w:trPr>
          <w:trHeight w:val="703"/>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000000" w:fill="FABF8F"/>
            <w:vAlign w:val="center"/>
            <w:hideMark/>
          </w:tcPr>
          <w:p w:rsidR="00DB79C4" w:rsidRPr="0028107C" w:rsidRDefault="00DB79C4" w:rsidP="0028107C">
            <w:pPr>
              <w:ind w:right="-70"/>
              <w:rPr>
                <w:color w:val="2317B9"/>
                <w:sz w:val="22"/>
                <w:szCs w:val="22"/>
              </w:rPr>
            </w:pPr>
            <w:r w:rsidRPr="0028107C">
              <w:rPr>
                <w:color w:val="2317B9"/>
                <w:sz w:val="22"/>
                <w:szCs w:val="22"/>
              </w:rPr>
              <w:t xml:space="preserve">August 2011: </w:t>
            </w:r>
            <w:r w:rsidR="00FB13B7">
              <w:rPr>
                <w:color w:val="2317B9"/>
                <w:sz w:val="22"/>
                <w:szCs w:val="22"/>
              </w:rPr>
              <w:t>s</w:t>
            </w:r>
            <w:r w:rsidR="00FB13B7" w:rsidRPr="00FB13B7">
              <w:rPr>
                <w:color w:val="2317B9"/>
                <w:sz w:val="22"/>
                <w:szCs w:val="22"/>
              </w:rPr>
              <w:t>tock markets fall due to fears of the European sovereign debt crisis spreading to Spain and Italy, as well as concerns about the slow economic growth of the United States and fear of its credit rating being downgraded.</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2.967</w:t>
            </w:r>
          </w:p>
        </w:tc>
        <w:tc>
          <w:tcPr>
            <w:tcW w:w="841" w:type="dxa"/>
            <w:tcBorders>
              <w:top w:val="nil"/>
              <w:left w:val="nil"/>
              <w:bottom w:val="single" w:sz="4" w:space="0" w:color="auto"/>
              <w:right w:val="nil"/>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0.183</w:t>
            </w:r>
          </w:p>
        </w:tc>
      </w:tr>
      <w:tr w:rsidR="00DB79C4" w:rsidTr="0028107C">
        <w:trPr>
          <w:trHeight w:val="1080"/>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000000" w:fill="FABF8F"/>
            <w:vAlign w:val="center"/>
            <w:hideMark/>
          </w:tcPr>
          <w:p w:rsidR="00DB79C4" w:rsidRPr="0028107C" w:rsidRDefault="00DB79C4" w:rsidP="0028107C">
            <w:pPr>
              <w:ind w:right="-70"/>
              <w:rPr>
                <w:color w:val="2317B9"/>
                <w:sz w:val="22"/>
                <w:szCs w:val="22"/>
              </w:rPr>
            </w:pPr>
            <w:r w:rsidRPr="0028107C">
              <w:rPr>
                <w:color w:val="2317B9"/>
                <w:sz w:val="22"/>
                <w:szCs w:val="22"/>
              </w:rPr>
              <w:t>October/</w:t>
            </w:r>
            <w:r w:rsidR="00FB13B7">
              <w:rPr>
                <w:color w:val="2317B9"/>
                <w:sz w:val="22"/>
                <w:szCs w:val="22"/>
              </w:rPr>
              <w:t xml:space="preserve">November/December 2011: </w:t>
            </w:r>
            <w:proofErr w:type="gramStart"/>
            <w:r w:rsidR="00FB13B7">
              <w:rPr>
                <w:color w:val="2317B9"/>
                <w:sz w:val="22"/>
                <w:szCs w:val="22"/>
              </w:rPr>
              <w:t>c</w:t>
            </w:r>
            <w:r w:rsidR="00FB13B7" w:rsidRPr="00FB13B7">
              <w:rPr>
                <w:color w:val="2317B9"/>
                <w:sz w:val="22"/>
                <w:szCs w:val="22"/>
              </w:rPr>
              <w:t>oncern  about</w:t>
            </w:r>
            <w:proofErr w:type="gramEnd"/>
            <w:r w:rsidR="00FB13B7" w:rsidRPr="00FB13B7">
              <w:rPr>
                <w:color w:val="2317B9"/>
                <w:sz w:val="22"/>
                <w:szCs w:val="22"/>
              </w:rPr>
              <w:t xml:space="preserve"> public finances most directly targeted on Italy and Spain; Spain and Italy are hit by a wave of rating downgrades by the three main rating agencies; increase of haircuts on Italian bonds by CC&amp;G and LCH.</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3.000</w:t>
            </w:r>
          </w:p>
        </w:tc>
        <w:tc>
          <w:tcPr>
            <w:tcW w:w="841" w:type="dxa"/>
            <w:tcBorders>
              <w:top w:val="nil"/>
              <w:left w:val="nil"/>
              <w:bottom w:val="single" w:sz="4" w:space="0" w:color="auto"/>
              <w:right w:val="nil"/>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0.000</w:t>
            </w:r>
          </w:p>
        </w:tc>
      </w:tr>
      <w:tr w:rsidR="00DB79C4" w:rsidTr="0028107C">
        <w:trPr>
          <w:trHeight w:val="646"/>
        </w:trPr>
        <w:tc>
          <w:tcPr>
            <w:tcW w:w="625" w:type="dxa"/>
            <w:vMerge w:val="restart"/>
            <w:tcBorders>
              <w:top w:val="nil"/>
              <w:left w:val="single" w:sz="4" w:space="0" w:color="auto"/>
              <w:bottom w:val="single" w:sz="4" w:space="0" w:color="000000"/>
              <w:right w:val="single" w:sz="4" w:space="0" w:color="auto"/>
            </w:tcBorders>
            <w:shd w:val="clear" w:color="auto" w:fill="auto"/>
            <w:hideMark/>
          </w:tcPr>
          <w:p w:rsidR="00DB79C4" w:rsidRDefault="00DB79C4">
            <w:pPr>
              <w:rPr>
                <w:rFonts w:ascii="Calibri" w:hAnsi="Calibri" w:cs="Calibri"/>
                <w:color w:val="2317B9"/>
                <w:sz w:val="22"/>
                <w:szCs w:val="22"/>
              </w:rPr>
            </w:pPr>
            <w:r>
              <w:rPr>
                <w:rFonts w:ascii="Calibri" w:hAnsi="Calibri" w:cs="Calibri"/>
                <w:color w:val="2317B9"/>
                <w:sz w:val="22"/>
                <w:szCs w:val="22"/>
              </w:rPr>
              <w:t>2012</w:t>
            </w: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FB13B7" w:rsidP="0028107C">
            <w:pPr>
              <w:ind w:right="-70"/>
              <w:rPr>
                <w:color w:val="2317B9"/>
                <w:sz w:val="22"/>
                <w:szCs w:val="22"/>
              </w:rPr>
            </w:pPr>
            <w:r>
              <w:rPr>
                <w:color w:val="2317B9"/>
                <w:sz w:val="22"/>
                <w:szCs w:val="22"/>
              </w:rPr>
              <w:t>March 2012: a</w:t>
            </w:r>
            <w:r w:rsidR="00DB79C4" w:rsidRPr="0028107C">
              <w:rPr>
                <w:color w:val="2317B9"/>
                <w:sz w:val="22"/>
                <w:szCs w:val="22"/>
              </w:rPr>
              <w:t>greement on the restructuring of the Greek public debt, foll</w:t>
            </w:r>
            <w:r>
              <w:rPr>
                <w:color w:val="2317B9"/>
                <w:sz w:val="22"/>
                <w:szCs w:val="22"/>
              </w:rPr>
              <w:t>owed by the exercise of the CDS</w:t>
            </w:r>
            <w:r w:rsidR="00DB79C4" w:rsidRPr="0028107C">
              <w:rPr>
                <w:color w:val="2317B9"/>
                <w:sz w:val="22"/>
                <w:szCs w:val="22"/>
              </w:rPr>
              <w:t xml:space="preserve"> on Greek government securities.</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1.800</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0.664</w:t>
            </w:r>
          </w:p>
        </w:tc>
      </w:tr>
      <w:tr w:rsidR="00DB79C4" w:rsidTr="0028107C">
        <w:trPr>
          <w:trHeight w:val="799"/>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000000" w:fill="FABF8F"/>
            <w:vAlign w:val="center"/>
            <w:hideMark/>
          </w:tcPr>
          <w:p w:rsidR="00DB79C4" w:rsidRPr="0028107C" w:rsidRDefault="00FB13B7" w:rsidP="0028107C">
            <w:pPr>
              <w:ind w:right="-70"/>
              <w:rPr>
                <w:color w:val="2317B9"/>
                <w:sz w:val="22"/>
                <w:szCs w:val="22"/>
              </w:rPr>
            </w:pPr>
            <w:r>
              <w:rPr>
                <w:color w:val="2317B9"/>
                <w:sz w:val="22"/>
                <w:szCs w:val="22"/>
              </w:rPr>
              <w:t>June/July 2012: c</w:t>
            </w:r>
            <w:r w:rsidR="00DB79C4" w:rsidRPr="0028107C">
              <w:rPr>
                <w:color w:val="2317B9"/>
                <w:sz w:val="22"/>
                <w:szCs w:val="22"/>
              </w:rPr>
              <w:t xml:space="preserve">onditions in sovereign debt markets worsened again; </w:t>
            </w:r>
            <w:proofErr w:type="gramStart"/>
            <w:r w:rsidR="00DB79C4" w:rsidRPr="0028107C">
              <w:rPr>
                <w:color w:val="2317B9"/>
                <w:sz w:val="22"/>
                <w:szCs w:val="22"/>
              </w:rPr>
              <w:t>Spain  requests</w:t>
            </w:r>
            <w:proofErr w:type="gramEnd"/>
            <w:r w:rsidR="00DB79C4" w:rsidRPr="0028107C">
              <w:rPr>
                <w:color w:val="2317B9"/>
                <w:sz w:val="22"/>
                <w:szCs w:val="22"/>
              </w:rPr>
              <w:t xml:space="preserve"> financial assistance to recapitalize banking sector and Cyprus requests financial support.</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2.500</w:t>
            </w:r>
          </w:p>
        </w:tc>
        <w:tc>
          <w:tcPr>
            <w:tcW w:w="841" w:type="dxa"/>
            <w:tcBorders>
              <w:top w:val="nil"/>
              <w:left w:val="nil"/>
              <w:bottom w:val="single" w:sz="4" w:space="0" w:color="auto"/>
              <w:right w:val="nil"/>
            </w:tcBorders>
            <w:shd w:val="clear" w:color="000000" w:fill="FABF8F"/>
            <w:vAlign w:val="center"/>
            <w:hideMark/>
          </w:tcPr>
          <w:p w:rsidR="00DB79C4" w:rsidRPr="0028107C" w:rsidRDefault="00DB79C4">
            <w:pPr>
              <w:jc w:val="right"/>
              <w:rPr>
                <w:color w:val="000000"/>
                <w:sz w:val="22"/>
                <w:szCs w:val="22"/>
              </w:rPr>
            </w:pPr>
            <w:r w:rsidRPr="0028107C">
              <w:rPr>
                <w:color w:val="000000"/>
                <w:sz w:val="22"/>
                <w:szCs w:val="22"/>
              </w:rPr>
              <w:t>0.509</w:t>
            </w:r>
          </w:p>
        </w:tc>
      </w:tr>
      <w:tr w:rsidR="00DB79C4" w:rsidTr="0028107C">
        <w:trPr>
          <w:trHeight w:val="284"/>
        </w:trPr>
        <w:tc>
          <w:tcPr>
            <w:tcW w:w="625" w:type="dxa"/>
            <w:vMerge w:val="restart"/>
            <w:tcBorders>
              <w:top w:val="nil"/>
              <w:left w:val="single" w:sz="4" w:space="0" w:color="auto"/>
              <w:bottom w:val="single" w:sz="4" w:space="0" w:color="000000"/>
              <w:right w:val="single" w:sz="4" w:space="0" w:color="auto"/>
            </w:tcBorders>
            <w:shd w:val="clear" w:color="auto" w:fill="auto"/>
            <w:hideMark/>
          </w:tcPr>
          <w:p w:rsidR="00DB79C4" w:rsidRDefault="00DB79C4">
            <w:pPr>
              <w:rPr>
                <w:rFonts w:ascii="Calibri" w:hAnsi="Calibri" w:cs="Calibri"/>
                <w:color w:val="2317B9"/>
                <w:sz w:val="22"/>
                <w:szCs w:val="22"/>
              </w:rPr>
            </w:pPr>
            <w:r>
              <w:rPr>
                <w:rFonts w:ascii="Calibri" w:hAnsi="Calibri" w:cs="Calibri"/>
                <w:color w:val="2317B9"/>
                <w:sz w:val="22"/>
                <w:szCs w:val="22"/>
              </w:rPr>
              <w:t>2013</w:t>
            </w: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DB79C4" w:rsidP="0028107C">
            <w:pPr>
              <w:ind w:right="-70"/>
              <w:rPr>
                <w:color w:val="2317B9"/>
                <w:sz w:val="22"/>
                <w:szCs w:val="22"/>
              </w:rPr>
            </w:pPr>
            <w:r w:rsidRPr="0028107C">
              <w:rPr>
                <w:color w:val="2317B9"/>
                <w:sz w:val="22"/>
                <w:szCs w:val="22"/>
              </w:rPr>
              <w:t xml:space="preserve">February 2013: Italian elections. </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1.800</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0.610</w:t>
            </w:r>
          </w:p>
        </w:tc>
      </w:tr>
      <w:tr w:rsidR="00DB79C4" w:rsidTr="0028107C">
        <w:trPr>
          <w:trHeight w:val="284"/>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FB13B7" w:rsidP="0028107C">
            <w:pPr>
              <w:ind w:right="-70"/>
              <w:rPr>
                <w:color w:val="2317B9"/>
                <w:sz w:val="22"/>
                <w:szCs w:val="22"/>
              </w:rPr>
            </w:pPr>
            <w:r>
              <w:rPr>
                <w:color w:val="2317B9"/>
                <w:sz w:val="22"/>
                <w:szCs w:val="22"/>
              </w:rPr>
              <w:t>March 2013: i</w:t>
            </w:r>
            <w:r w:rsidR="00DB79C4" w:rsidRPr="0028107C">
              <w:rPr>
                <w:color w:val="2317B9"/>
                <w:sz w:val="22"/>
                <w:szCs w:val="22"/>
              </w:rPr>
              <w:t>ntroduction of Financial Transaction Tax on Italian stock market.</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1.200</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0.407</w:t>
            </w:r>
          </w:p>
        </w:tc>
      </w:tr>
      <w:tr w:rsidR="00DB79C4" w:rsidTr="0028107C">
        <w:trPr>
          <w:trHeight w:val="702"/>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DB79C4" w:rsidP="0028107C">
            <w:pPr>
              <w:ind w:right="-70"/>
              <w:rPr>
                <w:color w:val="2317B9"/>
                <w:sz w:val="22"/>
                <w:szCs w:val="22"/>
              </w:rPr>
            </w:pPr>
            <w:r w:rsidRPr="0028107C">
              <w:rPr>
                <w:color w:val="2317B9"/>
                <w:sz w:val="22"/>
                <w:szCs w:val="22"/>
              </w:rPr>
              <w:t xml:space="preserve">March 2013: Cyprus bailout deal averts default. Cyprus agreed to the outlines of an international bailout, paving the way for 10 billion euros of emergency loans and eliminating the threat of default. </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1.633</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0.615</w:t>
            </w:r>
          </w:p>
        </w:tc>
      </w:tr>
      <w:tr w:rsidR="00DB79C4" w:rsidTr="0028107C">
        <w:trPr>
          <w:trHeight w:val="645"/>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DB79C4" w:rsidP="0028107C">
            <w:pPr>
              <w:ind w:right="-70"/>
              <w:rPr>
                <w:color w:val="2317B9"/>
                <w:sz w:val="22"/>
                <w:szCs w:val="22"/>
              </w:rPr>
            </w:pPr>
            <w:r w:rsidRPr="0028107C">
              <w:rPr>
                <w:color w:val="2317B9"/>
                <w:sz w:val="22"/>
                <w:szCs w:val="22"/>
              </w:rPr>
              <w:t xml:space="preserve">July 2013: </w:t>
            </w:r>
            <w:r w:rsidR="00FB13B7">
              <w:rPr>
                <w:color w:val="2317B9"/>
                <w:sz w:val="22"/>
                <w:szCs w:val="22"/>
              </w:rPr>
              <w:t>e</w:t>
            </w:r>
            <w:r w:rsidR="00FB13B7" w:rsidRPr="006568A5">
              <w:rPr>
                <w:color w:val="2317B9"/>
                <w:sz w:val="22"/>
                <w:szCs w:val="22"/>
              </w:rPr>
              <w:t>nd-of-half-year tensions on Italian financial markets and uncertainty about central counterparties’ risk management policies</w:t>
            </w:r>
            <w:r w:rsidR="00FB13B7" w:rsidRPr="00005627">
              <w:rPr>
                <w:color w:val="2317B9"/>
                <w:sz w:val="22"/>
                <w:szCs w:val="22"/>
              </w:rPr>
              <w:t>.</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2.000</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0.707</w:t>
            </w:r>
          </w:p>
        </w:tc>
      </w:tr>
      <w:tr w:rsidR="00DB79C4" w:rsidTr="0028107C">
        <w:trPr>
          <w:trHeight w:val="646"/>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FB13B7" w:rsidP="0028107C">
            <w:pPr>
              <w:ind w:right="-70"/>
              <w:rPr>
                <w:color w:val="2317B9"/>
                <w:sz w:val="22"/>
                <w:szCs w:val="22"/>
              </w:rPr>
            </w:pPr>
            <w:r>
              <w:rPr>
                <w:color w:val="2317B9"/>
                <w:sz w:val="22"/>
                <w:szCs w:val="22"/>
              </w:rPr>
              <w:t>August 2013: i</w:t>
            </w:r>
            <w:r w:rsidR="00DB79C4" w:rsidRPr="0028107C">
              <w:rPr>
                <w:color w:val="2317B9"/>
                <w:sz w:val="22"/>
                <w:szCs w:val="22"/>
              </w:rPr>
              <w:t xml:space="preserve">ntroduction of the concentration risk framework by LCH-Clearnet (additional margin </w:t>
            </w:r>
            <w:r w:rsidR="00DB79C4" w:rsidRPr="0028107C">
              <w:rPr>
                <w:rFonts w:ascii="Calibri" w:hAnsi="Calibri" w:cs="Calibri"/>
                <w:color w:val="2317B9"/>
                <w:sz w:val="22"/>
                <w:szCs w:val="22"/>
              </w:rPr>
              <w:t xml:space="preserve">on </w:t>
            </w:r>
            <w:r w:rsidR="00DB79C4" w:rsidRPr="0028107C">
              <w:rPr>
                <w:color w:val="2317B9"/>
                <w:sz w:val="22"/>
                <w:szCs w:val="22"/>
              </w:rPr>
              <w:t>Italian government bonds).</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1.655</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0.614</w:t>
            </w:r>
          </w:p>
        </w:tc>
      </w:tr>
      <w:tr w:rsidR="00DB79C4" w:rsidTr="0028107C">
        <w:trPr>
          <w:trHeight w:val="283"/>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FB13B7" w:rsidP="0028107C">
            <w:pPr>
              <w:ind w:right="-70"/>
              <w:rPr>
                <w:color w:val="2317B9"/>
                <w:sz w:val="22"/>
                <w:szCs w:val="22"/>
              </w:rPr>
            </w:pPr>
            <w:r>
              <w:rPr>
                <w:color w:val="2317B9"/>
                <w:sz w:val="22"/>
                <w:szCs w:val="22"/>
              </w:rPr>
              <w:t>September 2013: e</w:t>
            </w:r>
            <w:r w:rsidR="00DB79C4" w:rsidRPr="0028107C">
              <w:rPr>
                <w:color w:val="2317B9"/>
                <w:sz w:val="22"/>
                <w:szCs w:val="22"/>
              </w:rPr>
              <w:t>lections in Germany.</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1.133</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0.346</w:t>
            </w:r>
          </w:p>
        </w:tc>
      </w:tr>
      <w:tr w:rsidR="00DB79C4" w:rsidTr="0028107C">
        <w:trPr>
          <w:trHeight w:val="646"/>
        </w:trPr>
        <w:tc>
          <w:tcPr>
            <w:tcW w:w="625" w:type="dxa"/>
            <w:vMerge/>
            <w:tcBorders>
              <w:top w:val="nil"/>
              <w:left w:val="single" w:sz="4" w:space="0" w:color="auto"/>
              <w:bottom w:val="single" w:sz="4" w:space="0" w:color="000000"/>
              <w:right w:val="single" w:sz="4" w:space="0" w:color="auto"/>
            </w:tcBorders>
            <w:vAlign w:val="center"/>
            <w:hideMark/>
          </w:tcPr>
          <w:p w:rsidR="00DB79C4" w:rsidRDefault="00DB79C4">
            <w:pPr>
              <w:rPr>
                <w:rFonts w:ascii="Calibri" w:hAnsi="Calibri" w:cs="Calibri"/>
                <w:color w:val="2317B9"/>
                <w:sz w:val="22"/>
                <w:szCs w:val="22"/>
              </w:rPr>
            </w:pPr>
          </w:p>
        </w:tc>
        <w:tc>
          <w:tcPr>
            <w:tcW w:w="7187" w:type="dxa"/>
            <w:gridSpan w:val="3"/>
            <w:tcBorders>
              <w:top w:val="nil"/>
              <w:left w:val="nil"/>
              <w:bottom w:val="single" w:sz="4" w:space="0" w:color="auto"/>
              <w:right w:val="single" w:sz="4" w:space="0" w:color="auto"/>
            </w:tcBorders>
            <w:shd w:val="clear" w:color="auto" w:fill="auto"/>
            <w:vAlign w:val="center"/>
            <w:hideMark/>
          </w:tcPr>
          <w:p w:rsidR="00DB79C4" w:rsidRPr="0028107C" w:rsidRDefault="00DB79C4" w:rsidP="0028107C">
            <w:pPr>
              <w:ind w:right="-70"/>
              <w:rPr>
                <w:color w:val="2317B9"/>
                <w:sz w:val="22"/>
                <w:szCs w:val="22"/>
              </w:rPr>
            </w:pPr>
            <w:r w:rsidRPr="0028107C">
              <w:rPr>
                <w:color w:val="2317B9"/>
                <w:sz w:val="22"/>
                <w:szCs w:val="22"/>
              </w:rPr>
              <w:t>November 2013: Spain decided to exit its bank bailout without seeking a precautionary credit line in reserve.</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1.033</w:t>
            </w:r>
          </w:p>
        </w:tc>
        <w:tc>
          <w:tcPr>
            <w:tcW w:w="841" w:type="dxa"/>
            <w:tcBorders>
              <w:top w:val="nil"/>
              <w:left w:val="nil"/>
              <w:bottom w:val="single" w:sz="4" w:space="0" w:color="auto"/>
              <w:right w:val="nil"/>
            </w:tcBorders>
            <w:shd w:val="clear" w:color="000000" w:fill="FFFFFF"/>
            <w:vAlign w:val="center"/>
            <w:hideMark/>
          </w:tcPr>
          <w:p w:rsidR="00DB79C4" w:rsidRPr="0028107C" w:rsidRDefault="00DB79C4">
            <w:pPr>
              <w:jc w:val="right"/>
              <w:rPr>
                <w:color w:val="000000"/>
                <w:sz w:val="22"/>
                <w:szCs w:val="22"/>
              </w:rPr>
            </w:pPr>
            <w:r w:rsidRPr="0028107C">
              <w:rPr>
                <w:color w:val="000000"/>
                <w:sz w:val="22"/>
                <w:szCs w:val="22"/>
              </w:rPr>
              <w:t>0.183</w:t>
            </w:r>
          </w:p>
        </w:tc>
      </w:tr>
      <w:tr w:rsidR="00DB79C4" w:rsidTr="00DB79C4">
        <w:trPr>
          <w:gridAfter w:val="2"/>
          <w:wAfter w:w="1253" w:type="dxa"/>
          <w:trHeight w:val="135"/>
        </w:trPr>
        <w:tc>
          <w:tcPr>
            <w:tcW w:w="625" w:type="dxa"/>
            <w:tcBorders>
              <w:top w:val="nil"/>
              <w:left w:val="nil"/>
              <w:bottom w:val="nil"/>
              <w:right w:val="nil"/>
            </w:tcBorders>
            <w:shd w:val="clear" w:color="auto" w:fill="auto"/>
            <w:noWrap/>
            <w:vAlign w:val="bottom"/>
            <w:hideMark/>
          </w:tcPr>
          <w:p w:rsidR="00DB79C4" w:rsidRDefault="00DB79C4">
            <w:pPr>
              <w:rPr>
                <w:rFonts w:ascii="Calibri" w:hAnsi="Calibri" w:cs="Calibri"/>
                <w:color w:val="000000"/>
                <w:sz w:val="22"/>
                <w:szCs w:val="22"/>
              </w:rPr>
            </w:pPr>
          </w:p>
        </w:tc>
        <w:tc>
          <w:tcPr>
            <w:tcW w:w="5934" w:type="dxa"/>
            <w:tcBorders>
              <w:top w:val="nil"/>
              <w:left w:val="nil"/>
              <w:bottom w:val="nil"/>
              <w:right w:val="nil"/>
            </w:tcBorders>
            <w:shd w:val="clear" w:color="auto" w:fill="auto"/>
            <w:noWrap/>
            <w:vAlign w:val="bottom"/>
            <w:hideMark/>
          </w:tcPr>
          <w:p w:rsidR="00DB79C4" w:rsidRDefault="00DB79C4">
            <w:pPr>
              <w:rPr>
                <w:rFonts w:ascii="Calibri" w:hAnsi="Calibri" w:cs="Calibri"/>
                <w:color w:val="000000"/>
                <w:sz w:val="22"/>
                <w:szCs w:val="22"/>
              </w:rPr>
            </w:pPr>
          </w:p>
        </w:tc>
        <w:tc>
          <w:tcPr>
            <w:tcW w:w="778" w:type="dxa"/>
            <w:tcBorders>
              <w:top w:val="nil"/>
              <w:left w:val="nil"/>
              <w:bottom w:val="nil"/>
              <w:right w:val="nil"/>
            </w:tcBorders>
            <w:shd w:val="clear" w:color="auto" w:fill="auto"/>
            <w:noWrap/>
            <w:vAlign w:val="bottom"/>
            <w:hideMark/>
          </w:tcPr>
          <w:p w:rsidR="00DB79C4" w:rsidRPr="00DB79C4" w:rsidRDefault="00DB79C4">
            <w:pPr>
              <w:rPr>
                <w:rFonts w:ascii="Calibri" w:hAnsi="Calibri" w:cs="Calibri"/>
                <w:color w:val="000000"/>
                <w:sz w:val="20"/>
                <w:szCs w:val="20"/>
              </w:rPr>
            </w:pPr>
          </w:p>
        </w:tc>
        <w:tc>
          <w:tcPr>
            <w:tcW w:w="841" w:type="dxa"/>
            <w:gridSpan w:val="2"/>
            <w:tcBorders>
              <w:top w:val="nil"/>
              <w:left w:val="nil"/>
              <w:bottom w:val="nil"/>
              <w:right w:val="nil"/>
            </w:tcBorders>
            <w:shd w:val="clear" w:color="auto" w:fill="auto"/>
            <w:noWrap/>
            <w:vAlign w:val="bottom"/>
            <w:hideMark/>
          </w:tcPr>
          <w:p w:rsidR="00DB79C4" w:rsidRPr="00DB79C4" w:rsidRDefault="00DB79C4">
            <w:pPr>
              <w:rPr>
                <w:rFonts w:ascii="Calibri" w:hAnsi="Calibri" w:cs="Calibri"/>
                <w:color w:val="000000"/>
                <w:sz w:val="20"/>
                <w:szCs w:val="20"/>
              </w:rPr>
            </w:pPr>
            <w:r w:rsidRPr="00DB79C4">
              <w:rPr>
                <w:rFonts w:ascii="Calibri" w:hAnsi="Calibri" w:cs="Calibri"/>
                <w:color w:val="000000"/>
                <w:sz w:val="20"/>
                <w:szCs w:val="20"/>
              </w:rPr>
              <w:t> </w:t>
            </w:r>
          </w:p>
        </w:tc>
      </w:tr>
    </w:tbl>
    <w:p w:rsidR="00892CC4" w:rsidRPr="00173760" w:rsidRDefault="00173760" w:rsidP="005F582A">
      <w:pPr>
        <w:spacing w:before="60" w:after="60"/>
        <w:jc w:val="both"/>
        <w:rPr>
          <w:noProof/>
          <w:sz w:val="20"/>
          <w:szCs w:val="20"/>
        </w:rPr>
      </w:pPr>
      <w:r w:rsidRPr="00173760">
        <w:rPr>
          <w:noProof/>
          <w:sz w:val="20"/>
          <w:szCs w:val="20"/>
        </w:rPr>
        <w:t xml:space="preserve">This table presents the list of events that we have identified. Thirty financial experts were asked to evaluate the level of “liquidity” </w:t>
      </w:r>
      <w:r w:rsidR="00E154EC" w:rsidRPr="00E154EC">
        <w:rPr>
          <w:noProof/>
          <w:sz w:val="20"/>
          <w:szCs w:val="20"/>
        </w:rPr>
        <w:t>stress that these events caused to the Italian financial markets on a scale of 1 to 3. The last two columns of the table present the average value and the standard deviation of the experts’ answers. An event is identified as a liquidity crisis if the average level of stress is above the mean of the stress scale (2.5).</w:t>
      </w:r>
    </w:p>
    <w:p w:rsidR="00892CC4" w:rsidRDefault="00892CC4" w:rsidP="00A27537">
      <w:pPr>
        <w:spacing w:before="60" w:after="60"/>
        <w:ind w:firstLine="708"/>
        <w:jc w:val="right"/>
        <w:rPr>
          <w:b/>
          <w:noProof/>
        </w:rPr>
      </w:pPr>
    </w:p>
    <w:p w:rsidR="00736C99" w:rsidRPr="00173760" w:rsidRDefault="00736C99" w:rsidP="00A27537">
      <w:pPr>
        <w:spacing w:before="60" w:after="60"/>
        <w:ind w:firstLine="708"/>
        <w:jc w:val="right"/>
        <w:rPr>
          <w:b/>
          <w:noProof/>
        </w:rPr>
      </w:pPr>
    </w:p>
    <w:p w:rsidR="00241591" w:rsidRPr="00DA4054" w:rsidRDefault="00AC549B" w:rsidP="004A2658">
      <w:pPr>
        <w:rPr>
          <w:b/>
        </w:rPr>
      </w:pPr>
      <w:r>
        <w:rPr>
          <w:b/>
        </w:rPr>
        <w:t>Table B.2</w:t>
      </w:r>
      <w:r w:rsidR="00241591" w:rsidRPr="00DA4054">
        <w:rPr>
          <w:b/>
        </w:rPr>
        <w:t>. Probit regression results</w:t>
      </w:r>
    </w:p>
    <w:p w:rsidR="00241591" w:rsidRDefault="00241591" w:rsidP="00241591">
      <w:pPr>
        <w:ind w:firstLine="851"/>
        <w:rPr>
          <w:b/>
          <w:sz w:val="22"/>
          <w:szCs w:val="22"/>
        </w:rPr>
      </w:pPr>
    </w:p>
    <w:tbl>
      <w:tblPr>
        <w:tblW w:w="5472" w:type="dxa"/>
        <w:tblInd w:w="1488" w:type="dxa"/>
        <w:tblCellMar>
          <w:left w:w="70" w:type="dxa"/>
          <w:right w:w="70" w:type="dxa"/>
        </w:tblCellMar>
        <w:tblLook w:val="04A0" w:firstRow="1" w:lastRow="0" w:firstColumn="1" w:lastColumn="0" w:noHBand="0" w:noVBand="1"/>
      </w:tblPr>
      <w:tblGrid>
        <w:gridCol w:w="5472"/>
      </w:tblGrid>
      <w:tr w:rsidR="00241591" w:rsidTr="00241591">
        <w:trPr>
          <w:trHeight w:val="255"/>
        </w:trPr>
        <w:tc>
          <w:tcPr>
            <w:tcW w:w="5472" w:type="dxa"/>
            <w:tcBorders>
              <w:top w:val="single" w:sz="4" w:space="0" w:color="auto"/>
              <w:left w:val="nil"/>
              <w:bottom w:val="nil"/>
              <w:right w:val="nil"/>
            </w:tcBorders>
            <w:shd w:val="clear" w:color="auto" w:fill="auto"/>
            <w:noWrap/>
            <w:vAlign w:val="bottom"/>
            <w:hideMark/>
          </w:tcPr>
          <w:p w:rsidR="00241591" w:rsidRDefault="00E154EC" w:rsidP="00241591">
            <w:pPr>
              <w:rPr>
                <w:rFonts w:ascii="Arial" w:hAnsi="Arial" w:cs="Arial"/>
                <w:color w:val="000000"/>
                <w:sz w:val="20"/>
                <w:szCs w:val="20"/>
              </w:rPr>
            </w:pPr>
            <w:r>
              <w:rPr>
                <w:rFonts w:ascii="Arial" w:hAnsi="Arial" w:cs="Arial"/>
                <w:color w:val="000000"/>
                <w:sz w:val="20"/>
                <w:szCs w:val="20"/>
              </w:rPr>
              <w:t>Dependent v</w:t>
            </w:r>
            <w:r w:rsidR="00241591">
              <w:rPr>
                <w:rFonts w:ascii="Arial" w:hAnsi="Arial" w:cs="Arial"/>
                <w:color w:val="000000"/>
                <w:sz w:val="20"/>
                <w:szCs w:val="20"/>
              </w:rPr>
              <w:t>ariable: BINARY_INDEX</w:t>
            </w:r>
          </w:p>
        </w:tc>
      </w:tr>
      <w:tr w:rsidR="00241591" w:rsidTr="00241591">
        <w:trPr>
          <w:trHeight w:val="255"/>
        </w:trPr>
        <w:tc>
          <w:tcPr>
            <w:tcW w:w="5472" w:type="dxa"/>
            <w:tcBorders>
              <w:top w:val="nil"/>
              <w:left w:val="nil"/>
              <w:bottom w:val="nil"/>
              <w:right w:val="nil"/>
            </w:tcBorders>
            <w:shd w:val="clear" w:color="auto" w:fill="auto"/>
            <w:noWrap/>
            <w:vAlign w:val="bottom"/>
            <w:hideMark/>
          </w:tcPr>
          <w:p w:rsidR="00241591" w:rsidRDefault="00E154EC" w:rsidP="00241591">
            <w:pPr>
              <w:rPr>
                <w:rFonts w:ascii="Arial" w:hAnsi="Arial" w:cs="Arial"/>
                <w:color w:val="000000"/>
                <w:sz w:val="20"/>
                <w:szCs w:val="20"/>
              </w:rPr>
            </w:pPr>
            <w:r>
              <w:rPr>
                <w:rFonts w:ascii="Arial" w:hAnsi="Arial" w:cs="Arial"/>
                <w:color w:val="000000"/>
                <w:sz w:val="20"/>
                <w:szCs w:val="20"/>
              </w:rPr>
              <w:t>Method: ML - binary probit (q</w:t>
            </w:r>
            <w:r w:rsidR="00241591">
              <w:rPr>
                <w:rFonts w:ascii="Arial" w:hAnsi="Arial" w:cs="Arial"/>
                <w:color w:val="000000"/>
                <w:sz w:val="20"/>
                <w:szCs w:val="20"/>
              </w:rPr>
              <w:t>uadratic hill climbing)</w:t>
            </w:r>
          </w:p>
        </w:tc>
      </w:tr>
      <w:tr w:rsidR="00241591" w:rsidTr="00241591">
        <w:trPr>
          <w:trHeight w:val="255"/>
        </w:trPr>
        <w:tc>
          <w:tcPr>
            <w:tcW w:w="5472"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Sample: 1/03/2005 12/30/2013</w:t>
            </w:r>
          </w:p>
        </w:tc>
      </w:tr>
      <w:tr w:rsidR="00241591" w:rsidTr="00241591">
        <w:trPr>
          <w:trHeight w:val="255"/>
        </w:trPr>
        <w:tc>
          <w:tcPr>
            <w:tcW w:w="5472"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Included observations: 2264</w:t>
            </w:r>
          </w:p>
        </w:tc>
      </w:tr>
      <w:tr w:rsidR="00241591" w:rsidTr="00241591">
        <w:trPr>
          <w:trHeight w:val="255"/>
        </w:trPr>
        <w:tc>
          <w:tcPr>
            <w:tcW w:w="5472"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Convergence achieved after 4 iterations</w:t>
            </w:r>
          </w:p>
        </w:tc>
      </w:tr>
      <w:tr w:rsidR="00241591" w:rsidTr="00241591">
        <w:trPr>
          <w:trHeight w:val="255"/>
        </w:trPr>
        <w:tc>
          <w:tcPr>
            <w:tcW w:w="5472" w:type="dxa"/>
            <w:tcBorders>
              <w:top w:val="nil"/>
              <w:left w:val="nil"/>
              <w:bottom w:val="single" w:sz="4" w:space="0" w:color="auto"/>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Covariance matrix computed using second derivatives</w:t>
            </w:r>
          </w:p>
        </w:tc>
      </w:tr>
    </w:tbl>
    <w:p w:rsidR="00241591" w:rsidRDefault="00241591" w:rsidP="00241591">
      <w:pPr>
        <w:ind w:firstLine="1418"/>
        <w:rPr>
          <w:b/>
          <w:sz w:val="22"/>
          <w:szCs w:val="22"/>
        </w:rPr>
      </w:pPr>
    </w:p>
    <w:tbl>
      <w:tblPr>
        <w:tblW w:w="6755" w:type="dxa"/>
        <w:tblInd w:w="1488" w:type="dxa"/>
        <w:tblCellMar>
          <w:left w:w="70" w:type="dxa"/>
          <w:right w:w="70" w:type="dxa"/>
        </w:tblCellMar>
        <w:tblLook w:val="04A0" w:firstRow="1" w:lastRow="0" w:firstColumn="1" w:lastColumn="0" w:noHBand="0" w:noVBand="1"/>
      </w:tblPr>
      <w:tblGrid>
        <w:gridCol w:w="2000"/>
        <w:gridCol w:w="1420"/>
        <w:gridCol w:w="1300"/>
        <w:gridCol w:w="1060"/>
        <w:gridCol w:w="1086"/>
      </w:tblGrid>
      <w:tr w:rsidR="00241591" w:rsidTr="00241591">
        <w:trPr>
          <w:trHeight w:val="255"/>
        </w:trPr>
        <w:tc>
          <w:tcPr>
            <w:tcW w:w="200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241591" w:rsidRDefault="00241591" w:rsidP="00241591">
            <w:pPr>
              <w:jc w:val="center"/>
              <w:rPr>
                <w:rFonts w:ascii="Arial" w:hAnsi="Arial" w:cs="Arial"/>
                <w:color w:val="000000"/>
                <w:sz w:val="20"/>
                <w:szCs w:val="20"/>
              </w:rPr>
            </w:pPr>
            <w:r>
              <w:rPr>
                <w:rFonts w:ascii="Arial" w:hAnsi="Arial" w:cs="Arial"/>
                <w:color w:val="000000"/>
                <w:sz w:val="20"/>
                <w:szCs w:val="20"/>
              </w:rPr>
              <w:t>Variable</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1591" w:rsidRDefault="00241591" w:rsidP="00241591">
            <w:pPr>
              <w:jc w:val="center"/>
              <w:rPr>
                <w:rFonts w:ascii="Arial" w:hAnsi="Arial" w:cs="Arial"/>
                <w:color w:val="000000"/>
                <w:sz w:val="20"/>
                <w:szCs w:val="20"/>
              </w:rPr>
            </w:pPr>
            <w:r>
              <w:rPr>
                <w:rFonts w:ascii="Arial" w:hAnsi="Arial" w:cs="Arial"/>
                <w:color w:val="000000"/>
                <w:sz w:val="20"/>
                <w:szCs w:val="20"/>
              </w:rPr>
              <w:t>Coefficient</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1591" w:rsidRDefault="00241591" w:rsidP="00241591">
            <w:pPr>
              <w:jc w:val="center"/>
              <w:rPr>
                <w:rFonts w:ascii="Arial" w:hAnsi="Arial" w:cs="Arial"/>
                <w:color w:val="000000"/>
                <w:sz w:val="20"/>
                <w:szCs w:val="20"/>
              </w:rPr>
            </w:pPr>
            <w:r>
              <w:rPr>
                <w:rFonts w:ascii="Arial" w:hAnsi="Arial" w:cs="Arial"/>
                <w:color w:val="000000"/>
                <w:sz w:val="20"/>
                <w:szCs w:val="20"/>
              </w:rPr>
              <w:t>Std. Error</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1591" w:rsidRDefault="00241591" w:rsidP="00241591">
            <w:pPr>
              <w:jc w:val="center"/>
              <w:rPr>
                <w:rFonts w:ascii="Arial" w:hAnsi="Arial" w:cs="Arial"/>
                <w:color w:val="000000"/>
                <w:sz w:val="20"/>
                <w:szCs w:val="20"/>
              </w:rPr>
            </w:pPr>
            <w:r>
              <w:rPr>
                <w:rFonts w:ascii="Arial" w:hAnsi="Arial" w:cs="Arial"/>
                <w:color w:val="000000"/>
                <w:sz w:val="20"/>
                <w:szCs w:val="20"/>
              </w:rPr>
              <w:t>z-Statistic</w:t>
            </w:r>
          </w:p>
        </w:tc>
        <w:tc>
          <w:tcPr>
            <w:tcW w:w="97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41591" w:rsidRDefault="00241591" w:rsidP="00241591">
            <w:pPr>
              <w:jc w:val="center"/>
              <w:rPr>
                <w:rFonts w:ascii="Arial" w:hAnsi="Arial" w:cs="Arial"/>
                <w:color w:val="000000"/>
                <w:sz w:val="20"/>
                <w:szCs w:val="20"/>
              </w:rPr>
            </w:pPr>
            <w:r>
              <w:rPr>
                <w:rFonts w:ascii="Arial" w:hAnsi="Arial" w:cs="Arial"/>
                <w:color w:val="000000"/>
                <w:sz w:val="20"/>
                <w:szCs w:val="20"/>
              </w:rPr>
              <w:t xml:space="preserve">Prob.  </w:t>
            </w:r>
          </w:p>
        </w:tc>
      </w:tr>
      <w:tr w:rsidR="00241591" w:rsidTr="00241591">
        <w:trPr>
          <w:trHeight w:val="255"/>
        </w:trPr>
        <w:tc>
          <w:tcPr>
            <w:tcW w:w="2000" w:type="dxa"/>
            <w:vMerge/>
            <w:tcBorders>
              <w:top w:val="single" w:sz="4" w:space="0" w:color="auto"/>
              <w:left w:val="nil"/>
              <w:bottom w:val="single" w:sz="4" w:space="0" w:color="000000"/>
              <w:right w:val="single" w:sz="4" w:space="0" w:color="auto"/>
            </w:tcBorders>
            <w:vAlign w:val="center"/>
            <w:hideMark/>
          </w:tcPr>
          <w:p w:rsidR="00241591" w:rsidRDefault="00241591" w:rsidP="00241591">
            <w:pPr>
              <w:rPr>
                <w:rFonts w:ascii="Arial" w:hAnsi="Arial" w:cs="Arial"/>
                <w:color w:val="000000"/>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241591" w:rsidRDefault="00241591" w:rsidP="00241591">
            <w:pPr>
              <w:rPr>
                <w:rFonts w:ascii="Arial" w:hAnsi="Arial" w:cs="Arial"/>
                <w:color w:val="000000"/>
                <w:sz w:val="20"/>
                <w:szCs w:val="20"/>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241591" w:rsidRDefault="00241591" w:rsidP="00241591">
            <w:pPr>
              <w:rPr>
                <w:rFonts w:ascii="Arial" w:hAnsi="Arial" w:cs="Arial"/>
                <w:color w:val="00000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241591" w:rsidRDefault="00241591" w:rsidP="00241591">
            <w:pPr>
              <w:rPr>
                <w:rFonts w:ascii="Arial" w:hAnsi="Arial" w:cs="Arial"/>
                <w:color w:val="000000"/>
                <w:sz w:val="20"/>
                <w:szCs w:val="20"/>
              </w:rPr>
            </w:pPr>
          </w:p>
        </w:tc>
        <w:tc>
          <w:tcPr>
            <w:tcW w:w="975" w:type="dxa"/>
            <w:vMerge/>
            <w:tcBorders>
              <w:top w:val="single" w:sz="4" w:space="0" w:color="auto"/>
              <w:left w:val="single" w:sz="4" w:space="0" w:color="auto"/>
              <w:bottom w:val="single" w:sz="4" w:space="0" w:color="000000"/>
              <w:right w:val="nil"/>
            </w:tcBorders>
            <w:vAlign w:val="center"/>
            <w:hideMark/>
          </w:tcPr>
          <w:p w:rsidR="00241591" w:rsidRDefault="00241591" w:rsidP="00241591">
            <w:pPr>
              <w:rPr>
                <w:rFonts w:ascii="Arial" w:hAnsi="Arial" w:cs="Arial"/>
                <w:color w:val="000000"/>
                <w:sz w:val="20"/>
                <w:szCs w:val="20"/>
              </w:rPr>
            </w:pPr>
          </w:p>
        </w:tc>
      </w:tr>
      <w:tr w:rsidR="00241591" w:rsidTr="00241591">
        <w:trPr>
          <w:trHeight w:val="255"/>
        </w:trPr>
        <w:tc>
          <w:tcPr>
            <w:tcW w:w="200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C</w:t>
            </w:r>
          </w:p>
        </w:tc>
        <w:tc>
          <w:tcPr>
            <w:tcW w:w="1420" w:type="dxa"/>
            <w:tcBorders>
              <w:top w:val="nil"/>
              <w:left w:val="nil"/>
              <w:bottom w:val="nil"/>
              <w:right w:val="single" w:sz="4" w:space="0" w:color="auto"/>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-3.0859</w:t>
            </w:r>
          </w:p>
        </w:tc>
        <w:tc>
          <w:tcPr>
            <w:tcW w:w="1300" w:type="dxa"/>
            <w:tcBorders>
              <w:top w:val="nil"/>
              <w:left w:val="nil"/>
              <w:bottom w:val="nil"/>
              <w:right w:val="single" w:sz="4" w:space="0" w:color="auto"/>
            </w:tcBorders>
            <w:shd w:val="clear" w:color="auto" w:fill="auto"/>
            <w:noWrap/>
            <w:vAlign w:val="bottom"/>
            <w:hideMark/>
          </w:tcPr>
          <w:p w:rsidR="00241591" w:rsidRDefault="001C7332" w:rsidP="00241591">
            <w:pPr>
              <w:jc w:val="right"/>
              <w:rPr>
                <w:rFonts w:ascii="Arial" w:hAnsi="Arial" w:cs="Arial"/>
                <w:color w:val="000000"/>
                <w:sz w:val="20"/>
                <w:szCs w:val="20"/>
              </w:rPr>
            </w:pPr>
            <w:r>
              <w:rPr>
                <w:rFonts w:ascii="Arial" w:hAnsi="Arial" w:cs="Arial"/>
                <w:color w:val="000000"/>
                <w:sz w:val="20"/>
                <w:szCs w:val="20"/>
              </w:rPr>
              <w:t>0.1147</w:t>
            </w:r>
          </w:p>
        </w:tc>
        <w:tc>
          <w:tcPr>
            <w:tcW w:w="1060" w:type="dxa"/>
            <w:tcBorders>
              <w:top w:val="nil"/>
              <w:left w:val="nil"/>
              <w:bottom w:val="nil"/>
              <w:right w:val="single" w:sz="4" w:space="0" w:color="auto"/>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-26.8949</w:t>
            </w:r>
          </w:p>
        </w:tc>
        <w:tc>
          <w:tcPr>
            <w:tcW w:w="975" w:type="dxa"/>
            <w:tcBorders>
              <w:top w:val="nil"/>
              <w:left w:val="nil"/>
              <w:bottom w:val="nil"/>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0</w:t>
            </w:r>
            <w:r w:rsidR="001C7332">
              <w:rPr>
                <w:rFonts w:ascii="Arial" w:hAnsi="Arial" w:cs="Arial"/>
                <w:color w:val="000000"/>
                <w:sz w:val="20"/>
                <w:szCs w:val="20"/>
              </w:rPr>
              <w:t>.0000</w:t>
            </w:r>
          </w:p>
        </w:tc>
      </w:tr>
      <w:tr w:rsidR="00241591" w:rsidTr="00241591">
        <w:trPr>
          <w:trHeight w:val="255"/>
        </w:trPr>
        <w:tc>
          <w:tcPr>
            <w:tcW w:w="200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SLRI</w:t>
            </w:r>
          </w:p>
        </w:tc>
        <w:tc>
          <w:tcPr>
            <w:tcW w:w="1420" w:type="dxa"/>
            <w:tcBorders>
              <w:top w:val="nil"/>
              <w:left w:val="nil"/>
              <w:bottom w:val="single" w:sz="4" w:space="0" w:color="auto"/>
              <w:right w:val="single" w:sz="4" w:space="0" w:color="auto"/>
            </w:tcBorders>
            <w:shd w:val="clear" w:color="auto" w:fill="auto"/>
            <w:noWrap/>
            <w:vAlign w:val="bottom"/>
            <w:hideMark/>
          </w:tcPr>
          <w:p w:rsidR="00241591" w:rsidRDefault="001C7332" w:rsidP="00241591">
            <w:pPr>
              <w:jc w:val="right"/>
              <w:rPr>
                <w:rFonts w:ascii="Arial" w:hAnsi="Arial" w:cs="Arial"/>
                <w:color w:val="000000"/>
                <w:sz w:val="20"/>
                <w:szCs w:val="20"/>
              </w:rPr>
            </w:pPr>
            <w:r>
              <w:rPr>
                <w:rFonts w:ascii="Arial" w:hAnsi="Arial" w:cs="Arial"/>
                <w:color w:val="000000"/>
                <w:sz w:val="20"/>
                <w:szCs w:val="20"/>
              </w:rPr>
              <w:t>7.5191</w:t>
            </w:r>
          </w:p>
        </w:tc>
        <w:tc>
          <w:tcPr>
            <w:tcW w:w="1300" w:type="dxa"/>
            <w:tcBorders>
              <w:top w:val="nil"/>
              <w:left w:val="nil"/>
              <w:bottom w:val="single" w:sz="4" w:space="0" w:color="auto"/>
              <w:right w:val="single" w:sz="4" w:space="0" w:color="auto"/>
            </w:tcBorders>
            <w:shd w:val="clear" w:color="auto" w:fill="auto"/>
            <w:noWrap/>
            <w:vAlign w:val="bottom"/>
            <w:hideMark/>
          </w:tcPr>
          <w:p w:rsidR="00241591" w:rsidRDefault="001C7332" w:rsidP="00241591">
            <w:pPr>
              <w:jc w:val="right"/>
              <w:rPr>
                <w:rFonts w:ascii="Arial" w:hAnsi="Arial" w:cs="Arial"/>
                <w:color w:val="000000"/>
                <w:sz w:val="20"/>
                <w:szCs w:val="20"/>
              </w:rPr>
            </w:pPr>
            <w:r>
              <w:rPr>
                <w:rFonts w:ascii="Arial" w:hAnsi="Arial" w:cs="Arial"/>
                <w:color w:val="000000"/>
                <w:sz w:val="20"/>
                <w:szCs w:val="20"/>
              </w:rPr>
              <w:t>0.2866</w:t>
            </w:r>
          </w:p>
        </w:tc>
        <w:tc>
          <w:tcPr>
            <w:tcW w:w="106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26.2372</w:t>
            </w:r>
          </w:p>
        </w:tc>
        <w:tc>
          <w:tcPr>
            <w:tcW w:w="975" w:type="dxa"/>
            <w:tcBorders>
              <w:top w:val="nil"/>
              <w:left w:val="nil"/>
              <w:bottom w:val="single" w:sz="4" w:space="0" w:color="auto"/>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0</w:t>
            </w:r>
            <w:r w:rsidR="001C7332">
              <w:rPr>
                <w:rFonts w:ascii="Arial" w:hAnsi="Arial" w:cs="Arial"/>
                <w:color w:val="000000"/>
                <w:sz w:val="20"/>
                <w:szCs w:val="20"/>
              </w:rPr>
              <w:t>.0000</w:t>
            </w:r>
          </w:p>
        </w:tc>
      </w:tr>
      <w:tr w:rsidR="00241591" w:rsidTr="00241591">
        <w:trPr>
          <w:trHeight w:val="255"/>
        </w:trPr>
        <w:tc>
          <w:tcPr>
            <w:tcW w:w="200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McFadden R-squared</w:t>
            </w:r>
          </w:p>
        </w:tc>
        <w:tc>
          <w:tcPr>
            <w:tcW w:w="1420" w:type="dxa"/>
            <w:tcBorders>
              <w:top w:val="nil"/>
              <w:left w:val="nil"/>
              <w:bottom w:val="nil"/>
              <w:right w:val="nil"/>
            </w:tcBorders>
            <w:shd w:val="clear" w:color="auto" w:fill="auto"/>
            <w:noWrap/>
            <w:vAlign w:val="bottom"/>
            <w:hideMark/>
          </w:tcPr>
          <w:p w:rsidR="00241591" w:rsidRDefault="001C7332" w:rsidP="00241591">
            <w:pPr>
              <w:jc w:val="right"/>
              <w:rPr>
                <w:rFonts w:ascii="Arial" w:hAnsi="Arial" w:cs="Arial"/>
                <w:color w:val="000000"/>
                <w:sz w:val="20"/>
                <w:szCs w:val="20"/>
              </w:rPr>
            </w:pPr>
            <w:r>
              <w:rPr>
                <w:rFonts w:ascii="Arial" w:hAnsi="Arial" w:cs="Arial"/>
                <w:color w:val="000000"/>
                <w:sz w:val="20"/>
                <w:szCs w:val="20"/>
              </w:rPr>
              <w:t>0.6689</w:t>
            </w:r>
          </w:p>
        </w:tc>
        <w:tc>
          <w:tcPr>
            <w:tcW w:w="236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Mean dependent var</w:t>
            </w:r>
            <w:r w:rsidR="00E154EC">
              <w:rPr>
                <w:rFonts w:ascii="Arial" w:hAnsi="Arial" w:cs="Arial"/>
                <w:color w:val="000000"/>
                <w:sz w:val="20"/>
                <w:szCs w:val="20"/>
              </w:rPr>
              <w:t>iable</w:t>
            </w:r>
          </w:p>
        </w:tc>
        <w:tc>
          <w:tcPr>
            <w:tcW w:w="975" w:type="dxa"/>
            <w:tcBorders>
              <w:top w:val="nil"/>
              <w:left w:val="nil"/>
              <w:bottom w:val="nil"/>
              <w:right w:val="nil"/>
            </w:tcBorders>
            <w:shd w:val="clear" w:color="auto" w:fill="auto"/>
            <w:noWrap/>
            <w:vAlign w:val="bottom"/>
            <w:hideMark/>
          </w:tcPr>
          <w:p w:rsidR="00241591" w:rsidRDefault="00635349" w:rsidP="00241591">
            <w:pPr>
              <w:jc w:val="right"/>
              <w:rPr>
                <w:rFonts w:ascii="Arial" w:hAnsi="Arial" w:cs="Arial"/>
                <w:color w:val="000000"/>
                <w:sz w:val="20"/>
                <w:szCs w:val="20"/>
              </w:rPr>
            </w:pPr>
            <w:r>
              <w:rPr>
                <w:rFonts w:ascii="Arial" w:hAnsi="Arial" w:cs="Arial"/>
                <w:color w:val="000000"/>
                <w:sz w:val="20"/>
                <w:szCs w:val="20"/>
              </w:rPr>
              <w:t>0.2465</w:t>
            </w:r>
          </w:p>
        </w:tc>
      </w:tr>
      <w:tr w:rsidR="00241591" w:rsidTr="00241591">
        <w:trPr>
          <w:trHeight w:val="255"/>
        </w:trPr>
        <w:tc>
          <w:tcPr>
            <w:tcW w:w="200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S.D. dependent var</w:t>
            </w:r>
            <w:r w:rsidR="00E154EC">
              <w:rPr>
                <w:rFonts w:ascii="Arial" w:hAnsi="Arial" w:cs="Arial"/>
                <w:color w:val="000000"/>
                <w:sz w:val="20"/>
                <w:szCs w:val="20"/>
              </w:rPr>
              <w:t>iable</w:t>
            </w:r>
          </w:p>
        </w:tc>
        <w:tc>
          <w:tcPr>
            <w:tcW w:w="1420" w:type="dxa"/>
            <w:tcBorders>
              <w:top w:val="nil"/>
              <w:left w:val="nil"/>
              <w:bottom w:val="nil"/>
              <w:right w:val="nil"/>
            </w:tcBorders>
            <w:shd w:val="clear" w:color="auto" w:fill="auto"/>
            <w:noWrap/>
            <w:vAlign w:val="bottom"/>
            <w:hideMark/>
          </w:tcPr>
          <w:p w:rsidR="00241591" w:rsidRDefault="001C7332" w:rsidP="00241591">
            <w:pPr>
              <w:jc w:val="right"/>
              <w:rPr>
                <w:rFonts w:ascii="Arial" w:hAnsi="Arial" w:cs="Arial"/>
                <w:color w:val="000000"/>
                <w:sz w:val="20"/>
                <w:szCs w:val="20"/>
              </w:rPr>
            </w:pPr>
            <w:r>
              <w:rPr>
                <w:rFonts w:ascii="Arial" w:hAnsi="Arial" w:cs="Arial"/>
                <w:color w:val="000000"/>
                <w:sz w:val="20"/>
                <w:szCs w:val="20"/>
              </w:rPr>
              <w:t>0.4310</w:t>
            </w:r>
          </w:p>
        </w:tc>
        <w:tc>
          <w:tcPr>
            <w:tcW w:w="2360" w:type="dxa"/>
            <w:gridSpan w:val="2"/>
            <w:tcBorders>
              <w:top w:val="nil"/>
              <w:left w:val="single" w:sz="4" w:space="0" w:color="auto"/>
              <w:bottom w:val="nil"/>
              <w:right w:val="single" w:sz="4" w:space="0" w:color="000000"/>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S</w:t>
            </w:r>
            <w:r w:rsidR="00E154EC">
              <w:rPr>
                <w:rFonts w:ascii="Arial" w:hAnsi="Arial" w:cs="Arial"/>
                <w:color w:val="000000"/>
                <w:sz w:val="20"/>
                <w:szCs w:val="20"/>
              </w:rPr>
              <w:t>tandard error</w:t>
            </w:r>
            <w:r>
              <w:rPr>
                <w:rFonts w:ascii="Arial" w:hAnsi="Arial" w:cs="Arial"/>
                <w:color w:val="000000"/>
                <w:sz w:val="20"/>
                <w:szCs w:val="20"/>
              </w:rPr>
              <w:t xml:space="preserve"> of regression</w:t>
            </w:r>
          </w:p>
        </w:tc>
        <w:tc>
          <w:tcPr>
            <w:tcW w:w="975" w:type="dxa"/>
            <w:tcBorders>
              <w:top w:val="nil"/>
              <w:left w:val="nil"/>
              <w:bottom w:val="nil"/>
              <w:right w:val="nil"/>
            </w:tcBorders>
            <w:shd w:val="clear" w:color="auto" w:fill="auto"/>
            <w:noWrap/>
            <w:vAlign w:val="bottom"/>
            <w:hideMark/>
          </w:tcPr>
          <w:p w:rsidR="00241591" w:rsidRDefault="00635349" w:rsidP="00241591">
            <w:pPr>
              <w:jc w:val="right"/>
              <w:rPr>
                <w:rFonts w:ascii="Arial" w:hAnsi="Arial" w:cs="Arial"/>
                <w:color w:val="000000"/>
                <w:sz w:val="20"/>
                <w:szCs w:val="20"/>
              </w:rPr>
            </w:pPr>
            <w:r>
              <w:rPr>
                <w:rFonts w:ascii="Arial" w:hAnsi="Arial" w:cs="Arial"/>
                <w:color w:val="000000"/>
                <w:sz w:val="20"/>
                <w:szCs w:val="20"/>
              </w:rPr>
              <w:t>0.2398</w:t>
            </w:r>
          </w:p>
        </w:tc>
      </w:tr>
      <w:tr w:rsidR="00241591" w:rsidTr="00241591">
        <w:trPr>
          <w:trHeight w:val="255"/>
        </w:trPr>
        <w:tc>
          <w:tcPr>
            <w:tcW w:w="200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Akaike info criterion</w:t>
            </w:r>
          </w:p>
        </w:tc>
        <w:tc>
          <w:tcPr>
            <w:tcW w:w="1420" w:type="dxa"/>
            <w:tcBorders>
              <w:top w:val="nil"/>
              <w:left w:val="nil"/>
              <w:bottom w:val="nil"/>
              <w:right w:val="nil"/>
            </w:tcBorders>
            <w:shd w:val="clear" w:color="auto" w:fill="auto"/>
            <w:noWrap/>
            <w:vAlign w:val="bottom"/>
            <w:hideMark/>
          </w:tcPr>
          <w:p w:rsidR="00241591" w:rsidRDefault="00635349" w:rsidP="00241591">
            <w:pPr>
              <w:jc w:val="right"/>
              <w:rPr>
                <w:rFonts w:ascii="Arial" w:hAnsi="Arial" w:cs="Arial"/>
                <w:color w:val="000000"/>
                <w:sz w:val="20"/>
                <w:szCs w:val="20"/>
              </w:rPr>
            </w:pPr>
            <w:r>
              <w:rPr>
                <w:rFonts w:ascii="Arial" w:hAnsi="Arial" w:cs="Arial"/>
                <w:color w:val="000000"/>
                <w:sz w:val="20"/>
                <w:szCs w:val="20"/>
              </w:rPr>
              <w:t>0.3715</w:t>
            </w:r>
          </w:p>
        </w:tc>
        <w:tc>
          <w:tcPr>
            <w:tcW w:w="2360" w:type="dxa"/>
            <w:gridSpan w:val="2"/>
            <w:tcBorders>
              <w:top w:val="nil"/>
              <w:left w:val="single" w:sz="4" w:space="0" w:color="auto"/>
              <w:bottom w:val="nil"/>
              <w:right w:val="single" w:sz="4" w:space="0" w:color="000000"/>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Sum </w:t>
            </w:r>
            <w:r w:rsidR="00EB7A83">
              <w:rPr>
                <w:rFonts w:ascii="Arial" w:hAnsi="Arial" w:cs="Arial"/>
                <w:color w:val="000000"/>
                <w:sz w:val="20"/>
                <w:szCs w:val="20"/>
              </w:rPr>
              <w:t xml:space="preserve">of the </w:t>
            </w:r>
            <w:r>
              <w:rPr>
                <w:rFonts w:ascii="Arial" w:hAnsi="Arial" w:cs="Arial"/>
                <w:color w:val="000000"/>
                <w:sz w:val="20"/>
                <w:szCs w:val="20"/>
              </w:rPr>
              <w:t>squared resid</w:t>
            </w:r>
            <w:r w:rsidR="00EB7A83">
              <w:rPr>
                <w:rFonts w:ascii="Arial" w:hAnsi="Arial" w:cs="Arial"/>
                <w:color w:val="000000"/>
                <w:sz w:val="20"/>
                <w:szCs w:val="20"/>
              </w:rPr>
              <w:t>uals</w:t>
            </w:r>
          </w:p>
        </w:tc>
        <w:tc>
          <w:tcPr>
            <w:tcW w:w="975" w:type="dxa"/>
            <w:tcBorders>
              <w:top w:val="nil"/>
              <w:left w:val="nil"/>
              <w:bottom w:val="nil"/>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130.0339</w:t>
            </w:r>
          </w:p>
        </w:tc>
      </w:tr>
      <w:tr w:rsidR="00241591" w:rsidTr="00241591">
        <w:trPr>
          <w:trHeight w:val="255"/>
        </w:trPr>
        <w:tc>
          <w:tcPr>
            <w:tcW w:w="200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Schwarz criterion</w:t>
            </w:r>
          </w:p>
        </w:tc>
        <w:tc>
          <w:tcPr>
            <w:tcW w:w="1420" w:type="dxa"/>
            <w:tcBorders>
              <w:top w:val="nil"/>
              <w:left w:val="nil"/>
              <w:bottom w:val="nil"/>
              <w:right w:val="nil"/>
            </w:tcBorders>
            <w:shd w:val="clear" w:color="auto" w:fill="auto"/>
            <w:noWrap/>
            <w:vAlign w:val="bottom"/>
            <w:hideMark/>
          </w:tcPr>
          <w:p w:rsidR="00241591" w:rsidRDefault="00635349" w:rsidP="00241591">
            <w:pPr>
              <w:jc w:val="right"/>
              <w:rPr>
                <w:rFonts w:ascii="Arial" w:hAnsi="Arial" w:cs="Arial"/>
                <w:color w:val="000000"/>
                <w:sz w:val="20"/>
                <w:szCs w:val="20"/>
              </w:rPr>
            </w:pPr>
            <w:r>
              <w:rPr>
                <w:rFonts w:ascii="Arial" w:hAnsi="Arial" w:cs="Arial"/>
                <w:color w:val="000000"/>
                <w:sz w:val="20"/>
                <w:szCs w:val="20"/>
              </w:rPr>
              <w:t>0.3766</w:t>
            </w:r>
          </w:p>
        </w:tc>
        <w:tc>
          <w:tcPr>
            <w:tcW w:w="2360" w:type="dxa"/>
            <w:gridSpan w:val="2"/>
            <w:tcBorders>
              <w:top w:val="nil"/>
              <w:left w:val="single" w:sz="4" w:space="0" w:color="auto"/>
              <w:bottom w:val="nil"/>
              <w:right w:val="single" w:sz="4" w:space="0" w:color="000000"/>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Log likelihood</w:t>
            </w:r>
          </w:p>
        </w:tc>
        <w:tc>
          <w:tcPr>
            <w:tcW w:w="975" w:type="dxa"/>
            <w:tcBorders>
              <w:top w:val="nil"/>
              <w:left w:val="nil"/>
              <w:bottom w:val="nil"/>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-418.587</w:t>
            </w:r>
            <w:r w:rsidR="00635349">
              <w:rPr>
                <w:rFonts w:ascii="Arial" w:hAnsi="Arial" w:cs="Arial"/>
                <w:color w:val="000000"/>
                <w:sz w:val="20"/>
                <w:szCs w:val="20"/>
              </w:rPr>
              <w:t>1</w:t>
            </w:r>
          </w:p>
        </w:tc>
      </w:tr>
      <w:tr w:rsidR="00241591" w:rsidTr="00241591">
        <w:trPr>
          <w:trHeight w:val="255"/>
        </w:trPr>
        <w:tc>
          <w:tcPr>
            <w:tcW w:w="2000" w:type="dxa"/>
            <w:tcBorders>
              <w:top w:val="nil"/>
              <w:left w:val="nil"/>
              <w:bottom w:val="nil"/>
              <w:right w:val="single" w:sz="4" w:space="0" w:color="auto"/>
            </w:tcBorders>
            <w:shd w:val="clear" w:color="auto" w:fill="auto"/>
            <w:noWrap/>
            <w:vAlign w:val="bottom"/>
            <w:hideMark/>
          </w:tcPr>
          <w:p w:rsidR="00241591" w:rsidRDefault="00E154EC" w:rsidP="00241591">
            <w:pPr>
              <w:rPr>
                <w:rFonts w:ascii="Arial" w:hAnsi="Arial" w:cs="Arial"/>
                <w:color w:val="000000"/>
                <w:sz w:val="20"/>
                <w:szCs w:val="20"/>
              </w:rPr>
            </w:pPr>
            <w:r>
              <w:rPr>
                <w:rFonts w:ascii="Arial" w:hAnsi="Arial" w:cs="Arial"/>
                <w:color w:val="000000"/>
                <w:sz w:val="20"/>
                <w:szCs w:val="20"/>
              </w:rPr>
              <w:t>Hannan-Quinn criterion</w:t>
            </w:r>
          </w:p>
        </w:tc>
        <w:tc>
          <w:tcPr>
            <w:tcW w:w="1420" w:type="dxa"/>
            <w:tcBorders>
              <w:top w:val="nil"/>
              <w:left w:val="nil"/>
              <w:bottom w:val="nil"/>
              <w:right w:val="nil"/>
            </w:tcBorders>
            <w:shd w:val="clear" w:color="auto" w:fill="auto"/>
            <w:noWrap/>
            <w:vAlign w:val="bottom"/>
            <w:hideMark/>
          </w:tcPr>
          <w:p w:rsidR="00241591" w:rsidRDefault="00635349" w:rsidP="00241591">
            <w:pPr>
              <w:jc w:val="right"/>
              <w:rPr>
                <w:rFonts w:ascii="Arial" w:hAnsi="Arial" w:cs="Arial"/>
                <w:color w:val="000000"/>
                <w:sz w:val="20"/>
                <w:szCs w:val="20"/>
              </w:rPr>
            </w:pPr>
            <w:r>
              <w:rPr>
                <w:rFonts w:ascii="Arial" w:hAnsi="Arial" w:cs="Arial"/>
                <w:color w:val="000000"/>
                <w:sz w:val="20"/>
                <w:szCs w:val="20"/>
              </w:rPr>
              <w:t>0.3734</w:t>
            </w:r>
          </w:p>
        </w:tc>
        <w:tc>
          <w:tcPr>
            <w:tcW w:w="1300" w:type="dxa"/>
            <w:tcBorders>
              <w:top w:val="nil"/>
              <w:left w:val="single" w:sz="4" w:space="0" w:color="auto"/>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Deviance</w:t>
            </w:r>
          </w:p>
        </w:tc>
        <w:tc>
          <w:tcPr>
            <w:tcW w:w="106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975" w:type="dxa"/>
            <w:tcBorders>
              <w:top w:val="nil"/>
              <w:left w:val="nil"/>
              <w:bottom w:val="nil"/>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837.1738</w:t>
            </w:r>
          </w:p>
        </w:tc>
      </w:tr>
      <w:tr w:rsidR="00241591" w:rsidTr="00241591">
        <w:trPr>
          <w:trHeight w:val="255"/>
        </w:trPr>
        <w:tc>
          <w:tcPr>
            <w:tcW w:w="2000" w:type="dxa"/>
            <w:tcBorders>
              <w:top w:val="nil"/>
              <w:left w:val="nil"/>
              <w:bottom w:val="nil"/>
              <w:right w:val="single" w:sz="4" w:space="0" w:color="auto"/>
            </w:tcBorders>
            <w:shd w:val="clear" w:color="auto" w:fill="auto"/>
            <w:noWrap/>
            <w:vAlign w:val="bottom"/>
            <w:hideMark/>
          </w:tcPr>
          <w:p w:rsidR="00241591" w:rsidRDefault="00EB7A83" w:rsidP="00241591">
            <w:pPr>
              <w:rPr>
                <w:rFonts w:ascii="Arial" w:hAnsi="Arial" w:cs="Arial"/>
                <w:color w:val="000000"/>
                <w:sz w:val="20"/>
                <w:szCs w:val="20"/>
              </w:rPr>
            </w:pPr>
            <w:r>
              <w:rPr>
                <w:rFonts w:ascii="Arial" w:hAnsi="Arial" w:cs="Arial"/>
                <w:color w:val="000000"/>
                <w:sz w:val="20"/>
                <w:szCs w:val="20"/>
              </w:rPr>
              <w:t>Restricted</w:t>
            </w:r>
            <w:r w:rsidR="00241591">
              <w:rPr>
                <w:rFonts w:ascii="Arial" w:hAnsi="Arial" w:cs="Arial"/>
                <w:color w:val="000000"/>
                <w:sz w:val="20"/>
                <w:szCs w:val="20"/>
              </w:rPr>
              <w:t xml:space="preserve"> deviance</w:t>
            </w:r>
          </w:p>
        </w:tc>
        <w:tc>
          <w:tcPr>
            <w:tcW w:w="1420" w:type="dxa"/>
            <w:tcBorders>
              <w:top w:val="nil"/>
              <w:left w:val="nil"/>
              <w:bottom w:val="nil"/>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2528.524</w:t>
            </w:r>
            <w:r w:rsidR="00635349">
              <w:rPr>
                <w:rFonts w:ascii="Arial" w:hAnsi="Arial" w:cs="Arial"/>
                <w:color w:val="000000"/>
                <w:sz w:val="20"/>
                <w:szCs w:val="20"/>
              </w:rPr>
              <w:t>1</w:t>
            </w:r>
          </w:p>
        </w:tc>
        <w:tc>
          <w:tcPr>
            <w:tcW w:w="2360" w:type="dxa"/>
            <w:gridSpan w:val="2"/>
            <w:tcBorders>
              <w:top w:val="nil"/>
              <w:left w:val="single" w:sz="4" w:space="0" w:color="auto"/>
              <w:bottom w:val="nil"/>
              <w:right w:val="single" w:sz="4" w:space="0" w:color="000000"/>
            </w:tcBorders>
            <w:shd w:val="clear" w:color="auto" w:fill="auto"/>
            <w:noWrap/>
            <w:vAlign w:val="bottom"/>
            <w:hideMark/>
          </w:tcPr>
          <w:p w:rsidR="00241591" w:rsidRDefault="00EB7A83" w:rsidP="00241591">
            <w:pPr>
              <w:rPr>
                <w:rFonts w:ascii="Arial" w:hAnsi="Arial" w:cs="Arial"/>
                <w:color w:val="000000"/>
                <w:sz w:val="20"/>
                <w:szCs w:val="20"/>
              </w:rPr>
            </w:pPr>
            <w:r>
              <w:rPr>
                <w:rFonts w:ascii="Arial" w:hAnsi="Arial" w:cs="Arial"/>
                <w:color w:val="000000"/>
                <w:sz w:val="20"/>
                <w:szCs w:val="20"/>
              </w:rPr>
              <w:t>Restricted</w:t>
            </w:r>
            <w:r w:rsidR="00241591">
              <w:rPr>
                <w:rFonts w:ascii="Arial" w:hAnsi="Arial" w:cs="Arial"/>
                <w:color w:val="000000"/>
                <w:sz w:val="20"/>
                <w:szCs w:val="20"/>
              </w:rPr>
              <w:t xml:space="preserve"> log likelihood</w:t>
            </w:r>
          </w:p>
        </w:tc>
        <w:tc>
          <w:tcPr>
            <w:tcW w:w="975" w:type="dxa"/>
            <w:tcBorders>
              <w:top w:val="nil"/>
              <w:left w:val="nil"/>
              <w:bottom w:val="nil"/>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-1264.26</w:t>
            </w:r>
            <w:r w:rsidR="00635349">
              <w:rPr>
                <w:rFonts w:ascii="Arial" w:hAnsi="Arial" w:cs="Arial"/>
                <w:color w:val="000000"/>
                <w:sz w:val="20"/>
                <w:szCs w:val="20"/>
              </w:rPr>
              <w:t>01</w:t>
            </w:r>
          </w:p>
        </w:tc>
      </w:tr>
      <w:tr w:rsidR="00241591" w:rsidTr="00241591">
        <w:trPr>
          <w:trHeight w:val="255"/>
        </w:trPr>
        <w:tc>
          <w:tcPr>
            <w:tcW w:w="200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LR statistic</w:t>
            </w:r>
          </w:p>
        </w:tc>
        <w:tc>
          <w:tcPr>
            <w:tcW w:w="1420" w:type="dxa"/>
            <w:tcBorders>
              <w:top w:val="nil"/>
              <w:left w:val="nil"/>
              <w:bottom w:val="nil"/>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1691.351</w:t>
            </w:r>
            <w:r w:rsidR="00635349">
              <w:rPr>
                <w:rFonts w:ascii="Arial" w:hAnsi="Arial" w:cs="Arial"/>
                <w:color w:val="000000"/>
                <w:sz w:val="20"/>
                <w:szCs w:val="20"/>
              </w:rPr>
              <w:t>1</w:t>
            </w:r>
          </w:p>
        </w:tc>
        <w:tc>
          <w:tcPr>
            <w:tcW w:w="2360" w:type="dxa"/>
            <w:gridSpan w:val="2"/>
            <w:tcBorders>
              <w:top w:val="nil"/>
              <w:left w:val="single" w:sz="4" w:space="0" w:color="auto"/>
              <w:bottom w:val="nil"/>
              <w:right w:val="single" w:sz="4" w:space="0" w:color="000000"/>
            </w:tcBorders>
            <w:shd w:val="clear" w:color="auto" w:fill="auto"/>
            <w:noWrap/>
            <w:vAlign w:val="bottom"/>
            <w:hideMark/>
          </w:tcPr>
          <w:p w:rsidR="00241591" w:rsidRDefault="00EB7A83" w:rsidP="00241591">
            <w:pPr>
              <w:rPr>
                <w:rFonts w:ascii="Arial" w:hAnsi="Arial" w:cs="Arial"/>
                <w:color w:val="000000"/>
                <w:sz w:val="20"/>
                <w:szCs w:val="20"/>
              </w:rPr>
            </w:pPr>
            <w:r>
              <w:rPr>
                <w:rFonts w:ascii="Arial" w:hAnsi="Arial" w:cs="Arial"/>
                <w:color w:val="000000"/>
                <w:sz w:val="20"/>
                <w:szCs w:val="20"/>
              </w:rPr>
              <w:t>Average</w:t>
            </w:r>
            <w:r w:rsidR="00241591">
              <w:rPr>
                <w:rFonts w:ascii="Arial" w:hAnsi="Arial" w:cs="Arial"/>
                <w:color w:val="000000"/>
                <w:sz w:val="20"/>
                <w:szCs w:val="20"/>
              </w:rPr>
              <w:t xml:space="preserve"> log likelihood</w:t>
            </w:r>
          </w:p>
        </w:tc>
        <w:tc>
          <w:tcPr>
            <w:tcW w:w="975" w:type="dxa"/>
            <w:tcBorders>
              <w:top w:val="nil"/>
              <w:left w:val="nil"/>
              <w:bottom w:val="nil"/>
              <w:right w:val="nil"/>
            </w:tcBorders>
            <w:shd w:val="clear" w:color="auto" w:fill="auto"/>
            <w:noWrap/>
            <w:vAlign w:val="bottom"/>
            <w:hideMark/>
          </w:tcPr>
          <w:p w:rsidR="00241591" w:rsidRDefault="00635349" w:rsidP="00241591">
            <w:pPr>
              <w:jc w:val="right"/>
              <w:rPr>
                <w:rFonts w:ascii="Arial" w:hAnsi="Arial" w:cs="Arial"/>
                <w:color w:val="000000"/>
                <w:sz w:val="20"/>
                <w:szCs w:val="20"/>
              </w:rPr>
            </w:pPr>
            <w:r>
              <w:rPr>
                <w:rFonts w:ascii="Arial" w:hAnsi="Arial" w:cs="Arial"/>
                <w:color w:val="000000"/>
                <w:sz w:val="20"/>
                <w:szCs w:val="20"/>
              </w:rPr>
              <w:t>-0.1849</w:t>
            </w:r>
          </w:p>
        </w:tc>
      </w:tr>
      <w:tr w:rsidR="00241591" w:rsidTr="00241591">
        <w:trPr>
          <w:trHeight w:val="255"/>
        </w:trPr>
        <w:tc>
          <w:tcPr>
            <w:tcW w:w="200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Prob(LR statistic)</w:t>
            </w:r>
          </w:p>
        </w:tc>
        <w:tc>
          <w:tcPr>
            <w:tcW w:w="1420" w:type="dxa"/>
            <w:tcBorders>
              <w:top w:val="nil"/>
              <w:left w:val="nil"/>
              <w:bottom w:val="single" w:sz="4" w:space="0" w:color="auto"/>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0</w:t>
            </w:r>
          </w:p>
        </w:tc>
        <w:tc>
          <w:tcPr>
            <w:tcW w:w="1300" w:type="dxa"/>
            <w:tcBorders>
              <w:top w:val="nil"/>
              <w:left w:val="single" w:sz="4" w:space="0" w:color="auto"/>
              <w:bottom w:val="single" w:sz="4" w:space="0" w:color="auto"/>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975" w:type="dxa"/>
            <w:tcBorders>
              <w:top w:val="nil"/>
              <w:left w:val="nil"/>
              <w:bottom w:val="single" w:sz="4" w:space="0" w:color="auto"/>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r>
      <w:tr w:rsidR="00241591" w:rsidTr="00241591">
        <w:trPr>
          <w:trHeight w:val="105"/>
        </w:trPr>
        <w:tc>
          <w:tcPr>
            <w:tcW w:w="200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p>
        </w:tc>
        <w:tc>
          <w:tcPr>
            <w:tcW w:w="1300" w:type="dxa"/>
            <w:tcBorders>
              <w:top w:val="nil"/>
              <w:left w:val="single" w:sz="4" w:space="0" w:color="auto"/>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106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975"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p>
        </w:tc>
      </w:tr>
      <w:tr w:rsidR="00241591" w:rsidTr="00241591">
        <w:trPr>
          <w:trHeight w:val="255"/>
        </w:trPr>
        <w:tc>
          <w:tcPr>
            <w:tcW w:w="200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Obs with Dep=0</w:t>
            </w:r>
          </w:p>
        </w:tc>
        <w:tc>
          <w:tcPr>
            <w:tcW w:w="1420" w:type="dxa"/>
            <w:tcBorders>
              <w:top w:val="nil"/>
              <w:left w:val="nil"/>
              <w:bottom w:val="nil"/>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1706</w:t>
            </w:r>
          </w:p>
        </w:tc>
        <w:tc>
          <w:tcPr>
            <w:tcW w:w="1300" w:type="dxa"/>
            <w:tcBorders>
              <w:top w:val="nil"/>
              <w:left w:val="single" w:sz="4" w:space="0" w:color="auto"/>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Total obs</w:t>
            </w:r>
          </w:p>
        </w:tc>
        <w:tc>
          <w:tcPr>
            <w:tcW w:w="106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975" w:type="dxa"/>
            <w:tcBorders>
              <w:top w:val="nil"/>
              <w:left w:val="nil"/>
              <w:bottom w:val="nil"/>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2264</w:t>
            </w:r>
          </w:p>
        </w:tc>
      </w:tr>
      <w:tr w:rsidR="00241591" w:rsidTr="00241591">
        <w:trPr>
          <w:trHeight w:val="255"/>
        </w:trPr>
        <w:tc>
          <w:tcPr>
            <w:tcW w:w="200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Obs with Dep=1</w:t>
            </w:r>
          </w:p>
        </w:tc>
        <w:tc>
          <w:tcPr>
            <w:tcW w:w="1420" w:type="dxa"/>
            <w:tcBorders>
              <w:top w:val="nil"/>
              <w:left w:val="nil"/>
              <w:bottom w:val="single" w:sz="4" w:space="0" w:color="auto"/>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558</w:t>
            </w:r>
          </w:p>
        </w:tc>
        <w:tc>
          <w:tcPr>
            <w:tcW w:w="1300" w:type="dxa"/>
            <w:tcBorders>
              <w:top w:val="nil"/>
              <w:left w:val="single" w:sz="4" w:space="0" w:color="auto"/>
              <w:bottom w:val="single" w:sz="4" w:space="0" w:color="auto"/>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975" w:type="dxa"/>
            <w:tcBorders>
              <w:top w:val="nil"/>
              <w:left w:val="nil"/>
              <w:bottom w:val="single" w:sz="4" w:space="0" w:color="auto"/>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r>
      <w:tr w:rsidR="00241591" w:rsidTr="00241591">
        <w:trPr>
          <w:trHeight w:val="105"/>
        </w:trPr>
        <w:tc>
          <w:tcPr>
            <w:tcW w:w="2000"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p>
        </w:tc>
        <w:tc>
          <w:tcPr>
            <w:tcW w:w="975"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p>
        </w:tc>
      </w:tr>
    </w:tbl>
    <w:p w:rsidR="00241591" w:rsidRDefault="004A2658" w:rsidP="004A2658">
      <w:pPr>
        <w:rPr>
          <w:sz w:val="20"/>
          <w:szCs w:val="20"/>
        </w:rPr>
      </w:pPr>
      <w:r w:rsidRPr="004A2658">
        <w:rPr>
          <w:sz w:val="20"/>
          <w:szCs w:val="20"/>
        </w:rPr>
        <w:t>This table present</w:t>
      </w:r>
      <w:r>
        <w:rPr>
          <w:sz w:val="20"/>
          <w:szCs w:val="20"/>
        </w:rPr>
        <w:t>s</w:t>
      </w:r>
      <w:r w:rsidRPr="004A2658">
        <w:rPr>
          <w:sz w:val="20"/>
          <w:szCs w:val="20"/>
        </w:rPr>
        <w:t xml:space="preserve"> the results of the following probit regression:</w:t>
      </w:r>
      <w:r>
        <w:rPr>
          <w:sz w:val="20"/>
          <w:szCs w:val="20"/>
        </w:rPr>
        <w:t xml:space="preserve"> </w:t>
      </w:r>
    </w:p>
    <w:p w:rsidR="004A2658" w:rsidRDefault="004306EB" w:rsidP="004A2658">
      <w:pPr>
        <w:spacing w:before="240" w:after="240"/>
        <w:ind w:firstLine="708"/>
        <w:jc w:val="center"/>
      </w:pP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m:t>
                </m:r>
              </m:e>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,β</m:t>
                </m:r>
              </m:e>
            </m:d>
          </m:e>
        </m:func>
        <m:r>
          <w:rPr>
            <w:rFonts w:ascii="Cambria Math" w:hAnsi="Cambria Math"/>
          </w:rPr>
          <m:t>=1-Φ</m:t>
        </m:r>
        <m:d>
          <m:dPr>
            <m:ctrlPr>
              <w:rPr>
                <w:rFonts w:ascii="Cambria Math" w:hAnsi="Cambria Math"/>
                <w:i/>
              </w:rPr>
            </m:ctrlPr>
          </m:dPr>
          <m:e>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i</m:t>
                </m:r>
              </m:sub>
            </m:sSub>
            <m:r>
              <w:rPr>
                <w:rFonts w:ascii="Cambria Math" w:hAnsi="Cambria Math"/>
              </w:rPr>
              <m:t>β</m:t>
            </m:r>
          </m:e>
        </m:d>
        <m:r>
          <w:rPr>
            <w:rFonts w:ascii="Cambria Math" w:hAnsi="Cambria Math"/>
          </w:rPr>
          <m:t>=</m:t>
        </m:r>
      </m:oMath>
      <w:r w:rsidR="004A2658">
        <w:t xml:space="preserve"> </w:t>
      </w:r>
      <m:oMath>
        <m:r>
          <w:rPr>
            <w:rFonts w:ascii="Cambria Math" w:hAnsi="Cambria Math"/>
          </w:rPr>
          <m:t>Φ</m:t>
        </m:r>
        <m:d>
          <m:dPr>
            <m:ctrlPr>
              <w:rPr>
                <w:rFonts w:ascii="Cambria Math" w:hAnsi="Cambria Math"/>
                <w:i/>
              </w:rPr>
            </m:ctrlPr>
          </m:dPr>
          <m:e>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i</m:t>
                </m:r>
              </m:sub>
            </m:sSub>
            <m:r>
              <w:rPr>
                <w:rFonts w:ascii="Cambria Math" w:hAnsi="Cambria Math"/>
              </w:rPr>
              <m:t>β</m:t>
            </m:r>
          </m:e>
        </m:d>
      </m:oMath>
    </w:p>
    <w:p w:rsidR="00D51968" w:rsidRPr="0078601C" w:rsidRDefault="004A2658" w:rsidP="00D51968">
      <w:pPr>
        <w:jc w:val="both"/>
        <w:rPr>
          <w:sz w:val="20"/>
          <w:szCs w:val="20"/>
        </w:rPr>
      </w:pPr>
      <w:r w:rsidRPr="004A2658">
        <w:rPr>
          <w:iCs/>
          <w:sz w:val="20"/>
          <w:szCs w:val="20"/>
        </w:rPr>
        <w:t xml:space="preserve">Where Φ is the cumulative distribution function of the standard normal distribution, </w:t>
      </w:r>
      <w:r w:rsidRPr="004A2658">
        <w:rPr>
          <w:i/>
          <w:iCs/>
          <w:sz w:val="20"/>
          <w:szCs w:val="20"/>
        </w:rPr>
        <w:t>y</w:t>
      </w:r>
      <w:r w:rsidRPr="004A2658">
        <w:rPr>
          <w:i/>
          <w:iCs/>
          <w:sz w:val="20"/>
          <w:szCs w:val="20"/>
          <w:vertAlign w:val="subscript"/>
        </w:rPr>
        <w:t>i</w:t>
      </w:r>
      <w:r w:rsidR="00EB7A83">
        <w:rPr>
          <w:iCs/>
          <w:sz w:val="20"/>
          <w:szCs w:val="20"/>
        </w:rPr>
        <w:t xml:space="preserve"> is the binary index derived from</w:t>
      </w:r>
      <w:r w:rsidRPr="004A2658">
        <w:rPr>
          <w:iCs/>
          <w:sz w:val="20"/>
          <w:szCs w:val="20"/>
        </w:rPr>
        <w:t xml:space="preserve"> the survey and </w:t>
      </w:r>
      <w:r w:rsidR="00C764A1" w:rsidRPr="00C479EF">
        <w:rPr>
          <w:i/>
          <w:iCs/>
          <w:sz w:val="20"/>
          <w:szCs w:val="20"/>
        </w:rPr>
        <w:t>x</w:t>
      </w:r>
      <w:r w:rsidR="00C764A1" w:rsidRPr="00C479EF">
        <w:rPr>
          <w:i/>
          <w:iCs/>
          <w:sz w:val="20"/>
          <w:szCs w:val="20"/>
          <w:vertAlign w:val="subscript"/>
        </w:rPr>
        <w:t>i</w:t>
      </w:r>
      <w:r w:rsidR="00C764A1">
        <w:rPr>
          <w:i/>
          <w:iCs/>
          <w:sz w:val="20"/>
          <w:szCs w:val="20"/>
        </w:rPr>
        <w:t xml:space="preserve"> </w:t>
      </w:r>
      <w:r w:rsidR="00C764A1" w:rsidRPr="00C479EF">
        <w:rPr>
          <w:iCs/>
          <w:sz w:val="20"/>
          <w:szCs w:val="20"/>
        </w:rPr>
        <w:t>comprises the constant and</w:t>
      </w:r>
      <w:r w:rsidR="00C764A1">
        <w:rPr>
          <w:i/>
          <w:iCs/>
          <w:sz w:val="20"/>
          <w:szCs w:val="20"/>
        </w:rPr>
        <w:t xml:space="preserve"> </w:t>
      </w:r>
      <w:r>
        <w:rPr>
          <w:i/>
          <w:iCs/>
          <w:sz w:val="20"/>
          <w:szCs w:val="20"/>
        </w:rPr>
        <w:t>SLRI</w:t>
      </w:r>
      <w:r w:rsidRPr="004A2658">
        <w:rPr>
          <w:i/>
          <w:iCs/>
          <w:sz w:val="20"/>
          <w:szCs w:val="20"/>
          <w:vertAlign w:val="subscript"/>
        </w:rPr>
        <w:t>i</w:t>
      </w:r>
      <w:r w:rsidR="00C764A1">
        <w:rPr>
          <w:iCs/>
          <w:sz w:val="20"/>
          <w:szCs w:val="20"/>
        </w:rPr>
        <w:t>,</w:t>
      </w:r>
      <w:r w:rsidRPr="004A2658">
        <w:rPr>
          <w:iCs/>
          <w:sz w:val="20"/>
          <w:szCs w:val="20"/>
        </w:rPr>
        <w:t xml:space="preserve"> the systemic liquidity risk indicator.</w:t>
      </w:r>
      <w:r w:rsidR="00D51968">
        <w:rPr>
          <w:iCs/>
          <w:sz w:val="20"/>
          <w:szCs w:val="20"/>
        </w:rPr>
        <w:t xml:space="preserve"> </w:t>
      </w:r>
      <w:r w:rsidR="00D51968">
        <w:rPr>
          <w:sz w:val="20"/>
          <w:szCs w:val="20"/>
        </w:rPr>
        <w:t>Estimations based on daily data from January 2005 to December 2013.</w:t>
      </w:r>
    </w:p>
    <w:p w:rsidR="004A2658" w:rsidRPr="004A2658" w:rsidRDefault="004A2658" w:rsidP="004A2658">
      <w:pPr>
        <w:jc w:val="both"/>
        <w:rPr>
          <w:iCs/>
          <w:sz w:val="20"/>
          <w:szCs w:val="20"/>
        </w:rPr>
      </w:pPr>
    </w:p>
    <w:p w:rsidR="004A2658" w:rsidRDefault="004A2658" w:rsidP="004A2658">
      <w:pPr>
        <w:rPr>
          <w:sz w:val="20"/>
          <w:szCs w:val="20"/>
        </w:rPr>
      </w:pPr>
    </w:p>
    <w:p w:rsidR="004A2658" w:rsidRDefault="004A2658">
      <w:pPr>
        <w:rPr>
          <w:sz w:val="20"/>
          <w:szCs w:val="20"/>
        </w:rPr>
      </w:pPr>
      <w:r>
        <w:rPr>
          <w:sz w:val="20"/>
          <w:szCs w:val="20"/>
        </w:rPr>
        <w:br w:type="page"/>
      </w:r>
    </w:p>
    <w:p w:rsidR="004A2658" w:rsidRPr="004A2658" w:rsidRDefault="004A2658" w:rsidP="004A2658">
      <w:pPr>
        <w:rPr>
          <w:sz w:val="20"/>
          <w:szCs w:val="20"/>
        </w:rPr>
      </w:pPr>
    </w:p>
    <w:p w:rsidR="00241591" w:rsidRDefault="00AC549B" w:rsidP="004A2658">
      <w:pPr>
        <w:rPr>
          <w:b/>
        </w:rPr>
      </w:pPr>
      <w:r>
        <w:rPr>
          <w:b/>
        </w:rPr>
        <w:t>Table B.3</w:t>
      </w:r>
      <w:r w:rsidR="00241591" w:rsidRPr="00DA4054">
        <w:rPr>
          <w:b/>
        </w:rPr>
        <w:t xml:space="preserve">. </w:t>
      </w:r>
      <w:r w:rsidR="00EB7A83" w:rsidRPr="00EB7A83">
        <w:rPr>
          <w:b/>
        </w:rPr>
        <w:t>Probit regression results: expectation-prediction evaluation for binary specification and goodness of fit</w:t>
      </w:r>
    </w:p>
    <w:tbl>
      <w:tblPr>
        <w:tblW w:w="6804" w:type="dxa"/>
        <w:tblInd w:w="1488" w:type="dxa"/>
        <w:tblCellMar>
          <w:left w:w="70" w:type="dxa"/>
          <w:right w:w="70" w:type="dxa"/>
        </w:tblCellMar>
        <w:tblLook w:val="04A0" w:firstRow="1" w:lastRow="0" w:firstColumn="1" w:lastColumn="0" w:noHBand="0" w:noVBand="1"/>
      </w:tblPr>
      <w:tblGrid>
        <w:gridCol w:w="3140"/>
        <w:gridCol w:w="960"/>
        <w:gridCol w:w="1240"/>
        <w:gridCol w:w="1464"/>
      </w:tblGrid>
      <w:tr w:rsidR="00241591" w:rsidTr="00241591">
        <w:trPr>
          <w:trHeight w:val="165"/>
        </w:trPr>
        <w:tc>
          <w:tcPr>
            <w:tcW w:w="3140"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p>
        </w:tc>
        <w:tc>
          <w:tcPr>
            <w:tcW w:w="1464"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p>
        </w:tc>
      </w:tr>
      <w:tr w:rsidR="00241591" w:rsidTr="00241591">
        <w:trPr>
          <w:trHeight w:val="255"/>
        </w:trPr>
        <w:tc>
          <w:tcPr>
            <w:tcW w:w="6804" w:type="dxa"/>
            <w:gridSpan w:val="4"/>
            <w:tcBorders>
              <w:top w:val="single" w:sz="4" w:space="0" w:color="auto"/>
              <w:left w:val="nil"/>
              <w:bottom w:val="nil"/>
              <w:right w:val="nil"/>
            </w:tcBorders>
            <w:shd w:val="clear" w:color="auto" w:fill="auto"/>
            <w:noWrap/>
            <w:vAlign w:val="bottom"/>
            <w:hideMark/>
          </w:tcPr>
          <w:p w:rsidR="00241591" w:rsidRDefault="00241591" w:rsidP="00241591">
            <w:pPr>
              <w:jc w:val="center"/>
              <w:rPr>
                <w:rFonts w:ascii="Arial" w:hAnsi="Arial" w:cs="Arial"/>
                <w:b/>
                <w:bCs/>
                <w:color w:val="000000"/>
                <w:sz w:val="20"/>
                <w:szCs w:val="20"/>
              </w:rPr>
            </w:pPr>
            <w:r>
              <w:rPr>
                <w:rFonts w:ascii="Arial" w:hAnsi="Arial" w:cs="Arial"/>
                <w:b/>
                <w:bCs/>
                <w:color w:val="000000"/>
                <w:sz w:val="20"/>
                <w:szCs w:val="20"/>
              </w:rPr>
              <w:t>Expectation-Prediction Evaluation for Binary Specification</w:t>
            </w:r>
          </w:p>
        </w:tc>
      </w:tr>
      <w:tr w:rsidR="00241591" w:rsidTr="00241591">
        <w:trPr>
          <w:trHeight w:val="255"/>
        </w:trPr>
        <w:tc>
          <w:tcPr>
            <w:tcW w:w="6804" w:type="dxa"/>
            <w:gridSpan w:val="4"/>
            <w:tcBorders>
              <w:top w:val="nil"/>
              <w:left w:val="nil"/>
              <w:bottom w:val="single" w:sz="4" w:space="0" w:color="auto"/>
              <w:right w:val="nil"/>
            </w:tcBorders>
            <w:shd w:val="clear" w:color="auto" w:fill="auto"/>
            <w:noWrap/>
            <w:vAlign w:val="center"/>
            <w:hideMark/>
          </w:tcPr>
          <w:p w:rsidR="00241591" w:rsidRDefault="00241591" w:rsidP="00241591">
            <w:pPr>
              <w:jc w:val="center"/>
              <w:rPr>
                <w:rFonts w:ascii="Arial" w:hAnsi="Arial" w:cs="Arial"/>
                <w:i/>
                <w:iCs/>
                <w:color w:val="000000"/>
                <w:sz w:val="20"/>
                <w:szCs w:val="20"/>
              </w:rPr>
            </w:pPr>
            <w:r>
              <w:rPr>
                <w:rFonts w:ascii="Arial" w:hAnsi="Arial" w:cs="Arial"/>
                <w:i/>
                <w:iCs/>
                <w:color w:val="000000"/>
                <w:sz w:val="20"/>
                <w:szCs w:val="20"/>
              </w:rPr>
              <w:t>(Success cutoff: C = 0.5)</w:t>
            </w:r>
          </w:p>
        </w:tc>
      </w:tr>
      <w:tr w:rsidR="00241591" w:rsidTr="00241591">
        <w:trPr>
          <w:trHeight w:val="255"/>
        </w:trPr>
        <w:tc>
          <w:tcPr>
            <w:tcW w:w="31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3664" w:type="dxa"/>
            <w:gridSpan w:val="3"/>
            <w:tcBorders>
              <w:top w:val="single" w:sz="4" w:space="0" w:color="auto"/>
              <w:left w:val="nil"/>
              <w:bottom w:val="single" w:sz="4" w:space="0" w:color="auto"/>
              <w:right w:val="nil"/>
            </w:tcBorders>
            <w:shd w:val="clear" w:color="auto" w:fill="auto"/>
            <w:noWrap/>
            <w:vAlign w:val="bottom"/>
            <w:hideMark/>
          </w:tcPr>
          <w:p w:rsidR="00241591" w:rsidRDefault="00241591" w:rsidP="00241591">
            <w:pPr>
              <w:jc w:val="center"/>
              <w:rPr>
                <w:rFonts w:ascii="Arial" w:hAnsi="Arial" w:cs="Arial"/>
                <w:color w:val="000000"/>
                <w:sz w:val="20"/>
                <w:szCs w:val="20"/>
              </w:rPr>
            </w:pPr>
            <w:r>
              <w:rPr>
                <w:rFonts w:ascii="Arial" w:hAnsi="Arial" w:cs="Arial"/>
                <w:color w:val="000000"/>
                <w:sz w:val="20"/>
                <w:szCs w:val="20"/>
              </w:rPr>
              <w:t xml:space="preserve">           </w:t>
            </w:r>
            <w:r w:rsidR="00EB7A83">
              <w:rPr>
                <w:rFonts w:ascii="Arial" w:hAnsi="Arial" w:cs="Arial"/>
                <w:color w:val="000000"/>
                <w:sz w:val="20"/>
                <w:szCs w:val="20"/>
              </w:rPr>
              <w:t>Estimated e</w:t>
            </w:r>
            <w:r>
              <w:rPr>
                <w:rFonts w:ascii="Arial" w:hAnsi="Arial" w:cs="Arial"/>
                <w:color w:val="000000"/>
                <w:sz w:val="20"/>
                <w:szCs w:val="20"/>
              </w:rPr>
              <w:t>quation</w:t>
            </w:r>
          </w:p>
        </w:tc>
      </w:tr>
      <w:tr w:rsidR="00241591" w:rsidTr="00241591">
        <w:trPr>
          <w:trHeight w:val="255"/>
        </w:trPr>
        <w:tc>
          <w:tcPr>
            <w:tcW w:w="314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jc w:val="center"/>
              <w:rPr>
                <w:rFonts w:ascii="Arial" w:hAnsi="Arial" w:cs="Arial"/>
                <w:color w:val="000000"/>
                <w:sz w:val="20"/>
                <w:szCs w:val="20"/>
              </w:rPr>
            </w:pPr>
            <w:r>
              <w:rPr>
                <w:rFonts w:ascii="Arial" w:hAnsi="Arial" w:cs="Arial"/>
                <w:color w:val="000000"/>
                <w:sz w:val="20"/>
                <w:szCs w:val="20"/>
              </w:rPr>
              <w:t>Dep=0</w:t>
            </w:r>
          </w:p>
        </w:tc>
        <w:tc>
          <w:tcPr>
            <w:tcW w:w="124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jc w:val="center"/>
              <w:rPr>
                <w:rFonts w:ascii="Arial" w:hAnsi="Arial" w:cs="Arial"/>
                <w:color w:val="000000"/>
                <w:sz w:val="20"/>
                <w:szCs w:val="20"/>
              </w:rPr>
            </w:pPr>
            <w:r>
              <w:rPr>
                <w:rFonts w:ascii="Arial" w:hAnsi="Arial" w:cs="Arial"/>
                <w:color w:val="000000"/>
                <w:sz w:val="20"/>
                <w:szCs w:val="20"/>
              </w:rPr>
              <w:t>Dep=1</w:t>
            </w:r>
          </w:p>
        </w:tc>
        <w:tc>
          <w:tcPr>
            <w:tcW w:w="1464" w:type="dxa"/>
            <w:tcBorders>
              <w:top w:val="nil"/>
              <w:left w:val="nil"/>
              <w:bottom w:val="single" w:sz="4" w:space="0" w:color="auto"/>
              <w:right w:val="nil"/>
            </w:tcBorders>
            <w:shd w:val="clear" w:color="auto" w:fill="auto"/>
            <w:noWrap/>
            <w:vAlign w:val="bottom"/>
            <w:hideMark/>
          </w:tcPr>
          <w:p w:rsidR="00241591" w:rsidRDefault="00241591" w:rsidP="00241591">
            <w:pPr>
              <w:jc w:val="center"/>
              <w:rPr>
                <w:rFonts w:ascii="Arial" w:hAnsi="Arial" w:cs="Arial"/>
                <w:color w:val="000000"/>
                <w:sz w:val="20"/>
                <w:szCs w:val="20"/>
              </w:rPr>
            </w:pPr>
            <w:r>
              <w:rPr>
                <w:rFonts w:ascii="Arial" w:hAnsi="Arial" w:cs="Arial"/>
                <w:color w:val="000000"/>
                <w:sz w:val="20"/>
                <w:szCs w:val="20"/>
              </w:rPr>
              <w:t>Total</w:t>
            </w:r>
          </w:p>
        </w:tc>
      </w:tr>
      <w:tr w:rsidR="00241591" w:rsidTr="00241591">
        <w:trPr>
          <w:trHeight w:val="135"/>
        </w:trPr>
        <w:tc>
          <w:tcPr>
            <w:tcW w:w="31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12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1464"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r>
      <w:tr w:rsidR="00241591" w:rsidTr="00241591">
        <w:trPr>
          <w:trHeight w:val="255"/>
        </w:trPr>
        <w:tc>
          <w:tcPr>
            <w:tcW w:w="31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P(Dep=1)&lt;=C</w:t>
            </w:r>
          </w:p>
        </w:tc>
        <w:tc>
          <w:tcPr>
            <w:tcW w:w="96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1,611 </w:t>
            </w:r>
          </w:p>
        </w:tc>
        <w:tc>
          <w:tcPr>
            <w:tcW w:w="12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91 </w:t>
            </w:r>
          </w:p>
        </w:tc>
        <w:tc>
          <w:tcPr>
            <w:tcW w:w="1464"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1,702 </w:t>
            </w:r>
          </w:p>
        </w:tc>
      </w:tr>
      <w:tr w:rsidR="00241591" w:rsidTr="00241591">
        <w:trPr>
          <w:trHeight w:val="255"/>
        </w:trPr>
        <w:tc>
          <w:tcPr>
            <w:tcW w:w="31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P(Dep=1)&gt;C</w:t>
            </w:r>
          </w:p>
        </w:tc>
        <w:tc>
          <w:tcPr>
            <w:tcW w:w="96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95 </w:t>
            </w:r>
          </w:p>
        </w:tc>
        <w:tc>
          <w:tcPr>
            <w:tcW w:w="12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467 </w:t>
            </w:r>
          </w:p>
        </w:tc>
        <w:tc>
          <w:tcPr>
            <w:tcW w:w="1464"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562 </w:t>
            </w:r>
          </w:p>
        </w:tc>
      </w:tr>
      <w:tr w:rsidR="00241591" w:rsidTr="00241591">
        <w:trPr>
          <w:trHeight w:val="255"/>
        </w:trPr>
        <w:tc>
          <w:tcPr>
            <w:tcW w:w="31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Total</w:t>
            </w:r>
          </w:p>
        </w:tc>
        <w:tc>
          <w:tcPr>
            <w:tcW w:w="96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1,706 </w:t>
            </w:r>
          </w:p>
        </w:tc>
        <w:tc>
          <w:tcPr>
            <w:tcW w:w="12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558 </w:t>
            </w:r>
          </w:p>
        </w:tc>
        <w:tc>
          <w:tcPr>
            <w:tcW w:w="1464"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2,264 </w:t>
            </w:r>
          </w:p>
        </w:tc>
      </w:tr>
      <w:tr w:rsidR="00241591" w:rsidTr="00241591">
        <w:trPr>
          <w:trHeight w:val="255"/>
        </w:trPr>
        <w:tc>
          <w:tcPr>
            <w:tcW w:w="31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Correct</w:t>
            </w:r>
          </w:p>
        </w:tc>
        <w:tc>
          <w:tcPr>
            <w:tcW w:w="96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1,611 </w:t>
            </w:r>
          </w:p>
        </w:tc>
        <w:tc>
          <w:tcPr>
            <w:tcW w:w="12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467 </w:t>
            </w:r>
          </w:p>
        </w:tc>
        <w:tc>
          <w:tcPr>
            <w:tcW w:w="1464"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2,078 </w:t>
            </w:r>
          </w:p>
        </w:tc>
      </w:tr>
      <w:tr w:rsidR="00241591" w:rsidTr="00241591">
        <w:trPr>
          <w:trHeight w:val="255"/>
        </w:trPr>
        <w:tc>
          <w:tcPr>
            <w:tcW w:w="31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Correct</w:t>
            </w:r>
          </w:p>
        </w:tc>
        <w:tc>
          <w:tcPr>
            <w:tcW w:w="96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94.43 </w:t>
            </w:r>
          </w:p>
        </w:tc>
        <w:tc>
          <w:tcPr>
            <w:tcW w:w="1240" w:type="dxa"/>
            <w:tcBorders>
              <w:top w:val="nil"/>
              <w:left w:val="nil"/>
              <w:bottom w:val="nil"/>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83.69 </w:t>
            </w:r>
          </w:p>
        </w:tc>
        <w:tc>
          <w:tcPr>
            <w:tcW w:w="1464" w:type="dxa"/>
            <w:tcBorders>
              <w:top w:val="nil"/>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91.78 </w:t>
            </w:r>
          </w:p>
        </w:tc>
      </w:tr>
      <w:tr w:rsidR="00241591" w:rsidTr="00241591">
        <w:trPr>
          <w:trHeight w:val="255"/>
        </w:trPr>
        <w:tc>
          <w:tcPr>
            <w:tcW w:w="314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Incorrect</w:t>
            </w:r>
          </w:p>
        </w:tc>
        <w:tc>
          <w:tcPr>
            <w:tcW w:w="96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5.57 </w:t>
            </w:r>
          </w:p>
        </w:tc>
        <w:tc>
          <w:tcPr>
            <w:tcW w:w="124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16.31 </w:t>
            </w:r>
          </w:p>
        </w:tc>
        <w:tc>
          <w:tcPr>
            <w:tcW w:w="1464" w:type="dxa"/>
            <w:tcBorders>
              <w:top w:val="nil"/>
              <w:left w:val="nil"/>
              <w:bottom w:val="single" w:sz="4" w:space="0" w:color="auto"/>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xml:space="preserve">            8.22 </w:t>
            </w:r>
          </w:p>
        </w:tc>
      </w:tr>
      <w:tr w:rsidR="00241591" w:rsidTr="00241591">
        <w:trPr>
          <w:trHeight w:val="330"/>
        </w:trPr>
        <w:tc>
          <w:tcPr>
            <w:tcW w:w="6804" w:type="dxa"/>
            <w:gridSpan w:val="4"/>
            <w:tcBorders>
              <w:top w:val="single" w:sz="4" w:space="0" w:color="auto"/>
              <w:left w:val="nil"/>
              <w:bottom w:val="single" w:sz="4" w:space="0" w:color="auto"/>
              <w:right w:val="nil"/>
            </w:tcBorders>
            <w:shd w:val="clear" w:color="auto" w:fill="auto"/>
            <w:noWrap/>
            <w:vAlign w:val="center"/>
            <w:hideMark/>
          </w:tcPr>
          <w:p w:rsidR="00241591" w:rsidRDefault="00241591" w:rsidP="00241591">
            <w:pPr>
              <w:jc w:val="center"/>
              <w:rPr>
                <w:rFonts w:ascii="Arial" w:hAnsi="Arial" w:cs="Arial"/>
                <w:b/>
                <w:bCs/>
                <w:color w:val="000000"/>
                <w:sz w:val="20"/>
                <w:szCs w:val="20"/>
              </w:rPr>
            </w:pPr>
            <w:r>
              <w:rPr>
                <w:rFonts w:ascii="Arial" w:hAnsi="Arial" w:cs="Arial"/>
                <w:b/>
                <w:bCs/>
                <w:color w:val="000000"/>
                <w:sz w:val="20"/>
                <w:szCs w:val="20"/>
              </w:rPr>
              <w:t>Goodness-of-Fit Evaluation for Binary Specification</w:t>
            </w:r>
          </w:p>
        </w:tc>
      </w:tr>
      <w:tr w:rsidR="00241591" w:rsidTr="00241591">
        <w:trPr>
          <w:trHeight w:val="255"/>
        </w:trPr>
        <w:tc>
          <w:tcPr>
            <w:tcW w:w="3140" w:type="dxa"/>
            <w:tcBorders>
              <w:top w:val="nil"/>
              <w:left w:val="nil"/>
              <w:bottom w:val="single" w:sz="4" w:space="0" w:color="auto"/>
              <w:right w:val="nil"/>
            </w:tcBorders>
            <w:shd w:val="clear" w:color="auto" w:fill="auto"/>
            <w:noWrap/>
            <w:vAlign w:val="center"/>
            <w:hideMark/>
          </w:tcPr>
          <w:p w:rsidR="00241591" w:rsidRDefault="00241591" w:rsidP="00241591">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rsidR="00241591" w:rsidRDefault="00241591" w:rsidP="00241591">
            <w:pPr>
              <w:jc w:val="center"/>
              <w:rPr>
                <w:rFonts w:ascii="Arial" w:hAnsi="Arial" w:cs="Arial"/>
                <w:color w:val="000000"/>
                <w:sz w:val="20"/>
                <w:szCs w:val="20"/>
              </w:rPr>
            </w:pPr>
            <w:r>
              <w:rPr>
                <w:rFonts w:ascii="Arial" w:hAnsi="Arial" w:cs="Arial"/>
                <w:color w:val="000000"/>
                <w:sz w:val="20"/>
                <w:szCs w:val="20"/>
              </w:rPr>
              <w:t>Statistic</w:t>
            </w:r>
          </w:p>
        </w:tc>
        <w:tc>
          <w:tcPr>
            <w:tcW w:w="1464" w:type="dxa"/>
            <w:tcBorders>
              <w:top w:val="nil"/>
              <w:left w:val="nil"/>
              <w:bottom w:val="single" w:sz="4" w:space="0" w:color="auto"/>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Prob. Chi-Sq</w:t>
            </w:r>
          </w:p>
        </w:tc>
      </w:tr>
      <w:tr w:rsidR="00241591" w:rsidTr="00241591">
        <w:trPr>
          <w:trHeight w:val="255"/>
        </w:trPr>
        <w:tc>
          <w:tcPr>
            <w:tcW w:w="4100" w:type="dxa"/>
            <w:gridSpan w:val="2"/>
            <w:tcBorders>
              <w:top w:val="single" w:sz="4" w:space="0" w:color="auto"/>
              <w:left w:val="nil"/>
              <w:bottom w:val="nil"/>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Hosmer-Lemeshow (H-L) Test</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31.1034</w:t>
            </w:r>
          </w:p>
        </w:tc>
        <w:tc>
          <w:tcPr>
            <w:tcW w:w="1464" w:type="dxa"/>
            <w:tcBorders>
              <w:top w:val="nil"/>
              <w:left w:val="nil"/>
              <w:bottom w:val="nil"/>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0.0001</w:t>
            </w:r>
          </w:p>
        </w:tc>
      </w:tr>
      <w:tr w:rsidR="00241591" w:rsidTr="00241591">
        <w:trPr>
          <w:trHeight w:val="255"/>
        </w:trPr>
        <w:tc>
          <w:tcPr>
            <w:tcW w:w="4100" w:type="dxa"/>
            <w:gridSpan w:val="2"/>
            <w:tcBorders>
              <w:top w:val="nil"/>
              <w:left w:val="nil"/>
              <w:bottom w:val="single" w:sz="4" w:space="0" w:color="auto"/>
              <w:right w:val="nil"/>
            </w:tcBorders>
            <w:shd w:val="clear" w:color="auto" w:fill="auto"/>
            <w:noWrap/>
            <w:vAlign w:val="bottom"/>
            <w:hideMark/>
          </w:tcPr>
          <w:p w:rsidR="00241591" w:rsidRDefault="00241591" w:rsidP="00241591">
            <w:pPr>
              <w:rPr>
                <w:rFonts w:ascii="Arial" w:hAnsi="Arial" w:cs="Arial"/>
                <w:color w:val="000000"/>
                <w:sz w:val="20"/>
                <w:szCs w:val="20"/>
              </w:rPr>
            </w:pPr>
            <w:r>
              <w:rPr>
                <w:rFonts w:ascii="Arial" w:hAnsi="Arial" w:cs="Arial"/>
                <w:color w:val="000000"/>
                <w:sz w:val="20"/>
                <w:szCs w:val="20"/>
              </w:rPr>
              <w:t>Andrews Test</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1053.7231</w:t>
            </w:r>
          </w:p>
        </w:tc>
        <w:tc>
          <w:tcPr>
            <w:tcW w:w="1464" w:type="dxa"/>
            <w:tcBorders>
              <w:top w:val="nil"/>
              <w:left w:val="nil"/>
              <w:bottom w:val="single" w:sz="4" w:space="0" w:color="auto"/>
              <w:right w:val="nil"/>
            </w:tcBorders>
            <w:shd w:val="clear" w:color="auto" w:fill="auto"/>
            <w:noWrap/>
            <w:vAlign w:val="bottom"/>
            <w:hideMark/>
          </w:tcPr>
          <w:p w:rsidR="00241591" w:rsidRDefault="00241591" w:rsidP="00241591">
            <w:pPr>
              <w:jc w:val="right"/>
              <w:rPr>
                <w:rFonts w:ascii="Arial" w:hAnsi="Arial" w:cs="Arial"/>
                <w:color w:val="000000"/>
                <w:sz w:val="20"/>
                <w:szCs w:val="20"/>
              </w:rPr>
            </w:pPr>
            <w:r>
              <w:rPr>
                <w:rFonts w:ascii="Arial" w:hAnsi="Arial" w:cs="Arial"/>
                <w:color w:val="000000"/>
                <w:sz w:val="20"/>
                <w:szCs w:val="20"/>
              </w:rPr>
              <w:t>0</w:t>
            </w:r>
          </w:p>
        </w:tc>
      </w:tr>
    </w:tbl>
    <w:p w:rsidR="00D51968" w:rsidRDefault="00D51968" w:rsidP="004A2658">
      <w:pPr>
        <w:jc w:val="both"/>
        <w:rPr>
          <w:sz w:val="20"/>
          <w:szCs w:val="20"/>
        </w:rPr>
      </w:pPr>
    </w:p>
    <w:p w:rsidR="00D51968" w:rsidRPr="0078601C" w:rsidRDefault="00241591" w:rsidP="00D51968">
      <w:pPr>
        <w:jc w:val="both"/>
        <w:rPr>
          <w:sz w:val="20"/>
          <w:szCs w:val="20"/>
        </w:rPr>
      </w:pPr>
      <w:r w:rsidRPr="006478AA">
        <w:rPr>
          <w:sz w:val="20"/>
          <w:szCs w:val="20"/>
        </w:rPr>
        <w:t xml:space="preserve">This table presents the results </w:t>
      </w:r>
      <w:r>
        <w:rPr>
          <w:sz w:val="20"/>
          <w:szCs w:val="20"/>
        </w:rPr>
        <w:t xml:space="preserve">of the evaluation for the binary specification, </w:t>
      </w:r>
      <w:r w:rsidRPr="006478AA">
        <w:rPr>
          <w:sz w:val="20"/>
          <w:szCs w:val="20"/>
        </w:rPr>
        <w:t xml:space="preserve">where the dependant variable (Dep) is the </w:t>
      </w:r>
      <w:r>
        <w:rPr>
          <w:sz w:val="20"/>
          <w:szCs w:val="20"/>
        </w:rPr>
        <w:t>binary index</w:t>
      </w:r>
      <w:r w:rsidR="004A2658">
        <w:rPr>
          <w:sz w:val="20"/>
          <w:szCs w:val="20"/>
        </w:rPr>
        <w:t xml:space="preserve"> </w:t>
      </w:r>
      <w:r w:rsidR="00EB7A83">
        <w:rPr>
          <w:iCs/>
          <w:sz w:val="20"/>
          <w:szCs w:val="20"/>
        </w:rPr>
        <w:t>derived from</w:t>
      </w:r>
      <w:r w:rsidR="004A2658" w:rsidRPr="004A2658">
        <w:rPr>
          <w:iCs/>
          <w:sz w:val="20"/>
          <w:szCs w:val="20"/>
        </w:rPr>
        <w:t xml:space="preserve"> the survey</w:t>
      </w:r>
      <w:r>
        <w:rPr>
          <w:sz w:val="20"/>
          <w:szCs w:val="20"/>
        </w:rPr>
        <w:t>.</w:t>
      </w:r>
      <w:r w:rsidR="00D51968">
        <w:rPr>
          <w:sz w:val="20"/>
          <w:szCs w:val="20"/>
        </w:rPr>
        <w:t xml:space="preserve"> Estimations based on daily data from January 2005 to December 2013.</w:t>
      </w:r>
    </w:p>
    <w:p w:rsidR="00235D21" w:rsidRPr="00173760" w:rsidRDefault="00235D21" w:rsidP="004A2658">
      <w:pPr>
        <w:jc w:val="both"/>
        <w:rPr>
          <w:b/>
          <w:noProof/>
        </w:rPr>
      </w:pPr>
    </w:p>
    <w:p w:rsidR="00AC549B" w:rsidRPr="00AC549B" w:rsidRDefault="00AC549B" w:rsidP="00A27537">
      <w:pPr>
        <w:spacing w:before="60" w:after="60"/>
        <w:ind w:firstLine="708"/>
        <w:jc w:val="right"/>
        <w:rPr>
          <w:b/>
          <w:noProof/>
        </w:rPr>
      </w:pPr>
    </w:p>
    <w:p w:rsidR="00AC549B" w:rsidRPr="0078601C" w:rsidRDefault="00301647" w:rsidP="004A2658">
      <w:pPr>
        <w:spacing w:before="60" w:after="60"/>
        <w:rPr>
          <w:b/>
          <w:noProof/>
          <w:lang w:val="en-US"/>
        </w:rPr>
      </w:pPr>
      <w:r w:rsidRPr="008B5945">
        <w:rPr>
          <w:b/>
          <w:lang w:val="en-US"/>
        </w:rPr>
        <w:t xml:space="preserve">Table B.4. </w:t>
      </w:r>
      <w:r w:rsidR="0078601C" w:rsidRPr="0078601C">
        <w:rPr>
          <w:b/>
          <w:lang w:val="en-US"/>
        </w:rPr>
        <w:t>Comparing different specifications of Markov-switching au</w:t>
      </w:r>
      <w:r w:rsidR="00D42D64">
        <w:rPr>
          <w:b/>
          <w:lang w:val="en-US"/>
        </w:rPr>
        <w:t>toregressive models for the systemic liquidity risk indicator (SLRI)</w:t>
      </w:r>
    </w:p>
    <w:tbl>
      <w:tblPr>
        <w:tblW w:w="6280" w:type="dxa"/>
        <w:jc w:val="center"/>
        <w:tblInd w:w="55" w:type="dxa"/>
        <w:tblCellMar>
          <w:left w:w="70" w:type="dxa"/>
          <w:right w:w="70" w:type="dxa"/>
        </w:tblCellMar>
        <w:tblLook w:val="04A0" w:firstRow="1" w:lastRow="0" w:firstColumn="1" w:lastColumn="0" w:noHBand="0" w:noVBand="1"/>
      </w:tblPr>
      <w:tblGrid>
        <w:gridCol w:w="960"/>
        <w:gridCol w:w="960"/>
        <w:gridCol w:w="960"/>
        <w:gridCol w:w="1480"/>
        <w:gridCol w:w="960"/>
        <w:gridCol w:w="975"/>
      </w:tblGrid>
      <w:tr w:rsidR="00506D67" w:rsidTr="00506D67">
        <w:trPr>
          <w:trHeight w:val="150"/>
          <w:jc w:val="center"/>
        </w:trPr>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148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r>
      <w:tr w:rsidR="00506D67" w:rsidTr="00506D67">
        <w:trPr>
          <w:trHeight w:val="525"/>
          <w:jc w:val="center"/>
        </w:trPr>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α (s</w:t>
            </w:r>
            <w:r>
              <w:rPr>
                <w:rFonts w:ascii="Arial" w:hAnsi="Arial" w:cs="Arial"/>
                <w:b/>
                <w:bCs/>
                <w:color w:val="000000"/>
                <w:sz w:val="20"/>
                <w:szCs w:val="20"/>
                <w:vertAlign w:val="subscript"/>
              </w:rPr>
              <w:t>t</w:t>
            </w:r>
            <w:r>
              <w:rPr>
                <w:rFonts w:ascii="Arial" w:hAnsi="Arial" w:cs="Arial"/>
                <w:b/>
                <w:bCs/>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β (s</w:t>
            </w:r>
            <w:r>
              <w:rPr>
                <w:rFonts w:ascii="Arial" w:hAnsi="Arial" w:cs="Arial"/>
                <w:b/>
                <w:bCs/>
                <w:color w:val="000000"/>
                <w:sz w:val="20"/>
                <w:szCs w:val="20"/>
                <w:vertAlign w:val="subscript"/>
              </w:rPr>
              <w:t>t</w:t>
            </w:r>
            <w:r>
              <w:rPr>
                <w:rFonts w:ascii="Arial" w:hAnsi="Arial" w:cs="Arial"/>
                <w:b/>
                <w:bCs/>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σ (s</w:t>
            </w:r>
            <w:r>
              <w:rPr>
                <w:rFonts w:ascii="Arial" w:hAnsi="Arial" w:cs="Arial"/>
                <w:b/>
                <w:bCs/>
                <w:color w:val="000000"/>
                <w:sz w:val="20"/>
                <w:szCs w:val="20"/>
                <w:vertAlign w:val="subscript"/>
              </w:rPr>
              <w:t>t</w:t>
            </w:r>
            <w:r>
              <w:rPr>
                <w:rFonts w:ascii="Arial" w:hAnsi="Arial" w:cs="Arial"/>
                <w:b/>
                <w:bCs/>
                <w:color w:val="000000"/>
                <w:sz w:val="20"/>
                <w:szCs w:val="20"/>
              </w:rPr>
              <w: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Log-likelihood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AIC</w:t>
            </w:r>
          </w:p>
        </w:tc>
        <w:tc>
          <w:tcPr>
            <w:tcW w:w="960" w:type="dxa"/>
            <w:tcBorders>
              <w:top w:val="single" w:sz="4" w:space="0" w:color="auto"/>
              <w:left w:val="nil"/>
              <w:bottom w:val="single" w:sz="4" w:space="0" w:color="auto"/>
              <w:right w:val="nil"/>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RCM</w:t>
            </w:r>
          </w:p>
        </w:tc>
      </w:tr>
      <w:tr w:rsidR="00506D67" w:rsidTr="00506D67">
        <w:trPr>
          <w:trHeight w:val="255"/>
          <w:jc w:val="center"/>
        </w:trPr>
        <w:tc>
          <w:tcPr>
            <w:tcW w:w="960" w:type="dxa"/>
            <w:tcBorders>
              <w:top w:val="nil"/>
              <w:left w:val="nil"/>
              <w:bottom w:val="single" w:sz="4" w:space="0" w:color="auto"/>
              <w:right w:val="single" w:sz="4" w:space="0" w:color="auto"/>
            </w:tcBorders>
            <w:shd w:val="clear" w:color="000000" w:fill="92D050"/>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variable</w:t>
            </w:r>
          </w:p>
        </w:tc>
        <w:tc>
          <w:tcPr>
            <w:tcW w:w="960" w:type="dxa"/>
            <w:tcBorders>
              <w:top w:val="nil"/>
              <w:left w:val="nil"/>
              <w:bottom w:val="single" w:sz="4" w:space="0" w:color="auto"/>
              <w:right w:val="single" w:sz="4" w:space="0" w:color="auto"/>
            </w:tcBorders>
            <w:shd w:val="clear" w:color="000000" w:fill="92D050"/>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variable</w:t>
            </w:r>
          </w:p>
        </w:tc>
        <w:tc>
          <w:tcPr>
            <w:tcW w:w="960" w:type="dxa"/>
            <w:tcBorders>
              <w:top w:val="nil"/>
              <w:left w:val="nil"/>
              <w:bottom w:val="single" w:sz="4" w:space="0" w:color="auto"/>
              <w:right w:val="single" w:sz="4" w:space="0" w:color="auto"/>
            </w:tcBorders>
            <w:shd w:val="clear" w:color="000000" w:fill="92D050"/>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variable</w:t>
            </w:r>
          </w:p>
        </w:tc>
        <w:tc>
          <w:tcPr>
            <w:tcW w:w="1480" w:type="dxa"/>
            <w:tcBorders>
              <w:top w:val="nil"/>
              <w:left w:val="nil"/>
              <w:bottom w:val="single" w:sz="4" w:space="0" w:color="auto"/>
              <w:right w:val="single" w:sz="4" w:space="0" w:color="auto"/>
            </w:tcBorders>
            <w:shd w:val="clear" w:color="000000" w:fill="92D050"/>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904.2412</w:t>
            </w:r>
          </w:p>
        </w:tc>
        <w:tc>
          <w:tcPr>
            <w:tcW w:w="960" w:type="dxa"/>
            <w:tcBorders>
              <w:top w:val="nil"/>
              <w:left w:val="nil"/>
              <w:bottom w:val="single" w:sz="4" w:space="0" w:color="auto"/>
              <w:right w:val="single" w:sz="4" w:space="0" w:color="auto"/>
            </w:tcBorders>
            <w:shd w:val="clear" w:color="000000" w:fill="92D050"/>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-3.83009</w:t>
            </w:r>
          </w:p>
        </w:tc>
        <w:tc>
          <w:tcPr>
            <w:tcW w:w="960" w:type="dxa"/>
            <w:tcBorders>
              <w:top w:val="nil"/>
              <w:left w:val="nil"/>
              <w:bottom w:val="single" w:sz="4" w:space="0" w:color="auto"/>
              <w:right w:val="nil"/>
            </w:tcBorders>
            <w:shd w:val="clear" w:color="000000" w:fill="92D050"/>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10.68886</w:t>
            </w:r>
          </w:p>
        </w:tc>
      </w:tr>
      <w:tr w:rsidR="00506D67" w:rsidTr="00506D67">
        <w:trPr>
          <w:trHeight w:val="255"/>
          <w:jc w:val="center"/>
        </w:trPr>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variable</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constant</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variable</w:t>
            </w:r>
          </w:p>
        </w:tc>
        <w:tc>
          <w:tcPr>
            <w:tcW w:w="148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904.0182</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-3.83341</w:t>
            </w:r>
          </w:p>
        </w:tc>
        <w:tc>
          <w:tcPr>
            <w:tcW w:w="9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10.89849</w:t>
            </w:r>
          </w:p>
        </w:tc>
      </w:tr>
      <w:tr w:rsidR="00506D67" w:rsidTr="00506D67">
        <w:trPr>
          <w:trHeight w:val="255"/>
          <w:jc w:val="center"/>
        </w:trPr>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variable</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constant</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constant</w:t>
            </w:r>
          </w:p>
        </w:tc>
        <w:tc>
          <w:tcPr>
            <w:tcW w:w="148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790.2494</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-3.35149</w:t>
            </w:r>
          </w:p>
        </w:tc>
        <w:tc>
          <w:tcPr>
            <w:tcW w:w="9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15.66012</w:t>
            </w:r>
          </w:p>
        </w:tc>
      </w:tr>
      <w:tr w:rsidR="00506D67" w:rsidTr="00506D67">
        <w:trPr>
          <w:trHeight w:val="255"/>
          <w:jc w:val="center"/>
        </w:trPr>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constant</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variable</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variable</w:t>
            </w:r>
          </w:p>
        </w:tc>
        <w:tc>
          <w:tcPr>
            <w:tcW w:w="148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903.3075</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-3.83037</w:t>
            </w:r>
          </w:p>
        </w:tc>
        <w:tc>
          <w:tcPr>
            <w:tcW w:w="9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10.80872</w:t>
            </w:r>
          </w:p>
        </w:tc>
      </w:tr>
      <w:tr w:rsidR="00506D67" w:rsidTr="00506D67">
        <w:trPr>
          <w:trHeight w:val="255"/>
          <w:jc w:val="center"/>
        </w:trPr>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constant</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constant</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center"/>
              <w:rPr>
                <w:rFonts w:ascii="Arial" w:hAnsi="Arial" w:cs="Arial"/>
                <w:color w:val="000000"/>
                <w:sz w:val="20"/>
                <w:szCs w:val="20"/>
              </w:rPr>
            </w:pPr>
            <w:r>
              <w:rPr>
                <w:rFonts w:ascii="Arial" w:hAnsi="Arial" w:cs="Arial"/>
                <w:color w:val="000000"/>
                <w:sz w:val="20"/>
                <w:szCs w:val="20"/>
              </w:rPr>
              <w:t>variable</w:t>
            </w:r>
          </w:p>
        </w:tc>
        <w:tc>
          <w:tcPr>
            <w:tcW w:w="148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899.9527</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-3.82031</w:t>
            </w:r>
          </w:p>
        </w:tc>
        <w:tc>
          <w:tcPr>
            <w:tcW w:w="9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11.64375</w:t>
            </w:r>
          </w:p>
        </w:tc>
      </w:tr>
      <w:tr w:rsidR="00506D67" w:rsidTr="00506D67">
        <w:trPr>
          <w:trHeight w:val="150"/>
          <w:jc w:val="center"/>
        </w:trPr>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148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r>
    </w:tbl>
    <w:p w:rsidR="00506D67" w:rsidRDefault="00506D67" w:rsidP="0066293E">
      <w:pPr>
        <w:jc w:val="both"/>
        <w:rPr>
          <w:sz w:val="20"/>
          <w:szCs w:val="20"/>
        </w:rPr>
      </w:pPr>
    </w:p>
    <w:p w:rsidR="0066293E" w:rsidRPr="0066293E" w:rsidRDefault="0066293E" w:rsidP="0066293E">
      <w:pPr>
        <w:jc w:val="both"/>
        <w:rPr>
          <w:sz w:val="20"/>
          <w:szCs w:val="20"/>
        </w:rPr>
      </w:pPr>
      <w:r w:rsidRPr="0066293E">
        <w:rPr>
          <w:sz w:val="20"/>
          <w:szCs w:val="20"/>
        </w:rPr>
        <w:t xml:space="preserve">We estimate several variants of a first-order autoregressive Markov-switching model for our indicator </w:t>
      </w:r>
      <w:r w:rsidRPr="0066293E">
        <w:rPr>
          <w:iCs/>
          <w:sz w:val="20"/>
          <w:szCs w:val="20"/>
        </w:rPr>
        <w:t>(</w:t>
      </w:r>
      <w:r w:rsidRPr="0066293E">
        <w:rPr>
          <w:i/>
          <w:iCs/>
          <w:sz w:val="20"/>
          <w:szCs w:val="20"/>
        </w:rPr>
        <w:t>x</w:t>
      </w:r>
      <w:r w:rsidRPr="0066293E">
        <w:rPr>
          <w:i/>
          <w:iCs/>
          <w:sz w:val="20"/>
          <w:szCs w:val="20"/>
          <w:vertAlign w:val="subscript"/>
        </w:rPr>
        <w:t>t</w:t>
      </w:r>
      <w:r w:rsidRPr="0066293E">
        <w:rPr>
          <w:iCs/>
          <w:sz w:val="20"/>
          <w:szCs w:val="20"/>
        </w:rPr>
        <w:t>), with two states (</w:t>
      </w:r>
      <w:r w:rsidRPr="0066293E">
        <w:rPr>
          <w:i/>
          <w:iCs/>
          <w:sz w:val="20"/>
          <w:szCs w:val="20"/>
        </w:rPr>
        <w:t>s</w:t>
      </w:r>
      <w:r w:rsidRPr="0066293E">
        <w:rPr>
          <w:i/>
          <w:iCs/>
          <w:sz w:val="20"/>
          <w:szCs w:val="20"/>
          <w:vertAlign w:val="subscript"/>
        </w:rPr>
        <w:t>t</w:t>
      </w:r>
      <w:r>
        <w:rPr>
          <w:iCs/>
          <w:sz w:val="20"/>
          <w:szCs w:val="20"/>
        </w:rPr>
        <w:t>):</w:t>
      </w:r>
    </w:p>
    <w:p w:rsidR="0066293E" w:rsidRDefault="004306EB" w:rsidP="0066293E">
      <w:pPr>
        <w:jc w:val="both"/>
        <w:rPr>
          <w:sz w:val="20"/>
          <w:szCs w:val="20"/>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t</m:t>
              </m:r>
            </m:sub>
          </m:sSub>
          <m:r>
            <m:rPr>
              <m:sty m:val="p"/>
            </m:rPr>
            <w:rPr>
              <w:rFonts w:ascii="Cambria Math" w:hAnsi="Cambria Math"/>
            </w:rPr>
            <m:t>=α</m:t>
          </m:r>
          <m:d>
            <m:dPr>
              <m:ctrlPr>
                <w:rPr>
                  <w:rFonts w:ascii="Cambria Math" w:hAnsi="Cambria Math"/>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e>
          </m:d>
          <m:r>
            <m:rPr>
              <m:sty m:val="p"/>
            </m:rPr>
            <w:rPr>
              <w:rFonts w:ascii="Cambria Math" w:hAnsi="Cambria Math"/>
            </w:rPr>
            <m:t>+β</m:t>
          </m:r>
          <m:d>
            <m:dPr>
              <m:ctrlPr>
                <w:rPr>
                  <w:rFonts w:ascii="Cambria Math" w:hAnsi="Cambria Math"/>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t-1</m:t>
              </m:r>
            </m:sub>
          </m:sSub>
          <m:r>
            <m:rPr>
              <m:sty m:val="p"/>
            </m:rPr>
            <w:rPr>
              <w:rFonts w:ascii="Cambria Math" w:hAnsi="Cambria Math"/>
            </w:rPr>
            <m:t>+σ</m:t>
          </m:r>
          <m:d>
            <m:dPr>
              <m:ctrlPr>
                <w:rPr>
                  <w:rFonts w:ascii="Cambria Math" w:hAnsi="Cambria Math"/>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e>
          </m:d>
          <m:sSub>
            <m:sSubPr>
              <m:ctrlPr>
                <w:rPr>
                  <w:rFonts w:ascii="Cambria Math" w:hAnsi="Cambria Math"/>
                </w:rPr>
              </m:ctrlPr>
            </m:sSubPr>
            <m:e>
              <m:r>
                <m:rPr>
                  <m:sty m:val="p"/>
                </m:rPr>
                <w:rPr>
                  <w:rFonts w:ascii="Cambria Math" w:hAnsi="Cambria Math"/>
                </w:rPr>
                <m:t>μ</m:t>
              </m:r>
            </m:e>
            <m:sub>
              <m:r>
                <m:rPr>
                  <m:sty m:val="p"/>
                </m:rPr>
                <w:rPr>
                  <w:rFonts w:ascii="Cambria Math" w:hAnsi="Cambria Math"/>
                </w:rPr>
                <m:t>t</m:t>
              </m:r>
            </m:sub>
          </m:sSub>
        </m:oMath>
      </m:oMathPara>
    </w:p>
    <w:p w:rsidR="00064A6C" w:rsidRDefault="0078601C" w:rsidP="0066293E">
      <w:pPr>
        <w:jc w:val="both"/>
        <w:rPr>
          <w:sz w:val="20"/>
          <w:szCs w:val="20"/>
        </w:rPr>
      </w:pPr>
      <w:r>
        <w:rPr>
          <w:sz w:val="20"/>
          <w:szCs w:val="20"/>
        </w:rPr>
        <w:t xml:space="preserve">The RCM is the regime classification measure in its </w:t>
      </w:r>
      <w:r w:rsidR="00064A6C">
        <w:rPr>
          <w:sz w:val="20"/>
          <w:szCs w:val="20"/>
        </w:rPr>
        <w:t>refined version of Baele (2005) as defined in the following equation:</w:t>
      </w:r>
    </w:p>
    <w:p w:rsidR="00064A6C" w:rsidRDefault="00064A6C" w:rsidP="0066293E">
      <w:pPr>
        <w:jc w:val="both"/>
        <w:rPr>
          <w:sz w:val="20"/>
          <w:szCs w:val="20"/>
        </w:rPr>
      </w:pPr>
      <m:oMathPara>
        <m:oMath>
          <m:r>
            <m:rPr>
              <m:sty m:val="p"/>
            </m:rPr>
            <w:rPr>
              <w:rFonts w:ascii="Cambria Math" w:hAnsi="Cambria Math"/>
            </w:rPr>
            <m:t>RCM (K)=100·</m:t>
          </m:r>
          <m:d>
            <m:dPr>
              <m:ctrlPr>
                <w:rPr>
                  <w:rFonts w:ascii="Cambria Math" w:hAnsi="Cambria Math"/>
                </w:rPr>
              </m:ctrlPr>
            </m:dPr>
            <m:e>
              <m:r>
                <w:rPr>
                  <w:rFonts w:ascii="Cambria Math" w:hAnsi="Cambria Math"/>
                </w:rPr>
                <m:t>1-</m:t>
              </m:r>
              <m:f>
                <m:fPr>
                  <m:ctrlPr>
                    <w:rPr>
                      <w:rFonts w:ascii="Cambria Math" w:hAnsi="Cambria Math"/>
                      <w:i/>
                    </w:rPr>
                  </m:ctrlPr>
                </m:fPr>
                <m:num>
                  <m:r>
                    <w:rPr>
                      <w:rFonts w:ascii="Cambria Math" w:hAnsi="Cambria Math"/>
                    </w:rPr>
                    <m:t>K</m:t>
                  </m:r>
                </m:num>
                <m:den>
                  <m:r>
                    <w:rPr>
                      <w:rFonts w:ascii="Cambria Math" w:hAnsi="Cambria Math"/>
                    </w:rPr>
                    <m:t>K-1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e>
                          </m:d>
                        </m:e>
                        <m:sup>
                          <m:r>
                            <w:rPr>
                              <w:rFonts w:ascii="Cambria Math" w:hAnsi="Cambria Math"/>
                            </w:rPr>
                            <m:t>2</m:t>
                          </m:r>
                        </m:sup>
                      </m:sSup>
                    </m:e>
                  </m:nary>
                </m:e>
              </m:nary>
            </m:e>
          </m:d>
        </m:oMath>
      </m:oMathPara>
    </w:p>
    <w:p w:rsidR="00EB7A83" w:rsidRPr="00EB7A83" w:rsidRDefault="00EB7A83" w:rsidP="00EB7A83">
      <w:pPr>
        <w:jc w:val="both"/>
        <w:rPr>
          <w:sz w:val="20"/>
          <w:szCs w:val="20"/>
          <w:lang w:val="en-US"/>
        </w:rPr>
      </w:pPr>
      <w:proofErr w:type="gramStart"/>
      <w:r w:rsidRPr="00EB7A83">
        <w:rPr>
          <w:sz w:val="20"/>
          <w:szCs w:val="20"/>
          <w:lang w:val="en-US"/>
        </w:rPr>
        <w:t>where</w:t>
      </w:r>
      <w:proofErr w:type="gramEnd"/>
      <w:r w:rsidRPr="00EB7A83">
        <w:rPr>
          <w:sz w:val="20"/>
          <w:szCs w:val="20"/>
          <w:lang w:val="en-US"/>
        </w:rPr>
        <w:t xml:space="preserve"> </w:t>
      </w:r>
      <w:r w:rsidRPr="00EB7A83">
        <w:rPr>
          <w:i/>
          <w:sz w:val="20"/>
          <w:szCs w:val="20"/>
          <w:lang w:val="en-US"/>
        </w:rPr>
        <w:t>K</w:t>
      </w:r>
      <w:r w:rsidRPr="00EB7A83">
        <w:rPr>
          <w:sz w:val="20"/>
          <w:szCs w:val="20"/>
          <w:lang w:val="en-US"/>
        </w:rPr>
        <w:t xml:space="preserve"> is the number of regimes, </w:t>
      </w:r>
      <w:r w:rsidRPr="00EB7A83">
        <w:rPr>
          <w:i/>
          <w:sz w:val="20"/>
          <w:szCs w:val="20"/>
          <w:lang w:val="en-US"/>
        </w:rPr>
        <w:t>T</w:t>
      </w:r>
      <w:r w:rsidRPr="00EB7A83">
        <w:rPr>
          <w:sz w:val="20"/>
          <w:szCs w:val="20"/>
          <w:lang w:val="en-US"/>
        </w:rPr>
        <w:t xml:space="preserve"> is the number of observations, and </w:t>
      </w:r>
      <w:r w:rsidRPr="00EB7A83">
        <w:rPr>
          <w:i/>
          <w:sz w:val="20"/>
          <w:szCs w:val="20"/>
          <w:lang w:val="en-US"/>
        </w:rPr>
        <w:t>p</w:t>
      </w:r>
      <w:r w:rsidRPr="00EB7A83">
        <w:rPr>
          <w:i/>
          <w:sz w:val="20"/>
          <w:szCs w:val="20"/>
          <w:vertAlign w:val="subscript"/>
          <w:lang w:val="en-US"/>
        </w:rPr>
        <w:t>j,t</w:t>
      </w:r>
      <w:r w:rsidRPr="00EB7A83">
        <w:rPr>
          <w:sz w:val="20"/>
          <w:szCs w:val="20"/>
          <w:vertAlign w:val="subscript"/>
          <w:lang w:val="en-US"/>
        </w:rPr>
        <w:t xml:space="preserve"> </w:t>
      </w:r>
      <w:r w:rsidRPr="00EB7A83">
        <w:rPr>
          <w:sz w:val="20"/>
          <w:szCs w:val="20"/>
          <w:lang w:val="en-US"/>
        </w:rPr>
        <w:t xml:space="preserve">is the smoothed probability of being in regime </w:t>
      </w:r>
      <w:r w:rsidRPr="00EB7A83">
        <w:rPr>
          <w:i/>
          <w:sz w:val="20"/>
          <w:szCs w:val="20"/>
          <w:lang w:val="en-US"/>
        </w:rPr>
        <w:t>j=1,….,K</w:t>
      </w:r>
      <w:r w:rsidRPr="00EB7A83">
        <w:rPr>
          <w:sz w:val="20"/>
          <w:szCs w:val="20"/>
          <w:lang w:val="en-US"/>
        </w:rPr>
        <w:t xml:space="preserve"> at time t.</w:t>
      </w:r>
    </w:p>
    <w:p w:rsidR="00301647" w:rsidRPr="0078601C" w:rsidRDefault="00EB7A83" w:rsidP="00EB7A83">
      <w:pPr>
        <w:jc w:val="both"/>
        <w:rPr>
          <w:sz w:val="20"/>
          <w:szCs w:val="20"/>
        </w:rPr>
      </w:pPr>
      <w:r w:rsidRPr="00EB7A83">
        <w:rPr>
          <w:sz w:val="20"/>
          <w:szCs w:val="20"/>
          <w:lang w:val="en-US"/>
        </w:rPr>
        <w:t>RCM lies between 0 and 100 where lower values are associated with better regime classification. We report in green the chosen specification, which is an autoregressive process of order one (</w:t>
      </w:r>
      <w:proofErr w:type="gramStart"/>
      <w:r w:rsidRPr="00EB7A83">
        <w:rPr>
          <w:sz w:val="20"/>
          <w:szCs w:val="20"/>
          <w:lang w:val="en-US"/>
        </w:rPr>
        <w:t>AR(</w:t>
      </w:r>
      <w:proofErr w:type="gramEnd"/>
      <w:r w:rsidRPr="00EB7A83">
        <w:rPr>
          <w:sz w:val="20"/>
          <w:szCs w:val="20"/>
          <w:lang w:val="en-US"/>
        </w:rPr>
        <w:t>1)) in which the intercept (α(s</w:t>
      </w:r>
      <w:r w:rsidRPr="00EB7A83">
        <w:rPr>
          <w:sz w:val="20"/>
          <w:szCs w:val="20"/>
          <w:vertAlign w:val="subscript"/>
          <w:lang w:val="en-US"/>
        </w:rPr>
        <w:t>t</w:t>
      </w:r>
      <w:r w:rsidRPr="00EB7A83">
        <w:rPr>
          <w:sz w:val="20"/>
          <w:szCs w:val="20"/>
          <w:lang w:val="en-US"/>
        </w:rPr>
        <w:t>)), the slope coefficient (β(s</w:t>
      </w:r>
      <w:r w:rsidRPr="00EB7A83">
        <w:rPr>
          <w:sz w:val="20"/>
          <w:szCs w:val="20"/>
          <w:vertAlign w:val="subscript"/>
          <w:lang w:val="en-US"/>
        </w:rPr>
        <w:t>t</w:t>
      </w:r>
      <w:r w:rsidRPr="00EB7A83">
        <w:rPr>
          <w:sz w:val="20"/>
          <w:szCs w:val="20"/>
          <w:lang w:val="en-US"/>
        </w:rPr>
        <w:t>)) and the residual variance (σ(s</w:t>
      </w:r>
      <w:r w:rsidRPr="00EB7A83">
        <w:rPr>
          <w:sz w:val="20"/>
          <w:szCs w:val="20"/>
          <w:vertAlign w:val="subscript"/>
          <w:lang w:val="en-US"/>
        </w:rPr>
        <w:t>t</w:t>
      </w:r>
      <w:r w:rsidRPr="00EB7A83">
        <w:rPr>
          <w:sz w:val="20"/>
          <w:szCs w:val="20"/>
          <w:lang w:val="en-US"/>
        </w:rPr>
        <w:t>)) are allowed to switch across both the regimes. Estimations based on weekly averages of daily data from January 2005 to December 2013.</w:t>
      </w:r>
      <w:r>
        <w:rPr>
          <w:sz w:val="20"/>
          <w:szCs w:val="20"/>
        </w:rPr>
        <w:t xml:space="preserve"> </w:t>
      </w:r>
    </w:p>
    <w:p w:rsidR="00301647" w:rsidRPr="0078601C" w:rsidRDefault="00301647" w:rsidP="00A27537">
      <w:pPr>
        <w:spacing w:before="60" w:after="60"/>
        <w:ind w:firstLine="708"/>
        <w:jc w:val="right"/>
        <w:rPr>
          <w:b/>
          <w:noProof/>
          <w:lang w:val="en-US"/>
        </w:rPr>
      </w:pPr>
    </w:p>
    <w:p w:rsidR="00386D26" w:rsidRPr="0078601C" w:rsidRDefault="004D53CD" w:rsidP="00386D26">
      <w:pPr>
        <w:spacing w:before="60" w:after="60"/>
        <w:rPr>
          <w:b/>
          <w:noProof/>
          <w:lang w:val="en-US"/>
        </w:rPr>
      </w:pPr>
      <w:r w:rsidRPr="00DF347D">
        <w:rPr>
          <w:b/>
          <w:lang w:val="en-US"/>
        </w:rPr>
        <w:lastRenderedPageBreak/>
        <w:t xml:space="preserve">Table B.5. </w:t>
      </w:r>
      <w:r>
        <w:rPr>
          <w:b/>
          <w:lang w:val="en-US"/>
        </w:rPr>
        <w:t>Parameter estimates of the Markov switching autoregressive process of order one with two regimes</w:t>
      </w:r>
      <w:r w:rsidR="002E28B3">
        <w:rPr>
          <w:b/>
          <w:lang w:val="en-US"/>
        </w:rPr>
        <w:t xml:space="preserve"> for the </w:t>
      </w:r>
      <w:r w:rsidR="00386D26">
        <w:rPr>
          <w:b/>
          <w:lang w:val="en-US"/>
        </w:rPr>
        <w:t>sy</w:t>
      </w:r>
      <w:r w:rsidR="00701983">
        <w:rPr>
          <w:b/>
          <w:lang w:val="en-US"/>
        </w:rPr>
        <w:t xml:space="preserve">stemic liquidity risk indicator </w:t>
      </w:r>
      <w:r w:rsidR="00386D26">
        <w:rPr>
          <w:b/>
          <w:lang w:val="en-US"/>
        </w:rPr>
        <w:t>(SLRI)</w:t>
      </w:r>
    </w:p>
    <w:tbl>
      <w:tblPr>
        <w:tblW w:w="4880" w:type="dxa"/>
        <w:jc w:val="center"/>
        <w:tblInd w:w="55" w:type="dxa"/>
        <w:tblCellMar>
          <w:left w:w="70" w:type="dxa"/>
          <w:right w:w="70" w:type="dxa"/>
        </w:tblCellMar>
        <w:tblLook w:val="04A0" w:firstRow="1" w:lastRow="0" w:firstColumn="1" w:lastColumn="0" w:noHBand="0" w:noVBand="1"/>
      </w:tblPr>
      <w:tblGrid>
        <w:gridCol w:w="960"/>
        <w:gridCol w:w="1085"/>
        <w:gridCol w:w="960"/>
        <w:gridCol w:w="1000"/>
        <w:gridCol w:w="960"/>
      </w:tblGrid>
      <w:tr w:rsidR="00506D67" w:rsidTr="00506D67">
        <w:trPr>
          <w:trHeight w:val="135"/>
          <w:jc w:val="center"/>
        </w:trPr>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r>
      <w:tr w:rsidR="00506D67" w:rsidTr="00506D67">
        <w:trPr>
          <w:trHeight w:val="480"/>
          <w:jc w:val="center"/>
        </w:trPr>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color w:val="000000"/>
                <w:sz w:val="20"/>
                <w:szCs w:val="20"/>
              </w:rPr>
            </w:pPr>
            <w:r>
              <w:rPr>
                <w:rFonts w:ascii="Arial" w:hAnsi="Arial" w:cs="Arial"/>
                <w:color w:val="000000"/>
                <w:sz w:val="20"/>
                <w:szCs w:val="20"/>
              </w:rPr>
              <w:t>Variable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color w:val="000000"/>
                <w:sz w:val="20"/>
                <w:szCs w:val="20"/>
              </w:rPr>
            </w:pPr>
            <w:r>
              <w:rPr>
                <w:rFonts w:ascii="Arial" w:hAnsi="Arial" w:cs="Arial"/>
                <w:color w:val="000000"/>
                <w:sz w:val="20"/>
                <w:szCs w:val="20"/>
              </w:rPr>
              <w:t>Coefficient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color w:val="000000"/>
                <w:sz w:val="20"/>
                <w:szCs w:val="20"/>
              </w:rPr>
            </w:pPr>
            <w:r>
              <w:rPr>
                <w:rFonts w:ascii="Arial" w:hAnsi="Arial" w:cs="Arial"/>
                <w:color w:val="000000"/>
                <w:sz w:val="20"/>
                <w:szCs w:val="20"/>
              </w:rPr>
              <w:t>Std. Error</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color w:val="000000"/>
                <w:sz w:val="20"/>
                <w:szCs w:val="20"/>
              </w:rPr>
            </w:pPr>
            <w:r>
              <w:rPr>
                <w:rFonts w:ascii="Arial" w:hAnsi="Arial" w:cs="Arial"/>
                <w:color w:val="000000"/>
                <w:sz w:val="20"/>
                <w:szCs w:val="20"/>
              </w:rPr>
              <w:t>z-Statistic</w:t>
            </w:r>
          </w:p>
        </w:tc>
        <w:tc>
          <w:tcPr>
            <w:tcW w:w="960" w:type="dxa"/>
            <w:tcBorders>
              <w:top w:val="single" w:sz="4" w:space="0" w:color="auto"/>
              <w:left w:val="nil"/>
              <w:bottom w:val="single" w:sz="4" w:space="0" w:color="auto"/>
              <w:right w:val="nil"/>
            </w:tcBorders>
            <w:shd w:val="clear" w:color="auto" w:fill="auto"/>
            <w:noWrap/>
            <w:vAlign w:val="center"/>
            <w:hideMark/>
          </w:tcPr>
          <w:p w:rsidR="00506D67" w:rsidRDefault="00506D67">
            <w:pPr>
              <w:jc w:val="center"/>
              <w:rPr>
                <w:rFonts w:ascii="Arial" w:hAnsi="Arial" w:cs="Arial"/>
                <w:color w:val="000000"/>
                <w:sz w:val="20"/>
                <w:szCs w:val="20"/>
              </w:rPr>
            </w:pPr>
            <w:r>
              <w:rPr>
                <w:rFonts w:ascii="Arial" w:hAnsi="Arial" w:cs="Arial"/>
                <w:color w:val="000000"/>
                <w:sz w:val="20"/>
                <w:szCs w:val="20"/>
              </w:rPr>
              <w:t xml:space="preserve">Prob.  </w:t>
            </w:r>
          </w:p>
        </w:tc>
      </w:tr>
      <w:tr w:rsidR="00506D67" w:rsidTr="00506D67">
        <w:trPr>
          <w:trHeight w:val="255"/>
          <w:jc w:val="center"/>
        </w:trPr>
        <w:tc>
          <w:tcPr>
            <w:tcW w:w="960" w:type="dxa"/>
            <w:tcBorders>
              <w:top w:val="nil"/>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α (1)</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0.0107</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0.0061</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1.968</w:t>
            </w:r>
          </w:p>
        </w:tc>
        <w:tc>
          <w:tcPr>
            <w:tcW w:w="9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0.049</w:t>
            </w:r>
          </w:p>
        </w:tc>
      </w:tr>
      <w:tr w:rsidR="00506D67" w:rsidTr="00506D67">
        <w:trPr>
          <w:trHeight w:val="255"/>
          <w:jc w:val="center"/>
        </w:trPr>
        <w:tc>
          <w:tcPr>
            <w:tcW w:w="960" w:type="dxa"/>
            <w:tcBorders>
              <w:top w:val="nil"/>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α (2)</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0.0023</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0.0013</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2.029</w:t>
            </w:r>
          </w:p>
        </w:tc>
        <w:tc>
          <w:tcPr>
            <w:tcW w:w="9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0.038</w:t>
            </w:r>
          </w:p>
        </w:tc>
      </w:tr>
      <w:tr w:rsidR="00506D67" w:rsidTr="00506D67">
        <w:trPr>
          <w:trHeight w:val="255"/>
          <w:jc w:val="center"/>
        </w:trPr>
        <w:tc>
          <w:tcPr>
            <w:tcW w:w="960" w:type="dxa"/>
            <w:tcBorders>
              <w:top w:val="nil"/>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β (1)</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0.9704</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0.0153</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63.418</w:t>
            </w:r>
          </w:p>
        </w:tc>
        <w:tc>
          <w:tcPr>
            <w:tcW w:w="9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0.000</w:t>
            </w:r>
          </w:p>
        </w:tc>
      </w:tr>
      <w:tr w:rsidR="00506D67" w:rsidTr="00506D67">
        <w:trPr>
          <w:trHeight w:val="255"/>
          <w:jc w:val="center"/>
        </w:trPr>
        <w:tc>
          <w:tcPr>
            <w:tcW w:w="960" w:type="dxa"/>
            <w:tcBorders>
              <w:top w:val="nil"/>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β (2)</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0.9587</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0.0096</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100.311</w:t>
            </w:r>
          </w:p>
        </w:tc>
        <w:tc>
          <w:tcPr>
            <w:tcW w:w="9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0.000</w:t>
            </w:r>
          </w:p>
        </w:tc>
      </w:tr>
      <w:tr w:rsidR="00506D67" w:rsidTr="00506D67">
        <w:trPr>
          <w:trHeight w:val="255"/>
          <w:jc w:val="center"/>
        </w:trPr>
        <w:tc>
          <w:tcPr>
            <w:tcW w:w="960" w:type="dxa"/>
            <w:tcBorders>
              <w:top w:val="nil"/>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σ (1)</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-2.8721</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0.0448</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-64.096</w:t>
            </w:r>
          </w:p>
        </w:tc>
        <w:tc>
          <w:tcPr>
            <w:tcW w:w="9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0.000</w:t>
            </w:r>
          </w:p>
        </w:tc>
      </w:tr>
      <w:tr w:rsidR="00506D67" w:rsidTr="00506D67">
        <w:trPr>
          <w:trHeight w:val="240"/>
          <w:jc w:val="center"/>
        </w:trPr>
        <w:tc>
          <w:tcPr>
            <w:tcW w:w="960" w:type="dxa"/>
            <w:tcBorders>
              <w:top w:val="nil"/>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σ (2)</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-4.2929</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0.0702</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-61.193</w:t>
            </w:r>
          </w:p>
        </w:tc>
        <w:tc>
          <w:tcPr>
            <w:tcW w:w="9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0.000</w:t>
            </w:r>
          </w:p>
        </w:tc>
      </w:tr>
      <w:tr w:rsidR="00506D67" w:rsidTr="00506D67">
        <w:trPr>
          <w:trHeight w:val="255"/>
          <w:jc w:val="center"/>
        </w:trPr>
        <w:tc>
          <w:tcPr>
            <w:tcW w:w="960" w:type="dxa"/>
            <w:tcBorders>
              <w:top w:val="nil"/>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P(1,1)</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3.7945</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0.5127</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7.401</w:t>
            </w:r>
          </w:p>
        </w:tc>
        <w:tc>
          <w:tcPr>
            <w:tcW w:w="9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0.000</w:t>
            </w:r>
          </w:p>
        </w:tc>
      </w:tr>
      <w:tr w:rsidR="00506D67" w:rsidTr="00506D67">
        <w:trPr>
          <w:trHeight w:val="255"/>
          <w:jc w:val="center"/>
        </w:trPr>
        <w:tc>
          <w:tcPr>
            <w:tcW w:w="960" w:type="dxa"/>
            <w:tcBorders>
              <w:top w:val="nil"/>
              <w:left w:val="nil"/>
              <w:bottom w:val="single" w:sz="4" w:space="0" w:color="auto"/>
              <w:right w:val="single" w:sz="4" w:space="0" w:color="auto"/>
            </w:tcBorders>
            <w:shd w:val="clear" w:color="auto" w:fill="auto"/>
            <w:noWrap/>
            <w:vAlign w:val="center"/>
            <w:hideMark/>
          </w:tcPr>
          <w:p w:rsidR="00506D67" w:rsidRDefault="00506D67">
            <w:pPr>
              <w:jc w:val="center"/>
              <w:rPr>
                <w:rFonts w:ascii="Arial" w:hAnsi="Arial" w:cs="Arial"/>
                <w:b/>
                <w:bCs/>
                <w:color w:val="000000"/>
                <w:sz w:val="20"/>
                <w:szCs w:val="20"/>
              </w:rPr>
            </w:pPr>
            <w:r>
              <w:rPr>
                <w:rFonts w:ascii="Arial" w:hAnsi="Arial" w:cs="Arial"/>
                <w:b/>
                <w:bCs/>
                <w:color w:val="000000"/>
                <w:sz w:val="20"/>
                <w:szCs w:val="20"/>
              </w:rPr>
              <w:t>P(2,1)</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-3.4052</w:t>
            </w:r>
          </w:p>
        </w:tc>
        <w:tc>
          <w:tcPr>
            <w:tcW w:w="9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0.5276</w:t>
            </w:r>
          </w:p>
        </w:tc>
        <w:tc>
          <w:tcPr>
            <w:tcW w:w="100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-6.454</w:t>
            </w:r>
          </w:p>
        </w:tc>
        <w:tc>
          <w:tcPr>
            <w:tcW w:w="9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0.000</w:t>
            </w:r>
          </w:p>
        </w:tc>
      </w:tr>
      <w:tr w:rsidR="00506D67" w:rsidTr="00506D67">
        <w:trPr>
          <w:trHeight w:val="105"/>
          <w:jc w:val="center"/>
        </w:trPr>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r>
    </w:tbl>
    <w:p w:rsidR="00506D67" w:rsidRDefault="00506D67" w:rsidP="004D53CD">
      <w:pPr>
        <w:jc w:val="both"/>
        <w:rPr>
          <w:sz w:val="20"/>
          <w:szCs w:val="20"/>
        </w:rPr>
      </w:pPr>
    </w:p>
    <w:p w:rsidR="004D53CD" w:rsidRPr="0066293E" w:rsidRDefault="004D53CD" w:rsidP="004D53CD">
      <w:pPr>
        <w:jc w:val="both"/>
        <w:rPr>
          <w:sz w:val="20"/>
          <w:szCs w:val="20"/>
        </w:rPr>
      </w:pPr>
      <w:r>
        <w:rPr>
          <w:sz w:val="20"/>
          <w:szCs w:val="20"/>
        </w:rPr>
        <w:t>The ta</w:t>
      </w:r>
      <w:r w:rsidR="00EB7A83">
        <w:rPr>
          <w:sz w:val="20"/>
          <w:szCs w:val="20"/>
        </w:rPr>
        <w:t>ble presents the results of the</w:t>
      </w:r>
      <w:r w:rsidRPr="0066293E">
        <w:rPr>
          <w:sz w:val="20"/>
          <w:szCs w:val="20"/>
        </w:rPr>
        <w:t xml:space="preserve"> Markov-switching </w:t>
      </w:r>
      <w:r w:rsidR="00EB7A83" w:rsidRPr="0066293E">
        <w:rPr>
          <w:sz w:val="20"/>
          <w:szCs w:val="20"/>
        </w:rPr>
        <w:t xml:space="preserve">autoregressive </w:t>
      </w:r>
      <w:r w:rsidRPr="0066293E">
        <w:rPr>
          <w:sz w:val="20"/>
          <w:szCs w:val="20"/>
        </w:rPr>
        <w:t xml:space="preserve">model </w:t>
      </w:r>
      <w:r w:rsidR="00EB7A83">
        <w:rPr>
          <w:sz w:val="20"/>
          <w:szCs w:val="20"/>
        </w:rPr>
        <w:t xml:space="preserve">of order one </w:t>
      </w:r>
      <w:r w:rsidRPr="0066293E">
        <w:rPr>
          <w:sz w:val="20"/>
          <w:szCs w:val="20"/>
        </w:rPr>
        <w:t xml:space="preserve">for our indicator </w:t>
      </w:r>
      <w:r w:rsidRPr="0066293E">
        <w:rPr>
          <w:iCs/>
          <w:sz w:val="20"/>
          <w:szCs w:val="20"/>
        </w:rPr>
        <w:t>(</w:t>
      </w:r>
      <w:r w:rsidRPr="0066293E">
        <w:rPr>
          <w:i/>
          <w:iCs/>
          <w:sz w:val="20"/>
          <w:szCs w:val="20"/>
        </w:rPr>
        <w:t>x</w:t>
      </w:r>
      <w:r w:rsidRPr="0066293E">
        <w:rPr>
          <w:i/>
          <w:iCs/>
          <w:sz w:val="20"/>
          <w:szCs w:val="20"/>
          <w:vertAlign w:val="subscript"/>
        </w:rPr>
        <w:t>t</w:t>
      </w:r>
      <w:r w:rsidRPr="0066293E">
        <w:rPr>
          <w:iCs/>
          <w:sz w:val="20"/>
          <w:szCs w:val="20"/>
        </w:rPr>
        <w:t>), with two states (</w:t>
      </w:r>
      <w:r w:rsidRPr="0066293E">
        <w:rPr>
          <w:i/>
          <w:iCs/>
          <w:sz w:val="20"/>
          <w:szCs w:val="20"/>
        </w:rPr>
        <w:t>s</w:t>
      </w:r>
      <w:r w:rsidRPr="0066293E">
        <w:rPr>
          <w:i/>
          <w:iCs/>
          <w:sz w:val="20"/>
          <w:szCs w:val="20"/>
          <w:vertAlign w:val="subscript"/>
        </w:rPr>
        <w:t>t</w:t>
      </w:r>
      <w:r>
        <w:rPr>
          <w:iCs/>
          <w:sz w:val="20"/>
          <w:szCs w:val="20"/>
        </w:rPr>
        <w:t>):</w:t>
      </w:r>
    </w:p>
    <w:p w:rsidR="004D53CD" w:rsidRDefault="004306EB" w:rsidP="004D53CD">
      <w:pPr>
        <w:jc w:val="both"/>
        <w:rPr>
          <w:sz w:val="20"/>
          <w:szCs w:val="20"/>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t</m:t>
              </m:r>
            </m:sub>
          </m:sSub>
          <m:r>
            <m:rPr>
              <m:sty m:val="p"/>
            </m:rPr>
            <w:rPr>
              <w:rFonts w:ascii="Cambria Math" w:hAnsi="Cambria Math"/>
            </w:rPr>
            <m:t>=α</m:t>
          </m:r>
          <m:d>
            <m:dPr>
              <m:ctrlPr>
                <w:rPr>
                  <w:rFonts w:ascii="Cambria Math" w:hAnsi="Cambria Math"/>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e>
          </m:d>
          <m:r>
            <m:rPr>
              <m:sty m:val="p"/>
            </m:rPr>
            <w:rPr>
              <w:rFonts w:ascii="Cambria Math" w:hAnsi="Cambria Math"/>
            </w:rPr>
            <m:t>+β</m:t>
          </m:r>
          <m:d>
            <m:dPr>
              <m:ctrlPr>
                <w:rPr>
                  <w:rFonts w:ascii="Cambria Math" w:hAnsi="Cambria Math"/>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t-1</m:t>
              </m:r>
            </m:sub>
          </m:sSub>
          <m:r>
            <m:rPr>
              <m:sty m:val="p"/>
            </m:rPr>
            <w:rPr>
              <w:rFonts w:ascii="Cambria Math" w:hAnsi="Cambria Math"/>
            </w:rPr>
            <m:t>+σ</m:t>
          </m:r>
          <m:d>
            <m:dPr>
              <m:ctrlPr>
                <w:rPr>
                  <w:rFonts w:ascii="Cambria Math" w:hAnsi="Cambria Math"/>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e>
          </m:d>
          <m:sSub>
            <m:sSubPr>
              <m:ctrlPr>
                <w:rPr>
                  <w:rFonts w:ascii="Cambria Math" w:hAnsi="Cambria Math"/>
                </w:rPr>
              </m:ctrlPr>
            </m:sSubPr>
            <m:e>
              <m:r>
                <m:rPr>
                  <m:sty m:val="p"/>
                </m:rPr>
                <w:rPr>
                  <w:rFonts w:ascii="Cambria Math" w:hAnsi="Cambria Math"/>
                </w:rPr>
                <m:t>μ</m:t>
              </m:r>
            </m:e>
            <m:sub>
              <m:r>
                <m:rPr>
                  <m:sty m:val="p"/>
                </m:rPr>
                <w:rPr>
                  <w:rFonts w:ascii="Cambria Math" w:hAnsi="Cambria Math"/>
                </w:rPr>
                <m:t>t</m:t>
              </m:r>
            </m:sub>
          </m:sSub>
        </m:oMath>
      </m:oMathPara>
    </w:p>
    <w:p w:rsidR="002E28B3" w:rsidRPr="0078601C" w:rsidRDefault="00EB7A83" w:rsidP="002E28B3">
      <w:pPr>
        <w:jc w:val="both"/>
        <w:rPr>
          <w:sz w:val="20"/>
          <w:szCs w:val="20"/>
        </w:rPr>
      </w:pPr>
      <w:proofErr w:type="gramStart"/>
      <w:r>
        <w:rPr>
          <w:sz w:val="20"/>
          <w:szCs w:val="20"/>
        </w:rPr>
        <w:t>w</w:t>
      </w:r>
      <w:r w:rsidR="004D53CD" w:rsidRPr="004D53CD">
        <w:rPr>
          <w:sz w:val="20"/>
          <w:szCs w:val="20"/>
        </w:rPr>
        <w:t>here</w:t>
      </w:r>
      <w:proofErr w:type="gramEnd"/>
      <w:r w:rsidR="004D53CD" w:rsidRPr="004D53CD">
        <w:rPr>
          <w:sz w:val="20"/>
          <w:szCs w:val="20"/>
        </w:rPr>
        <w:t xml:space="preserve"> </w:t>
      </w:r>
      <w:r w:rsidR="004D53CD" w:rsidRPr="0066293E">
        <w:rPr>
          <w:sz w:val="20"/>
          <w:szCs w:val="20"/>
        </w:rPr>
        <w:t>the intercept</w:t>
      </w:r>
      <w:r w:rsidR="004D53CD">
        <w:rPr>
          <w:sz w:val="20"/>
          <w:szCs w:val="20"/>
        </w:rPr>
        <w:t xml:space="preserve"> (α(s</w:t>
      </w:r>
      <w:r w:rsidR="004D53CD" w:rsidRPr="0066293E">
        <w:rPr>
          <w:sz w:val="20"/>
          <w:szCs w:val="20"/>
          <w:vertAlign w:val="subscript"/>
        </w:rPr>
        <w:t>t</w:t>
      </w:r>
      <w:r w:rsidR="004D53CD">
        <w:rPr>
          <w:sz w:val="20"/>
          <w:szCs w:val="20"/>
        </w:rPr>
        <w:t xml:space="preserve">)), </w:t>
      </w:r>
      <w:r w:rsidR="004D53CD" w:rsidRPr="0066293E">
        <w:rPr>
          <w:sz w:val="20"/>
          <w:szCs w:val="20"/>
        </w:rPr>
        <w:t xml:space="preserve">the slope coefficient </w:t>
      </w:r>
      <w:r w:rsidR="004D53CD">
        <w:rPr>
          <w:sz w:val="20"/>
          <w:szCs w:val="20"/>
        </w:rPr>
        <w:t>(β(s</w:t>
      </w:r>
      <w:r w:rsidR="004D53CD" w:rsidRPr="0066293E">
        <w:rPr>
          <w:sz w:val="20"/>
          <w:szCs w:val="20"/>
          <w:vertAlign w:val="subscript"/>
        </w:rPr>
        <w:t>t</w:t>
      </w:r>
      <w:r w:rsidR="004D53CD">
        <w:rPr>
          <w:sz w:val="20"/>
          <w:szCs w:val="20"/>
        </w:rPr>
        <w:t xml:space="preserve">)) </w:t>
      </w:r>
      <w:r w:rsidR="004D53CD" w:rsidRPr="0066293E">
        <w:rPr>
          <w:sz w:val="20"/>
          <w:szCs w:val="20"/>
        </w:rPr>
        <w:t xml:space="preserve">and the residual variance </w:t>
      </w:r>
      <w:r w:rsidR="004D53CD">
        <w:rPr>
          <w:sz w:val="20"/>
          <w:szCs w:val="20"/>
        </w:rPr>
        <w:t>(σ(s</w:t>
      </w:r>
      <w:r w:rsidR="004D53CD" w:rsidRPr="0066293E">
        <w:rPr>
          <w:sz w:val="20"/>
          <w:szCs w:val="20"/>
          <w:vertAlign w:val="subscript"/>
        </w:rPr>
        <w:t>t</w:t>
      </w:r>
      <w:r w:rsidR="004D53CD">
        <w:rPr>
          <w:sz w:val="20"/>
          <w:szCs w:val="20"/>
        </w:rPr>
        <w:t xml:space="preserve">)) </w:t>
      </w:r>
      <w:r w:rsidR="004D53CD" w:rsidRPr="0066293E">
        <w:rPr>
          <w:sz w:val="20"/>
          <w:szCs w:val="20"/>
        </w:rPr>
        <w:t xml:space="preserve">are allowed to switch across </w:t>
      </w:r>
      <w:r>
        <w:rPr>
          <w:sz w:val="20"/>
          <w:szCs w:val="20"/>
        </w:rPr>
        <w:t>both the</w:t>
      </w:r>
      <w:r w:rsidR="004D53CD" w:rsidRPr="0066293E">
        <w:rPr>
          <w:sz w:val="20"/>
          <w:szCs w:val="20"/>
        </w:rPr>
        <w:t xml:space="preserve"> regimes.</w:t>
      </w:r>
      <w:r w:rsidR="004D53CD">
        <w:rPr>
          <w:sz w:val="20"/>
          <w:szCs w:val="20"/>
        </w:rPr>
        <w:t xml:space="preserve"> </w:t>
      </w:r>
      <w:proofErr w:type="gramStart"/>
      <w:r w:rsidR="004D53CD">
        <w:rPr>
          <w:sz w:val="20"/>
          <w:szCs w:val="20"/>
        </w:rPr>
        <w:t>P(</w:t>
      </w:r>
      <w:proofErr w:type="gramEnd"/>
      <w:r w:rsidR="004D53CD">
        <w:rPr>
          <w:sz w:val="20"/>
          <w:szCs w:val="20"/>
        </w:rPr>
        <w:t>1,1) and P(2,1) are the transition matrix p</w:t>
      </w:r>
      <w:r w:rsidR="004D53CD" w:rsidRPr="004D53CD">
        <w:rPr>
          <w:sz w:val="20"/>
          <w:szCs w:val="20"/>
        </w:rPr>
        <w:t>arameters</w:t>
      </w:r>
      <w:r w:rsidR="004D53CD">
        <w:rPr>
          <w:sz w:val="20"/>
          <w:szCs w:val="20"/>
        </w:rPr>
        <w:t>.</w:t>
      </w:r>
      <w:r w:rsidR="002E28B3">
        <w:rPr>
          <w:sz w:val="20"/>
          <w:szCs w:val="20"/>
        </w:rPr>
        <w:t xml:space="preserve"> Estimations based on weekly averages of daily data from January 2005 to December 2013.</w:t>
      </w:r>
    </w:p>
    <w:p w:rsidR="002E28B3" w:rsidRDefault="002E28B3" w:rsidP="004D53CD">
      <w:pPr>
        <w:jc w:val="both"/>
        <w:rPr>
          <w:sz w:val="20"/>
          <w:szCs w:val="20"/>
        </w:rPr>
      </w:pPr>
    </w:p>
    <w:p w:rsidR="002E28B3" w:rsidRDefault="002E28B3" w:rsidP="004D53CD">
      <w:pPr>
        <w:jc w:val="both"/>
        <w:rPr>
          <w:sz w:val="20"/>
          <w:szCs w:val="20"/>
        </w:rPr>
      </w:pPr>
    </w:p>
    <w:p w:rsidR="002E28B3" w:rsidRDefault="002E28B3" w:rsidP="004D53CD">
      <w:pPr>
        <w:jc w:val="both"/>
        <w:rPr>
          <w:sz w:val="20"/>
          <w:szCs w:val="20"/>
        </w:rPr>
      </w:pPr>
    </w:p>
    <w:p w:rsidR="00AE0B1E" w:rsidRDefault="00AE0B1E" w:rsidP="004D53CD">
      <w:pPr>
        <w:jc w:val="both"/>
        <w:rPr>
          <w:sz w:val="20"/>
          <w:szCs w:val="20"/>
        </w:rPr>
      </w:pPr>
    </w:p>
    <w:p w:rsidR="00AE0B1E" w:rsidRPr="00DF347D" w:rsidRDefault="00AE0B1E" w:rsidP="004D53CD">
      <w:pPr>
        <w:jc w:val="both"/>
        <w:rPr>
          <w:sz w:val="20"/>
          <w:szCs w:val="20"/>
          <w:lang w:val="en-US"/>
        </w:rPr>
      </w:pPr>
    </w:p>
    <w:p w:rsidR="002E28B3" w:rsidRPr="00DF347D" w:rsidRDefault="002E28B3" w:rsidP="004D53CD">
      <w:pPr>
        <w:jc w:val="both"/>
        <w:rPr>
          <w:sz w:val="20"/>
          <w:szCs w:val="20"/>
          <w:lang w:val="en-US"/>
        </w:rPr>
      </w:pPr>
    </w:p>
    <w:p w:rsidR="00386D26" w:rsidRPr="0078601C" w:rsidRDefault="002E28B3" w:rsidP="00386D26">
      <w:pPr>
        <w:spacing w:before="60" w:after="60"/>
        <w:rPr>
          <w:b/>
          <w:noProof/>
          <w:lang w:val="en-US"/>
        </w:rPr>
      </w:pPr>
      <w:r w:rsidRPr="00DF347D">
        <w:rPr>
          <w:b/>
          <w:lang w:val="en-US"/>
        </w:rPr>
        <w:t xml:space="preserve">Table B.6. </w:t>
      </w:r>
      <w:r>
        <w:rPr>
          <w:b/>
          <w:lang w:val="en-US"/>
        </w:rPr>
        <w:t xml:space="preserve">Transition matrix probabilities of the Markov switching autoregressive process of order one with two regimes for the </w:t>
      </w:r>
      <w:r w:rsidR="00386D26">
        <w:rPr>
          <w:b/>
          <w:lang w:val="en-US"/>
        </w:rPr>
        <w:t>systemic liquidity risk indicator (SLRI)</w:t>
      </w:r>
    </w:p>
    <w:tbl>
      <w:tblPr>
        <w:tblW w:w="3400" w:type="dxa"/>
        <w:jc w:val="center"/>
        <w:tblInd w:w="55" w:type="dxa"/>
        <w:tblCellMar>
          <w:left w:w="70" w:type="dxa"/>
          <w:right w:w="70" w:type="dxa"/>
        </w:tblCellMar>
        <w:tblLook w:val="04A0" w:firstRow="1" w:lastRow="0" w:firstColumn="1" w:lastColumn="0" w:noHBand="0" w:noVBand="1"/>
      </w:tblPr>
      <w:tblGrid>
        <w:gridCol w:w="1280"/>
        <w:gridCol w:w="1060"/>
        <w:gridCol w:w="1060"/>
      </w:tblGrid>
      <w:tr w:rsidR="00506D67" w:rsidTr="00506D67">
        <w:trPr>
          <w:trHeight w:val="165"/>
          <w:jc w:val="center"/>
        </w:trPr>
        <w:tc>
          <w:tcPr>
            <w:tcW w:w="128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r>
      <w:tr w:rsidR="00506D67" w:rsidTr="00506D67">
        <w:trPr>
          <w:trHeight w:val="360"/>
          <w:jc w:val="center"/>
        </w:trPr>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06D67" w:rsidRDefault="00506D67">
            <w:pPr>
              <w:rPr>
                <w:rFonts w:ascii="Arial" w:hAnsi="Arial" w:cs="Arial"/>
                <w:color w:val="000000"/>
                <w:sz w:val="20"/>
                <w:szCs w:val="20"/>
              </w:rPr>
            </w:pPr>
            <w:r>
              <w:rPr>
                <w:rFonts w:ascii="Arial" w:hAnsi="Arial" w:cs="Arial"/>
                <w:color w:val="000000"/>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506D67" w:rsidRDefault="00506D67">
            <w:pPr>
              <w:rPr>
                <w:rFonts w:ascii="Arial" w:hAnsi="Arial" w:cs="Arial"/>
                <w:color w:val="000000"/>
                <w:sz w:val="20"/>
                <w:szCs w:val="20"/>
              </w:rPr>
            </w:pPr>
            <w:r>
              <w:rPr>
                <w:rFonts w:ascii="Arial" w:hAnsi="Arial" w:cs="Arial"/>
                <w:color w:val="000000"/>
                <w:sz w:val="20"/>
                <w:szCs w:val="20"/>
              </w:rPr>
              <w:t>Regime 1,t</w:t>
            </w:r>
          </w:p>
        </w:tc>
        <w:tc>
          <w:tcPr>
            <w:tcW w:w="1060" w:type="dxa"/>
            <w:tcBorders>
              <w:top w:val="single" w:sz="4" w:space="0" w:color="auto"/>
              <w:left w:val="nil"/>
              <w:bottom w:val="single" w:sz="4" w:space="0" w:color="auto"/>
              <w:right w:val="nil"/>
            </w:tcBorders>
            <w:shd w:val="clear" w:color="auto" w:fill="auto"/>
            <w:noWrap/>
            <w:vAlign w:val="center"/>
            <w:hideMark/>
          </w:tcPr>
          <w:p w:rsidR="00506D67" w:rsidRDefault="00506D67">
            <w:pPr>
              <w:rPr>
                <w:rFonts w:ascii="Arial" w:hAnsi="Arial" w:cs="Arial"/>
                <w:color w:val="000000"/>
                <w:sz w:val="20"/>
                <w:szCs w:val="20"/>
              </w:rPr>
            </w:pPr>
            <w:r>
              <w:rPr>
                <w:rFonts w:ascii="Arial" w:hAnsi="Arial" w:cs="Arial"/>
                <w:color w:val="000000"/>
                <w:sz w:val="20"/>
                <w:szCs w:val="20"/>
              </w:rPr>
              <w:t>Regime 2,t</w:t>
            </w:r>
          </w:p>
        </w:tc>
      </w:tr>
      <w:tr w:rsidR="00506D67" w:rsidTr="00506D67">
        <w:trPr>
          <w:trHeight w:val="330"/>
          <w:jc w:val="center"/>
        </w:trPr>
        <w:tc>
          <w:tcPr>
            <w:tcW w:w="1280" w:type="dxa"/>
            <w:tcBorders>
              <w:top w:val="nil"/>
              <w:left w:val="nil"/>
              <w:bottom w:val="single" w:sz="4" w:space="0" w:color="auto"/>
              <w:right w:val="single" w:sz="4" w:space="0" w:color="auto"/>
            </w:tcBorders>
            <w:shd w:val="clear" w:color="auto" w:fill="auto"/>
            <w:noWrap/>
            <w:vAlign w:val="center"/>
            <w:hideMark/>
          </w:tcPr>
          <w:p w:rsidR="00506D67" w:rsidRDefault="00506D67">
            <w:pPr>
              <w:rPr>
                <w:rFonts w:ascii="Arial" w:hAnsi="Arial" w:cs="Arial"/>
                <w:color w:val="000000"/>
                <w:sz w:val="20"/>
                <w:szCs w:val="20"/>
              </w:rPr>
            </w:pPr>
            <w:r>
              <w:rPr>
                <w:rFonts w:ascii="Arial" w:hAnsi="Arial" w:cs="Arial"/>
                <w:color w:val="000000"/>
                <w:sz w:val="20"/>
                <w:szCs w:val="20"/>
              </w:rPr>
              <w:t>Regime 1,t+1</w:t>
            </w:r>
          </w:p>
        </w:tc>
        <w:tc>
          <w:tcPr>
            <w:tcW w:w="10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0.9780</w:t>
            </w:r>
          </w:p>
        </w:tc>
        <w:tc>
          <w:tcPr>
            <w:tcW w:w="10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0.0321</w:t>
            </w:r>
          </w:p>
        </w:tc>
      </w:tr>
      <w:tr w:rsidR="00506D67" w:rsidTr="00506D67">
        <w:trPr>
          <w:trHeight w:val="345"/>
          <w:jc w:val="center"/>
        </w:trPr>
        <w:tc>
          <w:tcPr>
            <w:tcW w:w="1280" w:type="dxa"/>
            <w:tcBorders>
              <w:top w:val="nil"/>
              <w:left w:val="nil"/>
              <w:bottom w:val="single" w:sz="4" w:space="0" w:color="auto"/>
              <w:right w:val="single" w:sz="4" w:space="0" w:color="auto"/>
            </w:tcBorders>
            <w:shd w:val="clear" w:color="auto" w:fill="auto"/>
            <w:noWrap/>
            <w:vAlign w:val="center"/>
            <w:hideMark/>
          </w:tcPr>
          <w:p w:rsidR="00506D67" w:rsidRDefault="00506D67">
            <w:pPr>
              <w:rPr>
                <w:rFonts w:ascii="Arial" w:hAnsi="Arial" w:cs="Arial"/>
                <w:color w:val="000000"/>
                <w:sz w:val="20"/>
                <w:szCs w:val="20"/>
              </w:rPr>
            </w:pPr>
            <w:r>
              <w:rPr>
                <w:rFonts w:ascii="Arial" w:hAnsi="Arial" w:cs="Arial"/>
                <w:color w:val="000000"/>
                <w:sz w:val="20"/>
                <w:szCs w:val="20"/>
              </w:rPr>
              <w:t>Regime 2,t+1</w:t>
            </w:r>
          </w:p>
        </w:tc>
        <w:tc>
          <w:tcPr>
            <w:tcW w:w="1060" w:type="dxa"/>
            <w:tcBorders>
              <w:top w:val="nil"/>
              <w:left w:val="nil"/>
              <w:bottom w:val="single" w:sz="4" w:space="0" w:color="auto"/>
              <w:right w:val="single" w:sz="4" w:space="0" w:color="auto"/>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0.0220</w:t>
            </w:r>
          </w:p>
        </w:tc>
        <w:tc>
          <w:tcPr>
            <w:tcW w:w="1060" w:type="dxa"/>
            <w:tcBorders>
              <w:top w:val="nil"/>
              <w:left w:val="nil"/>
              <w:bottom w:val="single" w:sz="4" w:space="0" w:color="auto"/>
              <w:right w:val="nil"/>
            </w:tcBorders>
            <w:shd w:val="clear" w:color="auto" w:fill="auto"/>
            <w:noWrap/>
            <w:vAlign w:val="bottom"/>
            <w:hideMark/>
          </w:tcPr>
          <w:p w:rsidR="00506D67" w:rsidRDefault="00506D67">
            <w:pPr>
              <w:jc w:val="right"/>
              <w:rPr>
                <w:rFonts w:ascii="Arial" w:hAnsi="Arial" w:cs="Arial"/>
                <w:color w:val="000000"/>
                <w:sz w:val="20"/>
                <w:szCs w:val="20"/>
              </w:rPr>
            </w:pPr>
            <w:r>
              <w:rPr>
                <w:rFonts w:ascii="Arial" w:hAnsi="Arial" w:cs="Arial"/>
                <w:color w:val="000000"/>
                <w:sz w:val="20"/>
                <w:szCs w:val="20"/>
              </w:rPr>
              <w:t>0.9679</w:t>
            </w:r>
          </w:p>
        </w:tc>
      </w:tr>
      <w:tr w:rsidR="00506D67" w:rsidTr="00506D67">
        <w:trPr>
          <w:trHeight w:val="165"/>
          <w:jc w:val="center"/>
        </w:trPr>
        <w:tc>
          <w:tcPr>
            <w:tcW w:w="128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06D67" w:rsidRDefault="00506D67">
            <w:pPr>
              <w:rPr>
                <w:rFonts w:ascii="Arial" w:hAnsi="Arial" w:cs="Arial"/>
                <w:color w:val="000000"/>
                <w:sz w:val="20"/>
                <w:szCs w:val="20"/>
              </w:rPr>
            </w:pPr>
          </w:p>
        </w:tc>
      </w:tr>
    </w:tbl>
    <w:p w:rsidR="00506D67" w:rsidRDefault="00506D67" w:rsidP="002E28B3">
      <w:pPr>
        <w:jc w:val="both"/>
        <w:rPr>
          <w:sz w:val="20"/>
          <w:szCs w:val="20"/>
        </w:rPr>
      </w:pPr>
    </w:p>
    <w:p w:rsidR="002E28B3" w:rsidRPr="0078601C" w:rsidRDefault="002E28B3" w:rsidP="002E28B3">
      <w:pPr>
        <w:jc w:val="both"/>
        <w:rPr>
          <w:sz w:val="20"/>
          <w:szCs w:val="20"/>
        </w:rPr>
      </w:pPr>
      <w:r>
        <w:rPr>
          <w:sz w:val="20"/>
          <w:szCs w:val="20"/>
        </w:rPr>
        <w:t>Estimations based on weekly averages of daily data from January 2005 to December 2013.</w:t>
      </w:r>
    </w:p>
    <w:p w:rsidR="00D51968" w:rsidRPr="002E28B3" w:rsidRDefault="00D51968" w:rsidP="002E28B3">
      <w:pPr>
        <w:spacing w:before="60" w:after="60"/>
        <w:ind w:firstLine="708"/>
        <w:jc w:val="both"/>
        <w:rPr>
          <w:b/>
          <w:noProof/>
        </w:rPr>
      </w:pPr>
    </w:p>
    <w:p w:rsidR="00D51968" w:rsidRDefault="00D51968" w:rsidP="00A27537">
      <w:pPr>
        <w:spacing w:before="60" w:after="60"/>
        <w:ind w:firstLine="708"/>
        <w:jc w:val="right"/>
        <w:rPr>
          <w:b/>
          <w:noProof/>
          <w:lang w:val="en-US"/>
        </w:rPr>
      </w:pPr>
    </w:p>
    <w:p w:rsidR="00764F2C" w:rsidRDefault="00764F2C" w:rsidP="00A27537">
      <w:pPr>
        <w:spacing w:before="60" w:after="60"/>
        <w:ind w:firstLine="708"/>
        <w:jc w:val="right"/>
        <w:rPr>
          <w:b/>
          <w:noProof/>
          <w:lang w:val="en-US"/>
        </w:rPr>
      </w:pPr>
    </w:p>
    <w:p w:rsidR="00764F2C" w:rsidRDefault="00764F2C" w:rsidP="00A27537">
      <w:pPr>
        <w:spacing w:before="60" w:after="60"/>
        <w:ind w:firstLine="708"/>
        <w:jc w:val="right"/>
        <w:rPr>
          <w:b/>
          <w:noProof/>
          <w:lang w:val="en-US"/>
        </w:rPr>
      </w:pPr>
    </w:p>
    <w:p w:rsidR="00764F2C" w:rsidRDefault="00764F2C" w:rsidP="00A27537">
      <w:pPr>
        <w:spacing w:before="60" w:after="60"/>
        <w:ind w:firstLine="708"/>
        <w:jc w:val="right"/>
        <w:rPr>
          <w:b/>
          <w:noProof/>
          <w:lang w:val="en-US"/>
        </w:rPr>
      </w:pPr>
    </w:p>
    <w:p w:rsidR="00764F2C" w:rsidRDefault="00764F2C" w:rsidP="00A27537">
      <w:pPr>
        <w:spacing w:before="60" w:after="60"/>
        <w:ind w:firstLine="708"/>
        <w:jc w:val="right"/>
        <w:rPr>
          <w:b/>
          <w:noProof/>
          <w:lang w:val="en-US"/>
        </w:rPr>
      </w:pPr>
    </w:p>
    <w:p w:rsidR="00764F2C" w:rsidRDefault="00764F2C" w:rsidP="00A27537">
      <w:pPr>
        <w:spacing w:before="60" w:after="60"/>
        <w:ind w:firstLine="708"/>
        <w:jc w:val="right"/>
        <w:rPr>
          <w:b/>
          <w:noProof/>
          <w:lang w:val="en-US"/>
        </w:rPr>
      </w:pPr>
    </w:p>
    <w:p w:rsidR="00764F2C" w:rsidRDefault="00764F2C" w:rsidP="00A27537">
      <w:pPr>
        <w:spacing w:before="60" w:after="60"/>
        <w:ind w:firstLine="708"/>
        <w:jc w:val="right"/>
        <w:rPr>
          <w:b/>
          <w:noProof/>
          <w:lang w:val="en-US"/>
        </w:rPr>
      </w:pPr>
    </w:p>
    <w:p w:rsidR="00764F2C" w:rsidRDefault="00764F2C" w:rsidP="00A27537">
      <w:pPr>
        <w:spacing w:before="60" w:after="60"/>
        <w:ind w:firstLine="708"/>
        <w:jc w:val="right"/>
        <w:rPr>
          <w:b/>
          <w:noProof/>
          <w:lang w:val="en-US"/>
        </w:rPr>
      </w:pPr>
    </w:p>
    <w:p w:rsidR="00764F2C" w:rsidRDefault="00764F2C" w:rsidP="00A27537">
      <w:pPr>
        <w:spacing w:before="60" w:after="60"/>
        <w:ind w:firstLine="708"/>
        <w:jc w:val="right"/>
        <w:rPr>
          <w:b/>
          <w:noProof/>
          <w:lang w:val="en-US"/>
        </w:rPr>
      </w:pPr>
    </w:p>
    <w:p w:rsidR="00764F2C" w:rsidRDefault="00764F2C" w:rsidP="00A27537">
      <w:pPr>
        <w:spacing w:before="60" w:after="60"/>
        <w:ind w:firstLine="708"/>
        <w:jc w:val="right"/>
        <w:rPr>
          <w:b/>
          <w:noProof/>
          <w:lang w:val="en-US"/>
        </w:rPr>
      </w:pPr>
    </w:p>
    <w:p w:rsidR="00764F2C" w:rsidRDefault="00764F2C" w:rsidP="00A27537">
      <w:pPr>
        <w:spacing w:before="60" w:after="60"/>
        <w:ind w:firstLine="708"/>
        <w:jc w:val="right"/>
        <w:rPr>
          <w:b/>
          <w:noProof/>
          <w:lang w:val="en-US"/>
        </w:rPr>
      </w:pPr>
    </w:p>
    <w:p w:rsidR="00764F2C" w:rsidRDefault="00764F2C" w:rsidP="00A27537">
      <w:pPr>
        <w:spacing w:before="60" w:after="60"/>
        <w:ind w:firstLine="708"/>
        <w:jc w:val="right"/>
        <w:rPr>
          <w:b/>
          <w:noProof/>
          <w:lang w:val="en-US"/>
        </w:rPr>
      </w:pPr>
    </w:p>
    <w:p w:rsidR="00764F2C" w:rsidRPr="00506D67" w:rsidRDefault="00764F2C" w:rsidP="00A27537">
      <w:pPr>
        <w:spacing w:before="60" w:after="60"/>
        <w:ind w:firstLine="708"/>
        <w:jc w:val="right"/>
        <w:rPr>
          <w:b/>
          <w:noProof/>
          <w:lang w:val="en-US"/>
        </w:rPr>
      </w:pPr>
    </w:p>
    <w:p w:rsidR="00764F2C" w:rsidRPr="0078601C" w:rsidRDefault="00764F2C" w:rsidP="00764F2C">
      <w:pPr>
        <w:spacing w:before="60" w:after="60"/>
        <w:rPr>
          <w:b/>
          <w:noProof/>
          <w:lang w:val="en-US"/>
        </w:rPr>
      </w:pPr>
      <w:r w:rsidRPr="00DF347D">
        <w:rPr>
          <w:b/>
          <w:lang w:val="en-US"/>
        </w:rPr>
        <w:t xml:space="preserve">Table B.7. </w:t>
      </w:r>
      <w:r>
        <w:rPr>
          <w:b/>
          <w:lang w:val="en-US"/>
        </w:rPr>
        <w:t xml:space="preserve">Probit regressions results </w:t>
      </w:r>
      <w:r w:rsidR="00934076">
        <w:rPr>
          <w:b/>
          <w:lang w:val="en-US"/>
        </w:rPr>
        <w:t xml:space="preserve">and goodness of fit test </w:t>
      </w:r>
      <w:r>
        <w:rPr>
          <w:b/>
          <w:lang w:val="en-US"/>
        </w:rPr>
        <w:t xml:space="preserve">using different specifications for the </w:t>
      </w:r>
      <w:r w:rsidR="00EB7A83" w:rsidRPr="00EB7A83">
        <w:rPr>
          <w:b/>
          <w:lang w:val="en-US"/>
        </w:rPr>
        <w:t>cross-</w:t>
      </w:r>
      <w:r w:rsidR="00EB7A83" w:rsidRPr="00393BD3">
        <w:rPr>
          <w:b/>
          <w:lang w:val="en-US"/>
        </w:rPr>
        <w:t>correlations</w:t>
      </w:r>
    </w:p>
    <w:p w:rsidR="00276B3F" w:rsidRDefault="00276B3F" w:rsidP="00764F2C">
      <w:pPr>
        <w:rPr>
          <w:sz w:val="20"/>
          <w:szCs w:val="20"/>
        </w:rPr>
      </w:pPr>
    </w:p>
    <w:tbl>
      <w:tblPr>
        <w:tblW w:w="8040" w:type="dxa"/>
        <w:jc w:val="center"/>
        <w:tblInd w:w="55" w:type="dxa"/>
        <w:tblCellMar>
          <w:left w:w="70" w:type="dxa"/>
          <w:right w:w="70" w:type="dxa"/>
        </w:tblCellMar>
        <w:tblLook w:val="04A0" w:firstRow="1" w:lastRow="0" w:firstColumn="1" w:lastColumn="0" w:noHBand="0" w:noVBand="1"/>
      </w:tblPr>
      <w:tblGrid>
        <w:gridCol w:w="1140"/>
        <w:gridCol w:w="1220"/>
        <w:gridCol w:w="1120"/>
        <w:gridCol w:w="1120"/>
        <w:gridCol w:w="1000"/>
        <w:gridCol w:w="1200"/>
        <w:gridCol w:w="1240"/>
      </w:tblGrid>
      <w:tr w:rsidR="00276B3F" w:rsidTr="00506D67">
        <w:trPr>
          <w:trHeight w:val="135"/>
          <w:jc w:val="center"/>
        </w:trPr>
        <w:tc>
          <w:tcPr>
            <w:tcW w:w="114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r>
      <w:tr w:rsidR="00276B3F" w:rsidTr="00506D67">
        <w:trPr>
          <w:trHeight w:val="600"/>
          <w:jc w:val="center"/>
        </w:trPr>
        <w:tc>
          <w:tcPr>
            <w:tcW w:w="1140" w:type="dxa"/>
            <w:tcBorders>
              <w:top w:val="double" w:sz="6" w:space="0" w:color="auto"/>
              <w:left w:val="nil"/>
              <w:bottom w:val="single" w:sz="4" w:space="0" w:color="auto"/>
              <w:right w:val="single" w:sz="4" w:space="0" w:color="auto"/>
            </w:tcBorders>
            <w:shd w:val="clear" w:color="auto" w:fill="auto"/>
            <w:noWrap/>
            <w:vAlign w:val="bottom"/>
            <w:hideMark/>
          </w:tcPr>
          <w:p w:rsidR="00276B3F" w:rsidRDefault="00276B3F">
            <w:pPr>
              <w:rPr>
                <w:rFonts w:ascii="Arial" w:hAnsi="Arial" w:cs="Arial"/>
                <w:color w:val="000000"/>
                <w:sz w:val="20"/>
                <w:szCs w:val="20"/>
              </w:rPr>
            </w:pPr>
            <w:r>
              <w:rPr>
                <w:rFonts w:ascii="Arial" w:hAnsi="Arial" w:cs="Arial"/>
                <w:color w:val="000000"/>
                <w:sz w:val="20"/>
                <w:szCs w:val="20"/>
              </w:rPr>
              <w:t> </w:t>
            </w:r>
          </w:p>
        </w:tc>
        <w:tc>
          <w:tcPr>
            <w:tcW w:w="2340" w:type="dxa"/>
            <w:gridSpan w:val="2"/>
            <w:tcBorders>
              <w:top w:val="double" w:sz="6" w:space="0" w:color="auto"/>
              <w:left w:val="nil"/>
              <w:bottom w:val="single" w:sz="4" w:space="0" w:color="auto"/>
              <w:right w:val="double" w:sz="6" w:space="0" w:color="auto"/>
            </w:tcBorders>
            <w:shd w:val="clear" w:color="auto" w:fill="auto"/>
            <w:noWrap/>
            <w:vAlign w:val="center"/>
            <w:hideMark/>
          </w:tcPr>
          <w:p w:rsidR="00276B3F" w:rsidRPr="00276B3F" w:rsidRDefault="00276B3F">
            <w:pPr>
              <w:jc w:val="center"/>
              <w:rPr>
                <w:rFonts w:ascii="Arial" w:hAnsi="Arial" w:cs="Arial"/>
                <w:b/>
                <w:color w:val="000000"/>
                <w:sz w:val="20"/>
                <w:szCs w:val="20"/>
              </w:rPr>
            </w:pPr>
            <w:r w:rsidRPr="00276B3F">
              <w:rPr>
                <w:rFonts w:ascii="Arial" w:hAnsi="Arial" w:cs="Arial"/>
                <w:b/>
                <w:color w:val="000000"/>
                <w:sz w:val="20"/>
                <w:szCs w:val="20"/>
              </w:rPr>
              <w:t>BEKK GARCH</w:t>
            </w:r>
          </w:p>
        </w:tc>
        <w:tc>
          <w:tcPr>
            <w:tcW w:w="2120" w:type="dxa"/>
            <w:gridSpan w:val="2"/>
            <w:tcBorders>
              <w:top w:val="double" w:sz="6" w:space="0" w:color="auto"/>
              <w:left w:val="nil"/>
              <w:bottom w:val="single" w:sz="4" w:space="0" w:color="auto"/>
              <w:right w:val="double" w:sz="6" w:space="0" w:color="auto"/>
            </w:tcBorders>
            <w:shd w:val="clear" w:color="auto" w:fill="auto"/>
            <w:noWrap/>
            <w:vAlign w:val="center"/>
            <w:hideMark/>
          </w:tcPr>
          <w:p w:rsidR="00276B3F" w:rsidRPr="00276B3F" w:rsidRDefault="00276B3F">
            <w:pPr>
              <w:jc w:val="center"/>
              <w:rPr>
                <w:rFonts w:ascii="Arial" w:hAnsi="Arial" w:cs="Arial"/>
                <w:b/>
                <w:color w:val="000000"/>
                <w:sz w:val="20"/>
                <w:szCs w:val="20"/>
              </w:rPr>
            </w:pPr>
            <w:r w:rsidRPr="00276B3F">
              <w:rPr>
                <w:rFonts w:ascii="Arial" w:hAnsi="Arial" w:cs="Arial"/>
                <w:b/>
                <w:color w:val="000000"/>
                <w:sz w:val="20"/>
                <w:szCs w:val="20"/>
              </w:rPr>
              <w:t>DCC GARCH</w:t>
            </w:r>
          </w:p>
        </w:tc>
        <w:tc>
          <w:tcPr>
            <w:tcW w:w="2440" w:type="dxa"/>
            <w:gridSpan w:val="2"/>
            <w:tcBorders>
              <w:top w:val="double" w:sz="6" w:space="0" w:color="auto"/>
              <w:left w:val="nil"/>
              <w:bottom w:val="single" w:sz="4" w:space="0" w:color="auto"/>
            </w:tcBorders>
            <w:shd w:val="clear" w:color="auto" w:fill="auto"/>
            <w:noWrap/>
            <w:vAlign w:val="center"/>
            <w:hideMark/>
          </w:tcPr>
          <w:p w:rsidR="00276B3F" w:rsidRPr="00276B3F" w:rsidRDefault="00276B3F">
            <w:pPr>
              <w:jc w:val="center"/>
              <w:rPr>
                <w:rFonts w:ascii="Arial" w:hAnsi="Arial" w:cs="Arial"/>
                <w:b/>
                <w:color w:val="000000"/>
                <w:sz w:val="20"/>
                <w:szCs w:val="20"/>
              </w:rPr>
            </w:pPr>
            <w:r w:rsidRPr="00276B3F">
              <w:rPr>
                <w:rFonts w:ascii="Arial" w:hAnsi="Arial" w:cs="Arial"/>
                <w:b/>
                <w:color w:val="000000"/>
                <w:sz w:val="20"/>
                <w:szCs w:val="20"/>
              </w:rPr>
              <w:t>EWMA</w:t>
            </w:r>
          </w:p>
        </w:tc>
      </w:tr>
      <w:tr w:rsidR="00276B3F" w:rsidTr="00506D67">
        <w:trPr>
          <w:trHeight w:val="315"/>
          <w:jc w:val="center"/>
        </w:trPr>
        <w:tc>
          <w:tcPr>
            <w:tcW w:w="1140" w:type="dxa"/>
            <w:tcBorders>
              <w:top w:val="nil"/>
              <w:left w:val="nil"/>
              <w:bottom w:val="single" w:sz="4" w:space="0" w:color="auto"/>
              <w:right w:val="nil"/>
            </w:tcBorders>
            <w:shd w:val="clear" w:color="auto" w:fill="auto"/>
            <w:noWrap/>
            <w:vAlign w:val="bottom"/>
            <w:hideMark/>
          </w:tcPr>
          <w:p w:rsidR="00276B3F" w:rsidRDefault="00276B3F">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76B3F" w:rsidRDefault="00276B3F">
            <w:pPr>
              <w:jc w:val="center"/>
              <w:rPr>
                <w:rFonts w:ascii="Arial" w:hAnsi="Arial" w:cs="Arial"/>
                <w:color w:val="000000"/>
                <w:sz w:val="20"/>
                <w:szCs w:val="20"/>
              </w:rPr>
            </w:pPr>
            <w:r>
              <w:rPr>
                <w:rFonts w:ascii="Arial" w:hAnsi="Arial" w:cs="Arial"/>
                <w:color w:val="000000"/>
                <w:sz w:val="20"/>
                <w:szCs w:val="20"/>
              </w:rPr>
              <w:t>Constant</w:t>
            </w:r>
          </w:p>
        </w:tc>
        <w:tc>
          <w:tcPr>
            <w:tcW w:w="1120" w:type="dxa"/>
            <w:tcBorders>
              <w:top w:val="nil"/>
              <w:left w:val="nil"/>
              <w:bottom w:val="single" w:sz="4" w:space="0" w:color="auto"/>
              <w:right w:val="double" w:sz="6" w:space="0" w:color="auto"/>
            </w:tcBorders>
            <w:shd w:val="clear" w:color="auto" w:fill="auto"/>
            <w:noWrap/>
            <w:vAlign w:val="bottom"/>
            <w:hideMark/>
          </w:tcPr>
          <w:p w:rsidR="00276B3F" w:rsidRDefault="00C764A1">
            <w:pPr>
              <w:jc w:val="center"/>
              <w:rPr>
                <w:rFonts w:ascii="Arial" w:hAnsi="Arial" w:cs="Arial"/>
                <w:color w:val="000000"/>
                <w:sz w:val="20"/>
                <w:szCs w:val="20"/>
              </w:rPr>
            </w:pPr>
            <w:r>
              <w:rPr>
                <w:rFonts w:ascii="Arial" w:hAnsi="Arial" w:cs="Arial"/>
                <w:color w:val="000000"/>
                <w:sz w:val="20"/>
                <w:szCs w:val="20"/>
              </w:rPr>
              <w:t>SLRI</w:t>
            </w:r>
          </w:p>
        </w:tc>
        <w:tc>
          <w:tcPr>
            <w:tcW w:w="1120" w:type="dxa"/>
            <w:tcBorders>
              <w:top w:val="nil"/>
              <w:left w:val="nil"/>
              <w:bottom w:val="single" w:sz="4" w:space="0" w:color="auto"/>
              <w:right w:val="single" w:sz="4" w:space="0" w:color="auto"/>
            </w:tcBorders>
            <w:shd w:val="clear" w:color="auto" w:fill="auto"/>
            <w:noWrap/>
            <w:vAlign w:val="bottom"/>
            <w:hideMark/>
          </w:tcPr>
          <w:p w:rsidR="00276B3F" w:rsidRDefault="00276B3F">
            <w:pPr>
              <w:jc w:val="center"/>
              <w:rPr>
                <w:rFonts w:ascii="Arial" w:hAnsi="Arial" w:cs="Arial"/>
                <w:color w:val="000000"/>
                <w:sz w:val="20"/>
                <w:szCs w:val="20"/>
              </w:rPr>
            </w:pPr>
            <w:r>
              <w:rPr>
                <w:rFonts w:ascii="Arial" w:hAnsi="Arial" w:cs="Arial"/>
                <w:color w:val="000000"/>
                <w:sz w:val="20"/>
                <w:szCs w:val="20"/>
              </w:rPr>
              <w:t>Constant</w:t>
            </w:r>
          </w:p>
        </w:tc>
        <w:tc>
          <w:tcPr>
            <w:tcW w:w="1000" w:type="dxa"/>
            <w:tcBorders>
              <w:top w:val="nil"/>
              <w:left w:val="nil"/>
              <w:bottom w:val="single" w:sz="4" w:space="0" w:color="auto"/>
              <w:right w:val="double" w:sz="6" w:space="0" w:color="auto"/>
            </w:tcBorders>
            <w:shd w:val="clear" w:color="auto" w:fill="auto"/>
            <w:noWrap/>
            <w:vAlign w:val="bottom"/>
            <w:hideMark/>
          </w:tcPr>
          <w:p w:rsidR="00276B3F" w:rsidRDefault="00C764A1">
            <w:pPr>
              <w:jc w:val="center"/>
              <w:rPr>
                <w:rFonts w:ascii="Arial" w:hAnsi="Arial" w:cs="Arial"/>
                <w:color w:val="000000"/>
                <w:sz w:val="20"/>
                <w:szCs w:val="20"/>
              </w:rPr>
            </w:pPr>
            <w:r>
              <w:rPr>
                <w:rFonts w:ascii="Arial" w:hAnsi="Arial" w:cs="Arial"/>
                <w:color w:val="000000"/>
                <w:sz w:val="20"/>
                <w:szCs w:val="20"/>
              </w:rPr>
              <w:t>SLRI</w:t>
            </w:r>
          </w:p>
        </w:tc>
        <w:tc>
          <w:tcPr>
            <w:tcW w:w="1200" w:type="dxa"/>
            <w:tcBorders>
              <w:top w:val="nil"/>
              <w:left w:val="nil"/>
              <w:bottom w:val="single" w:sz="4" w:space="0" w:color="auto"/>
              <w:right w:val="single" w:sz="4" w:space="0" w:color="auto"/>
            </w:tcBorders>
            <w:shd w:val="clear" w:color="auto" w:fill="auto"/>
            <w:noWrap/>
            <w:vAlign w:val="bottom"/>
            <w:hideMark/>
          </w:tcPr>
          <w:p w:rsidR="00276B3F" w:rsidRDefault="00276B3F">
            <w:pPr>
              <w:jc w:val="center"/>
              <w:rPr>
                <w:rFonts w:ascii="Arial" w:hAnsi="Arial" w:cs="Arial"/>
                <w:color w:val="000000"/>
                <w:sz w:val="20"/>
                <w:szCs w:val="20"/>
              </w:rPr>
            </w:pPr>
            <w:r>
              <w:rPr>
                <w:rFonts w:ascii="Arial" w:hAnsi="Arial" w:cs="Arial"/>
                <w:color w:val="000000"/>
                <w:sz w:val="20"/>
                <w:szCs w:val="20"/>
              </w:rPr>
              <w:t>Constant</w:t>
            </w:r>
          </w:p>
        </w:tc>
        <w:tc>
          <w:tcPr>
            <w:tcW w:w="1240" w:type="dxa"/>
            <w:tcBorders>
              <w:top w:val="nil"/>
              <w:left w:val="nil"/>
              <w:bottom w:val="single" w:sz="4" w:space="0" w:color="auto"/>
              <w:right w:val="nil"/>
            </w:tcBorders>
            <w:shd w:val="clear" w:color="auto" w:fill="auto"/>
            <w:noWrap/>
            <w:vAlign w:val="bottom"/>
            <w:hideMark/>
          </w:tcPr>
          <w:p w:rsidR="00276B3F" w:rsidRDefault="00C764A1">
            <w:pPr>
              <w:jc w:val="center"/>
              <w:rPr>
                <w:rFonts w:ascii="Arial" w:hAnsi="Arial" w:cs="Arial"/>
                <w:color w:val="000000"/>
                <w:sz w:val="20"/>
                <w:szCs w:val="20"/>
              </w:rPr>
            </w:pPr>
            <w:r>
              <w:rPr>
                <w:rFonts w:ascii="Arial" w:hAnsi="Arial" w:cs="Arial"/>
                <w:color w:val="000000"/>
                <w:sz w:val="20"/>
                <w:szCs w:val="20"/>
              </w:rPr>
              <w:t>SLRI</w:t>
            </w:r>
          </w:p>
        </w:tc>
      </w:tr>
      <w:tr w:rsidR="00276B3F" w:rsidTr="00506D67">
        <w:trPr>
          <w:trHeight w:val="255"/>
          <w:jc w:val="center"/>
        </w:trPr>
        <w:tc>
          <w:tcPr>
            <w:tcW w:w="1140" w:type="dxa"/>
            <w:tcBorders>
              <w:top w:val="nil"/>
              <w:left w:val="nil"/>
              <w:bottom w:val="single" w:sz="4" w:space="0" w:color="auto"/>
              <w:right w:val="nil"/>
            </w:tcBorders>
            <w:shd w:val="clear" w:color="auto" w:fill="auto"/>
            <w:noWrap/>
            <w:vAlign w:val="bottom"/>
            <w:hideMark/>
          </w:tcPr>
          <w:p w:rsidR="00276B3F" w:rsidRDefault="00276B3F">
            <w:pPr>
              <w:rPr>
                <w:rFonts w:ascii="Arial" w:hAnsi="Arial" w:cs="Arial"/>
                <w:color w:val="000000"/>
                <w:sz w:val="20"/>
                <w:szCs w:val="20"/>
              </w:rPr>
            </w:pPr>
            <w:r>
              <w:rPr>
                <w:rFonts w:ascii="Arial" w:hAnsi="Arial" w:cs="Arial"/>
                <w:color w:val="000000"/>
                <w:sz w:val="20"/>
                <w:szCs w:val="20"/>
              </w:rPr>
              <w:t>Coefficient</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-3.08591</w:t>
            </w:r>
          </w:p>
        </w:tc>
        <w:tc>
          <w:tcPr>
            <w:tcW w:w="1120" w:type="dxa"/>
            <w:tcBorders>
              <w:top w:val="nil"/>
              <w:left w:val="nil"/>
              <w:bottom w:val="single" w:sz="4" w:space="0" w:color="auto"/>
              <w:right w:val="double" w:sz="6"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7.51913</w:t>
            </w:r>
          </w:p>
        </w:tc>
        <w:tc>
          <w:tcPr>
            <w:tcW w:w="112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-5.37683</w:t>
            </w:r>
          </w:p>
        </w:tc>
        <w:tc>
          <w:tcPr>
            <w:tcW w:w="1000" w:type="dxa"/>
            <w:tcBorders>
              <w:top w:val="nil"/>
              <w:left w:val="nil"/>
              <w:bottom w:val="single" w:sz="4" w:space="0" w:color="auto"/>
              <w:right w:val="double" w:sz="6"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11.15839</w:t>
            </w:r>
          </w:p>
        </w:tc>
        <w:tc>
          <w:tcPr>
            <w:tcW w:w="120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-2.18148</w:t>
            </w:r>
          </w:p>
        </w:tc>
        <w:tc>
          <w:tcPr>
            <w:tcW w:w="1240" w:type="dxa"/>
            <w:tcBorders>
              <w:top w:val="nil"/>
              <w:left w:val="nil"/>
              <w:bottom w:val="single" w:sz="4" w:space="0" w:color="auto"/>
              <w:right w:val="nil"/>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5.92890</w:t>
            </w:r>
          </w:p>
        </w:tc>
      </w:tr>
      <w:tr w:rsidR="00276B3F" w:rsidTr="00506D67">
        <w:trPr>
          <w:trHeight w:val="255"/>
          <w:jc w:val="center"/>
        </w:trPr>
        <w:tc>
          <w:tcPr>
            <w:tcW w:w="1140" w:type="dxa"/>
            <w:tcBorders>
              <w:top w:val="nil"/>
              <w:left w:val="nil"/>
              <w:bottom w:val="single" w:sz="4" w:space="0" w:color="auto"/>
              <w:right w:val="nil"/>
            </w:tcBorders>
            <w:shd w:val="clear" w:color="auto" w:fill="auto"/>
            <w:noWrap/>
            <w:vAlign w:val="bottom"/>
            <w:hideMark/>
          </w:tcPr>
          <w:p w:rsidR="00276B3F" w:rsidRDefault="00276B3F">
            <w:pPr>
              <w:rPr>
                <w:rFonts w:ascii="Arial" w:hAnsi="Arial" w:cs="Arial"/>
                <w:color w:val="000000"/>
                <w:sz w:val="20"/>
                <w:szCs w:val="20"/>
              </w:rPr>
            </w:pPr>
            <w:r>
              <w:rPr>
                <w:rFonts w:ascii="Arial" w:hAnsi="Arial" w:cs="Arial"/>
                <w:color w:val="000000"/>
                <w:sz w:val="20"/>
                <w:szCs w:val="20"/>
              </w:rPr>
              <w:t>Std. Error</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0.11474</w:t>
            </w:r>
          </w:p>
        </w:tc>
        <w:tc>
          <w:tcPr>
            <w:tcW w:w="1120" w:type="dxa"/>
            <w:tcBorders>
              <w:top w:val="nil"/>
              <w:left w:val="nil"/>
              <w:bottom w:val="single" w:sz="4" w:space="0" w:color="auto"/>
              <w:right w:val="double" w:sz="6"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0.28658</w:t>
            </w:r>
          </w:p>
        </w:tc>
        <w:tc>
          <w:tcPr>
            <w:tcW w:w="112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0.22530</w:t>
            </w:r>
          </w:p>
        </w:tc>
        <w:tc>
          <w:tcPr>
            <w:tcW w:w="1000" w:type="dxa"/>
            <w:tcBorders>
              <w:top w:val="nil"/>
              <w:left w:val="nil"/>
              <w:bottom w:val="single" w:sz="4" w:space="0" w:color="auto"/>
              <w:right w:val="double" w:sz="6"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0.48978</w:t>
            </w:r>
          </w:p>
        </w:tc>
        <w:tc>
          <w:tcPr>
            <w:tcW w:w="120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0.07329</w:t>
            </w:r>
          </w:p>
        </w:tc>
        <w:tc>
          <w:tcPr>
            <w:tcW w:w="1240" w:type="dxa"/>
            <w:tcBorders>
              <w:top w:val="nil"/>
              <w:left w:val="nil"/>
              <w:bottom w:val="single" w:sz="4" w:space="0" w:color="auto"/>
              <w:right w:val="nil"/>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0.24043</w:t>
            </w:r>
          </w:p>
        </w:tc>
      </w:tr>
      <w:tr w:rsidR="00276B3F" w:rsidTr="00506D67">
        <w:trPr>
          <w:trHeight w:val="255"/>
          <w:jc w:val="center"/>
        </w:trPr>
        <w:tc>
          <w:tcPr>
            <w:tcW w:w="1140" w:type="dxa"/>
            <w:tcBorders>
              <w:top w:val="nil"/>
              <w:left w:val="nil"/>
              <w:bottom w:val="single" w:sz="4" w:space="0" w:color="auto"/>
              <w:right w:val="nil"/>
            </w:tcBorders>
            <w:shd w:val="clear" w:color="auto" w:fill="auto"/>
            <w:noWrap/>
            <w:vAlign w:val="bottom"/>
            <w:hideMark/>
          </w:tcPr>
          <w:p w:rsidR="00276B3F" w:rsidRDefault="00276B3F">
            <w:pPr>
              <w:rPr>
                <w:rFonts w:ascii="Arial" w:hAnsi="Arial" w:cs="Arial"/>
                <w:color w:val="000000"/>
                <w:sz w:val="20"/>
                <w:szCs w:val="20"/>
              </w:rPr>
            </w:pPr>
            <w:r>
              <w:rPr>
                <w:rFonts w:ascii="Arial" w:hAnsi="Arial" w:cs="Arial"/>
                <w:color w:val="000000"/>
                <w:sz w:val="20"/>
                <w:szCs w:val="20"/>
              </w:rPr>
              <w:t>z-Statistic</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-26.89486</w:t>
            </w:r>
          </w:p>
        </w:tc>
        <w:tc>
          <w:tcPr>
            <w:tcW w:w="1120" w:type="dxa"/>
            <w:tcBorders>
              <w:top w:val="nil"/>
              <w:left w:val="nil"/>
              <w:bottom w:val="single" w:sz="4" w:space="0" w:color="auto"/>
              <w:right w:val="double" w:sz="6"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26.23720</w:t>
            </w:r>
          </w:p>
        </w:tc>
        <w:tc>
          <w:tcPr>
            <w:tcW w:w="112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-23.86523</w:t>
            </w:r>
          </w:p>
        </w:tc>
        <w:tc>
          <w:tcPr>
            <w:tcW w:w="1000" w:type="dxa"/>
            <w:tcBorders>
              <w:top w:val="nil"/>
              <w:left w:val="nil"/>
              <w:bottom w:val="single" w:sz="4" w:space="0" w:color="auto"/>
              <w:right w:val="double" w:sz="6"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22.78224</w:t>
            </w:r>
          </w:p>
        </w:tc>
        <w:tc>
          <w:tcPr>
            <w:tcW w:w="120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-29.76467</w:t>
            </w:r>
          </w:p>
        </w:tc>
        <w:tc>
          <w:tcPr>
            <w:tcW w:w="1240" w:type="dxa"/>
            <w:tcBorders>
              <w:top w:val="nil"/>
              <w:left w:val="nil"/>
              <w:bottom w:val="single" w:sz="4" w:space="0" w:color="auto"/>
              <w:right w:val="nil"/>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24.65954</w:t>
            </w:r>
          </w:p>
        </w:tc>
      </w:tr>
      <w:tr w:rsidR="00276B3F" w:rsidTr="00506D67">
        <w:trPr>
          <w:trHeight w:val="255"/>
          <w:jc w:val="center"/>
        </w:trPr>
        <w:tc>
          <w:tcPr>
            <w:tcW w:w="1140" w:type="dxa"/>
            <w:tcBorders>
              <w:top w:val="nil"/>
              <w:left w:val="nil"/>
              <w:bottom w:val="single" w:sz="4" w:space="0" w:color="auto"/>
              <w:right w:val="nil"/>
            </w:tcBorders>
            <w:shd w:val="clear" w:color="auto" w:fill="auto"/>
            <w:noWrap/>
            <w:vAlign w:val="bottom"/>
            <w:hideMark/>
          </w:tcPr>
          <w:p w:rsidR="00276B3F" w:rsidRDefault="00276B3F">
            <w:pPr>
              <w:rPr>
                <w:rFonts w:ascii="Arial" w:hAnsi="Arial" w:cs="Arial"/>
                <w:color w:val="000000"/>
                <w:sz w:val="20"/>
                <w:szCs w:val="20"/>
              </w:rPr>
            </w:pPr>
            <w:r>
              <w:rPr>
                <w:rFonts w:ascii="Arial" w:hAnsi="Arial" w:cs="Arial"/>
                <w:color w:val="000000"/>
                <w:sz w:val="20"/>
                <w:szCs w:val="20"/>
              </w:rPr>
              <w:t xml:space="preserve">Prob.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0.00000</w:t>
            </w:r>
          </w:p>
        </w:tc>
        <w:tc>
          <w:tcPr>
            <w:tcW w:w="1120" w:type="dxa"/>
            <w:tcBorders>
              <w:top w:val="nil"/>
              <w:left w:val="nil"/>
              <w:bottom w:val="single" w:sz="4" w:space="0" w:color="auto"/>
              <w:right w:val="double" w:sz="6"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0.00000</w:t>
            </w:r>
          </w:p>
        </w:tc>
        <w:tc>
          <w:tcPr>
            <w:tcW w:w="112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0.00000</w:t>
            </w:r>
          </w:p>
        </w:tc>
        <w:tc>
          <w:tcPr>
            <w:tcW w:w="1000" w:type="dxa"/>
            <w:tcBorders>
              <w:top w:val="nil"/>
              <w:left w:val="nil"/>
              <w:bottom w:val="single" w:sz="4" w:space="0" w:color="auto"/>
              <w:right w:val="double" w:sz="6"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0.00000</w:t>
            </w:r>
          </w:p>
        </w:tc>
        <w:tc>
          <w:tcPr>
            <w:tcW w:w="120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0.00000</w:t>
            </w:r>
          </w:p>
        </w:tc>
        <w:tc>
          <w:tcPr>
            <w:tcW w:w="1240" w:type="dxa"/>
            <w:tcBorders>
              <w:top w:val="nil"/>
              <w:left w:val="nil"/>
              <w:bottom w:val="single" w:sz="4" w:space="0" w:color="auto"/>
              <w:right w:val="nil"/>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0.00000</w:t>
            </w:r>
          </w:p>
        </w:tc>
      </w:tr>
      <w:tr w:rsidR="00276B3F" w:rsidTr="00506D67">
        <w:trPr>
          <w:trHeight w:val="525"/>
          <w:jc w:val="center"/>
        </w:trPr>
        <w:tc>
          <w:tcPr>
            <w:tcW w:w="1140" w:type="dxa"/>
            <w:tcBorders>
              <w:top w:val="nil"/>
              <w:left w:val="nil"/>
              <w:bottom w:val="nil"/>
              <w:right w:val="nil"/>
            </w:tcBorders>
            <w:shd w:val="clear" w:color="auto" w:fill="auto"/>
            <w:vAlign w:val="bottom"/>
            <w:hideMark/>
          </w:tcPr>
          <w:p w:rsidR="00276B3F" w:rsidRDefault="00276B3F">
            <w:pPr>
              <w:rPr>
                <w:rFonts w:ascii="Arial" w:hAnsi="Arial" w:cs="Arial"/>
                <w:i/>
                <w:iCs/>
                <w:color w:val="000000"/>
                <w:sz w:val="20"/>
                <w:szCs w:val="20"/>
              </w:rPr>
            </w:pPr>
            <w:r>
              <w:rPr>
                <w:rFonts w:ascii="Arial" w:hAnsi="Arial" w:cs="Arial"/>
                <w:i/>
                <w:iCs/>
                <w:color w:val="000000"/>
                <w:sz w:val="20"/>
                <w:szCs w:val="20"/>
              </w:rPr>
              <w:t>McFadden R-squared</w:t>
            </w:r>
          </w:p>
        </w:tc>
        <w:tc>
          <w:tcPr>
            <w:tcW w:w="2340" w:type="dxa"/>
            <w:gridSpan w:val="2"/>
            <w:tcBorders>
              <w:top w:val="single" w:sz="4" w:space="0" w:color="auto"/>
              <w:left w:val="single" w:sz="4" w:space="0" w:color="auto"/>
              <w:bottom w:val="double" w:sz="6" w:space="0" w:color="auto"/>
              <w:right w:val="double" w:sz="6" w:space="0" w:color="000000"/>
            </w:tcBorders>
            <w:shd w:val="clear" w:color="auto" w:fill="auto"/>
            <w:noWrap/>
            <w:vAlign w:val="center"/>
            <w:hideMark/>
          </w:tcPr>
          <w:p w:rsidR="00276B3F" w:rsidRDefault="00276B3F">
            <w:pPr>
              <w:jc w:val="center"/>
              <w:rPr>
                <w:rFonts w:ascii="Arial" w:hAnsi="Arial" w:cs="Arial"/>
                <w:i/>
                <w:iCs/>
                <w:color w:val="000000"/>
                <w:sz w:val="20"/>
                <w:szCs w:val="20"/>
              </w:rPr>
            </w:pPr>
            <w:r>
              <w:rPr>
                <w:rFonts w:ascii="Arial" w:hAnsi="Arial" w:cs="Arial"/>
                <w:i/>
                <w:iCs/>
                <w:color w:val="000000"/>
                <w:sz w:val="20"/>
                <w:szCs w:val="20"/>
              </w:rPr>
              <w:t>0.668908</w:t>
            </w:r>
          </w:p>
        </w:tc>
        <w:tc>
          <w:tcPr>
            <w:tcW w:w="2120" w:type="dxa"/>
            <w:gridSpan w:val="2"/>
            <w:tcBorders>
              <w:top w:val="single" w:sz="4" w:space="0" w:color="auto"/>
              <w:left w:val="nil"/>
              <w:bottom w:val="double" w:sz="6" w:space="0" w:color="auto"/>
              <w:right w:val="double" w:sz="6" w:space="0" w:color="000000"/>
            </w:tcBorders>
            <w:shd w:val="clear" w:color="auto" w:fill="auto"/>
            <w:noWrap/>
            <w:vAlign w:val="center"/>
            <w:hideMark/>
          </w:tcPr>
          <w:p w:rsidR="00276B3F" w:rsidRDefault="00276B3F">
            <w:pPr>
              <w:jc w:val="center"/>
              <w:rPr>
                <w:rFonts w:ascii="Arial" w:hAnsi="Arial" w:cs="Arial"/>
                <w:i/>
                <w:iCs/>
                <w:color w:val="000000"/>
                <w:sz w:val="20"/>
                <w:szCs w:val="20"/>
              </w:rPr>
            </w:pPr>
            <w:r>
              <w:rPr>
                <w:rFonts w:ascii="Arial" w:hAnsi="Arial" w:cs="Arial"/>
                <w:i/>
                <w:iCs/>
                <w:color w:val="000000"/>
                <w:sz w:val="20"/>
                <w:szCs w:val="20"/>
              </w:rPr>
              <w:t>0.661553</w:t>
            </w:r>
          </w:p>
        </w:tc>
        <w:tc>
          <w:tcPr>
            <w:tcW w:w="2440" w:type="dxa"/>
            <w:gridSpan w:val="2"/>
            <w:tcBorders>
              <w:top w:val="single" w:sz="4" w:space="0" w:color="auto"/>
              <w:left w:val="nil"/>
              <w:bottom w:val="double" w:sz="6" w:space="0" w:color="auto"/>
              <w:right w:val="nil"/>
            </w:tcBorders>
            <w:shd w:val="clear" w:color="auto" w:fill="auto"/>
            <w:noWrap/>
            <w:vAlign w:val="center"/>
            <w:hideMark/>
          </w:tcPr>
          <w:p w:rsidR="00276B3F" w:rsidRDefault="00276B3F">
            <w:pPr>
              <w:jc w:val="center"/>
              <w:rPr>
                <w:rFonts w:ascii="Arial" w:hAnsi="Arial" w:cs="Arial"/>
                <w:i/>
                <w:iCs/>
                <w:color w:val="000000"/>
                <w:sz w:val="20"/>
                <w:szCs w:val="20"/>
              </w:rPr>
            </w:pPr>
            <w:r>
              <w:rPr>
                <w:rFonts w:ascii="Arial" w:hAnsi="Arial" w:cs="Arial"/>
                <w:i/>
                <w:iCs/>
                <w:color w:val="000000"/>
                <w:sz w:val="20"/>
                <w:szCs w:val="20"/>
              </w:rPr>
              <w:t>0.406476</w:t>
            </w:r>
          </w:p>
        </w:tc>
      </w:tr>
      <w:tr w:rsidR="00276B3F" w:rsidTr="00506D67">
        <w:trPr>
          <w:trHeight w:val="1005"/>
          <w:jc w:val="center"/>
        </w:trPr>
        <w:tc>
          <w:tcPr>
            <w:tcW w:w="1140" w:type="dxa"/>
            <w:tcBorders>
              <w:top w:val="double" w:sz="6" w:space="0" w:color="auto"/>
              <w:left w:val="nil"/>
              <w:bottom w:val="single" w:sz="4" w:space="0" w:color="auto"/>
              <w:right w:val="nil"/>
            </w:tcBorders>
            <w:shd w:val="clear" w:color="auto" w:fill="auto"/>
            <w:noWrap/>
            <w:vAlign w:val="bottom"/>
            <w:hideMark/>
          </w:tcPr>
          <w:p w:rsidR="00276B3F" w:rsidRDefault="00276B3F">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76B3F" w:rsidRDefault="00276B3F">
            <w:pPr>
              <w:jc w:val="center"/>
              <w:rPr>
                <w:rFonts w:ascii="Arial" w:hAnsi="Arial" w:cs="Arial"/>
                <w:color w:val="000000"/>
                <w:sz w:val="20"/>
                <w:szCs w:val="20"/>
              </w:rPr>
            </w:pPr>
            <w:r>
              <w:rPr>
                <w:rFonts w:ascii="Arial" w:hAnsi="Arial" w:cs="Arial"/>
                <w:color w:val="000000"/>
                <w:sz w:val="20"/>
                <w:szCs w:val="20"/>
              </w:rPr>
              <w:t>Hosmer-Lemeshow (H-L) Test</w:t>
            </w:r>
          </w:p>
        </w:tc>
        <w:tc>
          <w:tcPr>
            <w:tcW w:w="1120" w:type="dxa"/>
            <w:tcBorders>
              <w:top w:val="nil"/>
              <w:left w:val="nil"/>
              <w:bottom w:val="single" w:sz="4" w:space="0" w:color="auto"/>
              <w:right w:val="double" w:sz="6" w:space="0" w:color="auto"/>
            </w:tcBorders>
            <w:shd w:val="clear" w:color="auto" w:fill="auto"/>
            <w:vAlign w:val="bottom"/>
            <w:hideMark/>
          </w:tcPr>
          <w:p w:rsidR="00276B3F" w:rsidRDefault="00276B3F">
            <w:pPr>
              <w:jc w:val="center"/>
              <w:rPr>
                <w:rFonts w:ascii="Arial" w:hAnsi="Arial" w:cs="Arial"/>
                <w:color w:val="000000"/>
                <w:sz w:val="20"/>
                <w:szCs w:val="20"/>
              </w:rPr>
            </w:pPr>
            <w:r>
              <w:rPr>
                <w:rFonts w:ascii="Arial" w:hAnsi="Arial" w:cs="Arial"/>
                <w:color w:val="000000"/>
                <w:sz w:val="20"/>
                <w:szCs w:val="20"/>
              </w:rPr>
              <w:t>Andrews Test</w:t>
            </w:r>
          </w:p>
        </w:tc>
        <w:tc>
          <w:tcPr>
            <w:tcW w:w="1120" w:type="dxa"/>
            <w:tcBorders>
              <w:top w:val="nil"/>
              <w:left w:val="nil"/>
              <w:bottom w:val="single" w:sz="4" w:space="0" w:color="auto"/>
              <w:right w:val="single" w:sz="4" w:space="0" w:color="auto"/>
            </w:tcBorders>
            <w:shd w:val="clear" w:color="auto" w:fill="auto"/>
            <w:vAlign w:val="bottom"/>
            <w:hideMark/>
          </w:tcPr>
          <w:p w:rsidR="00276B3F" w:rsidRDefault="00276B3F">
            <w:pPr>
              <w:jc w:val="center"/>
              <w:rPr>
                <w:rFonts w:ascii="Arial" w:hAnsi="Arial" w:cs="Arial"/>
                <w:color w:val="000000"/>
                <w:sz w:val="20"/>
                <w:szCs w:val="20"/>
              </w:rPr>
            </w:pPr>
            <w:r>
              <w:rPr>
                <w:rFonts w:ascii="Arial" w:hAnsi="Arial" w:cs="Arial"/>
                <w:color w:val="000000"/>
                <w:sz w:val="20"/>
                <w:szCs w:val="20"/>
              </w:rPr>
              <w:t>Hosmer-Lemeshow (H-L) Test</w:t>
            </w:r>
          </w:p>
        </w:tc>
        <w:tc>
          <w:tcPr>
            <w:tcW w:w="1000" w:type="dxa"/>
            <w:tcBorders>
              <w:top w:val="nil"/>
              <w:left w:val="nil"/>
              <w:bottom w:val="single" w:sz="4" w:space="0" w:color="auto"/>
              <w:right w:val="double" w:sz="6" w:space="0" w:color="auto"/>
            </w:tcBorders>
            <w:shd w:val="clear" w:color="auto" w:fill="auto"/>
            <w:vAlign w:val="bottom"/>
            <w:hideMark/>
          </w:tcPr>
          <w:p w:rsidR="00276B3F" w:rsidRDefault="00276B3F">
            <w:pPr>
              <w:jc w:val="center"/>
              <w:rPr>
                <w:rFonts w:ascii="Arial" w:hAnsi="Arial" w:cs="Arial"/>
                <w:color w:val="000000"/>
                <w:sz w:val="20"/>
                <w:szCs w:val="20"/>
              </w:rPr>
            </w:pPr>
            <w:r>
              <w:rPr>
                <w:rFonts w:ascii="Arial" w:hAnsi="Arial" w:cs="Arial"/>
                <w:color w:val="000000"/>
                <w:sz w:val="20"/>
                <w:szCs w:val="20"/>
              </w:rPr>
              <w:t>Andrews Test</w:t>
            </w:r>
          </w:p>
        </w:tc>
        <w:tc>
          <w:tcPr>
            <w:tcW w:w="1200" w:type="dxa"/>
            <w:tcBorders>
              <w:top w:val="nil"/>
              <w:left w:val="nil"/>
              <w:bottom w:val="single" w:sz="4" w:space="0" w:color="auto"/>
              <w:right w:val="single" w:sz="4" w:space="0" w:color="auto"/>
            </w:tcBorders>
            <w:shd w:val="clear" w:color="auto" w:fill="auto"/>
            <w:vAlign w:val="bottom"/>
            <w:hideMark/>
          </w:tcPr>
          <w:p w:rsidR="00276B3F" w:rsidRDefault="00276B3F">
            <w:pPr>
              <w:jc w:val="center"/>
              <w:rPr>
                <w:rFonts w:ascii="Arial" w:hAnsi="Arial" w:cs="Arial"/>
                <w:color w:val="000000"/>
                <w:sz w:val="20"/>
                <w:szCs w:val="20"/>
              </w:rPr>
            </w:pPr>
            <w:r>
              <w:rPr>
                <w:rFonts w:ascii="Arial" w:hAnsi="Arial" w:cs="Arial"/>
                <w:color w:val="000000"/>
                <w:sz w:val="20"/>
                <w:szCs w:val="20"/>
              </w:rPr>
              <w:t>Hosmer-Lemeshow (H-L) Test</w:t>
            </w:r>
          </w:p>
        </w:tc>
        <w:tc>
          <w:tcPr>
            <w:tcW w:w="1240" w:type="dxa"/>
            <w:tcBorders>
              <w:top w:val="nil"/>
              <w:left w:val="nil"/>
              <w:bottom w:val="single" w:sz="4" w:space="0" w:color="auto"/>
              <w:right w:val="nil"/>
            </w:tcBorders>
            <w:shd w:val="clear" w:color="auto" w:fill="auto"/>
            <w:vAlign w:val="bottom"/>
            <w:hideMark/>
          </w:tcPr>
          <w:p w:rsidR="00276B3F" w:rsidRDefault="00276B3F">
            <w:pPr>
              <w:jc w:val="center"/>
              <w:rPr>
                <w:rFonts w:ascii="Arial" w:hAnsi="Arial" w:cs="Arial"/>
                <w:color w:val="000000"/>
                <w:sz w:val="20"/>
                <w:szCs w:val="20"/>
              </w:rPr>
            </w:pPr>
            <w:r>
              <w:rPr>
                <w:rFonts w:ascii="Arial" w:hAnsi="Arial" w:cs="Arial"/>
                <w:color w:val="000000"/>
                <w:sz w:val="20"/>
                <w:szCs w:val="20"/>
              </w:rPr>
              <w:t>Andrews Test</w:t>
            </w:r>
          </w:p>
        </w:tc>
      </w:tr>
      <w:tr w:rsidR="00276B3F" w:rsidTr="00506D67">
        <w:trPr>
          <w:trHeight w:val="255"/>
          <w:jc w:val="center"/>
        </w:trPr>
        <w:tc>
          <w:tcPr>
            <w:tcW w:w="1140" w:type="dxa"/>
            <w:tcBorders>
              <w:top w:val="nil"/>
              <w:left w:val="nil"/>
              <w:bottom w:val="single" w:sz="4" w:space="0" w:color="auto"/>
              <w:right w:val="single" w:sz="4" w:space="0" w:color="auto"/>
            </w:tcBorders>
            <w:shd w:val="clear" w:color="auto" w:fill="auto"/>
            <w:noWrap/>
            <w:vAlign w:val="center"/>
            <w:hideMark/>
          </w:tcPr>
          <w:p w:rsidR="00276B3F" w:rsidRDefault="00276B3F">
            <w:pPr>
              <w:rPr>
                <w:rFonts w:ascii="Arial" w:hAnsi="Arial" w:cs="Arial"/>
                <w:color w:val="000000"/>
                <w:sz w:val="20"/>
                <w:szCs w:val="20"/>
              </w:rPr>
            </w:pPr>
            <w:r>
              <w:rPr>
                <w:rFonts w:ascii="Arial" w:hAnsi="Arial" w:cs="Arial"/>
                <w:color w:val="000000"/>
                <w:sz w:val="20"/>
                <w:szCs w:val="20"/>
              </w:rPr>
              <w:t>Statistic</w:t>
            </w:r>
          </w:p>
        </w:tc>
        <w:tc>
          <w:tcPr>
            <w:tcW w:w="122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31.1034</w:t>
            </w:r>
          </w:p>
        </w:tc>
        <w:tc>
          <w:tcPr>
            <w:tcW w:w="1120" w:type="dxa"/>
            <w:tcBorders>
              <w:top w:val="nil"/>
              <w:left w:val="nil"/>
              <w:bottom w:val="single" w:sz="4" w:space="0" w:color="auto"/>
              <w:right w:val="double" w:sz="6"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1053.7231</w:t>
            </w:r>
          </w:p>
        </w:tc>
        <w:tc>
          <w:tcPr>
            <w:tcW w:w="112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6.1475</w:t>
            </w:r>
          </w:p>
        </w:tc>
        <w:tc>
          <w:tcPr>
            <w:tcW w:w="1000" w:type="dxa"/>
            <w:tcBorders>
              <w:top w:val="nil"/>
              <w:left w:val="nil"/>
              <w:bottom w:val="single" w:sz="4" w:space="0" w:color="auto"/>
              <w:right w:val="double" w:sz="6"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541.9716</w:t>
            </w:r>
          </w:p>
        </w:tc>
        <w:tc>
          <w:tcPr>
            <w:tcW w:w="120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102.5871</w:t>
            </w:r>
          </w:p>
        </w:tc>
        <w:tc>
          <w:tcPr>
            <w:tcW w:w="1240" w:type="dxa"/>
            <w:tcBorders>
              <w:top w:val="nil"/>
              <w:left w:val="nil"/>
              <w:bottom w:val="single" w:sz="4" w:space="0" w:color="auto"/>
              <w:right w:val="nil"/>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732.3819</w:t>
            </w:r>
          </w:p>
        </w:tc>
      </w:tr>
      <w:tr w:rsidR="00276B3F" w:rsidTr="00506D67">
        <w:trPr>
          <w:trHeight w:val="510"/>
          <w:jc w:val="center"/>
        </w:trPr>
        <w:tc>
          <w:tcPr>
            <w:tcW w:w="1140" w:type="dxa"/>
            <w:tcBorders>
              <w:top w:val="nil"/>
              <w:left w:val="nil"/>
              <w:bottom w:val="single" w:sz="4" w:space="0" w:color="auto"/>
              <w:right w:val="single" w:sz="4" w:space="0" w:color="auto"/>
            </w:tcBorders>
            <w:shd w:val="clear" w:color="auto" w:fill="auto"/>
            <w:vAlign w:val="bottom"/>
            <w:hideMark/>
          </w:tcPr>
          <w:p w:rsidR="00276B3F" w:rsidRDefault="00276B3F">
            <w:pPr>
              <w:rPr>
                <w:rFonts w:ascii="Arial" w:hAnsi="Arial" w:cs="Arial"/>
                <w:i/>
                <w:iCs/>
                <w:color w:val="000000"/>
                <w:sz w:val="20"/>
                <w:szCs w:val="20"/>
              </w:rPr>
            </w:pPr>
            <w:r>
              <w:rPr>
                <w:rFonts w:ascii="Arial" w:hAnsi="Arial" w:cs="Arial"/>
                <w:i/>
                <w:iCs/>
                <w:color w:val="000000"/>
                <w:sz w:val="20"/>
                <w:szCs w:val="20"/>
              </w:rPr>
              <w:t>Prob. Chi-Square</w:t>
            </w:r>
          </w:p>
        </w:tc>
        <w:tc>
          <w:tcPr>
            <w:tcW w:w="122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0.0001</w:t>
            </w:r>
          </w:p>
        </w:tc>
        <w:tc>
          <w:tcPr>
            <w:tcW w:w="1120" w:type="dxa"/>
            <w:tcBorders>
              <w:top w:val="nil"/>
              <w:left w:val="nil"/>
              <w:bottom w:val="single" w:sz="4" w:space="0" w:color="auto"/>
              <w:right w:val="double" w:sz="6"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0.0000</w:t>
            </w:r>
          </w:p>
        </w:tc>
        <w:tc>
          <w:tcPr>
            <w:tcW w:w="112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0.6307</w:t>
            </w:r>
          </w:p>
        </w:tc>
        <w:tc>
          <w:tcPr>
            <w:tcW w:w="1000" w:type="dxa"/>
            <w:tcBorders>
              <w:top w:val="nil"/>
              <w:left w:val="nil"/>
              <w:bottom w:val="single" w:sz="4" w:space="0" w:color="auto"/>
              <w:right w:val="double" w:sz="6"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0.0000</w:t>
            </w:r>
          </w:p>
        </w:tc>
        <w:tc>
          <w:tcPr>
            <w:tcW w:w="1200" w:type="dxa"/>
            <w:tcBorders>
              <w:top w:val="nil"/>
              <w:left w:val="nil"/>
              <w:bottom w:val="single" w:sz="4" w:space="0" w:color="auto"/>
              <w:right w:val="single" w:sz="4" w:space="0" w:color="auto"/>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0.0000</w:t>
            </w:r>
          </w:p>
        </w:tc>
        <w:tc>
          <w:tcPr>
            <w:tcW w:w="1240" w:type="dxa"/>
            <w:tcBorders>
              <w:top w:val="nil"/>
              <w:left w:val="nil"/>
              <w:bottom w:val="single" w:sz="4" w:space="0" w:color="auto"/>
              <w:right w:val="nil"/>
            </w:tcBorders>
            <w:shd w:val="clear" w:color="auto" w:fill="auto"/>
            <w:noWrap/>
            <w:vAlign w:val="bottom"/>
            <w:hideMark/>
          </w:tcPr>
          <w:p w:rsidR="00276B3F" w:rsidRDefault="00276B3F">
            <w:pPr>
              <w:jc w:val="right"/>
              <w:rPr>
                <w:rFonts w:ascii="Arial" w:hAnsi="Arial" w:cs="Arial"/>
                <w:color w:val="000000"/>
                <w:sz w:val="20"/>
                <w:szCs w:val="20"/>
              </w:rPr>
            </w:pPr>
            <w:r>
              <w:rPr>
                <w:rFonts w:ascii="Arial" w:hAnsi="Arial" w:cs="Arial"/>
                <w:color w:val="000000"/>
                <w:sz w:val="20"/>
                <w:szCs w:val="20"/>
              </w:rPr>
              <w:t>0.0000</w:t>
            </w:r>
          </w:p>
        </w:tc>
      </w:tr>
      <w:tr w:rsidR="00276B3F" w:rsidTr="00506D67">
        <w:trPr>
          <w:trHeight w:val="135"/>
          <w:jc w:val="center"/>
        </w:trPr>
        <w:tc>
          <w:tcPr>
            <w:tcW w:w="114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276B3F" w:rsidRDefault="00276B3F">
            <w:pPr>
              <w:rPr>
                <w:rFonts w:ascii="Arial" w:hAnsi="Arial" w:cs="Arial"/>
                <w:color w:val="000000"/>
                <w:sz w:val="20"/>
                <w:szCs w:val="20"/>
              </w:rPr>
            </w:pPr>
          </w:p>
        </w:tc>
      </w:tr>
    </w:tbl>
    <w:p w:rsidR="00276B3F" w:rsidRDefault="00276B3F" w:rsidP="00764F2C">
      <w:pPr>
        <w:rPr>
          <w:sz w:val="20"/>
          <w:szCs w:val="20"/>
        </w:rPr>
      </w:pPr>
    </w:p>
    <w:p w:rsidR="00764F2C" w:rsidRDefault="00764F2C" w:rsidP="00764F2C">
      <w:pPr>
        <w:rPr>
          <w:sz w:val="20"/>
          <w:szCs w:val="20"/>
        </w:rPr>
      </w:pPr>
      <w:r w:rsidRPr="004A2658">
        <w:rPr>
          <w:sz w:val="20"/>
          <w:szCs w:val="20"/>
        </w:rPr>
        <w:t>This table present</w:t>
      </w:r>
      <w:r>
        <w:rPr>
          <w:sz w:val="20"/>
          <w:szCs w:val="20"/>
        </w:rPr>
        <w:t>s</w:t>
      </w:r>
      <w:r w:rsidRPr="004A2658">
        <w:rPr>
          <w:sz w:val="20"/>
          <w:szCs w:val="20"/>
        </w:rPr>
        <w:t xml:space="preserve"> the results of the following probit regression:</w:t>
      </w:r>
      <w:r>
        <w:rPr>
          <w:sz w:val="20"/>
          <w:szCs w:val="20"/>
        </w:rPr>
        <w:t xml:space="preserve"> </w:t>
      </w:r>
    </w:p>
    <w:p w:rsidR="00764F2C" w:rsidRDefault="004306EB" w:rsidP="00764F2C">
      <w:pPr>
        <w:spacing w:before="240" w:after="240"/>
        <w:ind w:firstLine="708"/>
        <w:jc w:val="center"/>
      </w:pP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m:t>
                </m:r>
              </m:e>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,β</m:t>
                </m:r>
              </m:e>
            </m:d>
          </m:e>
        </m:func>
        <m:r>
          <w:rPr>
            <w:rFonts w:ascii="Cambria Math" w:hAnsi="Cambria Math"/>
          </w:rPr>
          <m:t>=1-Φ</m:t>
        </m:r>
        <m:d>
          <m:dPr>
            <m:ctrlPr>
              <w:rPr>
                <w:rFonts w:ascii="Cambria Math" w:hAnsi="Cambria Math"/>
                <w:i/>
              </w:rPr>
            </m:ctrlPr>
          </m:dPr>
          <m:e>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i</m:t>
                </m:r>
              </m:sub>
            </m:sSub>
            <m:r>
              <w:rPr>
                <w:rFonts w:ascii="Cambria Math" w:hAnsi="Cambria Math"/>
              </w:rPr>
              <m:t>β</m:t>
            </m:r>
          </m:e>
        </m:d>
        <m:r>
          <w:rPr>
            <w:rFonts w:ascii="Cambria Math" w:hAnsi="Cambria Math"/>
          </w:rPr>
          <m:t>=</m:t>
        </m:r>
      </m:oMath>
      <w:r w:rsidR="00764F2C">
        <w:t xml:space="preserve"> </w:t>
      </w:r>
      <m:oMath>
        <m:r>
          <w:rPr>
            <w:rFonts w:ascii="Cambria Math" w:hAnsi="Cambria Math"/>
          </w:rPr>
          <m:t>Φ</m:t>
        </m:r>
        <m:d>
          <m:dPr>
            <m:ctrlPr>
              <w:rPr>
                <w:rFonts w:ascii="Cambria Math" w:hAnsi="Cambria Math"/>
                <w:i/>
              </w:rPr>
            </m:ctrlPr>
          </m:dPr>
          <m:e>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i</m:t>
                </m:r>
              </m:sub>
            </m:sSub>
            <m:r>
              <w:rPr>
                <w:rFonts w:ascii="Cambria Math" w:hAnsi="Cambria Math"/>
              </w:rPr>
              <m:t>β</m:t>
            </m:r>
          </m:e>
        </m:d>
      </m:oMath>
    </w:p>
    <w:p w:rsidR="00764F2C" w:rsidRPr="0078601C" w:rsidRDefault="00EB7A83" w:rsidP="00764F2C">
      <w:pPr>
        <w:jc w:val="both"/>
        <w:rPr>
          <w:sz w:val="20"/>
          <w:szCs w:val="20"/>
        </w:rPr>
      </w:pPr>
      <w:proofErr w:type="gramStart"/>
      <w:r>
        <w:rPr>
          <w:iCs/>
          <w:sz w:val="20"/>
          <w:szCs w:val="20"/>
        </w:rPr>
        <w:t>w</w:t>
      </w:r>
      <w:r w:rsidR="00764F2C" w:rsidRPr="004A2658">
        <w:rPr>
          <w:iCs/>
          <w:sz w:val="20"/>
          <w:szCs w:val="20"/>
        </w:rPr>
        <w:t>here</w:t>
      </w:r>
      <w:proofErr w:type="gramEnd"/>
      <w:r w:rsidR="00764F2C" w:rsidRPr="004A2658">
        <w:rPr>
          <w:iCs/>
          <w:sz w:val="20"/>
          <w:szCs w:val="20"/>
        </w:rPr>
        <w:t xml:space="preserve"> Φ is the cumulative distribution function of the standard normal distribution, </w:t>
      </w:r>
      <w:r w:rsidR="00764F2C" w:rsidRPr="004A2658">
        <w:rPr>
          <w:i/>
          <w:iCs/>
          <w:sz w:val="20"/>
          <w:szCs w:val="20"/>
        </w:rPr>
        <w:t>y</w:t>
      </w:r>
      <w:r w:rsidR="00764F2C" w:rsidRPr="004A2658">
        <w:rPr>
          <w:i/>
          <w:iCs/>
          <w:sz w:val="20"/>
          <w:szCs w:val="20"/>
          <w:vertAlign w:val="subscript"/>
        </w:rPr>
        <w:t>i</w:t>
      </w:r>
      <w:r>
        <w:rPr>
          <w:iCs/>
          <w:sz w:val="20"/>
          <w:szCs w:val="20"/>
        </w:rPr>
        <w:t xml:space="preserve"> is the binary index derived from</w:t>
      </w:r>
      <w:r w:rsidR="00764F2C" w:rsidRPr="004A2658">
        <w:rPr>
          <w:iCs/>
          <w:sz w:val="20"/>
          <w:szCs w:val="20"/>
        </w:rPr>
        <w:t xml:space="preserve"> the survey and </w:t>
      </w:r>
      <w:r w:rsidR="00764F2C">
        <w:rPr>
          <w:i/>
          <w:iCs/>
          <w:sz w:val="20"/>
          <w:szCs w:val="20"/>
        </w:rPr>
        <w:t>x</w:t>
      </w:r>
      <w:r w:rsidR="00764F2C" w:rsidRPr="004A2658">
        <w:rPr>
          <w:i/>
          <w:iCs/>
          <w:sz w:val="20"/>
          <w:szCs w:val="20"/>
          <w:vertAlign w:val="subscript"/>
        </w:rPr>
        <w:t>i</w:t>
      </w:r>
      <w:r w:rsidR="00764F2C" w:rsidRPr="004A2658">
        <w:rPr>
          <w:iCs/>
          <w:sz w:val="20"/>
          <w:szCs w:val="20"/>
        </w:rPr>
        <w:t xml:space="preserve"> </w:t>
      </w:r>
      <w:r w:rsidR="00C764A1">
        <w:rPr>
          <w:iCs/>
          <w:sz w:val="20"/>
          <w:szCs w:val="20"/>
        </w:rPr>
        <w:t xml:space="preserve">comprises the constant and </w:t>
      </w:r>
      <w:r w:rsidR="00764F2C" w:rsidRPr="004A2658">
        <w:rPr>
          <w:iCs/>
          <w:sz w:val="20"/>
          <w:szCs w:val="20"/>
        </w:rPr>
        <w:t>the systemic liquidity risk indicator</w:t>
      </w:r>
      <w:r w:rsidR="00764F2C">
        <w:rPr>
          <w:iCs/>
          <w:sz w:val="20"/>
          <w:szCs w:val="20"/>
        </w:rPr>
        <w:t xml:space="preserve"> </w:t>
      </w:r>
      <w:r w:rsidR="009613F5">
        <w:rPr>
          <w:iCs/>
          <w:sz w:val="20"/>
          <w:szCs w:val="20"/>
        </w:rPr>
        <w:t>(</w:t>
      </w:r>
      <w:r w:rsidR="009613F5" w:rsidRPr="009613F5">
        <w:rPr>
          <w:i/>
          <w:iCs/>
          <w:sz w:val="20"/>
          <w:szCs w:val="20"/>
        </w:rPr>
        <w:t>SLRI</w:t>
      </w:r>
      <w:r w:rsidR="009613F5">
        <w:rPr>
          <w:iCs/>
          <w:sz w:val="20"/>
          <w:szCs w:val="20"/>
        </w:rPr>
        <w:t xml:space="preserve">) </w:t>
      </w:r>
      <w:r w:rsidR="00764F2C">
        <w:rPr>
          <w:iCs/>
          <w:sz w:val="20"/>
          <w:szCs w:val="20"/>
        </w:rPr>
        <w:t xml:space="preserve">calculated using different specifications </w:t>
      </w:r>
      <w:r w:rsidR="00764F2C" w:rsidRPr="00764F2C">
        <w:rPr>
          <w:iCs/>
          <w:sz w:val="20"/>
          <w:szCs w:val="20"/>
        </w:rPr>
        <w:t xml:space="preserve">of the </w:t>
      </w:r>
      <w:r w:rsidR="00EB1102" w:rsidRPr="00EB1102">
        <w:rPr>
          <w:iCs/>
          <w:sz w:val="20"/>
          <w:szCs w:val="20"/>
        </w:rPr>
        <w:t>cross-correlations</w:t>
      </w:r>
      <w:r w:rsidR="00764F2C">
        <w:rPr>
          <w:iCs/>
          <w:sz w:val="20"/>
          <w:szCs w:val="20"/>
        </w:rPr>
        <w:t>: BEKK, DCC and EWMA</w:t>
      </w:r>
      <w:r w:rsidR="00764F2C" w:rsidRPr="004A2658">
        <w:rPr>
          <w:iCs/>
          <w:sz w:val="20"/>
          <w:szCs w:val="20"/>
        </w:rPr>
        <w:t>.</w:t>
      </w:r>
      <w:r w:rsidR="00764F2C">
        <w:rPr>
          <w:iCs/>
          <w:sz w:val="20"/>
          <w:szCs w:val="20"/>
        </w:rPr>
        <w:t xml:space="preserve"> </w:t>
      </w:r>
      <w:r w:rsidR="00764F2C">
        <w:rPr>
          <w:sz w:val="20"/>
          <w:szCs w:val="20"/>
        </w:rPr>
        <w:t>Estimations based on daily data from January 2005 to December 2013.</w:t>
      </w:r>
    </w:p>
    <w:p w:rsidR="00764F2C" w:rsidRPr="004A2658" w:rsidRDefault="00764F2C" w:rsidP="00764F2C">
      <w:pPr>
        <w:jc w:val="both"/>
        <w:rPr>
          <w:iCs/>
          <w:sz w:val="20"/>
          <w:szCs w:val="20"/>
        </w:rPr>
      </w:pPr>
    </w:p>
    <w:p w:rsidR="00764F2C" w:rsidRDefault="00764F2C" w:rsidP="00A27537">
      <w:pPr>
        <w:spacing w:before="60" w:after="60"/>
        <w:ind w:firstLine="708"/>
        <w:jc w:val="right"/>
        <w:rPr>
          <w:b/>
          <w:noProof/>
          <w:lang w:val="en-US"/>
        </w:rPr>
      </w:pPr>
    </w:p>
    <w:p w:rsidR="00AE0B1E" w:rsidRDefault="00AE0B1E">
      <w:pPr>
        <w:rPr>
          <w:b/>
          <w:noProof/>
          <w:lang w:val="en-US"/>
        </w:rPr>
      </w:pPr>
      <w:r>
        <w:rPr>
          <w:b/>
          <w:noProof/>
          <w:lang w:val="en-US"/>
        </w:rPr>
        <w:br w:type="page"/>
      </w:r>
    </w:p>
    <w:p w:rsidR="00764F2C" w:rsidRDefault="00764F2C" w:rsidP="00A27537">
      <w:pPr>
        <w:spacing w:before="60" w:after="60"/>
        <w:ind w:firstLine="708"/>
        <w:jc w:val="right"/>
        <w:rPr>
          <w:b/>
          <w:noProof/>
          <w:lang w:val="en-US"/>
        </w:rPr>
      </w:pPr>
    </w:p>
    <w:p w:rsidR="00764F2C" w:rsidRDefault="00764F2C" w:rsidP="00A27537">
      <w:pPr>
        <w:spacing w:before="60" w:after="60"/>
        <w:ind w:firstLine="708"/>
        <w:jc w:val="right"/>
        <w:rPr>
          <w:b/>
          <w:noProof/>
          <w:lang w:val="en-US"/>
        </w:rPr>
      </w:pPr>
    </w:p>
    <w:p w:rsidR="00764F2C" w:rsidRPr="00764F2C" w:rsidRDefault="00764F2C" w:rsidP="00764F2C">
      <w:pPr>
        <w:spacing w:before="60" w:after="60"/>
        <w:jc w:val="both"/>
        <w:rPr>
          <w:b/>
          <w:noProof/>
          <w:lang w:val="en-US"/>
        </w:rPr>
      </w:pPr>
    </w:p>
    <w:p w:rsidR="00A27537" w:rsidRPr="00764F2C" w:rsidRDefault="00FC45F4" w:rsidP="00A27537">
      <w:pPr>
        <w:spacing w:before="60" w:after="60"/>
        <w:ind w:firstLine="708"/>
        <w:jc w:val="right"/>
        <w:rPr>
          <w:b/>
          <w:noProof/>
          <w:lang w:val="en-US"/>
        </w:rPr>
      </w:pPr>
      <w:r w:rsidRPr="00764F2C">
        <w:rPr>
          <w:b/>
          <w:noProof/>
          <w:lang w:val="en-US"/>
        </w:rPr>
        <w:t>Figure B.1</w:t>
      </w:r>
      <w:r w:rsidR="00A27537" w:rsidRPr="00764F2C">
        <w:rPr>
          <w:b/>
          <w:noProof/>
          <w:lang w:val="en-US"/>
        </w:rPr>
        <w:t xml:space="preserve"> </w:t>
      </w:r>
    </w:p>
    <w:p w:rsidR="00A27537" w:rsidRPr="008042C8" w:rsidRDefault="008042C8" w:rsidP="00A27537">
      <w:pPr>
        <w:jc w:val="center"/>
        <w:rPr>
          <w:b/>
          <w:sz w:val="22"/>
          <w:szCs w:val="22"/>
          <w:lang w:val="en-US" w:eastAsia="ar-SA"/>
        </w:rPr>
      </w:pPr>
      <w:r w:rsidRPr="008042C8">
        <w:rPr>
          <w:b/>
          <w:sz w:val="22"/>
          <w:szCs w:val="22"/>
          <w:lang w:val="en-US" w:eastAsia="ar-SA"/>
        </w:rPr>
        <w:t xml:space="preserve">Comparing the systemic liquidity risk indicator in the Italian financial markets </w:t>
      </w:r>
      <w:r>
        <w:rPr>
          <w:b/>
          <w:sz w:val="22"/>
          <w:szCs w:val="22"/>
          <w:lang w:val="en-US" w:eastAsia="ar-SA"/>
        </w:rPr>
        <w:t>with the</w:t>
      </w:r>
      <w:r w:rsidRPr="008042C8">
        <w:rPr>
          <w:b/>
          <w:sz w:val="22"/>
          <w:szCs w:val="22"/>
          <w:lang w:val="en-US" w:eastAsia="ar-SA"/>
        </w:rPr>
        <w:t xml:space="preserve"> composite indicator of systemic stress (CISS) in the </w:t>
      </w:r>
      <w:r w:rsidR="00EB7A83" w:rsidRPr="00EB7A83">
        <w:rPr>
          <w:b/>
          <w:sz w:val="22"/>
          <w:szCs w:val="22"/>
          <w:lang w:val="en-US" w:eastAsia="ar-SA"/>
        </w:rPr>
        <w:t>euro-</w:t>
      </w:r>
      <w:r w:rsidR="00EB7A83" w:rsidRPr="00393BD3">
        <w:rPr>
          <w:b/>
          <w:sz w:val="22"/>
          <w:szCs w:val="22"/>
          <w:lang w:val="en-US" w:eastAsia="ar-SA"/>
        </w:rPr>
        <w:t xml:space="preserve">area </w:t>
      </w:r>
      <w:r w:rsidRPr="008042C8">
        <w:rPr>
          <w:b/>
          <w:sz w:val="22"/>
          <w:szCs w:val="22"/>
          <w:lang w:val="en-US" w:eastAsia="ar-SA"/>
        </w:rPr>
        <w:t>financial system</w:t>
      </w:r>
      <w:r w:rsidR="00A27537" w:rsidRPr="008042C8">
        <w:rPr>
          <w:b/>
          <w:sz w:val="22"/>
          <w:szCs w:val="22"/>
          <w:lang w:val="en-US" w:eastAsia="ar-SA"/>
        </w:rPr>
        <w:t xml:space="preserve"> </w:t>
      </w:r>
    </w:p>
    <w:p w:rsidR="00A27537" w:rsidRDefault="00A27537" w:rsidP="00A27537">
      <w:pPr>
        <w:jc w:val="center"/>
        <w:rPr>
          <w:noProof/>
          <w:lang w:val="it-IT"/>
        </w:rPr>
      </w:pPr>
      <w:r w:rsidRPr="00DF347D">
        <w:rPr>
          <w:sz w:val="20"/>
          <w:szCs w:val="20"/>
          <w:lang w:val="en-US"/>
        </w:rPr>
        <w:t>(</w:t>
      </w:r>
      <w:proofErr w:type="gramStart"/>
      <w:r w:rsidR="008042C8" w:rsidRPr="00DF347D">
        <w:rPr>
          <w:i/>
          <w:sz w:val="20"/>
          <w:szCs w:val="20"/>
          <w:lang w:val="en-US"/>
        </w:rPr>
        <w:t>weekly</w:t>
      </w:r>
      <w:proofErr w:type="gramEnd"/>
      <w:r w:rsidR="008042C8" w:rsidRPr="00DF347D">
        <w:rPr>
          <w:i/>
          <w:sz w:val="20"/>
          <w:szCs w:val="20"/>
          <w:lang w:val="en-US"/>
        </w:rPr>
        <w:t xml:space="preserve"> </w:t>
      </w:r>
      <w:r w:rsidRPr="00DF347D">
        <w:rPr>
          <w:i/>
          <w:sz w:val="20"/>
          <w:szCs w:val="20"/>
          <w:lang w:val="en-US"/>
        </w:rPr>
        <w:t>dat</w:t>
      </w:r>
      <w:r w:rsidR="008042C8" w:rsidRPr="00DF347D">
        <w:rPr>
          <w:i/>
          <w:sz w:val="20"/>
          <w:szCs w:val="20"/>
          <w:lang w:val="en-US"/>
        </w:rPr>
        <w:t>a</w:t>
      </w:r>
      <w:r w:rsidRPr="00DF347D">
        <w:rPr>
          <w:sz w:val="20"/>
          <w:szCs w:val="20"/>
          <w:lang w:val="en-US"/>
        </w:rPr>
        <w:t>)</w:t>
      </w:r>
      <w:r w:rsidRPr="00DF347D">
        <w:rPr>
          <w:lang w:val="en-US"/>
        </w:rPr>
        <w:t xml:space="preserve"> </w:t>
      </w:r>
    </w:p>
    <w:p w:rsidR="00C55123" w:rsidRPr="00DF347D" w:rsidRDefault="00C55123" w:rsidP="00A27537">
      <w:pPr>
        <w:jc w:val="center"/>
        <w:rPr>
          <w:lang w:val="en-US"/>
        </w:rPr>
      </w:pPr>
    </w:p>
    <w:p w:rsidR="003177F0" w:rsidRPr="00DF347D" w:rsidRDefault="00E418B5" w:rsidP="00E418B5">
      <w:pPr>
        <w:spacing w:before="60" w:after="60"/>
        <w:jc w:val="right"/>
        <w:rPr>
          <w:b/>
          <w:noProof/>
          <w:lang w:val="en-US"/>
        </w:rPr>
      </w:pPr>
      <w:r w:rsidRPr="00E418B5">
        <w:rPr>
          <w:noProof/>
          <w:lang w:val="en-US" w:eastAsia="en-US"/>
        </w:rPr>
        <w:drawing>
          <wp:inline distT="0" distB="0" distL="0" distR="0" wp14:anchorId="63FBB051" wp14:editId="49A7EF10">
            <wp:extent cx="5753100" cy="25908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590800"/>
                    </a:xfrm>
                    <a:prstGeom prst="rect">
                      <a:avLst/>
                    </a:prstGeom>
                    <a:noFill/>
                    <a:ln>
                      <a:noFill/>
                    </a:ln>
                  </pic:spPr>
                </pic:pic>
              </a:graphicData>
            </a:graphic>
          </wp:inline>
        </w:drawing>
      </w:r>
    </w:p>
    <w:p w:rsidR="00EB7A83" w:rsidRPr="00EB7A83" w:rsidRDefault="00EB7A83" w:rsidP="00EB7A83">
      <w:pPr>
        <w:spacing w:before="120" w:after="120" w:line="160" w:lineRule="atLeast"/>
        <w:jc w:val="both"/>
        <w:rPr>
          <w:iCs/>
          <w:sz w:val="20"/>
          <w:szCs w:val="20"/>
          <w:lang w:val="en-US"/>
        </w:rPr>
      </w:pPr>
      <w:r w:rsidRPr="00C62F1D">
        <w:rPr>
          <w:iCs/>
          <w:sz w:val="20"/>
          <w:szCs w:val="20"/>
          <w:lang w:val="en-US"/>
        </w:rPr>
        <w:t xml:space="preserve">This figure compares the systemic liquidity risk indicator in the Italian financial markets with the Composite Indicator of Systemic Stress (CISS) in the euro area financial system  (Hollò et al., 2012). When </w:t>
      </w:r>
      <w:bookmarkStart w:id="2" w:name="bkmrk1"/>
      <w:r w:rsidRPr="00C62F1D">
        <w:rPr>
          <w:iCs/>
          <w:sz w:val="20"/>
          <w:szCs w:val="20"/>
          <w:lang w:val="en-US"/>
        </w:rPr>
        <w:t xml:space="preserve">compared </w:t>
      </w:r>
      <w:bookmarkEnd w:id="2"/>
      <w:r w:rsidRPr="00F873C8">
        <w:rPr>
          <w:iCs/>
          <w:sz w:val="20"/>
          <w:szCs w:val="20"/>
          <w:lang w:val="en-US"/>
        </w:rPr>
        <w:t xml:space="preserve">with </w:t>
      </w:r>
      <w:r w:rsidRPr="004634CC">
        <w:rPr>
          <w:iCs/>
          <w:sz w:val="20"/>
          <w:szCs w:val="20"/>
          <w:lang w:val="en-US"/>
        </w:rPr>
        <w:t xml:space="preserve">the CISS, the systemic liquidity risk indicator in the Italian financial markets presents some differences: i) it </w:t>
      </w:r>
      <w:r w:rsidRPr="00DF704A">
        <w:rPr>
          <w:iCs/>
          <w:sz w:val="20"/>
          <w:szCs w:val="20"/>
          <w:lang w:val="en-US"/>
        </w:rPr>
        <w:t xml:space="preserve">is focused on the Italian financial market, ii) it </w:t>
      </w:r>
      <w:r w:rsidRPr="00EB7A83">
        <w:rPr>
          <w:iCs/>
          <w:sz w:val="20"/>
          <w:szCs w:val="20"/>
          <w:lang w:val="en-US"/>
        </w:rPr>
        <w:t>is intended to capture the liquidity risk, iii) it does not consider measures of the banking sector separately and focuses on indicators of financial markets, without using "fundamental" measures such as price-to-book value, iv) it uses a different method for the estimation of correlations between sub-indices (GARCH BEKK vs exponentially-weighted moving averages, EWMA); v) it is calculated on daily data while the CISS is based on weekly data.</w:t>
      </w:r>
    </w:p>
    <w:p w:rsidR="00EB7A83" w:rsidRPr="00EB7A83" w:rsidRDefault="00EB7A83" w:rsidP="00EB7A83">
      <w:pPr>
        <w:spacing w:before="120" w:after="120" w:line="160" w:lineRule="atLeast"/>
        <w:jc w:val="both"/>
        <w:rPr>
          <w:spacing w:val="4"/>
          <w:sz w:val="20"/>
          <w:szCs w:val="20"/>
          <w:lang w:val="en-US"/>
        </w:rPr>
      </w:pPr>
      <w:r w:rsidRPr="00EB7A83">
        <w:rPr>
          <w:spacing w:val="4"/>
          <w:sz w:val="20"/>
          <w:szCs w:val="20"/>
          <w:lang w:val="en-US"/>
        </w:rPr>
        <w:t>Despite the differences just described, the two indicators show quite a similar trend.</w:t>
      </w:r>
    </w:p>
    <w:p w:rsidR="00FC45F4" w:rsidRPr="006118DB" w:rsidRDefault="00FC45F4" w:rsidP="003177F0">
      <w:pPr>
        <w:spacing w:before="120" w:after="120" w:line="160" w:lineRule="atLeast"/>
        <w:jc w:val="both"/>
        <w:rPr>
          <w:spacing w:val="4"/>
          <w:sz w:val="18"/>
          <w:szCs w:val="18"/>
          <w:lang w:val="en-US"/>
        </w:rPr>
      </w:pPr>
    </w:p>
    <w:p w:rsidR="005C01DE" w:rsidRPr="006118DB" w:rsidRDefault="005C01DE" w:rsidP="00FC45F4">
      <w:pPr>
        <w:spacing w:before="60" w:after="60"/>
        <w:ind w:firstLine="708"/>
        <w:jc w:val="right"/>
        <w:rPr>
          <w:b/>
          <w:noProof/>
          <w:lang w:val="en-US"/>
        </w:rPr>
      </w:pPr>
    </w:p>
    <w:p w:rsidR="003177F0" w:rsidRPr="00FC24CF" w:rsidRDefault="003177F0" w:rsidP="00005627">
      <w:pPr>
        <w:rPr>
          <w:b/>
          <w:sz w:val="22"/>
          <w:szCs w:val="22"/>
          <w:lang w:val="en-US" w:eastAsia="ar-SA"/>
        </w:rPr>
      </w:pPr>
    </w:p>
    <w:sectPr w:rsidR="003177F0" w:rsidRPr="00FC24CF" w:rsidSect="00F32741">
      <w:footerReference w:type="default" r:id="rId10"/>
      <w:pgSz w:w="11906" w:h="16838" w:code="9"/>
      <w:pgMar w:top="1418" w:right="1418" w:bottom="1559" w:left="1418" w:header="709" w:footer="709" w:gutter="0"/>
      <w:pgNumType w:start="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0D" w:rsidRDefault="00E3420D" w:rsidP="00EB4D19">
      <w:r>
        <w:separator/>
      </w:r>
    </w:p>
  </w:endnote>
  <w:endnote w:type="continuationSeparator" w:id="0">
    <w:p w:rsidR="00E3420D" w:rsidRDefault="00E3420D" w:rsidP="00EB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Adobe Garamond Pro">
    <w:panose1 w:val="02020502060506020403"/>
    <w:charset w:val="00"/>
    <w:family w:val="auto"/>
    <w:pitch w:val="variable"/>
    <w:sig w:usb0="00000007" w:usb1="00000001" w:usb2="00000000" w:usb3="00000000" w:csb0="00000093"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A00002EF" w:usb1="420020E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73734"/>
      <w:docPartObj>
        <w:docPartGallery w:val="Page Numbers (Bottom of Page)"/>
        <w:docPartUnique/>
      </w:docPartObj>
    </w:sdtPr>
    <w:sdtEndPr/>
    <w:sdtContent>
      <w:p w:rsidR="00E3420D" w:rsidRDefault="00E3420D">
        <w:pPr>
          <w:pStyle w:val="Footer"/>
          <w:jc w:val="right"/>
        </w:pPr>
        <w:r>
          <w:fldChar w:fldCharType="begin"/>
        </w:r>
        <w:r>
          <w:instrText>PAGE   \* MERGEFORMAT</w:instrText>
        </w:r>
        <w:r>
          <w:fldChar w:fldCharType="separate"/>
        </w:r>
        <w:r w:rsidR="004306EB" w:rsidRPr="004306EB">
          <w:rPr>
            <w:noProof/>
            <w:lang w:val="it-IT"/>
          </w:rPr>
          <w:t>5</w:t>
        </w:r>
        <w:r>
          <w:fldChar w:fldCharType="end"/>
        </w:r>
      </w:p>
    </w:sdtContent>
  </w:sdt>
  <w:p w:rsidR="00E3420D" w:rsidRDefault="00E342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0D" w:rsidRDefault="00E3420D" w:rsidP="00EB4D19">
      <w:r>
        <w:separator/>
      </w:r>
    </w:p>
  </w:footnote>
  <w:footnote w:type="continuationSeparator" w:id="0">
    <w:p w:rsidR="00E3420D" w:rsidRDefault="00E3420D" w:rsidP="00EB4D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F05"/>
    <w:multiLevelType w:val="hybridMultilevel"/>
    <w:tmpl w:val="87FC4134"/>
    <w:lvl w:ilvl="0" w:tplc="5E066C6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A5060A6"/>
    <w:multiLevelType w:val="hybridMultilevel"/>
    <w:tmpl w:val="EC668CFC"/>
    <w:lvl w:ilvl="0" w:tplc="FA0E8028">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A760F9"/>
    <w:multiLevelType w:val="hybridMultilevel"/>
    <w:tmpl w:val="8E525962"/>
    <w:lvl w:ilvl="0" w:tplc="2E5AA334">
      <w:start w:val="1"/>
      <w:numFmt w:val="decimal"/>
      <w:lvlText w:val="%1."/>
      <w:lvlJc w:val="left"/>
      <w:pPr>
        <w:ind w:left="36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E2102A"/>
    <w:multiLevelType w:val="multilevel"/>
    <w:tmpl w:val="7DFA804E"/>
    <w:lvl w:ilvl="0">
      <w:start w:val="1"/>
      <w:numFmt w:val="decimal"/>
      <w:lvlText w:val="%1."/>
      <w:lvlJc w:val="left"/>
      <w:pPr>
        <w:ind w:left="720" w:hanging="360"/>
      </w:pPr>
      <w:rPr>
        <w:rFonts w:hint="default"/>
        <w:color w:val="auto"/>
        <w:sz w:val="22"/>
      </w:rPr>
    </w:lvl>
    <w:lvl w:ilvl="1">
      <w:start w:val="1"/>
      <w:numFmt w:val="decimal"/>
      <w:isLgl/>
      <w:lvlText w:val="%1.%2"/>
      <w:lvlJc w:val="left"/>
      <w:pPr>
        <w:ind w:left="1065" w:hanging="705"/>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4">
    <w:nsid w:val="13705A0D"/>
    <w:multiLevelType w:val="hybridMultilevel"/>
    <w:tmpl w:val="6C0C7FB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5B76E4"/>
    <w:multiLevelType w:val="hybridMultilevel"/>
    <w:tmpl w:val="61E6316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F6B7462"/>
    <w:multiLevelType w:val="hybridMultilevel"/>
    <w:tmpl w:val="90E0722A"/>
    <w:lvl w:ilvl="0" w:tplc="2E5AA334">
      <w:start w:val="1"/>
      <w:numFmt w:val="decimal"/>
      <w:lvlText w:val="%1."/>
      <w:lvlJc w:val="left"/>
      <w:pPr>
        <w:ind w:left="502" w:hanging="360"/>
      </w:pPr>
      <w:rPr>
        <w:rFonts w:hint="default"/>
        <w:color w:val="auto"/>
        <w:sz w:val="22"/>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22DD2E63"/>
    <w:multiLevelType w:val="hybridMultilevel"/>
    <w:tmpl w:val="8BE07848"/>
    <w:lvl w:ilvl="0" w:tplc="3BDCC20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D1C36B8"/>
    <w:multiLevelType w:val="hybridMultilevel"/>
    <w:tmpl w:val="43A20B26"/>
    <w:lvl w:ilvl="0" w:tplc="69206B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7D42CB"/>
    <w:multiLevelType w:val="hybridMultilevel"/>
    <w:tmpl w:val="8BE07848"/>
    <w:lvl w:ilvl="0" w:tplc="3BDCC20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A37674C"/>
    <w:multiLevelType w:val="hybridMultilevel"/>
    <w:tmpl w:val="267CE91C"/>
    <w:lvl w:ilvl="0" w:tplc="85E89EC6">
      <w:start w:val="1"/>
      <w:numFmt w:val="decimal"/>
      <w:lvlText w:val="%1."/>
      <w:lvlJc w:val="left"/>
      <w:pPr>
        <w:ind w:left="1070" w:hanging="360"/>
      </w:pPr>
      <w:rPr>
        <w:rFonts w:cs="Times New Roman" w:hint="default"/>
        <w:b/>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1">
    <w:nsid w:val="6C147E16"/>
    <w:multiLevelType w:val="hybridMultilevel"/>
    <w:tmpl w:val="13C00470"/>
    <w:lvl w:ilvl="0" w:tplc="E202FF5C">
      <w:start w:val="1"/>
      <w:numFmt w:val="decimal"/>
      <w:lvlText w:val="%1."/>
      <w:lvlJc w:val="left"/>
      <w:pPr>
        <w:ind w:left="720" w:hanging="360"/>
      </w:pPr>
      <w:rPr>
        <w:rFonts w:ascii="Book Antiqua" w:hAnsi="Book Antiqua" w:cs="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0"/>
  </w:num>
  <w:num w:numId="5">
    <w:abstractNumId w:val="5"/>
  </w:num>
  <w:num w:numId="6">
    <w:abstractNumId w:val="0"/>
  </w:num>
  <w:num w:numId="7">
    <w:abstractNumId w:val="8"/>
  </w:num>
  <w:num w:numId="8">
    <w:abstractNumId w:val="7"/>
  </w:num>
  <w:num w:numId="9">
    <w:abstractNumId w:val="2"/>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DE"/>
    <w:rsid w:val="00002EE0"/>
    <w:rsid w:val="00003C11"/>
    <w:rsid w:val="000050C2"/>
    <w:rsid w:val="000051B6"/>
    <w:rsid w:val="00005627"/>
    <w:rsid w:val="0000584D"/>
    <w:rsid w:val="000061D0"/>
    <w:rsid w:val="000078AF"/>
    <w:rsid w:val="00010E7A"/>
    <w:rsid w:val="00011D1C"/>
    <w:rsid w:val="0001233D"/>
    <w:rsid w:val="00012464"/>
    <w:rsid w:val="00013A18"/>
    <w:rsid w:val="00014145"/>
    <w:rsid w:val="000147F0"/>
    <w:rsid w:val="00014E7C"/>
    <w:rsid w:val="00016E71"/>
    <w:rsid w:val="00020CAE"/>
    <w:rsid w:val="00020E8F"/>
    <w:rsid w:val="000213E7"/>
    <w:rsid w:val="00021443"/>
    <w:rsid w:val="00021C67"/>
    <w:rsid w:val="00022604"/>
    <w:rsid w:val="000228E0"/>
    <w:rsid w:val="0002314A"/>
    <w:rsid w:val="00023D8D"/>
    <w:rsid w:val="00024363"/>
    <w:rsid w:val="00024E45"/>
    <w:rsid w:val="00024EBD"/>
    <w:rsid w:val="00024ED3"/>
    <w:rsid w:val="00024FAA"/>
    <w:rsid w:val="00025359"/>
    <w:rsid w:val="00025726"/>
    <w:rsid w:val="00025C7E"/>
    <w:rsid w:val="00025E71"/>
    <w:rsid w:val="00027A37"/>
    <w:rsid w:val="000305A2"/>
    <w:rsid w:val="00033610"/>
    <w:rsid w:val="00035FEE"/>
    <w:rsid w:val="00037E52"/>
    <w:rsid w:val="00037E5B"/>
    <w:rsid w:val="00040C2C"/>
    <w:rsid w:val="00043282"/>
    <w:rsid w:val="00043D6F"/>
    <w:rsid w:val="00044351"/>
    <w:rsid w:val="00044493"/>
    <w:rsid w:val="000447E1"/>
    <w:rsid w:val="00044DDB"/>
    <w:rsid w:val="000455B5"/>
    <w:rsid w:val="00045E0E"/>
    <w:rsid w:val="00047299"/>
    <w:rsid w:val="0005109A"/>
    <w:rsid w:val="0005270F"/>
    <w:rsid w:val="000542AB"/>
    <w:rsid w:val="00055392"/>
    <w:rsid w:val="000569B1"/>
    <w:rsid w:val="000573BA"/>
    <w:rsid w:val="00057C19"/>
    <w:rsid w:val="00057FC7"/>
    <w:rsid w:val="0006017C"/>
    <w:rsid w:val="00060923"/>
    <w:rsid w:val="000612F7"/>
    <w:rsid w:val="0006165B"/>
    <w:rsid w:val="00061691"/>
    <w:rsid w:val="000621CD"/>
    <w:rsid w:val="00062FBC"/>
    <w:rsid w:val="00063289"/>
    <w:rsid w:val="00063B17"/>
    <w:rsid w:val="00064A6C"/>
    <w:rsid w:val="000660E5"/>
    <w:rsid w:val="0006710E"/>
    <w:rsid w:val="00067FBB"/>
    <w:rsid w:val="000707B9"/>
    <w:rsid w:val="00070AA5"/>
    <w:rsid w:val="00070FD4"/>
    <w:rsid w:val="00073D32"/>
    <w:rsid w:val="00074E2A"/>
    <w:rsid w:val="000750DE"/>
    <w:rsid w:val="00077656"/>
    <w:rsid w:val="0008079D"/>
    <w:rsid w:val="000820BF"/>
    <w:rsid w:val="000823F1"/>
    <w:rsid w:val="00082400"/>
    <w:rsid w:val="00082413"/>
    <w:rsid w:val="00082E05"/>
    <w:rsid w:val="00084096"/>
    <w:rsid w:val="000841CA"/>
    <w:rsid w:val="0008570C"/>
    <w:rsid w:val="00085809"/>
    <w:rsid w:val="000861C2"/>
    <w:rsid w:val="00087171"/>
    <w:rsid w:val="00087F7E"/>
    <w:rsid w:val="00091604"/>
    <w:rsid w:val="00091ED1"/>
    <w:rsid w:val="00091F34"/>
    <w:rsid w:val="00092AC1"/>
    <w:rsid w:val="000939D1"/>
    <w:rsid w:val="00094FEF"/>
    <w:rsid w:val="0009640B"/>
    <w:rsid w:val="0009668F"/>
    <w:rsid w:val="00096B01"/>
    <w:rsid w:val="00097CFB"/>
    <w:rsid w:val="000A021D"/>
    <w:rsid w:val="000A06C8"/>
    <w:rsid w:val="000A4C2C"/>
    <w:rsid w:val="000A709A"/>
    <w:rsid w:val="000A7288"/>
    <w:rsid w:val="000A76D8"/>
    <w:rsid w:val="000B1847"/>
    <w:rsid w:val="000B3771"/>
    <w:rsid w:val="000B433B"/>
    <w:rsid w:val="000B46FF"/>
    <w:rsid w:val="000B4A68"/>
    <w:rsid w:val="000C18B7"/>
    <w:rsid w:val="000C2538"/>
    <w:rsid w:val="000C3E37"/>
    <w:rsid w:val="000C4DA7"/>
    <w:rsid w:val="000C4FA1"/>
    <w:rsid w:val="000C505C"/>
    <w:rsid w:val="000C74E7"/>
    <w:rsid w:val="000C75F6"/>
    <w:rsid w:val="000D0B87"/>
    <w:rsid w:val="000D1966"/>
    <w:rsid w:val="000D54E0"/>
    <w:rsid w:val="000D7851"/>
    <w:rsid w:val="000E101D"/>
    <w:rsid w:val="000E1D4A"/>
    <w:rsid w:val="000E2139"/>
    <w:rsid w:val="000E2A08"/>
    <w:rsid w:val="000E2D84"/>
    <w:rsid w:val="000E48FB"/>
    <w:rsid w:val="000E4FEB"/>
    <w:rsid w:val="000E56C7"/>
    <w:rsid w:val="000E5A94"/>
    <w:rsid w:val="000E5E87"/>
    <w:rsid w:val="000E6072"/>
    <w:rsid w:val="000E714D"/>
    <w:rsid w:val="000E743A"/>
    <w:rsid w:val="000F0661"/>
    <w:rsid w:val="000F10F1"/>
    <w:rsid w:val="000F367D"/>
    <w:rsid w:val="000F3A83"/>
    <w:rsid w:val="000F4A6E"/>
    <w:rsid w:val="000F5394"/>
    <w:rsid w:val="000F664F"/>
    <w:rsid w:val="00101E13"/>
    <w:rsid w:val="00101F28"/>
    <w:rsid w:val="001020BF"/>
    <w:rsid w:val="00102649"/>
    <w:rsid w:val="00104F60"/>
    <w:rsid w:val="00105AE1"/>
    <w:rsid w:val="001111EB"/>
    <w:rsid w:val="0011144A"/>
    <w:rsid w:val="00112F87"/>
    <w:rsid w:val="00112FE6"/>
    <w:rsid w:val="00114094"/>
    <w:rsid w:val="001159C1"/>
    <w:rsid w:val="00115B7D"/>
    <w:rsid w:val="00116B43"/>
    <w:rsid w:val="001174A9"/>
    <w:rsid w:val="00117B0E"/>
    <w:rsid w:val="00117F25"/>
    <w:rsid w:val="001209A8"/>
    <w:rsid w:val="00120EFD"/>
    <w:rsid w:val="00123D46"/>
    <w:rsid w:val="001241A2"/>
    <w:rsid w:val="001246F8"/>
    <w:rsid w:val="00125035"/>
    <w:rsid w:val="00125E41"/>
    <w:rsid w:val="001261E8"/>
    <w:rsid w:val="00127278"/>
    <w:rsid w:val="00130ACA"/>
    <w:rsid w:val="0013213D"/>
    <w:rsid w:val="00134F52"/>
    <w:rsid w:val="0013526B"/>
    <w:rsid w:val="001359A0"/>
    <w:rsid w:val="00137539"/>
    <w:rsid w:val="0014150A"/>
    <w:rsid w:val="00141655"/>
    <w:rsid w:val="00141DE6"/>
    <w:rsid w:val="0014270F"/>
    <w:rsid w:val="00142A44"/>
    <w:rsid w:val="00143117"/>
    <w:rsid w:val="001431E5"/>
    <w:rsid w:val="00143247"/>
    <w:rsid w:val="00143D82"/>
    <w:rsid w:val="00146126"/>
    <w:rsid w:val="001466AB"/>
    <w:rsid w:val="0014679E"/>
    <w:rsid w:val="001472F5"/>
    <w:rsid w:val="00150723"/>
    <w:rsid w:val="001523D2"/>
    <w:rsid w:val="001536A1"/>
    <w:rsid w:val="00155C52"/>
    <w:rsid w:val="0016049B"/>
    <w:rsid w:val="001615E2"/>
    <w:rsid w:val="001620DD"/>
    <w:rsid w:val="00162ECA"/>
    <w:rsid w:val="00163D64"/>
    <w:rsid w:val="00167929"/>
    <w:rsid w:val="00167CBE"/>
    <w:rsid w:val="00170044"/>
    <w:rsid w:val="00170377"/>
    <w:rsid w:val="001733EA"/>
    <w:rsid w:val="00173760"/>
    <w:rsid w:val="00173914"/>
    <w:rsid w:val="001750F7"/>
    <w:rsid w:val="001753C5"/>
    <w:rsid w:val="00175931"/>
    <w:rsid w:val="00176003"/>
    <w:rsid w:val="001766A1"/>
    <w:rsid w:val="00181495"/>
    <w:rsid w:val="001821BD"/>
    <w:rsid w:val="001824FF"/>
    <w:rsid w:val="001838B6"/>
    <w:rsid w:val="001849FF"/>
    <w:rsid w:val="00185C2C"/>
    <w:rsid w:val="00190FBB"/>
    <w:rsid w:val="001918D3"/>
    <w:rsid w:val="00192B76"/>
    <w:rsid w:val="00192E67"/>
    <w:rsid w:val="001949B4"/>
    <w:rsid w:val="00195B70"/>
    <w:rsid w:val="00196678"/>
    <w:rsid w:val="00196B49"/>
    <w:rsid w:val="00196B8A"/>
    <w:rsid w:val="00197F15"/>
    <w:rsid w:val="001A192B"/>
    <w:rsid w:val="001A2469"/>
    <w:rsid w:val="001A4F83"/>
    <w:rsid w:val="001B05FE"/>
    <w:rsid w:val="001B10A9"/>
    <w:rsid w:val="001B11D4"/>
    <w:rsid w:val="001B61D2"/>
    <w:rsid w:val="001B7034"/>
    <w:rsid w:val="001C0ED6"/>
    <w:rsid w:val="001C13B0"/>
    <w:rsid w:val="001C19E1"/>
    <w:rsid w:val="001C466F"/>
    <w:rsid w:val="001C4B60"/>
    <w:rsid w:val="001C50EC"/>
    <w:rsid w:val="001C57AD"/>
    <w:rsid w:val="001C6421"/>
    <w:rsid w:val="001C7332"/>
    <w:rsid w:val="001C735B"/>
    <w:rsid w:val="001D0CCB"/>
    <w:rsid w:val="001D3AEF"/>
    <w:rsid w:val="001D45CD"/>
    <w:rsid w:val="001D52AD"/>
    <w:rsid w:val="001D5A9A"/>
    <w:rsid w:val="001D7324"/>
    <w:rsid w:val="001E06F8"/>
    <w:rsid w:val="001E0AAA"/>
    <w:rsid w:val="001E1481"/>
    <w:rsid w:val="001E1524"/>
    <w:rsid w:val="001E1708"/>
    <w:rsid w:val="001E1B09"/>
    <w:rsid w:val="001E1B67"/>
    <w:rsid w:val="001E504B"/>
    <w:rsid w:val="001E712B"/>
    <w:rsid w:val="001E7C4A"/>
    <w:rsid w:val="001F011A"/>
    <w:rsid w:val="001F0165"/>
    <w:rsid w:val="001F02C9"/>
    <w:rsid w:val="001F2DB3"/>
    <w:rsid w:val="001F2FDC"/>
    <w:rsid w:val="001F49E9"/>
    <w:rsid w:val="001F623B"/>
    <w:rsid w:val="001F6D40"/>
    <w:rsid w:val="00200AA2"/>
    <w:rsid w:val="00200F4B"/>
    <w:rsid w:val="00201412"/>
    <w:rsid w:val="0020168F"/>
    <w:rsid w:val="00206276"/>
    <w:rsid w:val="00207E33"/>
    <w:rsid w:val="002103EA"/>
    <w:rsid w:val="00210D01"/>
    <w:rsid w:val="0021274B"/>
    <w:rsid w:val="00213657"/>
    <w:rsid w:val="00213772"/>
    <w:rsid w:val="00213F35"/>
    <w:rsid w:val="00214024"/>
    <w:rsid w:val="00214188"/>
    <w:rsid w:val="002145C7"/>
    <w:rsid w:val="00215901"/>
    <w:rsid w:val="00216019"/>
    <w:rsid w:val="002174DB"/>
    <w:rsid w:val="00220E75"/>
    <w:rsid w:val="0022170E"/>
    <w:rsid w:val="002227F0"/>
    <w:rsid w:val="002235DC"/>
    <w:rsid w:val="00224051"/>
    <w:rsid w:val="00224309"/>
    <w:rsid w:val="00224952"/>
    <w:rsid w:val="002249D4"/>
    <w:rsid w:val="0022531E"/>
    <w:rsid w:val="002256EB"/>
    <w:rsid w:val="00225ACA"/>
    <w:rsid w:val="00225AED"/>
    <w:rsid w:val="00226448"/>
    <w:rsid w:val="00226E66"/>
    <w:rsid w:val="00227C60"/>
    <w:rsid w:val="002300B5"/>
    <w:rsid w:val="0023119F"/>
    <w:rsid w:val="002322E5"/>
    <w:rsid w:val="00233469"/>
    <w:rsid w:val="0023366C"/>
    <w:rsid w:val="00233C1B"/>
    <w:rsid w:val="002347DA"/>
    <w:rsid w:val="00235870"/>
    <w:rsid w:val="00235D21"/>
    <w:rsid w:val="002367B6"/>
    <w:rsid w:val="002374F9"/>
    <w:rsid w:val="00240951"/>
    <w:rsid w:val="00241591"/>
    <w:rsid w:val="00242D6C"/>
    <w:rsid w:val="00242E92"/>
    <w:rsid w:val="002440AA"/>
    <w:rsid w:val="002448C7"/>
    <w:rsid w:val="00245DCF"/>
    <w:rsid w:val="00245FDD"/>
    <w:rsid w:val="00246230"/>
    <w:rsid w:val="00246A74"/>
    <w:rsid w:val="00247399"/>
    <w:rsid w:val="00247B31"/>
    <w:rsid w:val="00247C4D"/>
    <w:rsid w:val="002517FD"/>
    <w:rsid w:val="00252C20"/>
    <w:rsid w:val="00252D49"/>
    <w:rsid w:val="002547B0"/>
    <w:rsid w:val="00254896"/>
    <w:rsid w:val="002553F1"/>
    <w:rsid w:val="00256AC9"/>
    <w:rsid w:val="00257EAD"/>
    <w:rsid w:val="00260DED"/>
    <w:rsid w:val="00261E96"/>
    <w:rsid w:val="002625C1"/>
    <w:rsid w:val="002644BC"/>
    <w:rsid w:val="00264558"/>
    <w:rsid w:val="00264CAC"/>
    <w:rsid w:val="00265D9F"/>
    <w:rsid w:val="00272FAA"/>
    <w:rsid w:val="002756F2"/>
    <w:rsid w:val="00275C99"/>
    <w:rsid w:val="00275D5F"/>
    <w:rsid w:val="00276B3F"/>
    <w:rsid w:val="00276CDE"/>
    <w:rsid w:val="00277E6F"/>
    <w:rsid w:val="00280AA0"/>
    <w:rsid w:val="0028107C"/>
    <w:rsid w:val="002830B1"/>
    <w:rsid w:val="002835F7"/>
    <w:rsid w:val="00284B4B"/>
    <w:rsid w:val="002866F7"/>
    <w:rsid w:val="00286D36"/>
    <w:rsid w:val="00286D83"/>
    <w:rsid w:val="00287788"/>
    <w:rsid w:val="00287C52"/>
    <w:rsid w:val="00293F3E"/>
    <w:rsid w:val="00294A57"/>
    <w:rsid w:val="00295995"/>
    <w:rsid w:val="002961B5"/>
    <w:rsid w:val="002970BC"/>
    <w:rsid w:val="00297B0B"/>
    <w:rsid w:val="002A010F"/>
    <w:rsid w:val="002A3E6E"/>
    <w:rsid w:val="002A60BD"/>
    <w:rsid w:val="002A72AC"/>
    <w:rsid w:val="002A78E1"/>
    <w:rsid w:val="002B0C8F"/>
    <w:rsid w:val="002B1E38"/>
    <w:rsid w:val="002B2429"/>
    <w:rsid w:val="002B3637"/>
    <w:rsid w:val="002B39AB"/>
    <w:rsid w:val="002B3CB8"/>
    <w:rsid w:val="002B58A0"/>
    <w:rsid w:val="002B5B3A"/>
    <w:rsid w:val="002B7EF0"/>
    <w:rsid w:val="002C0C45"/>
    <w:rsid w:val="002C0E06"/>
    <w:rsid w:val="002C159C"/>
    <w:rsid w:val="002C3597"/>
    <w:rsid w:val="002C3960"/>
    <w:rsid w:val="002D32F1"/>
    <w:rsid w:val="002D5321"/>
    <w:rsid w:val="002D53B3"/>
    <w:rsid w:val="002D563A"/>
    <w:rsid w:val="002D6C73"/>
    <w:rsid w:val="002E057C"/>
    <w:rsid w:val="002E1833"/>
    <w:rsid w:val="002E19CE"/>
    <w:rsid w:val="002E22DE"/>
    <w:rsid w:val="002E28B3"/>
    <w:rsid w:val="002E3A8C"/>
    <w:rsid w:val="002E474E"/>
    <w:rsid w:val="002E696E"/>
    <w:rsid w:val="002E6D0D"/>
    <w:rsid w:val="002F09D5"/>
    <w:rsid w:val="002F1352"/>
    <w:rsid w:val="002F27FE"/>
    <w:rsid w:val="002F44CA"/>
    <w:rsid w:val="002F451E"/>
    <w:rsid w:val="002F54DA"/>
    <w:rsid w:val="002F6027"/>
    <w:rsid w:val="003004BB"/>
    <w:rsid w:val="003007FC"/>
    <w:rsid w:val="00301647"/>
    <w:rsid w:val="00302C1E"/>
    <w:rsid w:val="003031BF"/>
    <w:rsid w:val="00303BA5"/>
    <w:rsid w:val="00304CC0"/>
    <w:rsid w:val="00305C47"/>
    <w:rsid w:val="00306A95"/>
    <w:rsid w:val="00307183"/>
    <w:rsid w:val="00307995"/>
    <w:rsid w:val="00307D8F"/>
    <w:rsid w:val="00307E2E"/>
    <w:rsid w:val="00310DD8"/>
    <w:rsid w:val="003111DE"/>
    <w:rsid w:val="00313AA6"/>
    <w:rsid w:val="00313DD0"/>
    <w:rsid w:val="003145A0"/>
    <w:rsid w:val="00316488"/>
    <w:rsid w:val="00316C16"/>
    <w:rsid w:val="003177F0"/>
    <w:rsid w:val="00317821"/>
    <w:rsid w:val="00320E9A"/>
    <w:rsid w:val="00321B14"/>
    <w:rsid w:val="00321B2D"/>
    <w:rsid w:val="00321F32"/>
    <w:rsid w:val="00322E72"/>
    <w:rsid w:val="00323983"/>
    <w:rsid w:val="00323FF1"/>
    <w:rsid w:val="003251A2"/>
    <w:rsid w:val="00326B64"/>
    <w:rsid w:val="00327E9B"/>
    <w:rsid w:val="00330F05"/>
    <w:rsid w:val="00331EE6"/>
    <w:rsid w:val="00332031"/>
    <w:rsid w:val="00333EEE"/>
    <w:rsid w:val="00333FAE"/>
    <w:rsid w:val="00334722"/>
    <w:rsid w:val="00340087"/>
    <w:rsid w:val="003404B0"/>
    <w:rsid w:val="003407DB"/>
    <w:rsid w:val="00340DBB"/>
    <w:rsid w:val="00341510"/>
    <w:rsid w:val="003431D9"/>
    <w:rsid w:val="00344313"/>
    <w:rsid w:val="00345957"/>
    <w:rsid w:val="003474F3"/>
    <w:rsid w:val="003509DD"/>
    <w:rsid w:val="00351ACB"/>
    <w:rsid w:val="00352348"/>
    <w:rsid w:val="003529F9"/>
    <w:rsid w:val="00354FF7"/>
    <w:rsid w:val="003554EC"/>
    <w:rsid w:val="0035573F"/>
    <w:rsid w:val="003564F3"/>
    <w:rsid w:val="00357467"/>
    <w:rsid w:val="003602E0"/>
    <w:rsid w:val="00361BA9"/>
    <w:rsid w:val="00361F3D"/>
    <w:rsid w:val="0036213E"/>
    <w:rsid w:val="0036435D"/>
    <w:rsid w:val="003658A3"/>
    <w:rsid w:val="003669F7"/>
    <w:rsid w:val="00367171"/>
    <w:rsid w:val="00367226"/>
    <w:rsid w:val="00370435"/>
    <w:rsid w:val="00371F27"/>
    <w:rsid w:val="00373805"/>
    <w:rsid w:val="003740F2"/>
    <w:rsid w:val="0037498E"/>
    <w:rsid w:val="003749B0"/>
    <w:rsid w:val="0038075D"/>
    <w:rsid w:val="00380D4D"/>
    <w:rsid w:val="003820D0"/>
    <w:rsid w:val="00382DBA"/>
    <w:rsid w:val="0038570B"/>
    <w:rsid w:val="00386473"/>
    <w:rsid w:val="00386D26"/>
    <w:rsid w:val="003870C4"/>
    <w:rsid w:val="00387A82"/>
    <w:rsid w:val="003900C6"/>
    <w:rsid w:val="00390486"/>
    <w:rsid w:val="00393083"/>
    <w:rsid w:val="00393BD3"/>
    <w:rsid w:val="00393ED2"/>
    <w:rsid w:val="003955E4"/>
    <w:rsid w:val="003A12CF"/>
    <w:rsid w:val="003A2DA5"/>
    <w:rsid w:val="003A332F"/>
    <w:rsid w:val="003A4498"/>
    <w:rsid w:val="003A69B3"/>
    <w:rsid w:val="003A7469"/>
    <w:rsid w:val="003B0072"/>
    <w:rsid w:val="003B0741"/>
    <w:rsid w:val="003B1459"/>
    <w:rsid w:val="003B3476"/>
    <w:rsid w:val="003B6ACD"/>
    <w:rsid w:val="003B6E79"/>
    <w:rsid w:val="003B7045"/>
    <w:rsid w:val="003B7383"/>
    <w:rsid w:val="003B7793"/>
    <w:rsid w:val="003B7B76"/>
    <w:rsid w:val="003B7F43"/>
    <w:rsid w:val="003C22F9"/>
    <w:rsid w:val="003C2CA0"/>
    <w:rsid w:val="003C5924"/>
    <w:rsid w:val="003C5C0F"/>
    <w:rsid w:val="003D0D39"/>
    <w:rsid w:val="003D33FC"/>
    <w:rsid w:val="003D4ACC"/>
    <w:rsid w:val="003D509E"/>
    <w:rsid w:val="003D7761"/>
    <w:rsid w:val="003D79C3"/>
    <w:rsid w:val="003E0314"/>
    <w:rsid w:val="003E21F1"/>
    <w:rsid w:val="003E31F4"/>
    <w:rsid w:val="003E3820"/>
    <w:rsid w:val="003E41C6"/>
    <w:rsid w:val="003E554E"/>
    <w:rsid w:val="003E6962"/>
    <w:rsid w:val="003E6969"/>
    <w:rsid w:val="003E6B08"/>
    <w:rsid w:val="003E6B2C"/>
    <w:rsid w:val="003F1336"/>
    <w:rsid w:val="003F2AD5"/>
    <w:rsid w:val="003F3017"/>
    <w:rsid w:val="003F3E3F"/>
    <w:rsid w:val="003F57E7"/>
    <w:rsid w:val="003F582A"/>
    <w:rsid w:val="003F6E60"/>
    <w:rsid w:val="003F7910"/>
    <w:rsid w:val="00400246"/>
    <w:rsid w:val="00400FDB"/>
    <w:rsid w:val="0040170F"/>
    <w:rsid w:val="004019A4"/>
    <w:rsid w:val="00403BFB"/>
    <w:rsid w:val="004042F6"/>
    <w:rsid w:val="00405404"/>
    <w:rsid w:val="00405DA8"/>
    <w:rsid w:val="004074D1"/>
    <w:rsid w:val="00411069"/>
    <w:rsid w:val="00412955"/>
    <w:rsid w:val="004150B9"/>
    <w:rsid w:val="004157F9"/>
    <w:rsid w:val="00416B59"/>
    <w:rsid w:val="00417331"/>
    <w:rsid w:val="00417B7C"/>
    <w:rsid w:val="00420F87"/>
    <w:rsid w:val="004234E8"/>
    <w:rsid w:val="00425944"/>
    <w:rsid w:val="00427770"/>
    <w:rsid w:val="00430072"/>
    <w:rsid w:val="004306EB"/>
    <w:rsid w:val="0043179E"/>
    <w:rsid w:val="0043209A"/>
    <w:rsid w:val="00432E9A"/>
    <w:rsid w:val="004339E6"/>
    <w:rsid w:val="0043537E"/>
    <w:rsid w:val="0043750E"/>
    <w:rsid w:val="00441492"/>
    <w:rsid w:val="00443448"/>
    <w:rsid w:val="00443E25"/>
    <w:rsid w:val="004513F5"/>
    <w:rsid w:val="0045172F"/>
    <w:rsid w:val="00451799"/>
    <w:rsid w:val="00451A2A"/>
    <w:rsid w:val="004546DB"/>
    <w:rsid w:val="004548D2"/>
    <w:rsid w:val="00454E75"/>
    <w:rsid w:val="00455C39"/>
    <w:rsid w:val="004564B3"/>
    <w:rsid w:val="0045737D"/>
    <w:rsid w:val="00460339"/>
    <w:rsid w:val="00460431"/>
    <w:rsid w:val="004610D5"/>
    <w:rsid w:val="004612F9"/>
    <w:rsid w:val="0046207A"/>
    <w:rsid w:val="0046291E"/>
    <w:rsid w:val="00463881"/>
    <w:rsid w:val="004703A0"/>
    <w:rsid w:val="00471AB1"/>
    <w:rsid w:val="00472EC8"/>
    <w:rsid w:val="00473533"/>
    <w:rsid w:val="00474683"/>
    <w:rsid w:val="00477DA4"/>
    <w:rsid w:val="00480965"/>
    <w:rsid w:val="00481253"/>
    <w:rsid w:val="00484DF9"/>
    <w:rsid w:val="004906B4"/>
    <w:rsid w:val="00490730"/>
    <w:rsid w:val="00491D3F"/>
    <w:rsid w:val="00492772"/>
    <w:rsid w:val="00492D31"/>
    <w:rsid w:val="00492FEF"/>
    <w:rsid w:val="00494018"/>
    <w:rsid w:val="00494072"/>
    <w:rsid w:val="004961DA"/>
    <w:rsid w:val="00496600"/>
    <w:rsid w:val="00496A06"/>
    <w:rsid w:val="004A2658"/>
    <w:rsid w:val="004A4F1C"/>
    <w:rsid w:val="004A6C30"/>
    <w:rsid w:val="004B1691"/>
    <w:rsid w:val="004B2DDD"/>
    <w:rsid w:val="004B3182"/>
    <w:rsid w:val="004B344F"/>
    <w:rsid w:val="004B5E55"/>
    <w:rsid w:val="004B73FD"/>
    <w:rsid w:val="004B7624"/>
    <w:rsid w:val="004B7C8C"/>
    <w:rsid w:val="004B7D6E"/>
    <w:rsid w:val="004C14DB"/>
    <w:rsid w:val="004C15FC"/>
    <w:rsid w:val="004C372D"/>
    <w:rsid w:val="004C4FBA"/>
    <w:rsid w:val="004C63FC"/>
    <w:rsid w:val="004D0004"/>
    <w:rsid w:val="004D1774"/>
    <w:rsid w:val="004D2477"/>
    <w:rsid w:val="004D28B9"/>
    <w:rsid w:val="004D3BD5"/>
    <w:rsid w:val="004D3BFE"/>
    <w:rsid w:val="004D44D8"/>
    <w:rsid w:val="004D4DEF"/>
    <w:rsid w:val="004D53CD"/>
    <w:rsid w:val="004E016B"/>
    <w:rsid w:val="004E0356"/>
    <w:rsid w:val="004E22D9"/>
    <w:rsid w:val="004E24E4"/>
    <w:rsid w:val="004E2D6E"/>
    <w:rsid w:val="004E2FCA"/>
    <w:rsid w:val="004E4D23"/>
    <w:rsid w:val="004E5B5C"/>
    <w:rsid w:val="004F0962"/>
    <w:rsid w:val="004F23FA"/>
    <w:rsid w:val="004F431E"/>
    <w:rsid w:val="004F5245"/>
    <w:rsid w:val="004F5BA5"/>
    <w:rsid w:val="004F62A9"/>
    <w:rsid w:val="004F656C"/>
    <w:rsid w:val="004F6FF1"/>
    <w:rsid w:val="004F764C"/>
    <w:rsid w:val="004F77D4"/>
    <w:rsid w:val="00501A02"/>
    <w:rsid w:val="00501E18"/>
    <w:rsid w:val="00501F0B"/>
    <w:rsid w:val="00502024"/>
    <w:rsid w:val="00503149"/>
    <w:rsid w:val="00503F20"/>
    <w:rsid w:val="0050402C"/>
    <w:rsid w:val="00504D3D"/>
    <w:rsid w:val="005055DB"/>
    <w:rsid w:val="00505BE1"/>
    <w:rsid w:val="00506D67"/>
    <w:rsid w:val="0050758C"/>
    <w:rsid w:val="00507F08"/>
    <w:rsid w:val="00515AA0"/>
    <w:rsid w:val="00516DE8"/>
    <w:rsid w:val="00520089"/>
    <w:rsid w:val="005210BD"/>
    <w:rsid w:val="005213F5"/>
    <w:rsid w:val="005217EB"/>
    <w:rsid w:val="00521CEB"/>
    <w:rsid w:val="0052233E"/>
    <w:rsid w:val="0052408B"/>
    <w:rsid w:val="005247AC"/>
    <w:rsid w:val="00524BCD"/>
    <w:rsid w:val="00524BE9"/>
    <w:rsid w:val="005252C2"/>
    <w:rsid w:val="005257C6"/>
    <w:rsid w:val="005278F9"/>
    <w:rsid w:val="00530381"/>
    <w:rsid w:val="00530FF1"/>
    <w:rsid w:val="00533762"/>
    <w:rsid w:val="005339F7"/>
    <w:rsid w:val="00533B55"/>
    <w:rsid w:val="00534D64"/>
    <w:rsid w:val="00540564"/>
    <w:rsid w:val="005460A2"/>
    <w:rsid w:val="0055027D"/>
    <w:rsid w:val="0055363D"/>
    <w:rsid w:val="00554AC7"/>
    <w:rsid w:val="00555265"/>
    <w:rsid w:val="005562DE"/>
    <w:rsid w:val="0055724A"/>
    <w:rsid w:val="0056018F"/>
    <w:rsid w:val="0056170C"/>
    <w:rsid w:val="0056195A"/>
    <w:rsid w:val="00561B85"/>
    <w:rsid w:val="0056338D"/>
    <w:rsid w:val="00563C70"/>
    <w:rsid w:val="00565515"/>
    <w:rsid w:val="00566631"/>
    <w:rsid w:val="00566DCE"/>
    <w:rsid w:val="00567797"/>
    <w:rsid w:val="00570F43"/>
    <w:rsid w:val="00571848"/>
    <w:rsid w:val="00572D60"/>
    <w:rsid w:val="00575A10"/>
    <w:rsid w:val="00575B87"/>
    <w:rsid w:val="00575C50"/>
    <w:rsid w:val="00577672"/>
    <w:rsid w:val="00583EA7"/>
    <w:rsid w:val="00584019"/>
    <w:rsid w:val="00586F84"/>
    <w:rsid w:val="0058720E"/>
    <w:rsid w:val="00591648"/>
    <w:rsid w:val="00592836"/>
    <w:rsid w:val="0059329E"/>
    <w:rsid w:val="00593E4C"/>
    <w:rsid w:val="00594492"/>
    <w:rsid w:val="00594C4C"/>
    <w:rsid w:val="00595CFE"/>
    <w:rsid w:val="00597E2B"/>
    <w:rsid w:val="005A0284"/>
    <w:rsid w:val="005A0C26"/>
    <w:rsid w:val="005A1A77"/>
    <w:rsid w:val="005A1CD3"/>
    <w:rsid w:val="005A3084"/>
    <w:rsid w:val="005A31A5"/>
    <w:rsid w:val="005A3705"/>
    <w:rsid w:val="005A3A83"/>
    <w:rsid w:val="005A45CD"/>
    <w:rsid w:val="005A5833"/>
    <w:rsid w:val="005A613C"/>
    <w:rsid w:val="005A681A"/>
    <w:rsid w:val="005A69C9"/>
    <w:rsid w:val="005A6A77"/>
    <w:rsid w:val="005A6D0F"/>
    <w:rsid w:val="005B051F"/>
    <w:rsid w:val="005B16C4"/>
    <w:rsid w:val="005B25A9"/>
    <w:rsid w:val="005B2639"/>
    <w:rsid w:val="005B3194"/>
    <w:rsid w:val="005B4681"/>
    <w:rsid w:val="005B759C"/>
    <w:rsid w:val="005B7655"/>
    <w:rsid w:val="005C01DE"/>
    <w:rsid w:val="005C09DA"/>
    <w:rsid w:val="005C0D1B"/>
    <w:rsid w:val="005C1F3C"/>
    <w:rsid w:val="005C2AF9"/>
    <w:rsid w:val="005C2D33"/>
    <w:rsid w:val="005C45C1"/>
    <w:rsid w:val="005C564E"/>
    <w:rsid w:val="005C7699"/>
    <w:rsid w:val="005D0612"/>
    <w:rsid w:val="005D13DD"/>
    <w:rsid w:val="005D1E3F"/>
    <w:rsid w:val="005D2BEF"/>
    <w:rsid w:val="005D3787"/>
    <w:rsid w:val="005D3EAD"/>
    <w:rsid w:val="005D55E6"/>
    <w:rsid w:val="005D5690"/>
    <w:rsid w:val="005D56FF"/>
    <w:rsid w:val="005D5907"/>
    <w:rsid w:val="005D65D2"/>
    <w:rsid w:val="005D70AC"/>
    <w:rsid w:val="005E1174"/>
    <w:rsid w:val="005E302D"/>
    <w:rsid w:val="005E30EE"/>
    <w:rsid w:val="005E3F25"/>
    <w:rsid w:val="005E5EF7"/>
    <w:rsid w:val="005E67D5"/>
    <w:rsid w:val="005F09EC"/>
    <w:rsid w:val="005F0F32"/>
    <w:rsid w:val="005F19D5"/>
    <w:rsid w:val="005F2859"/>
    <w:rsid w:val="005F3895"/>
    <w:rsid w:val="005F3A72"/>
    <w:rsid w:val="005F582A"/>
    <w:rsid w:val="005F7BBD"/>
    <w:rsid w:val="00601298"/>
    <w:rsid w:val="0060176E"/>
    <w:rsid w:val="006017A7"/>
    <w:rsid w:val="00601FD8"/>
    <w:rsid w:val="00602F77"/>
    <w:rsid w:val="00603DAA"/>
    <w:rsid w:val="00607524"/>
    <w:rsid w:val="006118DB"/>
    <w:rsid w:val="00611A7B"/>
    <w:rsid w:val="0061284F"/>
    <w:rsid w:val="006142B5"/>
    <w:rsid w:val="00615ED4"/>
    <w:rsid w:val="00616037"/>
    <w:rsid w:val="00617E45"/>
    <w:rsid w:val="006219BD"/>
    <w:rsid w:val="00622440"/>
    <w:rsid w:val="006225F7"/>
    <w:rsid w:val="006230E0"/>
    <w:rsid w:val="00623EE2"/>
    <w:rsid w:val="00624046"/>
    <w:rsid w:val="0062427E"/>
    <w:rsid w:val="0063109F"/>
    <w:rsid w:val="00631CF6"/>
    <w:rsid w:val="00631E8F"/>
    <w:rsid w:val="006320B0"/>
    <w:rsid w:val="00634414"/>
    <w:rsid w:val="00635349"/>
    <w:rsid w:val="0063542E"/>
    <w:rsid w:val="00635A6D"/>
    <w:rsid w:val="006406EA"/>
    <w:rsid w:val="00640B65"/>
    <w:rsid w:val="0064108D"/>
    <w:rsid w:val="0064172F"/>
    <w:rsid w:val="00641E84"/>
    <w:rsid w:val="0064275B"/>
    <w:rsid w:val="00643075"/>
    <w:rsid w:val="0064477D"/>
    <w:rsid w:val="006453B4"/>
    <w:rsid w:val="00645623"/>
    <w:rsid w:val="006478AA"/>
    <w:rsid w:val="006501C0"/>
    <w:rsid w:val="006504C2"/>
    <w:rsid w:val="006509FF"/>
    <w:rsid w:val="00650BBD"/>
    <w:rsid w:val="006523E0"/>
    <w:rsid w:val="00653977"/>
    <w:rsid w:val="00654CB9"/>
    <w:rsid w:val="00654FD1"/>
    <w:rsid w:val="006568A5"/>
    <w:rsid w:val="00656CBC"/>
    <w:rsid w:val="00657DF3"/>
    <w:rsid w:val="006617FB"/>
    <w:rsid w:val="00662543"/>
    <w:rsid w:val="0066293E"/>
    <w:rsid w:val="00662A0E"/>
    <w:rsid w:val="00663EAE"/>
    <w:rsid w:val="006655B5"/>
    <w:rsid w:val="00667F07"/>
    <w:rsid w:val="00670E8F"/>
    <w:rsid w:val="0067184F"/>
    <w:rsid w:val="0067278D"/>
    <w:rsid w:val="006759C9"/>
    <w:rsid w:val="0067716D"/>
    <w:rsid w:val="00682D32"/>
    <w:rsid w:val="00684922"/>
    <w:rsid w:val="00684CA4"/>
    <w:rsid w:val="006851B5"/>
    <w:rsid w:val="00685C61"/>
    <w:rsid w:val="0068745C"/>
    <w:rsid w:val="00690F09"/>
    <w:rsid w:val="00691595"/>
    <w:rsid w:val="0069248F"/>
    <w:rsid w:val="006925D0"/>
    <w:rsid w:val="00694BA1"/>
    <w:rsid w:val="00695011"/>
    <w:rsid w:val="00695185"/>
    <w:rsid w:val="0069523C"/>
    <w:rsid w:val="0069558F"/>
    <w:rsid w:val="00697FFE"/>
    <w:rsid w:val="006A093A"/>
    <w:rsid w:val="006A0B79"/>
    <w:rsid w:val="006A2286"/>
    <w:rsid w:val="006A2C38"/>
    <w:rsid w:val="006A352B"/>
    <w:rsid w:val="006A38F0"/>
    <w:rsid w:val="006A5B95"/>
    <w:rsid w:val="006A6036"/>
    <w:rsid w:val="006A69F5"/>
    <w:rsid w:val="006B0630"/>
    <w:rsid w:val="006B18A0"/>
    <w:rsid w:val="006B2392"/>
    <w:rsid w:val="006B2924"/>
    <w:rsid w:val="006B2AC8"/>
    <w:rsid w:val="006B4933"/>
    <w:rsid w:val="006B4AD3"/>
    <w:rsid w:val="006B5C69"/>
    <w:rsid w:val="006B7199"/>
    <w:rsid w:val="006C0730"/>
    <w:rsid w:val="006C1BB5"/>
    <w:rsid w:val="006C1BF8"/>
    <w:rsid w:val="006C238D"/>
    <w:rsid w:val="006C38B0"/>
    <w:rsid w:val="006C3D7A"/>
    <w:rsid w:val="006C4FC4"/>
    <w:rsid w:val="006C6061"/>
    <w:rsid w:val="006C6A92"/>
    <w:rsid w:val="006C7034"/>
    <w:rsid w:val="006C7926"/>
    <w:rsid w:val="006C7B10"/>
    <w:rsid w:val="006D095D"/>
    <w:rsid w:val="006D1102"/>
    <w:rsid w:val="006D2216"/>
    <w:rsid w:val="006D293C"/>
    <w:rsid w:val="006D35F8"/>
    <w:rsid w:val="006D5B1C"/>
    <w:rsid w:val="006D5E1D"/>
    <w:rsid w:val="006D5F70"/>
    <w:rsid w:val="006D65CE"/>
    <w:rsid w:val="006E00EA"/>
    <w:rsid w:val="006E05DE"/>
    <w:rsid w:val="006E08CD"/>
    <w:rsid w:val="006E08F0"/>
    <w:rsid w:val="006E0986"/>
    <w:rsid w:val="006E1B8F"/>
    <w:rsid w:val="006E2852"/>
    <w:rsid w:val="006E3878"/>
    <w:rsid w:val="006E3BFF"/>
    <w:rsid w:val="006E4ABF"/>
    <w:rsid w:val="006E52FE"/>
    <w:rsid w:val="006E595F"/>
    <w:rsid w:val="006E6432"/>
    <w:rsid w:val="006E67D3"/>
    <w:rsid w:val="006E705D"/>
    <w:rsid w:val="006E7DF4"/>
    <w:rsid w:val="006F0A33"/>
    <w:rsid w:val="006F35E0"/>
    <w:rsid w:val="006F36DD"/>
    <w:rsid w:val="006F4011"/>
    <w:rsid w:val="006F4429"/>
    <w:rsid w:val="006F4905"/>
    <w:rsid w:val="006F53F9"/>
    <w:rsid w:val="006F680F"/>
    <w:rsid w:val="006F72BD"/>
    <w:rsid w:val="00700A31"/>
    <w:rsid w:val="00701983"/>
    <w:rsid w:val="00703209"/>
    <w:rsid w:val="00704E06"/>
    <w:rsid w:val="00706E08"/>
    <w:rsid w:val="0070708E"/>
    <w:rsid w:val="00710CC1"/>
    <w:rsid w:val="00710F06"/>
    <w:rsid w:val="0071108C"/>
    <w:rsid w:val="0071173A"/>
    <w:rsid w:val="00711F04"/>
    <w:rsid w:val="007123D6"/>
    <w:rsid w:val="00712DAC"/>
    <w:rsid w:val="00715524"/>
    <w:rsid w:val="00716899"/>
    <w:rsid w:val="007175B1"/>
    <w:rsid w:val="0072044F"/>
    <w:rsid w:val="007221B9"/>
    <w:rsid w:val="00724043"/>
    <w:rsid w:val="007265D5"/>
    <w:rsid w:val="00727814"/>
    <w:rsid w:val="00727FC1"/>
    <w:rsid w:val="007300AF"/>
    <w:rsid w:val="007308D0"/>
    <w:rsid w:val="00732388"/>
    <w:rsid w:val="007323E8"/>
    <w:rsid w:val="007346E2"/>
    <w:rsid w:val="007347D3"/>
    <w:rsid w:val="007354ED"/>
    <w:rsid w:val="00735660"/>
    <w:rsid w:val="00735F38"/>
    <w:rsid w:val="00736146"/>
    <w:rsid w:val="00736C99"/>
    <w:rsid w:val="0073775B"/>
    <w:rsid w:val="007377F3"/>
    <w:rsid w:val="00737B9E"/>
    <w:rsid w:val="00743FFD"/>
    <w:rsid w:val="0074437B"/>
    <w:rsid w:val="00745799"/>
    <w:rsid w:val="00745BC7"/>
    <w:rsid w:val="00745D36"/>
    <w:rsid w:val="00746ADE"/>
    <w:rsid w:val="00746F22"/>
    <w:rsid w:val="00747588"/>
    <w:rsid w:val="00750609"/>
    <w:rsid w:val="00753C5C"/>
    <w:rsid w:val="00754579"/>
    <w:rsid w:val="00754870"/>
    <w:rsid w:val="00755AC2"/>
    <w:rsid w:val="00755FAA"/>
    <w:rsid w:val="00757FED"/>
    <w:rsid w:val="00761A24"/>
    <w:rsid w:val="007630F3"/>
    <w:rsid w:val="007631A4"/>
    <w:rsid w:val="00764125"/>
    <w:rsid w:val="00764F2C"/>
    <w:rsid w:val="00765542"/>
    <w:rsid w:val="007660A5"/>
    <w:rsid w:val="007672A3"/>
    <w:rsid w:val="0077143B"/>
    <w:rsid w:val="00772D5A"/>
    <w:rsid w:val="00773714"/>
    <w:rsid w:val="00774749"/>
    <w:rsid w:val="00775494"/>
    <w:rsid w:val="00775885"/>
    <w:rsid w:val="0077597F"/>
    <w:rsid w:val="00775E2E"/>
    <w:rsid w:val="00775EE2"/>
    <w:rsid w:val="0077699C"/>
    <w:rsid w:val="00777177"/>
    <w:rsid w:val="00777B30"/>
    <w:rsid w:val="0078025E"/>
    <w:rsid w:val="00780DCE"/>
    <w:rsid w:val="00780ECD"/>
    <w:rsid w:val="00784E56"/>
    <w:rsid w:val="0078601C"/>
    <w:rsid w:val="0078695B"/>
    <w:rsid w:val="00787DE0"/>
    <w:rsid w:val="0079050E"/>
    <w:rsid w:val="007912CC"/>
    <w:rsid w:val="00791E8C"/>
    <w:rsid w:val="007939AA"/>
    <w:rsid w:val="007940FA"/>
    <w:rsid w:val="0079432A"/>
    <w:rsid w:val="00796E57"/>
    <w:rsid w:val="00797DE4"/>
    <w:rsid w:val="007A01AE"/>
    <w:rsid w:val="007A3155"/>
    <w:rsid w:val="007A3617"/>
    <w:rsid w:val="007A3930"/>
    <w:rsid w:val="007A3979"/>
    <w:rsid w:val="007A45D2"/>
    <w:rsid w:val="007A4FD5"/>
    <w:rsid w:val="007A6E4C"/>
    <w:rsid w:val="007A746F"/>
    <w:rsid w:val="007A75DB"/>
    <w:rsid w:val="007B0D61"/>
    <w:rsid w:val="007B1749"/>
    <w:rsid w:val="007B1AD3"/>
    <w:rsid w:val="007B4192"/>
    <w:rsid w:val="007B444A"/>
    <w:rsid w:val="007B50F9"/>
    <w:rsid w:val="007B5D25"/>
    <w:rsid w:val="007B64E9"/>
    <w:rsid w:val="007B6AF9"/>
    <w:rsid w:val="007B7344"/>
    <w:rsid w:val="007C2526"/>
    <w:rsid w:val="007C43E9"/>
    <w:rsid w:val="007C47F0"/>
    <w:rsid w:val="007C593E"/>
    <w:rsid w:val="007C59DB"/>
    <w:rsid w:val="007C6A7A"/>
    <w:rsid w:val="007C6E2F"/>
    <w:rsid w:val="007D07E4"/>
    <w:rsid w:val="007D1BF8"/>
    <w:rsid w:val="007D2290"/>
    <w:rsid w:val="007D2A49"/>
    <w:rsid w:val="007D37E5"/>
    <w:rsid w:val="007D3C46"/>
    <w:rsid w:val="007D77F1"/>
    <w:rsid w:val="007E119D"/>
    <w:rsid w:val="007E1C84"/>
    <w:rsid w:val="007E6A26"/>
    <w:rsid w:val="007E6A8E"/>
    <w:rsid w:val="007E7CA8"/>
    <w:rsid w:val="007F1537"/>
    <w:rsid w:val="007F4737"/>
    <w:rsid w:val="007F51E0"/>
    <w:rsid w:val="007F5FC5"/>
    <w:rsid w:val="007F69E6"/>
    <w:rsid w:val="007F6FFD"/>
    <w:rsid w:val="00801C67"/>
    <w:rsid w:val="0080272C"/>
    <w:rsid w:val="008031D0"/>
    <w:rsid w:val="00803E8D"/>
    <w:rsid w:val="008042C8"/>
    <w:rsid w:val="00806C78"/>
    <w:rsid w:val="00815FB2"/>
    <w:rsid w:val="00817DE3"/>
    <w:rsid w:val="00820458"/>
    <w:rsid w:val="00822479"/>
    <w:rsid w:val="00824FAF"/>
    <w:rsid w:val="00826F67"/>
    <w:rsid w:val="00830E9B"/>
    <w:rsid w:val="0083114A"/>
    <w:rsid w:val="00831EAF"/>
    <w:rsid w:val="00834718"/>
    <w:rsid w:val="008376A4"/>
    <w:rsid w:val="0084060C"/>
    <w:rsid w:val="00850215"/>
    <w:rsid w:val="00852315"/>
    <w:rsid w:val="0085256F"/>
    <w:rsid w:val="008530EB"/>
    <w:rsid w:val="008533AA"/>
    <w:rsid w:val="0085564B"/>
    <w:rsid w:val="00855DBB"/>
    <w:rsid w:val="008566D2"/>
    <w:rsid w:val="00856871"/>
    <w:rsid w:val="00856A33"/>
    <w:rsid w:val="00864888"/>
    <w:rsid w:val="00865907"/>
    <w:rsid w:val="00866189"/>
    <w:rsid w:val="00866499"/>
    <w:rsid w:val="008725A3"/>
    <w:rsid w:val="00872671"/>
    <w:rsid w:val="00873CA5"/>
    <w:rsid w:val="00874255"/>
    <w:rsid w:val="008756A2"/>
    <w:rsid w:val="008760DC"/>
    <w:rsid w:val="0087714E"/>
    <w:rsid w:val="00880173"/>
    <w:rsid w:val="00881D9C"/>
    <w:rsid w:val="008846A0"/>
    <w:rsid w:val="00885300"/>
    <w:rsid w:val="00885464"/>
    <w:rsid w:val="00885DD7"/>
    <w:rsid w:val="0088639B"/>
    <w:rsid w:val="00886FAC"/>
    <w:rsid w:val="00890DFD"/>
    <w:rsid w:val="008918D7"/>
    <w:rsid w:val="00891D77"/>
    <w:rsid w:val="00892CC4"/>
    <w:rsid w:val="008939F3"/>
    <w:rsid w:val="00893AF3"/>
    <w:rsid w:val="00893BFC"/>
    <w:rsid w:val="008946C3"/>
    <w:rsid w:val="00895924"/>
    <w:rsid w:val="00896F0A"/>
    <w:rsid w:val="00897B26"/>
    <w:rsid w:val="008A0691"/>
    <w:rsid w:val="008A0D93"/>
    <w:rsid w:val="008A1E09"/>
    <w:rsid w:val="008A298E"/>
    <w:rsid w:val="008A2E54"/>
    <w:rsid w:val="008A34A9"/>
    <w:rsid w:val="008A4E03"/>
    <w:rsid w:val="008A5F37"/>
    <w:rsid w:val="008A79F1"/>
    <w:rsid w:val="008A7FFD"/>
    <w:rsid w:val="008B0765"/>
    <w:rsid w:val="008B1F41"/>
    <w:rsid w:val="008B2F3E"/>
    <w:rsid w:val="008B3BC6"/>
    <w:rsid w:val="008B4425"/>
    <w:rsid w:val="008B4C8F"/>
    <w:rsid w:val="008B5945"/>
    <w:rsid w:val="008B68B3"/>
    <w:rsid w:val="008B6B8F"/>
    <w:rsid w:val="008B73F6"/>
    <w:rsid w:val="008B74D3"/>
    <w:rsid w:val="008C05AC"/>
    <w:rsid w:val="008C1C3E"/>
    <w:rsid w:val="008C1EE6"/>
    <w:rsid w:val="008C2F0E"/>
    <w:rsid w:val="008C744B"/>
    <w:rsid w:val="008C75D3"/>
    <w:rsid w:val="008C7EF4"/>
    <w:rsid w:val="008D2474"/>
    <w:rsid w:val="008D2DDC"/>
    <w:rsid w:val="008D379E"/>
    <w:rsid w:val="008D48D6"/>
    <w:rsid w:val="008D4EDD"/>
    <w:rsid w:val="008D5B0C"/>
    <w:rsid w:val="008D6205"/>
    <w:rsid w:val="008E229F"/>
    <w:rsid w:val="008E32CE"/>
    <w:rsid w:val="008E4003"/>
    <w:rsid w:val="008E4814"/>
    <w:rsid w:val="008E599C"/>
    <w:rsid w:val="008E7D63"/>
    <w:rsid w:val="008F1523"/>
    <w:rsid w:val="008F1C64"/>
    <w:rsid w:val="008F1CA4"/>
    <w:rsid w:val="008F2152"/>
    <w:rsid w:val="008F2B8B"/>
    <w:rsid w:val="008F4195"/>
    <w:rsid w:val="0090049A"/>
    <w:rsid w:val="0090394E"/>
    <w:rsid w:val="00905CEA"/>
    <w:rsid w:val="00906088"/>
    <w:rsid w:val="009064F4"/>
    <w:rsid w:val="009136E5"/>
    <w:rsid w:val="00913E9F"/>
    <w:rsid w:val="00914324"/>
    <w:rsid w:val="00915B68"/>
    <w:rsid w:val="0091617C"/>
    <w:rsid w:val="00916B0E"/>
    <w:rsid w:val="009200BD"/>
    <w:rsid w:val="00920921"/>
    <w:rsid w:val="00924A4E"/>
    <w:rsid w:val="00925EE4"/>
    <w:rsid w:val="0092604F"/>
    <w:rsid w:val="00926B9F"/>
    <w:rsid w:val="00926E05"/>
    <w:rsid w:val="009300C4"/>
    <w:rsid w:val="00930CB2"/>
    <w:rsid w:val="00932649"/>
    <w:rsid w:val="009329C0"/>
    <w:rsid w:val="009335F2"/>
    <w:rsid w:val="00933C7B"/>
    <w:rsid w:val="00934076"/>
    <w:rsid w:val="00934186"/>
    <w:rsid w:val="00934971"/>
    <w:rsid w:val="0093710D"/>
    <w:rsid w:val="00937FDC"/>
    <w:rsid w:val="00940520"/>
    <w:rsid w:val="00942D09"/>
    <w:rsid w:val="00943ED5"/>
    <w:rsid w:val="00944878"/>
    <w:rsid w:val="0094552B"/>
    <w:rsid w:val="009462AC"/>
    <w:rsid w:val="00947702"/>
    <w:rsid w:val="00950390"/>
    <w:rsid w:val="009507D2"/>
    <w:rsid w:val="00953074"/>
    <w:rsid w:val="00953268"/>
    <w:rsid w:val="0095373F"/>
    <w:rsid w:val="00954584"/>
    <w:rsid w:val="009609E5"/>
    <w:rsid w:val="00960C60"/>
    <w:rsid w:val="009613F5"/>
    <w:rsid w:val="00961DCD"/>
    <w:rsid w:val="009628AB"/>
    <w:rsid w:val="00963D09"/>
    <w:rsid w:val="00963FC3"/>
    <w:rsid w:val="00967535"/>
    <w:rsid w:val="00970853"/>
    <w:rsid w:val="00972036"/>
    <w:rsid w:val="009739B3"/>
    <w:rsid w:val="00976185"/>
    <w:rsid w:val="00977BEA"/>
    <w:rsid w:val="00977F98"/>
    <w:rsid w:val="009814E7"/>
    <w:rsid w:val="0098185A"/>
    <w:rsid w:val="0098356B"/>
    <w:rsid w:val="009846FB"/>
    <w:rsid w:val="0099018B"/>
    <w:rsid w:val="00992A82"/>
    <w:rsid w:val="00992C3C"/>
    <w:rsid w:val="00992E0F"/>
    <w:rsid w:val="0099567C"/>
    <w:rsid w:val="00995CE4"/>
    <w:rsid w:val="00995D4F"/>
    <w:rsid w:val="00997764"/>
    <w:rsid w:val="009A1C19"/>
    <w:rsid w:val="009A26C7"/>
    <w:rsid w:val="009A2DF4"/>
    <w:rsid w:val="009A2E2F"/>
    <w:rsid w:val="009A3D83"/>
    <w:rsid w:val="009A51A7"/>
    <w:rsid w:val="009A5E4D"/>
    <w:rsid w:val="009A6A3F"/>
    <w:rsid w:val="009A755D"/>
    <w:rsid w:val="009B014F"/>
    <w:rsid w:val="009B140E"/>
    <w:rsid w:val="009B1B68"/>
    <w:rsid w:val="009B291D"/>
    <w:rsid w:val="009B3048"/>
    <w:rsid w:val="009B3AB1"/>
    <w:rsid w:val="009B52E4"/>
    <w:rsid w:val="009B5F64"/>
    <w:rsid w:val="009C73AE"/>
    <w:rsid w:val="009D56D8"/>
    <w:rsid w:val="009D60DD"/>
    <w:rsid w:val="009D70B6"/>
    <w:rsid w:val="009E0E27"/>
    <w:rsid w:val="009E114B"/>
    <w:rsid w:val="009E1B3F"/>
    <w:rsid w:val="009E1BC8"/>
    <w:rsid w:val="009E2DD7"/>
    <w:rsid w:val="009E4339"/>
    <w:rsid w:val="009E6DD7"/>
    <w:rsid w:val="009F0575"/>
    <w:rsid w:val="009F08C8"/>
    <w:rsid w:val="009F0B26"/>
    <w:rsid w:val="009F1330"/>
    <w:rsid w:val="009F1D91"/>
    <w:rsid w:val="009F2BDA"/>
    <w:rsid w:val="009F389A"/>
    <w:rsid w:val="009F3A54"/>
    <w:rsid w:val="009F3BA6"/>
    <w:rsid w:val="009F4BFF"/>
    <w:rsid w:val="009F5E4E"/>
    <w:rsid w:val="00A00ED2"/>
    <w:rsid w:val="00A01260"/>
    <w:rsid w:val="00A014D9"/>
    <w:rsid w:val="00A01ACB"/>
    <w:rsid w:val="00A01CED"/>
    <w:rsid w:val="00A01F1C"/>
    <w:rsid w:val="00A028B8"/>
    <w:rsid w:val="00A0537E"/>
    <w:rsid w:val="00A06424"/>
    <w:rsid w:val="00A074C9"/>
    <w:rsid w:val="00A0775B"/>
    <w:rsid w:val="00A10A0D"/>
    <w:rsid w:val="00A119C3"/>
    <w:rsid w:val="00A13023"/>
    <w:rsid w:val="00A132B6"/>
    <w:rsid w:val="00A13320"/>
    <w:rsid w:val="00A13F3E"/>
    <w:rsid w:val="00A14B42"/>
    <w:rsid w:val="00A14F19"/>
    <w:rsid w:val="00A15AC5"/>
    <w:rsid w:val="00A169E0"/>
    <w:rsid w:val="00A177A1"/>
    <w:rsid w:val="00A20D38"/>
    <w:rsid w:val="00A25EB9"/>
    <w:rsid w:val="00A26769"/>
    <w:rsid w:val="00A26E65"/>
    <w:rsid w:val="00A27537"/>
    <w:rsid w:val="00A27F0B"/>
    <w:rsid w:val="00A27F9F"/>
    <w:rsid w:val="00A27FE5"/>
    <w:rsid w:val="00A307AE"/>
    <w:rsid w:val="00A3222C"/>
    <w:rsid w:val="00A32DE2"/>
    <w:rsid w:val="00A338CF"/>
    <w:rsid w:val="00A37E62"/>
    <w:rsid w:val="00A41AA1"/>
    <w:rsid w:val="00A41D7E"/>
    <w:rsid w:val="00A4304D"/>
    <w:rsid w:val="00A43519"/>
    <w:rsid w:val="00A43973"/>
    <w:rsid w:val="00A460F5"/>
    <w:rsid w:val="00A47D17"/>
    <w:rsid w:val="00A54A42"/>
    <w:rsid w:val="00A54F33"/>
    <w:rsid w:val="00A552FC"/>
    <w:rsid w:val="00A55814"/>
    <w:rsid w:val="00A60164"/>
    <w:rsid w:val="00A62E75"/>
    <w:rsid w:val="00A63492"/>
    <w:rsid w:val="00A65D51"/>
    <w:rsid w:val="00A66FA8"/>
    <w:rsid w:val="00A707F8"/>
    <w:rsid w:val="00A70A99"/>
    <w:rsid w:val="00A70B69"/>
    <w:rsid w:val="00A71181"/>
    <w:rsid w:val="00A73924"/>
    <w:rsid w:val="00A73925"/>
    <w:rsid w:val="00A743F1"/>
    <w:rsid w:val="00A802AE"/>
    <w:rsid w:val="00A82C33"/>
    <w:rsid w:val="00A8355D"/>
    <w:rsid w:val="00A86CF0"/>
    <w:rsid w:val="00A87C43"/>
    <w:rsid w:val="00A87E28"/>
    <w:rsid w:val="00A914F9"/>
    <w:rsid w:val="00A91B58"/>
    <w:rsid w:val="00A91FD8"/>
    <w:rsid w:val="00A920AB"/>
    <w:rsid w:val="00A926DD"/>
    <w:rsid w:val="00A929E9"/>
    <w:rsid w:val="00A953E9"/>
    <w:rsid w:val="00A97D09"/>
    <w:rsid w:val="00AA09EE"/>
    <w:rsid w:val="00AA1FCA"/>
    <w:rsid w:val="00AA2A3A"/>
    <w:rsid w:val="00AA3376"/>
    <w:rsid w:val="00AA4247"/>
    <w:rsid w:val="00AA4EDD"/>
    <w:rsid w:val="00AA7132"/>
    <w:rsid w:val="00AA7A53"/>
    <w:rsid w:val="00AB0FDE"/>
    <w:rsid w:val="00AB1393"/>
    <w:rsid w:val="00AB62BA"/>
    <w:rsid w:val="00AB6EB9"/>
    <w:rsid w:val="00AB7F88"/>
    <w:rsid w:val="00AC1B0B"/>
    <w:rsid w:val="00AC4253"/>
    <w:rsid w:val="00AC4A5A"/>
    <w:rsid w:val="00AC549B"/>
    <w:rsid w:val="00AC5901"/>
    <w:rsid w:val="00AC60CE"/>
    <w:rsid w:val="00AC6A28"/>
    <w:rsid w:val="00AC7202"/>
    <w:rsid w:val="00AC75F1"/>
    <w:rsid w:val="00AC7C48"/>
    <w:rsid w:val="00AC7F01"/>
    <w:rsid w:val="00AD07D1"/>
    <w:rsid w:val="00AD27DB"/>
    <w:rsid w:val="00AD39FE"/>
    <w:rsid w:val="00AD5124"/>
    <w:rsid w:val="00AD52A1"/>
    <w:rsid w:val="00AD68C0"/>
    <w:rsid w:val="00AD6D5B"/>
    <w:rsid w:val="00AE0002"/>
    <w:rsid w:val="00AE0B1E"/>
    <w:rsid w:val="00AE13E0"/>
    <w:rsid w:val="00AE1672"/>
    <w:rsid w:val="00AE1FE4"/>
    <w:rsid w:val="00AE220A"/>
    <w:rsid w:val="00AE3B5B"/>
    <w:rsid w:val="00AE3C49"/>
    <w:rsid w:val="00AE3CCC"/>
    <w:rsid w:val="00AE4FE7"/>
    <w:rsid w:val="00AE557F"/>
    <w:rsid w:val="00AE6941"/>
    <w:rsid w:val="00AE6C23"/>
    <w:rsid w:val="00AE71D0"/>
    <w:rsid w:val="00AE791B"/>
    <w:rsid w:val="00AE7C43"/>
    <w:rsid w:val="00AF0332"/>
    <w:rsid w:val="00AF1640"/>
    <w:rsid w:val="00AF2B90"/>
    <w:rsid w:val="00AF2CB7"/>
    <w:rsid w:val="00AF5037"/>
    <w:rsid w:val="00AF5357"/>
    <w:rsid w:val="00AF67BE"/>
    <w:rsid w:val="00AF6A48"/>
    <w:rsid w:val="00AF73DF"/>
    <w:rsid w:val="00B00E57"/>
    <w:rsid w:val="00B02739"/>
    <w:rsid w:val="00B045AA"/>
    <w:rsid w:val="00B05A40"/>
    <w:rsid w:val="00B07272"/>
    <w:rsid w:val="00B1281A"/>
    <w:rsid w:val="00B174B8"/>
    <w:rsid w:val="00B17AA2"/>
    <w:rsid w:val="00B2001B"/>
    <w:rsid w:val="00B226B7"/>
    <w:rsid w:val="00B23455"/>
    <w:rsid w:val="00B27680"/>
    <w:rsid w:val="00B27BDD"/>
    <w:rsid w:val="00B30629"/>
    <w:rsid w:val="00B31066"/>
    <w:rsid w:val="00B31364"/>
    <w:rsid w:val="00B34C2D"/>
    <w:rsid w:val="00B35ADD"/>
    <w:rsid w:val="00B3708A"/>
    <w:rsid w:val="00B37C3C"/>
    <w:rsid w:val="00B37DE4"/>
    <w:rsid w:val="00B40F80"/>
    <w:rsid w:val="00B41495"/>
    <w:rsid w:val="00B41DC6"/>
    <w:rsid w:val="00B4350A"/>
    <w:rsid w:val="00B4365F"/>
    <w:rsid w:val="00B43767"/>
    <w:rsid w:val="00B44453"/>
    <w:rsid w:val="00B45769"/>
    <w:rsid w:val="00B50561"/>
    <w:rsid w:val="00B52263"/>
    <w:rsid w:val="00B53406"/>
    <w:rsid w:val="00B544E3"/>
    <w:rsid w:val="00B56101"/>
    <w:rsid w:val="00B564A9"/>
    <w:rsid w:val="00B565D1"/>
    <w:rsid w:val="00B56ACF"/>
    <w:rsid w:val="00B56DBA"/>
    <w:rsid w:val="00B573F1"/>
    <w:rsid w:val="00B57BA7"/>
    <w:rsid w:val="00B60D47"/>
    <w:rsid w:val="00B60DF6"/>
    <w:rsid w:val="00B61558"/>
    <w:rsid w:val="00B61CED"/>
    <w:rsid w:val="00B6331C"/>
    <w:rsid w:val="00B64E42"/>
    <w:rsid w:val="00B66E08"/>
    <w:rsid w:val="00B66F6A"/>
    <w:rsid w:val="00B67068"/>
    <w:rsid w:val="00B673A2"/>
    <w:rsid w:val="00B676DF"/>
    <w:rsid w:val="00B679FA"/>
    <w:rsid w:val="00B7164C"/>
    <w:rsid w:val="00B71E76"/>
    <w:rsid w:val="00B72932"/>
    <w:rsid w:val="00B7467D"/>
    <w:rsid w:val="00B74843"/>
    <w:rsid w:val="00B761DB"/>
    <w:rsid w:val="00B76BFA"/>
    <w:rsid w:val="00B771BC"/>
    <w:rsid w:val="00B77669"/>
    <w:rsid w:val="00B8006B"/>
    <w:rsid w:val="00B82E98"/>
    <w:rsid w:val="00B8429A"/>
    <w:rsid w:val="00B842C1"/>
    <w:rsid w:val="00B85992"/>
    <w:rsid w:val="00B86176"/>
    <w:rsid w:val="00B87C08"/>
    <w:rsid w:val="00B91E37"/>
    <w:rsid w:val="00B928D1"/>
    <w:rsid w:val="00B92CDF"/>
    <w:rsid w:val="00B92FC1"/>
    <w:rsid w:val="00B933F3"/>
    <w:rsid w:val="00B93582"/>
    <w:rsid w:val="00B9449B"/>
    <w:rsid w:val="00B95C28"/>
    <w:rsid w:val="00BA0AFC"/>
    <w:rsid w:val="00BA0D3C"/>
    <w:rsid w:val="00BA1798"/>
    <w:rsid w:val="00BA2398"/>
    <w:rsid w:val="00BA27C9"/>
    <w:rsid w:val="00BA32B9"/>
    <w:rsid w:val="00BA3AB7"/>
    <w:rsid w:val="00BA56FB"/>
    <w:rsid w:val="00BA578F"/>
    <w:rsid w:val="00BA608D"/>
    <w:rsid w:val="00BA6834"/>
    <w:rsid w:val="00BA7E0B"/>
    <w:rsid w:val="00BB1CE0"/>
    <w:rsid w:val="00BB27D9"/>
    <w:rsid w:val="00BB2E96"/>
    <w:rsid w:val="00BB322E"/>
    <w:rsid w:val="00BB45A1"/>
    <w:rsid w:val="00BB5746"/>
    <w:rsid w:val="00BB57F3"/>
    <w:rsid w:val="00BB587B"/>
    <w:rsid w:val="00BB5ED4"/>
    <w:rsid w:val="00BB7070"/>
    <w:rsid w:val="00BB746D"/>
    <w:rsid w:val="00BC0E2B"/>
    <w:rsid w:val="00BC214D"/>
    <w:rsid w:val="00BC3E00"/>
    <w:rsid w:val="00BC4A9E"/>
    <w:rsid w:val="00BC4B33"/>
    <w:rsid w:val="00BC59AC"/>
    <w:rsid w:val="00BC7F09"/>
    <w:rsid w:val="00BD4417"/>
    <w:rsid w:val="00BD4726"/>
    <w:rsid w:val="00BD7C91"/>
    <w:rsid w:val="00BE0DC1"/>
    <w:rsid w:val="00BE0EA6"/>
    <w:rsid w:val="00BE2D31"/>
    <w:rsid w:val="00BE2F07"/>
    <w:rsid w:val="00BE4A6D"/>
    <w:rsid w:val="00BE6BA5"/>
    <w:rsid w:val="00BE7BEC"/>
    <w:rsid w:val="00BF0261"/>
    <w:rsid w:val="00BF0EE2"/>
    <w:rsid w:val="00BF2A54"/>
    <w:rsid w:val="00BF399A"/>
    <w:rsid w:val="00BF4107"/>
    <w:rsid w:val="00BF416A"/>
    <w:rsid w:val="00BF42FF"/>
    <w:rsid w:val="00BF4E16"/>
    <w:rsid w:val="00BF5CC0"/>
    <w:rsid w:val="00BF6598"/>
    <w:rsid w:val="00BF66F3"/>
    <w:rsid w:val="00BF736E"/>
    <w:rsid w:val="00C010A4"/>
    <w:rsid w:val="00C03C34"/>
    <w:rsid w:val="00C04789"/>
    <w:rsid w:val="00C06031"/>
    <w:rsid w:val="00C067C7"/>
    <w:rsid w:val="00C06C94"/>
    <w:rsid w:val="00C078E9"/>
    <w:rsid w:val="00C10141"/>
    <w:rsid w:val="00C10575"/>
    <w:rsid w:val="00C113CD"/>
    <w:rsid w:val="00C1222E"/>
    <w:rsid w:val="00C126F6"/>
    <w:rsid w:val="00C12B51"/>
    <w:rsid w:val="00C12D5C"/>
    <w:rsid w:val="00C13080"/>
    <w:rsid w:val="00C1548F"/>
    <w:rsid w:val="00C16008"/>
    <w:rsid w:val="00C169CA"/>
    <w:rsid w:val="00C17744"/>
    <w:rsid w:val="00C17BDC"/>
    <w:rsid w:val="00C20176"/>
    <w:rsid w:val="00C21EE0"/>
    <w:rsid w:val="00C222CD"/>
    <w:rsid w:val="00C23AAD"/>
    <w:rsid w:val="00C24961"/>
    <w:rsid w:val="00C30BC2"/>
    <w:rsid w:val="00C30E8E"/>
    <w:rsid w:val="00C31E21"/>
    <w:rsid w:val="00C32962"/>
    <w:rsid w:val="00C329EB"/>
    <w:rsid w:val="00C32E32"/>
    <w:rsid w:val="00C334B3"/>
    <w:rsid w:val="00C344A2"/>
    <w:rsid w:val="00C3639C"/>
    <w:rsid w:val="00C40D31"/>
    <w:rsid w:val="00C41F4D"/>
    <w:rsid w:val="00C422BB"/>
    <w:rsid w:val="00C42EC1"/>
    <w:rsid w:val="00C43BAA"/>
    <w:rsid w:val="00C44EB2"/>
    <w:rsid w:val="00C473AB"/>
    <w:rsid w:val="00C479EF"/>
    <w:rsid w:val="00C51205"/>
    <w:rsid w:val="00C5120E"/>
    <w:rsid w:val="00C52DBD"/>
    <w:rsid w:val="00C532EA"/>
    <w:rsid w:val="00C544F5"/>
    <w:rsid w:val="00C54B5D"/>
    <w:rsid w:val="00C55123"/>
    <w:rsid w:val="00C55497"/>
    <w:rsid w:val="00C55648"/>
    <w:rsid w:val="00C578F0"/>
    <w:rsid w:val="00C61DF3"/>
    <w:rsid w:val="00C639EE"/>
    <w:rsid w:val="00C65429"/>
    <w:rsid w:val="00C66774"/>
    <w:rsid w:val="00C66CB5"/>
    <w:rsid w:val="00C675A5"/>
    <w:rsid w:val="00C717BB"/>
    <w:rsid w:val="00C7232C"/>
    <w:rsid w:val="00C727EA"/>
    <w:rsid w:val="00C745C8"/>
    <w:rsid w:val="00C754CB"/>
    <w:rsid w:val="00C75C8D"/>
    <w:rsid w:val="00C764A1"/>
    <w:rsid w:val="00C7692A"/>
    <w:rsid w:val="00C76E16"/>
    <w:rsid w:val="00C80954"/>
    <w:rsid w:val="00C81F5A"/>
    <w:rsid w:val="00C82F1C"/>
    <w:rsid w:val="00C8370E"/>
    <w:rsid w:val="00C83A5C"/>
    <w:rsid w:val="00C848B8"/>
    <w:rsid w:val="00C84B1A"/>
    <w:rsid w:val="00C8504D"/>
    <w:rsid w:val="00C8533A"/>
    <w:rsid w:val="00C86BE8"/>
    <w:rsid w:val="00C86E39"/>
    <w:rsid w:val="00C87262"/>
    <w:rsid w:val="00C87EA8"/>
    <w:rsid w:val="00C906FA"/>
    <w:rsid w:val="00C907FF"/>
    <w:rsid w:val="00C90BB8"/>
    <w:rsid w:val="00C9699C"/>
    <w:rsid w:val="00C97594"/>
    <w:rsid w:val="00C97616"/>
    <w:rsid w:val="00C976DF"/>
    <w:rsid w:val="00CA36F0"/>
    <w:rsid w:val="00CA4ACE"/>
    <w:rsid w:val="00CA7D1C"/>
    <w:rsid w:val="00CA7E9A"/>
    <w:rsid w:val="00CB055E"/>
    <w:rsid w:val="00CB1A5C"/>
    <w:rsid w:val="00CB1D78"/>
    <w:rsid w:val="00CB36A5"/>
    <w:rsid w:val="00CB3A88"/>
    <w:rsid w:val="00CB48A1"/>
    <w:rsid w:val="00CB5070"/>
    <w:rsid w:val="00CB57D7"/>
    <w:rsid w:val="00CB6A25"/>
    <w:rsid w:val="00CB7078"/>
    <w:rsid w:val="00CC0869"/>
    <w:rsid w:val="00CC096D"/>
    <w:rsid w:val="00CC1D22"/>
    <w:rsid w:val="00CC205E"/>
    <w:rsid w:val="00CC24F9"/>
    <w:rsid w:val="00CC2950"/>
    <w:rsid w:val="00CC2EAD"/>
    <w:rsid w:val="00CD033F"/>
    <w:rsid w:val="00CD0E0B"/>
    <w:rsid w:val="00CD22C1"/>
    <w:rsid w:val="00CD489D"/>
    <w:rsid w:val="00CD60C0"/>
    <w:rsid w:val="00CD66D1"/>
    <w:rsid w:val="00CD7979"/>
    <w:rsid w:val="00CE2266"/>
    <w:rsid w:val="00CE3AA9"/>
    <w:rsid w:val="00CE403B"/>
    <w:rsid w:val="00CE4AAF"/>
    <w:rsid w:val="00CE55A2"/>
    <w:rsid w:val="00CE6533"/>
    <w:rsid w:val="00CE6D9C"/>
    <w:rsid w:val="00CE7762"/>
    <w:rsid w:val="00CE7A0B"/>
    <w:rsid w:val="00CE7B4B"/>
    <w:rsid w:val="00CF258E"/>
    <w:rsid w:val="00CF3002"/>
    <w:rsid w:val="00CF3273"/>
    <w:rsid w:val="00CF3E1D"/>
    <w:rsid w:val="00CF472C"/>
    <w:rsid w:val="00CF55CC"/>
    <w:rsid w:val="00CF5D53"/>
    <w:rsid w:val="00CF74FA"/>
    <w:rsid w:val="00CF760D"/>
    <w:rsid w:val="00CF7CBF"/>
    <w:rsid w:val="00D0192B"/>
    <w:rsid w:val="00D106BB"/>
    <w:rsid w:val="00D10820"/>
    <w:rsid w:val="00D10FDE"/>
    <w:rsid w:val="00D12BEF"/>
    <w:rsid w:val="00D1370D"/>
    <w:rsid w:val="00D13B85"/>
    <w:rsid w:val="00D17152"/>
    <w:rsid w:val="00D208F3"/>
    <w:rsid w:val="00D20A27"/>
    <w:rsid w:val="00D20AA3"/>
    <w:rsid w:val="00D23065"/>
    <w:rsid w:val="00D23251"/>
    <w:rsid w:val="00D236DC"/>
    <w:rsid w:val="00D2399E"/>
    <w:rsid w:val="00D25253"/>
    <w:rsid w:val="00D25E7E"/>
    <w:rsid w:val="00D2691D"/>
    <w:rsid w:val="00D312EE"/>
    <w:rsid w:val="00D31578"/>
    <w:rsid w:val="00D33241"/>
    <w:rsid w:val="00D33523"/>
    <w:rsid w:val="00D33B4F"/>
    <w:rsid w:val="00D34660"/>
    <w:rsid w:val="00D34DD1"/>
    <w:rsid w:val="00D36412"/>
    <w:rsid w:val="00D36B99"/>
    <w:rsid w:val="00D37612"/>
    <w:rsid w:val="00D379FD"/>
    <w:rsid w:val="00D37E9C"/>
    <w:rsid w:val="00D37EC0"/>
    <w:rsid w:val="00D40019"/>
    <w:rsid w:val="00D4076E"/>
    <w:rsid w:val="00D4087E"/>
    <w:rsid w:val="00D41767"/>
    <w:rsid w:val="00D42215"/>
    <w:rsid w:val="00D42D64"/>
    <w:rsid w:val="00D44339"/>
    <w:rsid w:val="00D445BF"/>
    <w:rsid w:val="00D47B77"/>
    <w:rsid w:val="00D50DFA"/>
    <w:rsid w:val="00D51968"/>
    <w:rsid w:val="00D51AB3"/>
    <w:rsid w:val="00D52215"/>
    <w:rsid w:val="00D529F4"/>
    <w:rsid w:val="00D533BE"/>
    <w:rsid w:val="00D53821"/>
    <w:rsid w:val="00D542B8"/>
    <w:rsid w:val="00D56BDE"/>
    <w:rsid w:val="00D5718A"/>
    <w:rsid w:val="00D5725C"/>
    <w:rsid w:val="00D57651"/>
    <w:rsid w:val="00D577BD"/>
    <w:rsid w:val="00D57BEF"/>
    <w:rsid w:val="00D57C88"/>
    <w:rsid w:val="00D57F1A"/>
    <w:rsid w:val="00D60C9C"/>
    <w:rsid w:val="00D61A34"/>
    <w:rsid w:val="00D62281"/>
    <w:rsid w:val="00D62DB4"/>
    <w:rsid w:val="00D644D6"/>
    <w:rsid w:val="00D64A9F"/>
    <w:rsid w:val="00D64C22"/>
    <w:rsid w:val="00D668E8"/>
    <w:rsid w:val="00D66F33"/>
    <w:rsid w:val="00D673C2"/>
    <w:rsid w:val="00D675A3"/>
    <w:rsid w:val="00D67A18"/>
    <w:rsid w:val="00D7126E"/>
    <w:rsid w:val="00D7146A"/>
    <w:rsid w:val="00D72390"/>
    <w:rsid w:val="00D73810"/>
    <w:rsid w:val="00D77050"/>
    <w:rsid w:val="00D776B8"/>
    <w:rsid w:val="00D80455"/>
    <w:rsid w:val="00D80A70"/>
    <w:rsid w:val="00D821CF"/>
    <w:rsid w:val="00D83234"/>
    <w:rsid w:val="00D839D8"/>
    <w:rsid w:val="00D83F2C"/>
    <w:rsid w:val="00D86FAD"/>
    <w:rsid w:val="00D90188"/>
    <w:rsid w:val="00D902FC"/>
    <w:rsid w:val="00D91482"/>
    <w:rsid w:val="00D91E6F"/>
    <w:rsid w:val="00D91FA0"/>
    <w:rsid w:val="00D92A1B"/>
    <w:rsid w:val="00D93E96"/>
    <w:rsid w:val="00D93FBB"/>
    <w:rsid w:val="00D95028"/>
    <w:rsid w:val="00D95DEE"/>
    <w:rsid w:val="00D962CC"/>
    <w:rsid w:val="00DA0B9B"/>
    <w:rsid w:val="00DA128D"/>
    <w:rsid w:val="00DA2925"/>
    <w:rsid w:val="00DA2BD2"/>
    <w:rsid w:val="00DA3C86"/>
    <w:rsid w:val="00DA4054"/>
    <w:rsid w:val="00DA40B7"/>
    <w:rsid w:val="00DA48D7"/>
    <w:rsid w:val="00DA6503"/>
    <w:rsid w:val="00DA6C8A"/>
    <w:rsid w:val="00DA71CF"/>
    <w:rsid w:val="00DB0F3B"/>
    <w:rsid w:val="00DB2B26"/>
    <w:rsid w:val="00DB36A9"/>
    <w:rsid w:val="00DB40E4"/>
    <w:rsid w:val="00DB47F3"/>
    <w:rsid w:val="00DB5154"/>
    <w:rsid w:val="00DB79C4"/>
    <w:rsid w:val="00DC1927"/>
    <w:rsid w:val="00DC1C62"/>
    <w:rsid w:val="00DC1F13"/>
    <w:rsid w:val="00DC465D"/>
    <w:rsid w:val="00DC574A"/>
    <w:rsid w:val="00DC67EF"/>
    <w:rsid w:val="00DC79AB"/>
    <w:rsid w:val="00DD2B61"/>
    <w:rsid w:val="00DD2D18"/>
    <w:rsid w:val="00DD2D83"/>
    <w:rsid w:val="00DD36DF"/>
    <w:rsid w:val="00DD51F2"/>
    <w:rsid w:val="00DD62F6"/>
    <w:rsid w:val="00DD68FC"/>
    <w:rsid w:val="00DD7577"/>
    <w:rsid w:val="00DE06C1"/>
    <w:rsid w:val="00DE0C0B"/>
    <w:rsid w:val="00DE0E57"/>
    <w:rsid w:val="00DE15E4"/>
    <w:rsid w:val="00DE5F02"/>
    <w:rsid w:val="00DE66A0"/>
    <w:rsid w:val="00DE73D7"/>
    <w:rsid w:val="00DF1246"/>
    <w:rsid w:val="00DF1657"/>
    <w:rsid w:val="00DF16F2"/>
    <w:rsid w:val="00DF24FA"/>
    <w:rsid w:val="00DF347D"/>
    <w:rsid w:val="00DF4772"/>
    <w:rsid w:val="00DF4CA0"/>
    <w:rsid w:val="00DF4EB8"/>
    <w:rsid w:val="00DF702E"/>
    <w:rsid w:val="00DF7787"/>
    <w:rsid w:val="00DF7968"/>
    <w:rsid w:val="00E0120D"/>
    <w:rsid w:val="00E0132B"/>
    <w:rsid w:val="00E015FF"/>
    <w:rsid w:val="00E01626"/>
    <w:rsid w:val="00E02AF2"/>
    <w:rsid w:val="00E03EF7"/>
    <w:rsid w:val="00E03F22"/>
    <w:rsid w:val="00E050F5"/>
    <w:rsid w:val="00E0569E"/>
    <w:rsid w:val="00E06B0C"/>
    <w:rsid w:val="00E06DDA"/>
    <w:rsid w:val="00E07723"/>
    <w:rsid w:val="00E103BD"/>
    <w:rsid w:val="00E11136"/>
    <w:rsid w:val="00E11B1A"/>
    <w:rsid w:val="00E123AC"/>
    <w:rsid w:val="00E12AE5"/>
    <w:rsid w:val="00E13C5D"/>
    <w:rsid w:val="00E13EF5"/>
    <w:rsid w:val="00E154EC"/>
    <w:rsid w:val="00E159B5"/>
    <w:rsid w:val="00E1667F"/>
    <w:rsid w:val="00E16902"/>
    <w:rsid w:val="00E16CA0"/>
    <w:rsid w:val="00E2065F"/>
    <w:rsid w:val="00E23A4A"/>
    <w:rsid w:val="00E240EE"/>
    <w:rsid w:val="00E243C9"/>
    <w:rsid w:val="00E30D7F"/>
    <w:rsid w:val="00E30F35"/>
    <w:rsid w:val="00E31B16"/>
    <w:rsid w:val="00E32665"/>
    <w:rsid w:val="00E32C3D"/>
    <w:rsid w:val="00E32C59"/>
    <w:rsid w:val="00E334E9"/>
    <w:rsid w:val="00E3420D"/>
    <w:rsid w:val="00E34AAA"/>
    <w:rsid w:val="00E34D3E"/>
    <w:rsid w:val="00E368AF"/>
    <w:rsid w:val="00E36AAC"/>
    <w:rsid w:val="00E4038C"/>
    <w:rsid w:val="00E4090F"/>
    <w:rsid w:val="00E411C5"/>
    <w:rsid w:val="00E418B5"/>
    <w:rsid w:val="00E47169"/>
    <w:rsid w:val="00E4772E"/>
    <w:rsid w:val="00E50773"/>
    <w:rsid w:val="00E52E4B"/>
    <w:rsid w:val="00E572BA"/>
    <w:rsid w:val="00E5759E"/>
    <w:rsid w:val="00E57E20"/>
    <w:rsid w:val="00E60249"/>
    <w:rsid w:val="00E61B6D"/>
    <w:rsid w:val="00E61BB5"/>
    <w:rsid w:val="00E63271"/>
    <w:rsid w:val="00E6475E"/>
    <w:rsid w:val="00E67154"/>
    <w:rsid w:val="00E7068B"/>
    <w:rsid w:val="00E719E6"/>
    <w:rsid w:val="00E71A1F"/>
    <w:rsid w:val="00E71B64"/>
    <w:rsid w:val="00E71DA4"/>
    <w:rsid w:val="00E73FAC"/>
    <w:rsid w:val="00E7461A"/>
    <w:rsid w:val="00E80EC3"/>
    <w:rsid w:val="00E8365C"/>
    <w:rsid w:val="00E867B6"/>
    <w:rsid w:val="00E87835"/>
    <w:rsid w:val="00E87CA3"/>
    <w:rsid w:val="00E91DB7"/>
    <w:rsid w:val="00E92E3B"/>
    <w:rsid w:val="00E97701"/>
    <w:rsid w:val="00EA0742"/>
    <w:rsid w:val="00EA105A"/>
    <w:rsid w:val="00EA12C1"/>
    <w:rsid w:val="00EA1767"/>
    <w:rsid w:val="00EA5DB7"/>
    <w:rsid w:val="00EA6155"/>
    <w:rsid w:val="00EA6295"/>
    <w:rsid w:val="00EA7EB2"/>
    <w:rsid w:val="00EB1102"/>
    <w:rsid w:val="00EB128D"/>
    <w:rsid w:val="00EB4BBF"/>
    <w:rsid w:val="00EB4D19"/>
    <w:rsid w:val="00EB6763"/>
    <w:rsid w:val="00EB676F"/>
    <w:rsid w:val="00EB73C5"/>
    <w:rsid w:val="00EB7A83"/>
    <w:rsid w:val="00EC02C6"/>
    <w:rsid w:val="00EC0AFE"/>
    <w:rsid w:val="00EC1AA7"/>
    <w:rsid w:val="00EC23A5"/>
    <w:rsid w:val="00EC29F9"/>
    <w:rsid w:val="00EC4D21"/>
    <w:rsid w:val="00ED01EC"/>
    <w:rsid w:val="00ED07DB"/>
    <w:rsid w:val="00ED0A2B"/>
    <w:rsid w:val="00ED275F"/>
    <w:rsid w:val="00ED474D"/>
    <w:rsid w:val="00ED4DDE"/>
    <w:rsid w:val="00ED513E"/>
    <w:rsid w:val="00ED5967"/>
    <w:rsid w:val="00ED64A5"/>
    <w:rsid w:val="00ED6B79"/>
    <w:rsid w:val="00ED78DC"/>
    <w:rsid w:val="00EE0D4E"/>
    <w:rsid w:val="00EE14C2"/>
    <w:rsid w:val="00EE20AA"/>
    <w:rsid w:val="00EE236A"/>
    <w:rsid w:val="00EE390F"/>
    <w:rsid w:val="00EE5D45"/>
    <w:rsid w:val="00EE7FFD"/>
    <w:rsid w:val="00EF1E2D"/>
    <w:rsid w:val="00EF2517"/>
    <w:rsid w:val="00EF2B57"/>
    <w:rsid w:val="00EF3DF9"/>
    <w:rsid w:val="00EF4F4A"/>
    <w:rsid w:val="00EF6789"/>
    <w:rsid w:val="00EF6F63"/>
    <w:rsid w:val="00EF7B83"/>
    <w:rsid w:val="00EF7CC1"/>
    <w:rsid w:val="00F01A1C"/>
    <w:rsid w:val="00F02CC7"/>
    <w:rsid w:val="00F032E9"/>
    <w:rsid w:val="00F05DD1"/>
    <w:rsid w:val="00F078B6"/>
    <w:rsid w:val="00F104A1"/>
    <w:rsid w:val="00F1080E"/>
    <w:rsid w:val="00F12051"/>
    <w:rsid w:val="00F12AF6"/>
    <w:rsid w:val="00F13749"/>
    <w:rsid w:val="00F14974"/>
    <w:rsid w:val="00F1520A"/>
    <w:rsid w:val="00F15330"/>
    <w:rsid w:val="00F16060"/>
    <w:rsid w:val="00F16D1E"/>
    <w:rsid w:val="00F20105"/>
    <w:rsid w:val="00F21365"/>
    <w:rsid w:val="00F22DDE"/>
    <w:rsid w:val="00F23BA9"/>
    <w:rsid w:val="00F2410C"/>
    <w:rsid w:val="00F24173"/>
    <w:rsid w:val="00F24C96"/>
    <w:rsid w:val="00F25DC3"/>
    <w:rsid w:val="00F26D1F"/>
    <w:rsid w:val="00F27762"/>
    <w:rsid w:val="00F27AB1"/>
    <w:rsid w:val="00F31A4A"/>
    <w:rsid w:val="00F321B8"/>
    <w:rsid w:val="00F324E3"/>
    <w:rsid w:val="00F32741"/>
    <w:rsid w:val="00F32A0D"/>
    <w:rsid w:val="00F33EEF"/>
    <w:rsid w:val="00F344CB"/>
    <w:rsid w:val="00F3469C"/>
    <w:rsid w:val="00F3585E"/>
    <w:rsid w:val="00F36436"/>
    <w:rsid w:val="00F37EF1"/>
    <w:rsid w:val="00F41513"/>
    <w:rsid w:val="00F423B7"/>
    <w:rsid w:val="00F43185"/>
    <w:rsid w:val="00F43CF9"/>
    <w:rsid w:val="00F44CCD"/>
    <w:rsid w:val="00F450C0"/>
    <w:rsid w:val="00F46E09"/>
    <w:rsid w:val="00F50301"/>
    <w:rsid w:val="00F50D97"/>
    <w:rsid w:val="00F50F3C"/>
    <w:rsid w:val="00F52CC8"/>
    <w:rsid w:val="00F541E1"/>
    <w:rsid w:val="00F54EB2"/>
    <w:rsid w:val="00F5720C"/>
    <w:rsid w:val="00F6004E"/>
    <w:rsid w:val="00F6025B"/>
    <w:rsid w:val="00F6102A"/>
    <w:rsid w:val="00F611DA"/>
    <w:rsid w:val="00F6148C"/>
    <w:rsid w:val="00F63087"/>
    <w:rsid w:val="00F63D20"/>
    <w:rsid w:val="00F63D88"/>
    <w:rsid w:val="00F66DCE"/>
    <w:rsid w:val="00F67CA7"/>
    <w:rsid w:val="00F7072D"/>
    <w:rsid w:val="00F70C3B"/>
    <w:rsid w:val="00F720C4"/>
    <w:rsid w:val="00F7278A"/>
    <w:rsid w:val="00F731A3"/>
    <w:rsid w:val="00F73628"/>
    <w:rsid w:val="00F73EC7"/>
    <w:rsid w:val="00F74B1E"/>
    <w:rsid w:val="00F75714"/>
    <w:rsid w:val="00F757C2"/>
    <w:rsid w:val="00F76B39"/>
    <w:rsid w:val="00F76C68"/>
    <w:rsid w:val="00F800CC"/>
    <w:rsid w:val="00F80259"/>
    <w:rsid w:val="00F80546"/>
    <w:rsid w:val="00F80F64"/>
    <w:rsid w:val="00F834C2"/>
    <w:rsid w:val="00F8364D"/>
    <w:rsid w:val="00F83A93"/>
    <w:rsid w:val="00F8579C"/>
    <w:rsid w:val="00F87C88"/>
    <w:rsid w:val="00F90239"/>
    <w:rsid w:val="00F90445"/>
    <w:rsid w:val="00F90AF1"/>
    <w:rsid w:val="00F90CFF"/>
    <w:rsid w:val="00F90D69"/>
    <w:rsid w:val="00F9250A"/>
    <w:rsid w:val="00F92EDF"/>
    <w:rsid w:val="00F9416F"/>
    <w:rsid w:val="00F943EA"/>
    <w:rsid w:val="00F9472E"/>
    <w:rsid w:val="00F9472F"/>
    <w:rsid w:val="00F97102"/>
    <w:rsid w:val="00FA260F"/>
    <w:rsid w:val="00FA2688"/>
    <w:rsid w:val="00FA3246"/>
    <w:rsid w:val="00FA3764"/>
    <w:rsid w:val="00FA5290"/>
    <w:rsid w:val="00FA73D5"/>
    <w:rsid w:val="00FB01B6"/>
    <w:rsid w:val="00FB08F0"/>
    <w:rsid w:val="00FB0E63"/>
    <w:rsid w:val="00FB1158"/>
    <w:rsid w:val="00FB13B7"/>
    <w:rsid w:val="00FB17EC"/>
    <w:rsid w:val="00FB2391"/>
    <w:rsid w:val="00FB5131"/>
    <w:rsid w:val="00FB6A1F"/>
    <w:rsid w:val="00FB76C4"/>
    <w:rsid w:val="00FC0379"/>
    <w:rsid w:val="00FC118C"/>
    <w:rsid w:val="00FC18EB"/>
    <w:rsid w:val="00FC24CF"/>
    <w:rsid w:val="00FC3F01"/>
    <w:rsid w:val="00FC45F4"/>
    <w:rsid w:val="00FC6EAD"/>
    <w:rsid w:val="00FC7569"/>
    <w:rsid w:val="00FD0028"/>
    <w:rsid w:val="00FD1688"/>
    <w:rsid w:val="00FD3E99"/>
    <w:rsid w:val="00FD4399"/>
    <w:rsid w:val="00FD5354"/>
    <w:rsid w:val="00FD5617"/>
    <w:rsid w:val="00FD5D95"/>
    <w:rsid w:val="00FD6DF3"/>
    <w:rsid w:val="00FE05BC"/>
    <w:rsid w:val="00FE0A8C"/>
    <w:rsid w:val="00FE0FBF"/>
    <w:rsid w:val="00FE1017"/>
    <w:rsid w:val="00FE1240"/>
    <w:rsid w:val="00FE26A0"/>
    <w:rsid w:val="00FE4CB4"/>
    <w:rsid w:val="00FE4D7D"/>
    <w:rsid w:val="00FE5A40"/>
    <w:rsid w:val="00FE5B96"/>
    <w:rsid w:val="00FE67C3"/>
    <w:rsid w:val="00FE7BF1"/>
    <w:rsid w:val="00FF0146"/>
    <w:rsid w:val="00FF01FF"/>
    <w:rsid w:val="00FF1374"/>
    <w:rsid w:val="00FF142A"/>
    <w:rsid w:val="00FF1E65"/>
    <w:rsid w:val="00FF25BE"/>
    <w:rsid w:val="00FF2C07"/>
    <w:rsid w:val="00FF3B76"/>
    <w:rsid w:val="00FF527A"/>
    <w:rsid w:val="00FF53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8C"/>
    <w:rPr>
      <w:sz w:val="24"/>
      <w:szCs w:val="24"/>
      <w:lang w:val="en-GB"/>
    </w:rPr>
  </w:style>
  <w:style w:type="paragraph" w:styleId="Heading1">
    <w:name w:val="heading 1"/>
    <w:basedOn w:val="Normal"/>
    <w:next w:val="Normal"/>
    <w:link w:val="Heading1Char"/>
    <w:uiPriority w:val="99"/>
    <w:qFormat/>
    <w:locked/>
    <w:rsid w:val="003E21F1"/>
    <w:pPr>
      <w:keepNext/>
      <w:spacing w:before="240" w:after="60"/>
      <w:outlineLvl w:val="0"/>
    </w:pPr>
    <w:rPr>
      <w:rFonts w:ascii="Arial" w:hAnsi="Arial" w:cs="Arial"/>
      <w:b/>
      <w:bCs/>
      <w:kern w:val="32"/>
      <w:sz w:val="32"/>
      <w:szCs w:val="32"/>
      <w:lang w:val="it-IT"/>
    </w:rPr>
  </w:style>
  <w:style w:type="paragraph" w:styleId="Heading2">
    <w:name w:val="heading 2"/>
    <w:basedOn w:val="Normal"/>
    <w:next w:val="Normal"/>
    <w:link w:val="Heading2Char"/>
    <w:uiPriority w:val="99"/>
    <w:qFormat/>
    <w:locked/>
    <w:rsid w:val="000C4DA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6F6"/>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4DA7"/>
    <w:rPr>
      <w:rFonts w:ascii="Cambria" w:hAnsi="Cambria" w:cs="Times New Roman"/>
      <w:b/>
      <w:bCs/>
      <w:color w:val="4F81BD"/>
      <w:sz w:val="26"/>
      <w:szCs w:val="26"/>
      <w:lang w:val="en-GB"/>
    </w:rPr>
  </w:style>
  <w:style w:type="paragraph" w:styleId="BalloonText">
    <w:name w:val="Balloon Text"/>
    <w:basedOn w:val="Normal"/>
    <w:link w:val="BalloonTextChar"/>
    <w:uiPriority w:val="99"/>
    <w:rsid w:val="00213772"/>
    <w:rPr>
      <w:rFonts w:ascii="Tahoma" w:hAnsi="Tahoma" w:cs="Tahoma"/>
      <w:sz w:val="16"/>
      <w:szCs w:val="16"/>
    </w:rPr>
  </w:style>
  <w:style w:type="character" w:customStyle="1" w:styleId="BalloonTextChar">
    <w:name w:val="Balloon Text Char"/>
    <w:basedOn w:val="DefaultParagraphFont"/>
    <w:link w:val="BalloonText"/>
    <w:uiPriority w:val="99"/>
    <w:locked/>
    <w:rsid w:val="00213772"/>
    <w:rPr>
      <w:rFonts w:ascii="Tahoma" w:hAnsi="Tahoma" w:cs="Tahoma"/>
      <w:sz w:val="16"/>
      <w:szCs w:val="16"/>
      <w:lang w:val="en-GB"/>
    </w:rPr>
  </w:style>
  <w:style w:type="paragraph" w:styleId="Header">
    <w:name w:val="header"/>
    <w:basedOn w:val="Normal"/>
    <w:link w:val="HeaderChar"/>
    <w:uiPriority w:val="99"/>
    <w:rsid w:val="007C47F0"/>
    <w:pPr>
      <w:tabs>
        <w:tab w:val="center" w:pos="4819"/>
        <w:tab w:val="right" w:pos="9638"/>
      </w:tabs>
    </w:pPr>
    <w:rPr>
      <w:lang w:val="it-IT"/>
    </w:rPr>
  </w:style>
  <w:style w:type="character" w:customStyle="1" w:styleId="HeaderChar">
    <w:name w:val="Header Char"/>
    <w:basedOn w:val="DefaultParagraphFont"/>
    <w:link w:val="Header"/>
    <w:uiPriority w:val="99"/>
    <w:locked/>
    <w:rsid w:val="007C47F0"/>
    <w:rPr>
      <w:rFonts w:cs="Times New Roman"/>
      <w:sz w:val="24"/>
      <w:szCs w:val="24"/>
      <w:lang w:val="it-IT" w:eastAsia="it-IT" w:bidi="ar-SA"/>
    </w:rPr>
  </w:style>
  <w:style w:type="paragraph" w:styleId="FootnoteText">
    <w:name w:val="footnote text"/>
    <w:basedOn w:val="Normal"/>
    <w:link w:val="FootnoteTextChar"/>
    <w:rsid w:val="00EB4D19"/>
    <w:rPr>
      <w:sz w:val="20"/>
      <w:szCs w:val="20"/>
    </w:rPr>
  </w:style>
  <w:style w:type="character" w:customStyle="1" w:styleId="FootnoteTextChar">
    <w:name w:val="Footnote Text Char"/>
    <w:basedOn w:val="DefaultParagraphFont"/>
    <w:link w:val="FootnoteText"/>
    <w:locked/>
    <w:rsid w:val="00EB4D19"/>
    <w:rPr>
      <w:rFonts w:cs="Times New Roman"/>
      <w:lang w:val="en-GB"/>
    </w:rPr>
  </w:style>
  <w:style w:type="character" w:styleId="FootnoteReference">
    <w:name w:val="footnote reference"/>
    <w:basedOn w:val="DefaultParagraphFont"/>
    <w:rsid w:val="00EB4D19"/>
    <w:rPr>
      <w:rFonts w:cs="Times New Roman"/>
      <w:vertAlign w:val="superscript"/>
    </w:rPr>
  </w:style>
  <w:style w:type="paragraph" w:customStyle="1" w:styleId="NOTABox">
    <w:name w:val="NOTA (Box)"/>
    <w:basedOn w:val="Normal"/>
    <w:autoRedefine/>
    <w:uiPriority w:val="99"/>
    <w:rsid w:val="00195B70"/>
    <w:pPr>
      <w:widowControl w:val="0"/>
      <w:shd w:val="clear" w:color="auto" w:fill="D0E3ED"/>
      <w:autoSpaceDE w:val="0"/>
      <w:autoSpaceDN w:val="0"/>
      <w:adjustRightInd w:val="0"/>
      <w:spacing w:line="200" w:lineRule="atLeast"/>
      <w:ind w:left="113" w:right="113"/>
      <w:jc w:val="both"/>
      <w:textAlignment w:val="baseline"/>
    </w:pPr>
    <w:rPr>
      <w:rFonts w:ascii="Adobe Garamond Pro" w:hAnsi="Adobe Garamond Pro" w:cs="Adobe Garamond Pro"/>
      <w:color w:val="000000"/>
      <w:sz w:val="18"/>
      <w:szCs w:val="18"/>
    </w:rPr>
  </w:style>
  <w:style w:type="paragraph" w:customStyle="1" w:styleId="PARAGRAFOBox">
    <w:name w:val="PARAGRAFO (Box)"/>
    <w:basedOn w:val="Normal"/>
    <w:autoRedefine/>
    <w:uiPriority w:val="99"/>
    <w:rsid w:val="00020E8F"/>
    <w:pPr>
      <w:widowControl w:val="0"/>
      <w:shd w:val="clear" w:color="auto" w:fill="D0E3ED"/>
      <w:tabs>
        <w:tab w:val="left" w:pos="1418"/>
        <w:tab w:val="left" w:pos="2835"/>
        <w:tab w:val="left" w:pos="4251"/>
      </w:tabs>
      <w:autoSpaceDE w:val="0"/>
      <w:autoSpaceDN w:val="0"/>
      <w:adjustRightInd w:val="0"/>
      <w:spacing w:before="113" w:line="240" w:lineRule="atLeast"/>
      <w:ind w:left="113" w:right="113"/>
      <w:jc w:val="both"/>
      <w:textAlignment w:val="center"/>
    </w:pPr>
    <w:rPr>
      <w:rFonts w:ascii="Garamond" w:hAnsi="Garamond" w:cs="Adobe Garamond Pro"/>
      <w:color w:val="000000"/>
      <w:sz w:val="22"/>
      <w:szCs w:val="22"/>
      <w:lang w:val="it-IT"/>
    </w:rPr>
  </w:style>
  <w:style w:type="paragraph" w:styleId="ListParagraph">
    <w:name w:val="List Paragraph"/>
    <w:basedOn w:val="Normal"/>
    <w:uiPriority w:val="99"/>
    <w:qFormat/>
    <w:rsid w:val="00602F77"/>
    <w:pPr>
      <w:ind w:left="720"/>
      <w:contextualSpacing/>
    </w:pPr>
  </w:style>
  <w:style w:type="character" w:styleId="CommentReference">
    <w:name w:val="annotation reference"/>
    <w:basedOn w:val="DefaultParagraphFont"/>
    <w:uiPriority w:val="99"/>
    <w:semiHidden/>
    <w:rsid w:val="00477DA4"/>
    <w:rPr>
      <w:rFonts w:cs="Times New Roman"/>
      <w:sz w:val="16"/>
      <w:szCs w:val="16"/>
    </w:rPr>
  </w:style>
  <w:style w:type="paragraph" w:styleId="CommentText">
    <w:name w:val="annotation text"/>
    <w:basedOn w:val="Normal"/>
    <w:link w:val="CommentTextChar"/>
    <w:uiPriority w:val="99"/>
    <w:semiHidden/>
    <w:rsid w:val="00477DA4"/>
    <w:rPr>
      <w:sz w:val="20"/>
      <w:szCs w:val="20"/>
    </w:rPr>
  </w:style>
  <w:style w:type="character" w:customStyle="1" w:styleId="CommentTextChar">
    <w:name w:val="Comment Text Char"/>
    <w:basedOn w:val="DefaultParagraphFont"/>
    <w:link w:val="CommentText"/>
    <w:uiPriority w:val="99"/>
    <w:semiHidden/>
    <w:locked/>
    <w:rsid w:val="00477DA4"/>
    <w:rPr>
      <w:rFonts w:cs="Times New Roman"/>
      <w:sz w:val="20"/>
      <w:szCs w:val="20"/>
      <w:lang w:val="en-GB"/>
    </w:rPr>
  </w:style>
  <w:style w:type="paragraph" w:styleId="CommentSubject">
    <w:name w:val="annotation subject"/>
    <w:basedOn w:val="CommentText"/>
    <w:next w:val="CommentText"/>
    <w:link w:val="CommentSubjectChar"/>
    <w:uiPriority w:val="99"/>
    <w:semiHidden/>
    <w:rsid w:val="00477DA4"/>
    <w:rPr>
      <w:b/>
      <w:bCs/>
    </w:rPr>
  </w:style>
  <w:style w:type="character" w:customStyle="1" w:styleId="CommentSubjectChar">
    <w:name w:val="Comment Subject Char"/>
    <w:basedOn w:val="CommentTextChar"/>
    <w:link w:val="CommentSubject"/>
    <w:uiPriority w:val="99"/>
    <w:semiHidden/>
    <w:locked/>
    <w:rsid w:val="00477DA4"/>
    <w:rPr>
      <w:rFonts w:cs="Times New Roman"/>
      <w:b/>
      <w:bCs/>
      <w:sz w:val="20"/>
      <w:szCs w:val="20"/>
      <w:lang w:val="en-GB"/>
    </w:rPr>
  </w:style>
  <w:style w:type="paragraph" w:styleId="Footer">
    <w:name w:val="footer"/>
    <w:basedOn w:val="Normal"/>
    <w:link w:val="FooterChar"/>
    <w:uiPriority w:val="99"/>
    <w:rsid w:val="00D53821"/>
    <w:pPr>
      <w:tabs>
        <w:tab w:val="center" w:pos="4819"/>
        <w:tab w:val="right" w:pos="9638"/>
      </w:tabs>
    </w:pPr>
  </w:style>
  <w:style w:type="character" w:customStyle="1" w:styleId="FooterChar">
    <w:name w:val="Footer Char"/>
    <w:basedOn w:val="DefaultParagraphFont"/>
    <w:link w:val="Footer"/>
    <w:uiPriority w:val="99"/>
    <w:locked/>
    <w:rsid w:val="00D53821"/>
    <w:rPr>
      <w:rFonts w:cs="Times New Roman"/>
      <w:sz w:val="24"/>
      <w:szCs w:val="24"/>
      <w:lang w:val="en-GB"/>
    </w:rPr>
  </w:style>
  <w:style w:type="paragraph" w:styleId="BodyText">
    <w:name w:val="Body Text"/>
    <w:basedOn w:val="Normal"/>
    <w:link w:val="BodyTextChar"/>
    <w:rsid w:val="003E21F1"/>
    <w:pPr>
      <w:spacing w:after="120"/>
    </w:pPr>
    <w:rPr>
      <w:lang w:val="it-IT"/>
    </w:rPr>
  </w:style>
  <w:style w:type="character" w:customStyle="1" w:styleId="BodyTextChar">
    <w:name w:val="Body Text Char"/>
    <w:basedOn w:val="DefaultParagraphFont"/>
    <w:link w:val="BodyText"/>
    <w:locked/>
    <w:rsid w:val="00C126F6"/>
    <w:rPr>
      <w:rFonts w:cs="Times New Roman"/>
      <w:sz w:val="24"/>
      <w:szCs w:val="24"/>
      <w:lang w:val="en-GB"/>
    </w:rPr>
  </w:style>
  <w:style w:type="character" w:styleId="Hyperlink">
    <w:name w:val="Hyperlink"/>
    <w:basedOn w:val="DefaultParagraphFont"/>
    <w:uiPriority w:val="99"/>
    <w:rsid w:val="000C4DA7"/>
    <w:rPr>
      <w:rFonts w:cs="Times New Roman"/>
      <w:color w:val="0000FF"/>
      <w:u w:val="single"/>
    </w:rPr>
  </w:style>
  <w:style w:type="character" w:customStyle="1" w:styleId="st">
    <w:name w:val="st"/>
    <w:basedOn w:val="DefaultParagraphFont"/>
    <w:uiPriority w:val="99"/>
    <w:rsid w:val="000C4DA7"/>
    <w:rPr>
      <w:rFonts w:cs="Times New Roman"/>
    </w:rPr>
  </w:style>
  <w:style w:type="paragraph" w:styleId="HTMLPreformatted">
    <w:name w:val="HTML Preformatted"/>
    <w:basedOn w:val="Normal"/>
    <w:link w:val="HTMLPreformattedChar"/>
    <w:uiPriority w:val="99"/>
    <w:rsid w:val="00F5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character" w:customStyle="1" w:styleId="HTMLPreformattedChar">
    <w:name w:val="HTML Preformatted Char"/>
    <w:basedOn w:val="DefaultParagraphFont"/>
    <w:link w:val="HTMLPreformatted"/>
    <w:uiPriority w:val="99"/>
    <w:locked/>
    <w:rsid w:val="00F541E1"/>
    <w:rPr>
      <w:rFonts w:ascii="Courier New" w:hAnsi="Courier New" w:cs="Courier New"/>
      <w:sz w:val="20"/>
      <w:szCs w:val="20"/>
    </w:rPr>
  </w:style>
  <w:style w:type="character" w:styleId="LineNumber">
    <w:name w:val="line number"/>
    <w:basedOn w:val="DefaultParagraphFont"/>
    <w:uiPriority w:val="99"/>
    <w:semiHidden/>
    <w:unhideWhenUsed/>
    <w:rsid w:val="0006017C"/>
  </w:style>
  <w:style w:type="character" w:customStyle="1" w:styleId="hps">
    <w:name w:val="hps"/>
    <w:basedOn w:val="DefaultParagraphFont"/>
    <w:rsid w:val="002A60BD"/>
  </w:style>
  <w:style w:type="character" w:customStyle="1" w:styleId="Caratteredellanota">
    <w:name w:val="Carattere della nota"/>
    <w:basedOn w:val="DefaultParagraphFont"/>
    <w:rsid w:val="004564B3"/>
    <w:rPr>
      <w:vertAlign w:val="superscript"/>
    </w:rPr>
  </w:style>
  <w:style w:type="paragraph" w:customStyle="1" w:styleId="Normale11pt">
    <w:name w:val="Normale + 11 pt"/>
    <w:aliases w:val="Grassetto,Centrato,prima 6 pt,Dopo:  6 pt"/>
    <w:basedOn w:val="Normal"/>
    <w:link w:val="Normale11ptGrassettoCentratoprima6ptDopo6ptCarattereCarattere"/>
    <w:rsid w:val="004564B3"/>
    <w:pPr>
      <w:suppressAutoHyphens/>
      <w:spacing w:before="60" w:after="60"/>
    </w:pPr>
    <w:rPr>
      <w:lang w:val="it-IT" w:eastAsia="ar-SA"/>
    </w:rPr>
  </w:style>
  <w:style w:type="character" w:customStyle="1" w:styleId="Normale11ptGrassettoCentratoprima6ptDopo6ptCarattereCarattere">
    <w:name w:val="Normale + 11 pt;Grassetto;Centrato;prima 6 pt;Dopo:  6 pt Carattere Carattere"/>
    <w:basedOn w:val="DefaultParagraphFont"/>
    <w:link w:val="Normale11pt"/>
    <w:rsid w:val="004564B3"/>
    <w:rPr>
      <w:sz w:val="24"/>
      <w:szCs w:val="24"/>
      <w:lang w:eastAsia="ar-SA"/>
    </w:rPr>
  </w:style>
  <w:style w:type="character" w:customStyle="1" w:styleId="atn">
    <w:name w:val="atn"/>
    <w:basedOn w:val="DefaultParagraphFont"/>
    <w:rsid w:val="00025359"/>
  </w:style>
  <w:style w:type="paragraph" w:styleId="NormalWeb">
    <w:name w:val="Normal (Web)"/>
    <w:basedOn w:val="Normal"/>
    <w:uiPriority w:val="99"/>
    <w:semiHidden/>
    <w:unhideWhenUsed/>
    <w:rsid w:val="002644BC"/>
    <w:pPr>
      <w:spacing w:before="100" w:beforeAutospacing="1" w:after="100" w:afterAutospacing="1"/>
    </w:pPr>
    <w:rPr>
      <w:lang w:val="it-IT"/>
    </w:rPr>
  </w:style>
  <w:style w:type="paragraph" w:styleId="BodyTextIndent2">
    <w:name w:val="Body Text Indent 2"/>
    <w:basedOn w:val="Normal"/>
    <w:link w:val="BodyTextIndent2Char"/>
    <w:uiPriority w:val="99"/>
    <w:semiHidden/>
    <w:unhideWhenUsed/>
    <w:rsid w:val="008D4EDD"/>
    <w:pPr>
      <w:spacing w:after="120" w:line="480" w:lineRule="auto"/>
      <w:ind w:left="283"/>
    </w:pPr>
  </w:style>
  <w:style w:type="character" w:customStyle="1" w:styleId="BodyTextIndent2Char">
    <w:name w:val="Body Text Indent 2 Char"/>
    <w:basedOn w:val="DefaultParagraphFont"/>
    <w:link w:val="BodyTextIndent2"/>
    <w:uiPriority w:val="99"/>
    <w:semiHidden/>
    <w:rsid w:val="008D4EDD"/>
    <w:rPr>
      <w:sz w:val="24"/>
      <w:szCs w:val="24"/>
      <w:lang w:val="en-GB"/>
    </w:rPr>
  </w:style>
  <w:style w:type="paragraph" w:customStyle="1" w:styleId="CarattereCarattereChar">
    <w:name w:val="Carattere Carattere Char"/>
    <w:basedOn w:val="Normal"/>
    <w:next w:val="Normal"/>
    <w:rsid w:val="008D4EDD"/>
    <w:pPr>
      <w:spacing w:after="160" w:line="240" w:lineRule="exact"/>
    </w:pPr>
    <w:rPr>
      <w:rFonts w:ascii="Tahoma" w:hAnsi="Tahoma"/>
      <w:szCs w:val="20"/>
      <w:lang w:val="en-US" w:eastAsia="en-US"/>
    </w:rPr>
  </w:style>
  <w:style w:type="character" w:styleId="PlaceholderText">
    <w:name w:val="Placeholder Text"/>
    <w:basedOn w:val="DefaultParagraphFont"/>
    <w:uiPriority w:val="99"/>
    <w:semiHidden/>
    <w:rsid w:val="009B014F"/>
    <w:rPr>
      <w:color w:val="808080"/>
    </w:rPr>
  </w:style>
  <w:style w:type="paragraph" w:customStyle="1" w:styleId="StileTitolo1BookAntiqua">
    <w:name w:val="Stile Titolo 1 + Book Antiqua"/>
    <w:basedOn w:val="Heading1"/>
    <w:rsid w:val="00D61A34"/>
    <w:pPr>
      <w:jc w:val="both"/>
    </w:pPr>
    <w:rPr>
      <w:rFonts w:ascii="Book Antiqua" w:hAnsi="Book Antiqua"/>
      <w:sz w:val="24"/>
    </w:rPr>
  </w:style>
  <w:style w:type="paragraph" w:styleId="BodyText2">
    <w:name w:val="Body Text 2"/>
    <w:basedOn w:val="Normal"/>
    <w:link w:val="BodyText2Char"/>
    <w:uiPriority w:val="99"/>
    <w:semiHidden/>
    <w:unhideWhenUsed/>
    <w:rsid w:val="006E2852"/>
    <w:pPr>
      <w:spacing w:after="120" w:line="480" w:lineRule="auto"/>
    </w:pPr>
  </w:style>
  <w:style w:type="character" w:customStyle="1" w:styleId="BodyText2Char">
    <w:name w:val="Body Text 2 Char"/>
    <w:basedOn w:val="DefaultParagraphFont"/>
    <w:link w:val="BodyText2"/>
    <w:uiPriority w:val="99"/>
    <w:semiHidden/>
    <w:rsid w:val="006E2852"/>
    <w:rPr>
      <w:sz w:val="24"/>
      <w:szCs w:val="24"/>
      <w:lang w:val="en-GB"/>
    </w:rPr>
  </w:style>
  <w:style w:type="paragraph" w:styleId="TOC1">
    <w:name w:val="toc 1"/>
    <w:basedOn w:val="Normal"/>
    <w:next w:val="Normal"/>
    <w:autoRedefine/>
    <w:uiPriority w:val="39"/>
    <w:locked/>
    <w:rsid w:val="006E2852"/>
    <w:pPr>
      <w:tabs>
        <w:tab w:val="right" w:leader="dot" w:pos="9628"/>
      </w:tabs>
      <w:jc w:val="both"/>
    </w:pPr>
    <w:rPr>
      <w:rFonts w:ascii="Book Antiqua" w:hAnsi="Book Antiqua"/>
      <w:lang w:val="it-IT"/>
    </w:rPr>
  </w:style>
  <w:style w:type="paragraph" w:customStyle="1" w:styleId="TitoloIndice">
    <w:name w:val="TitoloIndice"/>
    <w:basedOn w:val="Title"/>
    <w:rsid w:val="006E2852"/>
    <w:pPr>
      <w:keepNext/>
      <w:pBdr>
        <w:bottom w:val="none" w:sz="0" w:space="0" w:color="auto"/>
      </w:pBdr>
      <w:spacing w:after="0"/>
      <w:contextualSpacing w:val="0"/>
      <w:jc w:val="center"/>
    </w:pPr>
    <w:rPr>
      <w:rFonts w:ascii="Times New Roman" w:eastAsia="Times New Roman" w:hAnsi="Times New Roman" w:cs="Times New Roman"/>
      <w:b/>
      <w:bCs/>
      <w:color w:val="auto"/>
      <w:spacing w:val="0"/>
      <w:kern w:val="0"/>
      <w:sz w:val="24"/>
      <w:szCs w:val="24"/>
      <w:lang w:val="en-US"/>
    </w:rPr>
  </w:style>
  <w:style w:type="paragraph" w:customStyle="1" w:styleId="NormaleSenzaRientro">
    <w:name w:val="NormaleSenzaRientro"/>
    <w:basedOn w:val="Normal"/>
    <w:next w:val="Normal"/>
    <w:rsid w:val="006E2852"/>
    <w:pPr>
      <w:spacing w:after="160" w:line="360" w:lineRule="auto"/>
      <w:jc w:val="both"/>
    </w:pPr>
    <w:rPr>
      <w:lang w:val="en-US"/>
    </w:rPr>
  </w:style>
  <w:style w:type="paragraph" w:styleId="Title">
    <w:name w:val="Title"/>
    <w:basedOn w:val="Normal"/>
    <w:next w:val="Normal"/>
    <w:link w:val="TitleChar"/>
    <w:qFormat/>
    <w:locked/>
    <w:rsid w:val="006E2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2852"/>
    <w:rPr>
      <w:rFonts w:asciiTheme="majorHAnsi" w:eastAsiaTheme="majorEastAsia" w:hAnsiTheme="majorHAnsi" w:cstheme="majorBidi"/>
      <w:color w:val="17365D" w:themeColor="text2" w:themeShade="BF"/>
      <w:spacing w:val="5"/>
      <w:kern w:val="28"/>
      <w:sz w:val="52"/>
      <w:szCs w:val="52"/>
      <w:lang w:val="en-GB"/>
    </w:rPr>
  </w:style>
  <w:style w:type="paragraph" w:customStyle="1" w:styleId="TitoloTema">
    <w:name w:val="TitoloTema"/>
    <w:basedOn w:val="Title"/>
    <w:rsid w:val="00167CBE"/>
    <w:pPr>
      <w:pBdr>
        <w:bottom w:val="none" w:sz="0" w:space="0" w:color="auto"/>
      </w:pBdr>
      <w:spacing w:after="0"/>
      <w:contextualSpacing w:val="0"/>
      <w:jc w:val="center"/>
    </w:pPr>
    <w:rPr>
      <w:rFonts w:ascii="Times New Roman" w:eastAsia="Times New Roman" w:hAnsi="Times New Roman" w:cs="Times New Roman"/>
      <w:b/>
      <w:bCs/>
      <w:caps/>
      <w:color w:val="auto"/>
      <w:spacing w:val="0"/>
      <w:kern w:val="0"/>
      <w:sz w:val="24"/>
      <w:szCs w:val="24"/>
      <w:lang w:val="en-US"/>
    </w:rPr>
  </w:style>
  <w:style w:type="paragraph" w:customStyle="1" w:styleId="Autori">
    <w:name w:val="Autori"/>
    <w:basedOn w:val="Normal"/>
    <w:rsid w:val="00167CBE"/>
    <w:pPr>
      <w:jc w:val="center"/>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8C"/>
    <w:rPr>
      <w:sz w:val="24"/>
      <w:szCs w:val="24"/>
      <w:lang w:val="en-GB"/>
    </w:rPr>
  </w:style>
  <w:style w:type="paragraph" w:styleId="Heading1">
    <w:name w:val="heading 1"/>
    <w:basedOn w:val="Normal"/>
    <w:next w:val="Normal"/>
    <w:link w:val="Heading1Char"/>
    <w:uiPriority w:val="99"/>
    <w:qFormat/>
    <w:locked/>
    <w:rsid w:val="003E21F1"/>
    <w:pPr>
      <w:keepNext/>
      <w:spacing w:before="240" w:after="60"/>
      <w:outlineLvl w:val="0"/>
    </w:pPr>
    <w:rPr>
      <w:rFonts w:ascii="Arial" w:hAnsi="Arial" w:cs="Arial"/>
      <w:b/>
      <w:bCs/>
      <w:kern w:val="32"/>
      <w:sz w:val="32"/>
      <w:szCs w:val="32"/>
      <w:lang w:val="it-IT"/>
    </w:rPr>
  </w:style>
  <w:style w:type="paragraph" w:styleId="Heading2">
    <w:name w:val="heading 2"/>
    <w:basedOn w:val="Normal"/>
    <w:next w:val="Normal"/>
    <w:link w:val="Heading2Char"/>
    <w:uiPriority w:val="99"/>
    <w:qFormat/>
    <w:locked/>
    <w:rsid w:val="000C4DA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6F6"/>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4DA7"/>
    <w:rPr>
      <w:rFonts w:ascii="Cambria" w:hAnsi="Cambria" w:cs="Times New Roman"/>
      <w:b/>
      <w:bCs/>
      <w:color w:val="4F81BD"/>
      <w:sz w:val="26"/>
      <w:szCs w:val="26"/>
      <w:lang w:val="en-GB"/>
    </w:rPr>
  </w:style>
  <w:style w:type="paragraph" w:styleId="BalloonText">
    <w:name w:val="Balloon Text"/>
    <w:basedOn w:val="Normal"/>
    <w:link w:val="BalloonTextChar"/>
    <w:uiPriority w:val="99"/>
    <w:rsid w:val="00213772"/>
    <w:rPr>
      <w:rFonts w:ascii="Tahoma" w:hAnsi="Tahoma" w:cs="Tahoma"/>
      <w:sz w:val="16"/>
      <w:szCs w:val="16"/>
    </w:rPr>
  </w:style>
  <w:style w:type="character" w:customStyle="1" w:styleId="BalloonTextChar">
    <w:name w:val="Balloon Text Char"/>
    <w:basedOn w:val="DefaultParagraphFont"/>
    <w:link w:val="BalloonText"/>
    <w:uiPriority w:val="99"/>
    <w:locked/>
    <w:rsid w:val="00213772"/>
    <w:rPr>
      <w:rFonts w:ascii="Tahoma" w:hAnsi="Tahoma" w:cs="Tahoma"/>
      <w:sz w:val="16"/>
      <w:szCs w:val="16"/>
      <w:lang w:val="en-GB"/>
    </w:rPr>
  </w:style>
  <w:style w:type="paragraph" w:styleId="Header">
    <w:name w:val="header"/>
    <w:basedOn w:val="Normal"/>
    <w:link w:val="HeaderChar"/>
    <w:uiPriority w:val="99"/>
    <w:rsid w:val="007C47F0"/>
    <w:pPr>
      <w:tabs>
        <w:tab w:val="center" w:pos="4819"/>
        <w:tab w:val="right" w:pos="9638"/>
      </w:tabs>
    </w:pPr>
    <w:rPr>
      <w:lang w:val="it-IT"/>
    </w:rPr>
  </w:style>
  <w:style w:type="character" w:customStyle="1" w:styleId="HeaderChar">
    <w:name w:val="Header Char"/>
    <w:basedOn w:val="DefaultParagraphFont"/>
    <w:link w:val="Header"/>
    <w:uiPriority w:val="99"/>
    <w:locked/>
    <w:rsid w:val="007C47F0"/>
    <w:rPr>
      <w:rFonts w:cs="Times New Roman"/>
      <w:sz w:val="24"/>
      <w:szCs w:val="24"/>
      <w:lang w:val="it-IT" w:eastAsia="it-IT" w:bidi="ar-SA"/>
    </w:rPr>
  </w:style>
  <w:style w:type="paragraph" w:styleId="FootnoteText">
    <w:name w:val="footnote text"/>
    <w:basedOn w:val="Normal"/>
    <w:link w:val="FootnoteTextChar"/>
    <w:rsid w:val="00EB4D19"/>
    <w:rPr>
      <w:sz w:val="20"/>
      <w:szCs w:val="20"/>
    </w:rPr>
  </w:style>
  <w:style w:type="character" w:customStyle="1" w:styleId="FootnoteTextChar">
    <w:name w:val="Footnote Text Char"/>
    <w:basedOn w:val="DefaultParagraphFont"/>
    <w:link w:val="FootnoteText"/>
    <w:locked/>
    <w:rsid w:val="00EB4D19"/>
    <w:rPr>
      <w:rFonts w:cs="Times New Roman"/>
      <w:lang w:val="en-GB"/>
    </w:rPr>
  </w:style>
  <w:style w:type="character" w:styleId="FootnoteReference">
    <w:name w:val="footnote reference"/>
    <w:basedOn w:val="DefaultParagraphFont"/>
    <w:rsid w:val="00EB4D19"/>
    <w:rPr>
      <w:rFonts w:cs="Times New Roman"/>
      <w:vertAlign w:val="superscript"/>
    </w:rPr>
  </w:style>
  <w:style w:type="paragraph" w:customStyle="1" w:styleId="NOTABox">
    <w:name w:val="NOTA (Box)"/>
    <w:basedOn w:val="Normal"/>
    <w:autoRedefine/>
    <w:uiPriority w:val="99"/>
    <w:rsid w:val="00195B70"/>
    <w:pPr>
      <w:widowControl w:val="0"/>
      <w:shd w:val="clear" w:color="auto" w:fill="D0E3ED"/>
      <w:autoSpaceDE w:val="0"/>
      <w:autoSpaceDN w:val="0"/>
      <w:adjustRightInd w:val="0"/>
      <w:spacing w:line="200" w:lineRule="atLeast"/>
      <w:ind w:left="113" w:right="113"/>
      <w:jc w:val="both"/>
      <w:textAlignment w:val="baseline"/>
    </w:pPr>
    <w:rPr>
      <w:rFonts w:ascii="Adobe Garamond Pro" w:hAnsi="Adobe Garamond Pro" w:cs="Adobe Garamond Pro"/>
      <w:color w:val="000000"/>
      <w:sz w:val="18"/>
      <w:szCs w:val="18"/>
    </w:rPr>
  </w:style>
  <w:style w:type="paragraph" w:customStyle="1" w:styleId="PARAGRAFOBox">
    <w:name w:val="PARAGRAFO (Box)"/>
    <w:basedOn w:val="Normal"/>
    <w:autoRedefine/>
    <w:uiPriority w:val="99"/>
    <w:rsid w:val="00020E8F"/>
    <w:pPr>
      <w:widowControl w:val="0"/>
      <w:shd w:val="clear" w:color="auto" w:fill="D0E3ED"/>
      <w:tabs>
        <w:tab w:val="left" w:pos="1418"/>
        <w:tab w:val="left" w:pos="2835"/>
        <w:tab w:val="left" w:pos="4251"/>
      </w:tabs>
      <w:autoSpaceDE w:val="0"/>
      <w:autoSpaceDN w:val="0"/>
      <w:adjustRightInd w:val="0"/>
      <w:spacing w:before="113" w:line="240" w:lineRule="atLeast"/>
      <w:ind w:left="113" w:right="113"/>
      <w:jc w:val="both"/>
      <w:textAlignment w:val="center"/>
    </w:pPr>
    <w:rPr>
      <w:rFonts w:ascii="Garamond" w:hAnsi="Garamond" w:cs="Adobe Garamond Pro"/>
      <w:color w:val="000000"/>
      <w:sz w:val="22"/>
      <w:szCs w:val="22"/>
      <w:lang w:val="it-IT"/>
    </w:rPr>
  </w:style>
  <w:style w:type="paragraph" w:styleId="ListParagraph">
    <w:name w:val="List Paragraph"/>
    <w:basedOn w:val="Normal"/>
    <w:uiPriority w:val="99"/>
    <w:qFormat/>
    <w:rsid w:val="00602F77"/>
    <w:pPr>
      <w:ind w:left="720"/>
      <w:contextualSpacing/>
    </w:pPr>
  </w:style>
  <w:style w:type="character" w:styleId="CommentReference">
    <w:name w:val="annotation reference"/>
    <w:basedOn w:val="DefaultParagraphFont"/>
    <w:uiPriority w:val="99"/>
    <w:semiHidden/>
    <w:rsid w:val="00477DA4"/>
    <w:rPr>
      <w:rFonts w:cs="Times New Roman"/>
      <w:sz w:val="16"/>
      <w:szCs w:val="16"/>
    </w:rPr>
  </w:style>
  <w:style w:type="paragraph" w:styleId="CommentText">
    <w:name w:val="annotation text"/>
    <w:basedOn w:val="Normal"/>
    <w:link w:val="CommentTextChar"/>
    <w:uiPriority w:val="99"/>
    <w:semiHidden/>
    <w:rsid w:val="00477DA4"/>
    <w:rPr>
      <w:sz w:val="20"/>
      <w:szCs w:val="20"/>
    </w:rPr>
  </w:style>
  <w:style w:type="character" w:customStyle="1" w:styleId="CommentTextChar">
    <w:name w:val="Comment Text Char"/>
    <w:basedOn w:val="DefaultParagraphFont"/>
    <w:link w:val="CommentText"/>
    <w:uiPriority w:val="99"/>
    <w:semiHidden/>
    <w:locked/>
    <w:rsid w:val="00477DA4"/>
    <w:rPr>
      <w:rFonts w:cs="Times New Roman"/>
      <w:sz w:val="20"/>
      <w:szCs w:val="20"/>
      <w:lang w:val="en-GB"/>
    </w:rPr>
  </w:style>
  <w:style w:type="paragraph" w:styleId="CommentSubject">
    <w:name w:val="annotation subject"/>
    <w:basedOn w:val="CommentText"/>
    <w:next w:val="CommentText"/>
    <w:link w:val="CommentSubjectChar"/>
    <w:uiPriority w:val="99"/>
    <w:semiHidden/>
    <w:rsid w:val="00477DA4"/>
    <w:rPr>
      <w:b/>
      <w:bCs/>
    </w:rPr>
  </w:style>
  <w:style w:type="character" w:customStyle="1" w:styleId="CommentSubjectChar">
    <w:name w:val="Comment Subject Char"/>
    <w:basedOn w:val="CommentTextChar"/>
    <w:link w:val="CommentSubject"/>
    <w:uiPriority w:val="99"/>
    <w:semiHidden/>
    <w:locked/>
    <w:rsid w:val="00477DA4"/>
    <w:rPr>
      <w:rFonts w:cs="Times New Roman"/>
      <w:b/>
      <w:bCs/>
      <w:sz w:val="20"/>
      <w:szCs w:val="20"/>
      <w:lang w:val="en-GB"/>
    </w:rPr>
  </w:style>
  <w:style w:type="paragraph" w:styleId="Footer">
    <w:name w:val="footer"/>
    <w:basedOn w:val="Normal"/>
    <w:link w:val="FooterChar"/>
    <w:uiPriority w:val="99"/>
    <w:rsid w:val="00D53821"/>
    <w:pPr>
      <w:tabs>
        <w:tab w:val="center" w:pos="4819"/>
        <w:tab w:val="right" w:pos="9638"/>
      </w:tabs>
    </w:pPr>
  </w:style>
  <w:style w:type="character" w:customStyle="1" w:styleId="FooterChar">
    <w:name w:val="Footer Char"/>
    <w:basedOn w:val="DefaultParagraphFont"/>
    <w:link w:val="Footer"/>
    <w:uiPriority w:val="99"/>
    <w:locked/>
    <w:rsid w:val="00D53821"/>
    <w:rPr>
      <w:rFonts w:cs="Times New Roman"/>
      <w:sz w:val="24"/>
      <w:szCs w:val="24"/>
      <w:lang w:val="en-GB"/>
    </w:rPr>
  </w:style>
  <w:style w:type="paragraph" w:styleId="BodyText">
    <w:name w:val="Body Text"/>
    <w:basedOn w:val="Normal"/>
    <w:link w:val="BodyTextChar"/>
    <w:rsid w:val="003E21F1"/>
    <w:pPr>
      <w:spacing w:after="120"/>
    </w:pPr>
    <w:rPr>
      <w:lang w:val="it-IT"/>
    </w:rPr>
  </w:style>
  <w:style w:type="character" w:customStyle="1" w:styleId="BodyTextChar">
    <w:name w:val="Body Text Char"/>
    <w:basedOn w:val="DefaultParagraphFont"/>
    <w:link w:val="BodyText"/>
    <w:locked/>
    <w:rsid w:val="00C126F6"/>
    <w:rPr>
      <w:rFonts w:cs="Times New Roman"/>
      <w:sz w:val="24"/>
      <w:szCs w:val="24"/>
      <w:lang w:val="en-GB"/>
    </w:rPr>
  </w:style>
  <w:style w:type="character" w:styleId="Hyperlink">
    <w:name w:val="Hyperlink"/>
    <w:basedOn w:val="DefaultParagraphFont"/>
    <w:uiPriority w:val="99"/>
    <w:rsid w:val="000C4DA7"/>
    <w:rPr>
      <w:rFonts w:cs="Times New Roman"/>
      <w:color w:val="0000FF"/>
      <w:u w:val="single"/>
    </w:rPr>
  </w:style>
  <w:style w:type="character" w:customStyle="1" w:styleId="st">
    <w:name w:val="st"/>
    <w:basedOn w:val="DefaultParagraphFont"/>
    <w:uiPriority w:val="99"/>
    <w:rsid w:val="000C4DA7"/>
    <w:rPr>
      <w:rFonts w:cs="Times New Roman"/>
    </w:rPr>
  </w:style>
  <w:style w:type="paragraph" w:styleId="HTMLPreformatted">
    <w:name w:val="HTML Preformatted"/>
    <w:basedOn w:val="Normal"/>
    <w:link w:val="HTMLPreformattedChar"/>
    <w:uiPriority w:val="99"/>
    <w:rsid w:val="00F5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character" w:customStyle="1" w:styleId="HTMLPreformattedChar">
    <w:name w:val="HTML Preformatted Char"/>
    <w:basedOn w:val="DefaultParagraphFont"/>
    <w:link w:val="HTMLPreformatted"/>
    <w:uiPriority w:val="99"/>
    <w:locked/>
    <w:rsid w:val="00F541E1"/>
    <w:rPr>
      <w:rFonts w:ascii="Courier New" w:hAnsi="Courier New" w:cs="Courier New"/>
      <w:sz w:val="20"/>
      <w:szCs w:val="20"/>
    </w:rPr>
  </w:style>
  <w:style w:type="character" w:styleId="LineNumber">
    <w:name w:val="line number"/>
    <w:basedOn w:val="DefaultParagraphFont"/>
    <w:uiPriority w:val="99"/>
    <w:semiHidden/>
    <w:unhideWhenUsed/>
    <w:rsid w:val="0006017C"/>
  </w:style>
  <w:style w:type="character" w:customStyle="1" w:styleId="hps">
    <w:name w:val="hps"/>
    <w:basedOn w:val="DefaultParagraphFont"/>
    <w:rsid w:val="002A60BD"/>
  </w:style>
  <w:style w:type="character" w:customStyle="1" w:styleId="Caratteredellanota">
    <w:name w:val="Carattere della nota"/>
    <w:basedOn w:val="DefaultParagraphFont"/>
    <w:rsid w:val="004564B3"/>
    <w:rPr>
      <w:vertAlign w:val="superscript"/>
    </w:rPr>
  </w:style>
  <w:style w:type="paragraph" w:customStyle="1" w:styleId="Normale11pt">
    <w:name w:val="Normale + 11 pt"/>
    <w:aliases w:val="Grassetto,Centrato,prima 6 pt,Dopo:  6 pt"/>
    <w:basedOn w:val="Normal"/>
    <w:link w:val="Normale11ptGrassettoCentratoprima6ptDopo6ptCarattereCarattere"/>
    <w:rsid w:val="004564B3"/>
    <w:pPr>
      <w:suppressAutoHyphens/>
      <w:spacing w:before="60" w:after="60"/>
    </w:pPr>
    <w:rPr>
      <w:lang w:val="it-IT" w:eastAsia="ar-SA"/>
    </w:rPr>
  </w:style>
  <w:style w:type="character" w:customStyle="1" w:styleId="Normale11ptGrassettoCentratoprima6ptDopo6ptCarattereCarattere">
    <w:name w:val="Normale + 11 pt;Grassetto;Centrato;prima 6 pt;Dopo:  6 pt Carattere Carattere"/>
    <w:basedOn w:val="DefaultParagraphFont"/>
    <w:link w:val="Normale11pt"/>
    <w:rsid w:val="004564B3"/>
    <w:rPr>
      <w:sz w:val="24"/>
      <w:szCs w:val="24"/>
      <w:lang w:eastAsia="ar-SA"/>
    </w:rPr>
  </w:style>
  <w:style w:type="character" w:customStyle="1" w:styleId="atn">
    <w:name w:val="atn"/>
    <w:basedOn w:val="DefaultParagraphFont"/>
    <w:rsid w:val="00025359"/>
  </w:style>
  <w:style w:type="paragraph" w:styleId="NormalWeb">
    <w:name w:val="Normal (Web)"/>
    <w:basedOn w:val="Normal"/>
    <w:uiPriority w:val="99"/>
    <w:semiHidden/>
    <w:unhideWhenUsed/>
    <w:rsid w:val="002644BC"/>
    <w:pPr>
      <w:spacing w:before="100" w:beforeAutospacing="1" w:after="100" w:afterAutospacing="1"/>
    </w:pPr>
    <w:rPr>
      <w:lang w:val="it-IT"/>
    </w:rPr>
  </w:style>
  <w:style w:type="paragraph" w:styleId="BodyTextIndent2">
    <w:name w:val="Body Text Indent 2"/>
    <w:basedOn w:val="Normal"/>
    <w:link w:val="BodyTextIndent2Char"/>
    <w:uiPriority w:val="99"/>
    <w:semiHidden/>
    <w:unhideWhenUsed/>
    <w:rsid w:val="008D4EDD"/>
    <w:pPr>
      <w:spacing w:after="120" w:line="480" w:lineRule="auto"/>
      <w:ind w:left="283"/>
    </w:pPr>
  </w:style>
  <w:style w:type="character" w:customStyle="1" w:styleId="BodyTextIndent2Char">
    <w:name w:val="Body Text Indent 2 Char"/>
    <w:basedOn w:val="DefaultParagraphFont"/>
    <w:link w:val="BodyTextIndent2"/>
    <w:uiPriority w:val="99"/>
    <w:semiHidden/>
    <w:rsid w:val="008D4EDD"/>
    <w:rPr>
      <w:sz w:val="24"/>
      <w:szCs w:val="24"/>
      <w:lang w:val="en-GB"/>
    </w:rPr>
  </w:style>
  <w:style w:type="paragraph" w:customStyle="1" w:styleId="CarattereCarattereChar">
    <w:name w:val="Carattere Carattere Char"/>
    <w:basedOn w:val="Normal"/>
    <w:next w:val="Normal"/>
    <w:rsid w:val="008D4EDD"/>
    <w:pPr>
      <w:spacing w:after="160" w:line="240" w:lineRule="exact"/>
    </w:pPr>
    <w:rPr>
      <w:rFonts w:ascii="Tahoma" w:hAnsi="Tahoma"/>
      <w:szCs w:val="20"/>
      <w:lang w:val="en-US" w:eastAsia="en-US"/>
    </w:rPr>
  </w:style>
  <w:style w:type="character" w:styleId="PlaceholderText">
    <w:name w:val="Placeholder Text"/>
    <w:basedOn w:val="DefaultParagraphFont"/>
    <w:uiPriority w:val="99"/>
    <w:semiHidden/>
    <w:rsid w:val="009B014F"/>
    <w:rPr>
      <w:color w:val="808080"/>
    </w:rPr>
  </w:style>
  <w:style w:type="paragraph" w:customStyle="1" w:styleId="StileTitolo1BookAntiqua">
    <w:name w:val="Stile Titolo 1 + Book Antiqua"/>
    <w:basedOn w:val="Heading1"/>
    <w:rsid w:val="00D61A34"/>
    <w:pPr>
      <w:jc w:val="both"/>
    </w:pPr>
    <w:rPr>
      <w:rFonts w:ascii="Book Antiqua" w:hAnsi="Book Antiqua"/>
      <w:sz w:val="24"/>
    </w:rPr>
  </w:style>
  <w:style w:type="paragraph" w:styleId="BodyText2">
    <w:name w:val="Body Text 2"/>
    <w:basedOn w:val="Normal"/>
    <w:link w:val="BodyText2Char"/>
    <w:uiPriority w:val="99"/>
    <w:semiHidden/>
    <w:unhideWhenUsed/>
    <w:rsid w:val="006E2852"/>
    <w:pPr>
      <w:spacing w:after="120" w:line="480" w:lineRule="auto"/>
    </w:pPr>
  </w:style>
  <w:style w:type="character" w:customStyle="1" w:styleId="BodyText2Char">
    <w:name w:val="Body Text 2 Char"/>
    <w:basedOn w:val="DefaultParagraphFont"/>
    <w:link w:val="BodyText2"/>
    <w:uiPriority w:val="99"/>
    <w:semiHidden/>
    <w:rsid w:val="006E2852"/>
    <w:rPr>
      <w:sz w:val="24"/>
      <w:szCs w:val="24"/>
      <w:lang w:val="en-GB"/>
    </w:rPr>
  </w:style>
  <w:style w:type="paragraph" w:styleId="TOC1">
    <w:name w:val="toc 1"/>
    <w:basedOn w:val="Normal"/>
    <w:next w:val="Normal"/>
    <w:autoRedefine/>
    <w:uiPriority w:val="39"/>
    <w:locked/>
    <w:rsid w:val="006E2852"/>
    <w:pPr>
      <w:tabs>
        <w:tab w:val="right" w:leader="dot" w:pos="9628"/>
      </w:tabs>
      <w:jc w:val="both"/>
    </w:pPr>
    <w:rPr>
      <w:rFonts w:ascii="Book Antiqua" w:hAnsi="Book Antiqua"/>
      <w:lang w:val="it-IT"/>
    </w:rPr>
  </w:style>
  <w:style w:type="paragraph" w:customStyle="1" w:styleId="TitoloIndice">
    <w:name w:val="TitoloIndice"/>
    <w:basedOn w:val="Title"/>
    <w:rsid w:val="006E2852"/>
    <w:pPr>
      <w:keepNext/>
      <w:pBdr>
        <w:bottom w:val="none" w:sz="0" w:space="0" w:color="auto"/>
      </w:pBdr>
      <w:spacing w:after="0"/>
      <w:contextualSpacing w:val="0"/>
      <w:jc w:val="center"/>
    </w:pPr>
    <w:rPr>
      <w:rFonts w:ascii="Times New Roman" w:eastAsia="Times New Roman" w:hAnsi="Times New Roman" w:cs="Times New Roman"/>
      <w:b/>
      <w:bCs/>
      <w:color w:val="auto"/>
      <w:spacing w:val="0"/>
      <w:kern w:val="0"/>
      <w:sz w:val="24"/>
      <w:szCs w:val="24"/>
      <w:lang w:val="en-US"/>
    </w:rPr>
  </w:style>
  <w:style w:type="paragraph" w:customStyle="1" w:styleId="NormaleSenzaRientro">
    <w:name w:val="NormaleSenzaRientro"/>
    <w:basedOn w:val="Normal"/>
    <w:next w:val="Normal"/>
    <w:rsid w:val="006E2852"/>
    <w:pPr>
      <w:spacing w:after="160" w:line="360" w:lineRule="auto"/>
      <w:jc w:val="both"/>
    </w:pPr>
    <w:rPr>
      <w:lang w:val="en-US"/>
    </w:rPr>
  </w:style>
  <w:style w:type="paragraph" w:styleId="Title">
    <w:name w:val="Title"/>
    <w:basedOn w:val="Normal"/>
    <w:next w:val="Normal"/>
    <w:link w:val="TitleChar"/>
    <w:qFormat/>
    <w:locked/>
    <w:rsid w:val="006E2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2852"/>
    <w:rPr>
      <w:rFonts w:asciiTheme="majorHAnsi" w:eastAsiaTheme="majorEastAsia" w:hAnsiTheme="majorHAnsi" w:cstheme="majorBidi"/>
      <w:color w:val="17365D" w:themeColor="text2" w:themeShade="BF"/>
      <w:spacing w:val="5"/>
      <w:kern w:val="28"/>
      <w:sz w:val="52"/>
      <w:szCs w:val="52"/>
      <w:lang w:val="en-GB"/>
    </w:rPr>
  </w:style>
  <w:style w:type="paragraph" w:customStyle="1" w:styleId="TitoloTema">
    <w:name w:val="TitoloTema"/>
    <w:basedOn w:val="Title"/>
    <w:rsid w:val="00167CBE"/>
    <w:pPr>
      <w:pBdr>
        <w:bottom w:val="none" w:sz="0" w:space="0" w:color="auto"/>
      </w:pBdr>
      <w:spacing w:after="0"/>
      <w:contextualSpacing w:val="0"/>
      <w:jc w:val="center"/>
    </w:pPr>
    <w:rPr>
      <w:rFonts w:ascii="Times New Roman" w:eastAsia="Times New Roman" w:hAnsi="Times New Roman" w:cs="Times New Roman"/>
      <w:b/>
      <w:bCs/>
      <w:caps/>
      <w:color w:val="auto"/>
      <w:spacing w:val="0"/>
      <w:kern w:val="0"/>
      <w:sz w:val="24"/>
      <w:szCs w:val="24"/>
      <w:lang w:val="en-US"/>
    </w:rPr>
  </w:style>
  <w:style w:type="paragraph" w:customStyle="1" w:styleId="Autori">
    <w:name w:val="Autori"/>
    <w:basedOn w:val="Normal"/>
    <w:rsid w:val="00167CBE"/>
    <w:pPr>
      <w:jc w:val="cente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8912">
      <w:bodyDiv w:val="1"/>
      <w:marLeft w:val="0"/>
      <w:marRight w:val="0"/>
      <w:marTop w:val="0"/>
      <w:marBottom w:val="0"/>
      <w:divBdr>
        <w:top w:val="none" w:sz="0" w:space="0" w:color="auto"/>
        <w:left w:val="none" w:sz="0" w:space="0" w:color="auto"/>
        <w:bottom w:val="none" w:sz="0" w:space="0" w:color="auto"/>
        <w:right w:val="none" w:sz="0" w:space="0" w:color="auto"/>
      </w:divBdr>
    </w:div>
    <w:div w:id="120803093">
      <w:bodyDiv w:val="1"/>
      <w:marLeft w:val="0"/>
      <w:marRight w:val="0"/>
      <w:marTop w:val="0"/>
      <w:marBottom w:val="0"/>
      <w:divBdr>
        <w:top w:val="none" w:sz="0" w:space="0" w:color="auto"/>
        <w:left w:val="none" w:sz="0" w:space="0" w:color="auto"/>
        <w:bottom w:val="none" w:sz="0" w:space="0" w:color="auto"/>
        <w:right w:val="none" w:sz="0" w:space="0" w:color="auto"/>
      </w:divBdr>
    </w:div>
    <w:div w:id="141630187">
      <w:bodyDiv w:val="1"/>
      <w:marLeft w:val="0"/>
      <w:marRight w:val="0"/>
      <w:marTop w:val="0"/>
      <w:marBottom w:val="0"/>
      <w:divBdr>
        <w:top w:val="none" w:sz="0" w:space="0" w:color="auto"/>
        <w:left w:val="none" w:sz="0" w:space="0" w:color="auto"/>
        <w:bottom w:val="none" w:sz="0" w:space="0" w:color="auto"/>
        <w:right w:val="none" w:sz="0" w:space="0" w:color="auto"/>
      </w:divBdr>
      <w:divsChild>
        <w:div w:id="1253778024">
          <w:marLeft w:val="0"/>
          <w:marRight w:val="0"/>
          <w:marTop w:val="0"/>
          <w:marBottom w:val="0"/>
          <w:divBdr>
            <w:top w:val="none" w:sz="0" w:space="0" w:color="auto"/>
            <w:left w:val="none" w:sz="0" w:space="0" w:color="auto"/>
            <w:bottom w:val="none" w:sz="0" w:space="0" w:color="auto"/>
            <w:right w:val="none" w:sz="0" w:space="0" w:color="auto"/>
          </w:divBdr>
          <w:divsChild>
            <w:div w:id="1105227579">
              <w:marLeft w:val="0"/>
              <w:marRight w:val="0"/>
              <w:marTop w:val="0"/>
              <w:marBottom w:val="0"/>
              <w:divBdr>
                <w:top w:val="none" w:sz="0" w:space="0" w:color="auto"/>
                <w:left w:val="none" w:sz="0" w:space="0" w:color="auto"/>
                <w:bottom w:val="none" w:sz="0" w:space="0" w:color="auto"/>
                <w:right w:val="none" w:sz="0" w:space="0" w:color="auto"/>
              </w:divBdr>
              <w:divsChild>
                <w:div w:id="2049140885">
                  <w:marLeft w:val="0"/>
                  <w:marRight w:val="0"/>
                  <w:marTop w:val="0"/>
                  <w:marBottom w:val="0"/>
                  <w:divBdr>
                    <w:top w:val="none" w:sz="0" w:space="0" w:color="auto"/>
                    <w:left w:val="none" w:sz="0" w:space="0" w:color="auto"/>
                    <w:bottom w:val="none" w:sz="0" w:space="0" w:color="auto"/>
                    <w:right w:val="none" w:sz="0" w:space="0" w:color="auto"/>
                  </w:divBdr>
                  <w:divsChild>
                    <w:div w:id="580793241">
                      <w:marLeft w:val="0"/>
                      <w:marRight w:val="0"/>
                      <w:marTop w:val="0"/>
                      <w:marBottom w:val="0"/>
                      <w:divBdr>
                        <w:top w:val="none" w:sz="0" w:space="0" w:color="auto"/>
                        <w:left w:val="none" w:sz="0" w:space="0" w:color="auto"/>
                        <w:bottom w:val="none" w:sz="0" w:space="0" w:color="auto"/>
                        <w:right w:val="none" w:sz="0" w:space="0" w:color="auto"/>
                      </w:divBdr>
                      <w:divsChild>
                        <w:div w:id="783501688">
                          <w:marLeft w:val="0"/>
                          <w:marRight w:val="0"/>
                          <w:marTop w:val="0"/>
                          <w:marBottom w:val="0"/>
                          <w:divBdr>
                            <w:top w:val="none" w:sz="0" w:space="0" w:color="auto"/>
                            <w:left w:val="none" w:sz="0" w:space="0" w:color="auto"/>
                            <w:bottom w:val="none" w:sz="0" w:space="0" w:color="auto"/>
                            <w:right w:val="none" w:sz="0" w:space="0" w:color="auto"/>
                          </w:divBdr>
                          <w:divsChild>
                            <w:div w:id="19789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2573">
      <w:bodyDiv w:val="1"/>
      <w:marLeft w:val="0"/>
      <w:marRight w:val="0"/>
      <w:marTop w:val="0"/>
      <w:marBottom w:val="0"/>
      <w:divBdr>
        <w:top w:val="none" w:sz="0" w:space="0" w:color="auto"/>
        <w:left w:val="none" w:sz="0" w:space="0" w:color="auto"/>
        <w:bottom w:val="none" w:sz="0" w:space="0" w:color="auto"/>
        <w:right w:val="none" w:sz="0" w:space="0" w:color="auto"/>
      </w:divBdr>
    </w:div>
    <w:div w:id="239489942">
      <w:bodyDiv w:val="1"/>
      <w:marLeft w:val="0"/>
      <w:marRight w:val="0"/>
      <w:marTop w:val="0"/>
      <w:marBottom w:val="0"/>
      <w:divBdr>
        <w:top w:val="none" w:sz="0" w:space="0" w:color="auto"/>
        <w:left w:val="none" w:sz="0" w:space="0" w:color="auto"/>
        <w:bottom w:val="none" w:sz="0" w:space="0" w:color="auto"/>
        <w:right w:val="none" w:sz="0" w:space="0" w:color="auto"/>
      </w:divBdr>
    </w:div>
    <w:div w:id="283073712">
      <w:bodyDiv w:val="1"/>
      <w:marLeft w:val="0"/>
      <w:marRight w:val="0"/>
      <w:marTop w:val="0"/>
      <w:marBottom w:val="0"/>
      <w:divBdr>
        <w:top w:val="none" w:sz="0" w:space="0" w:color="auto"/>
        <w:left w:val="none" w:sz="0" w:space="0" w:color="auto"/>
        <w:bottom w:val="none" w:sz="0" w:space="0" w:color="auto"/>
        <w:right w:val="none" w:sz="0" w:space="0" w:color="auto"/>
      </w:divBdr>
    </w:div>
    <w:div w:id="310837865">
      <w:bodyDiv w:val="1"/>
      <w:marLeft w:val="0"/>
      <w:marRight w:val="0"/>
      <w:marTop w:val="0"/>
      <w:marBottom w:val="0"/>
      <w:divBdr>
        <w:top w:val="none" w:sz="0" w:space="0" w:color="auto"/>
        <w:left w:val="none" w:sz="0" w:space="0" w:color="auto"/>
        <w:bottom w:val="none" w:sz="0" w:space="0" w:color="auto"/>
        <w:right w:val="none" w:sz="0" w:space="0" w:color="auto"/>
      </w:divBdr>
    </w:div>
    <w:div w:id="327681215">
      <w:bodyDiv w:val="1"/>
      <w:marLeft w:val="0"/>
      <w:marRight w:val="0"/>
      <w:marTop w:val="0"/>
      <w:marBottom w:val="0"/>
      <w:divBdr>
        <w:top w:val="none" w:sz="0" w:space="0" w:color="auto"/>
        <w:left w:val="none" w:sz="0" w:space="0" w:color="auto"/>
        <w:bottom w:val="none" w:sz="0" w:space="0" w:color="auto"/>
        <w:right w:val="none" w:sz="0" w:space="0" w:color="auto"/>
      </w:divBdr>
    </w:div>
    <w:div w:id="417139256">
      <w:bodyDiv w:val="1"/>
      <w:marLeft w:val="0"/>
      <w:marRight w:val="0"/>
      <w:marTop w:val="0"/>
      <w:marBottom w:val="0"/>
      <w:divBdr>
        <w:top w:val="none" w:sz="0" w:space="0" w:color="auto"/>
        <w:left w:val="none" w:sz="0" w:space="0" w:color="auto"/>
        <w:bottom w:val="none" w:sz="0" w:space="0" w:color="auto"/>
        <w:right w:val="none" w:sz="0" w:space="0" w:color="auto"/>
      </w:divBdr>
    </w:div>
    <w:div w:id="426124076">
      <w:bodyDiv w:val="1"/>
      <w:marLeft w:val="0"/>
      <w:marRight w:val="0"/>
      <w:marTop w:val="0"/>
      <w:marBottom w:val="0"/>
      <w:divBdr>
        <w:top w:val="none" w:sz="0" w:space="0" w:color="auto"/>
        <w:left w:val="none" w:sz="0" w:space="0" w:color="auto"/>
        <w:bottom w:val="none" w:sz="0" w:space="0" w:color="auto"/>
        <w:right w:val="none" w:sz="0" w:space="0" w:color="auto"/>
      </w:divBdr>
    </w:div>
    <w:div w:id="434447990">
      <w:bodyDiv w:val="1"/>
      <w:marLeft w:val="0"/>
      <w:marRight w:val="0"/>
      <w:marTop w:val="0"/>
      <w:marBottom w:val="0"/>
      <w:divBdr>
        <w:top w:val="none" w:sz="0" w:space="0" w:color="auto"/>
        <w:left w:val="none" w:sz="0" w:space="0" w:color="auto"/>
        <w:bottom w:val="none" w:sz="0" w:space="0" w:color="auto"/>
        <w:right w:val="none" w:sz="0" w:space="0" w:color="auto"/>
      </w:divBdr>
    </w:div>
    <w:div w:id="466554822">
      <w:bodyDiv w:val="1"/>
      <w:marLeft w:val="0"/>
      <w:marRight w:val="0"/>
      <w:marTop w:val="0"/>
      <w:marBottom w:val="0"/>
      <w:divBdr>
        <w:top w:val="none" w:sz="0" w:space="0" w:color="auto"/>
        <w:left w:val="none" w:sz="0" w:space="0" w:color="auto"/>
        <w:bottom w:val="none" w:sz="0" w:space="0" w:color="auto"/>
        <w:right w:val="none" w:sz="0" w:space="0" w:color="auto"/>
      </w:divBdr>
    </w:div>
    <w:div w:id="482819570">
      <w:bodyDiv w:val="1"/>
      <w:marLeft w:val="0"/>
      <w:marRight w:val="0"/>
      <w:marTop w:val="0"/>
      <w:marBottom w:val="0"/>
      <w:divBdr>
        <w:top w:val="none" w:sz="0" w:space="0" w:color="auto"/>
        <w:left w:val="none" w:sz="0" w:space="0" w:color="auto"/>
        <w:bottom w:val="none" w:sz="0" w:space="0" w:color="auto"/>
        <w:right w:val="none" w:sz="0" w:space="0" w:color="auto"/>
      </w:divBdr>
      <w:divsChild>
        <w:div w:id="1502352579">
          <w:marLeft w:val="0"/>
          <w:marRight w:val="0"/>
          <w:marTop w:val="0"/>
          <w:marBottom w:val="0"/>
          <w:divBdr>
            <w:top w:val="none" w:sz="0" w:space="0" w:color="auto"/>
            <w:left w:val="none" w:sz="0" w:space="0" w:color="auto"/>
            <w:bottom w:val="none" w:sz="0" w:space="0" w:color="auto"/>
            <w:right w:val="none" w:sz="0" w:space="0" w:color="auto"/>
          </w:divBdr>
          <w:divsChild>
            <w:div w:id="1396854401">
              <w:marLeft w:val="0"/>
              <w:marRight w:val="0"/>
              <w:marTop w:val="0"/>
              <w:marBottom w:val="0"/>
              <w:divBdr>
                <w:top w:val="none" w:sz="0" w:space="0" w:color="auto"/>
                <w:left w:val="none" w:sz="0" w:space="0" w:color="auto"/>
                <w:bottom w:val="none" w:sz="0" w:space="0" w:color="auto"/>
                <w:right w:val="none" w:sz="0" w:space="0" w:color="auto"/>
              </w:divBdr>
              <w:divsChild>
                <w:div w:id="274022570">
                  <w:marLeft w:val="0"/>
                  <w:marRight w:val="0"/>
                  <w:marTop w:val="0"/>
                  <w:marBottom w:val="0"/>
                  <w:divBdr>
                    <w:top w:val="none" w:sz="0" w:space="0" w:color="auto"/>
                    <w:left w:val="none" w:sz="0" w:space="0" w:color="auto"/>
                    <w:bottom w:val="none" w:sz="0" w:space="0" w:color="auto"/>
                    <w:right w:val="none" w:sz="0" w:space="0" w:color="auto"/>
                  </w:divBdr>
                  <w:divsChild>
                    <w:div w:id="946539808">
                      <w:marLeft w:val="0"/>
                      <w:marRight w:val="0"/>
                      <w:marTop w:val="0"/>
                      <w:marBottom w:val="0"/>
                      <w:divBdr>
                        <w:top w:val="none" w:sz="0" w:space="0" w:color="auto"/>
                        <w:left w:val="none" w:sz="0" w:space="0" w:color="auto"/>
                        <w:bottom w:val="none" w:sz="0" w:space="0" w:color="auto"/>
                        <w:right w:val="none" w:sz="0" w:space="0" w:color="auto"/>
                      </w:divBdr>
                      <w:divsChild>
                        <w:div w:id="1934625250">
                          <w:marLeft w:val="0"/>
                          <w:marRight w:val="0"/>
                          <w:marTop w:val="0"/>
                          <w:marBottom w:val="0"/>
                          <w:divBdr>
                            <w:top w:val="none" w:sz="0" w:space="0" w:color="auto"/>
                            <w:left w:val="none" w:sz="0" w:space="0" w:color="auto"/>
                            <w:bottom w:val="none" w:sz="0" w:space="0" w:color="auto"/>
                            <w:right w:val="none" w:sz="0" w:space="0" w:color="auto"/>
                          </w:divBdr>
                          <w:divsChild>
                            <w:div w:id="788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65388">
      <w:bodyDiv w:val="1"/>
      <w:marLeft w:val="0"/>
      <w:marRight w:val="0"/>
      <w:marTop w:val="0"/>
      <w:marBottom w:val="0"/>
      <w:divBdr>
        <w:top w:val="none" w:sz="0" w:space="0" w:color="auto"/>
        <w:left w:val="none" w:sz="0" w:space="0" w:color="auto"/>
        <w:bottom w:val="none" w:sz="0" w:space="0" w:color="auto"/>
        <w:right w:val="none" w:sz="0" w:space="0" w:color="auto"/>
      </w:divBdr>
    </w:div>
    <w:div w:id="569274651">
      <w:marLeft w:val="0"/>
      <w:marRight w:val="0"/>
      <w:marTop w:val="0"/>
      <w:marBottom w:val="0"/>
      <w:divBdr>
        <w:top w:val="none" w:sz="0" w:space="0" w:color="auto"/>
        <w:left w:val="none" w:sz="0" w:space="0" w:color="auto"/>
        <w:bottom w:val="none" w:sz="0" w:space="0" w:color="auto"/>
        <w:right w:val="none" w:sz="0" w:space="0" w:color="auto"/>
      </w:divBdr>
    </w:div>
    <w:div w:id="569274652">
      <w:marLeft w:val="0"/>
      <w:marRight w:val="0"/>
      <w:marTop w:val="0"/>
      <w:marBottom w:val="0"/>
      <w:divBdr>
        <w:top w:val="none" w:sz="0" w:space="0" w:color="auto"/>
        <w:left w:val="none" w:sz="0" w:space="0" w:color="auto"/>
        <w:bottom w:val="none" w:sz="0" w:space="0" w:color="auto"/>
        <w:right w:val="none" w:sz="0" w:space="0" w:color="auto"/>
      </w:divBdr>
    </w:div>
    <w:div w:id="569274653">
      <w:marLeft w:val="0"/>
      <w:marRight w:val="0"/>
      <w:marTop w:val="0"/>
      <w:marBottom w:val="0"/>
      <w:divBdr>
        <w:top w:val="none" w:sz="0" w:space="0" w:color="auto"/>
        <w:left w:val="none" w:sz="0" w:space="0" w:color="auto"/>
        <w:bottom w:val="none" w:sz="0" w:space="0" w:color="auto"/>
        <w:right w:val="none" w:sz="0" w:space="0" w:color="auto"/>
      </w:divBdr>
    </w:div>
    <w:div w:id="569274654">
      <w:marLeft w:val="0"/>
      <w:marRight w:val="0"/>
      <w:marTop w:val="0"/>
      <w:marBottom w:val="0"/>
      <w:divBdr>
        <w:top w:val="none" w:sz="0" w:space="0" w:color="auto"/>
        <w:left w:val="none" w:sz="0" w:space="0" w:color="auto"/>
        <w:bottom w:val="none" w:sz="0" w:space="0" w:color="auto"/>
        <w:right w:val="none" w:sz="0" w:space="0" w:color="auto"/>
      </w:divBdr>
    </w:div>
    <w:div w:id="731386051">
      <w:bodyDiv w:val="1"/>
      <w:marLeft w:val="0"/>
      <w:marRight w:val="0"/>
      <w:marTop w:val="0"/>
      <w:marBottom w:val="0"/>
      <w:divBdr>
        <w:top w:val="none" w:sz="0" w:space="0" w:color="auto"/>
        <w:left w:val="none" w:sz="0" w:space="0" w:color="auto"/>
        <w:bottom w:val="none" w:sz="0" w:space="0" w:color="auto"/>
        <w:right w:val="none" w:sz="0" w:space="0" w:color="auto"/>
      </w:divBdr>
    </w:div>
    <w:div w:id="755634510">
      <w:bodyDiv w:val="1"/>
      <w:marLeft w:val="0"/>
      <w:marRight w:val="0"/>
      <w:marTop w:val="0"/>
      <w:marBottom w:val="0"/>
      <w:divBdr>
        <w:top w:val="none" w:sz="0" w:space="0" w:color="auto"/>
        <w:left w:val="none" w:sz="0" w:space="0" w:color="auto"/>
        <w:bottom w:val="none" w:sz="0" w:space="0" w:color="auto"/>
        <w:right w:val="none" w:sz="0" w:space="0" w:color="auto"/>
      </w:divBdr>
    </w:div>
    <w:div w:id="805902352">
      <w:bodyDiv w:val="1"/>
      <w:marLeft w:val="0"/>
      <w:marRight w:val="0"/>
      <w:marTop w:val="0"/>
      <w:marBottom w:val="0"/>
      <w:divBdr>
        <w:top w:val="none" w:sz="0" w:space="0" w:color="auto"/>
        <w:left w:val="none" w:sz="0" w:space="0" w:color="auto"/>
        <w:bottom w:val="none" w:sz="0" w:space="0" w:color="auto"/>
        <w:right w:val="none" w:sz="0" w:space="0" w:color="auto"/>
      </w:divBdr>
      <w:divsChild>
        <w:div w:id="1824001323">
          <w:marLeft w:val="0"/>
          <w:marRight w:val="0"/>
          <w:marTop w:val="0"/>
          <w:marBottom w:val="0"/>
          <w:divBdr>
            <w:top w:val="none" w:sz="0" w:space="0" w:color="auto"/>
            <w:left w:val="none" w:sz="0" w:space="0" w:color="auto"/>
            <w:bottom w:val="none" w:sz="0" w:space="0" w:color="auto"/>
            <w:right w:val="none" w:sz="0" w:space="0" w:color="auto"/>
          </w:divBdr>
          <w:divsChild>
            <w:div w:id="833371583">
              <w:marLeft w:val="0"/>
              <w:marRight w:val="0"/>
              <w:marTop w:val="0"/>
              <w:marBottom w:val="0"/>
              <w:divBdr>
                <w:top w:val="none" w:sz="0" w:space="0" w:color="auto"/>
                <w:left w:val="none" w:sz="0" w:space="0" w:color="auto"/>
                <w:bottom w:val="none" w:sz="0" w:space="0" w:color="auto"/>
                <w:right w:val="none" w:sz="0" w:space="0" w:color="auto"/>
              </w:divBdr>
              <w:divsChild>
                <w:div w:id="697238946">
                  <w:marLeft w:val="0"/>
                  <w:marRight w:val="0"/>
                  <w:marTop w:val="0"/>
                  <w:marBottom w:val="0"/>
                  <w:divBdr>
                    <w:top w:val="none" w:sz="0" w:space="0" w:color="auto"/>
                    <w:left w:val="none" w:sz="0" w:space="0" w:color="auto"/>
                    <w:bottom w:val="none" w:sz="0" w:space="0" w:color="auto"/>
                    <w:right w:val="none" w:sz="0" w:space="0" w:color="auto"/>
                  </w:divBdr>
                  <w:divsChild>
                    <w:div w:id="1540822942">
                      <w:marLeft w:val="0"/>
                      <w:marRight w:val="0"/>
                      <w:marTop w:val="0"/>
                      <w:marBottom w:val="0"/>
                      <w:divBdr>
                        <w:top w:val="none" w:sz="0" w:space="0" w:color="auto"/>
                        <w:left w:val="none" w:sz="0" w:space="0" w:color="auto"/>
                        <w:bottom w:val="none" w:sz="0" w:space="0" w:color="auto"/>
                        <w:right w:val="none" w:sz="0" w:space="0" w:color="auto"/>
                      </w:divBdr>
                      <w:divsChild>
                        <w:div w:id="1475566254">
                          <w:marLeft w:val="0"/>
                          <w:marRight w:val="0"/>
                          <w:marTop w:val="0"/>
                          <w:marBottom w:val="0"/>
                          <w:divBdr>
                            <w:top w:val="none" w:sz="0" w:space="0" w:color="auto"/>
                            <w:left w:val="none" w:sz="0" w:space="0" w:color="auto"/>
                            <w:bottom w:val="none" w:sz="0" w:space="0" w:color="auto"/>
                            <w:right w:val="none" w:sz="0" w:space="0" w:color="auto"/>
                          </w:divBdr>
                          <w:divsChild>
                            <w:div w:id="14038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49291">
      <w:bodyDiv w:val="1"/>
      <w:marLeft w:val="0"/>
      <w:marRight w:val="0"/>
      <w:marTop w:val="0"/>
      <w:marBottom w:val="0"/>
      <w:divBdr>
        <w:top w:val="none" w:sz="0" w:space="0" w:color="auto"/>
        <w:left w:val="none" w:sz="0" w:space="0" w:color="auto"/>
        <w:bottom w:val="none" w:sz="0" w:space="0" w:color="auto"/>
        <w:right w:val="none" w:sz="0" w:space="0" w:color="auto"/>
      </w:divBdr>
    </w:div>
    <w:div w:id="903367963">
      <w:bodyDiv w:val="1"/>
      <w:marLeft w:val="0"/>
      <w:marRight w:val="0"/>
      <w:marTop w:val="0"/>
      <w:marBottom w:val="0"/>
      <w:divBdr>
        <w:top w:val="none" w:sz="0" w:space="0" w:color="auto"/>
        <w:left w:val="none" w:sz="0" w:space="0" w:color="auto"/>
        <w:bottom w:val="none" w:sz="0" w:space="0" w:color="auto"/>
        <w:right w:val="none" w:sz="0" w:space="0" w:color="auto"/>
      </w:divBdr>
    </w:div>
    <w:div w:id="955066476">
      <w:bodyDiv w:val="1"/>
      <w:marLeft w:val="0"/>
      <w:marRight w:val="0"/>
      <w:marTop w:val="0"/>
      <w:marBottom w:val="0"/>
      <w:divBdr>
        <w:top w:val="none" w:sz="0" w:space="0" w:color="auto"/>
        <w:left w:val="none" w:sz="0" w:space="0" w:color="auto"/>
        <w:bottom w:val="none" w:sz="0" w:space="0" w:color="auto"/>
        <w:right w:val="none" w:sz="0" w:space="0" w:color="auto"/>
      </w:divBdr>
    </w:div>
    <w:div w:id="962462961">
      <w:bodyDiv w:val="1"/>
      <w:marLeft w:val="0"/>
      <w:marRight w:val="0"/>
      <w:marTop w:val="0"/>
      <w:marBottom w:val="0"/>
      <w:divBdr>
        <w:top w:val="none" w:sz="0" w:space="0" w:color="auto"/>
        <w:left w:val="none" w:sz="0" w:space="0" w:color="auto"/>
        <w:bottom w:val="none" w:sz="0" w:space="0" w:color="auto"/>
        <w:right w:val="none" w:sz="0" w:space="0" w:color="auto"/>
      </w:divBdr>
    </w:div>
    <w:div w:id="1035882540">
      <w:bodyDiv w:val="1"/>
      <w:marLeft w:val="0"/>
      <w:marRight w:val="0"/>
      <w:marTop w:val="0"/>
      <w:marBottom w:val="0"/>
      <w:divBdr>
        <w:top w:val="none" w:sz="0" w:space="0" w:color="auto"/>
        <w:left w:val="none" w:sz="0" w:space="0" w:color="auto"/>
        <w:bottom w:val="none" w:sz="0" w:space="0" w:color="auto"/>
        <w:right w:val="none" w:sz="0" w:space="0" w:color="auto"/>
      </w:divBdr>
    </w:div>
    <w:div w:id="1159888349">
      <w:bodyDiv w:val="1"/>
      <w:marLeft w:val="0"/>
      <w:marRight w:val="0"/>
      <w:marTop w:val="0"/>
      <w:marBottom w:val="0"/>
      <w:divBdr>
        <w:top w:val="none" w:sz="0" w:space="0" w:color="auto"/>
        <w:left w:val="none" w:sz="0" w:space="0" w:color="auto"/>
        <w:bottom w:val="none" w:sz="0" w:space="0" w:color="auto"/>
        <w:right w:val="none" w:sz="0" w:space="0" w:color="auto"/>
      </w:divBdr>
    </w:div>
    <w:div w:id="1162966787">
      <w:bodyDiv w:val="1"/>
      <w:marLeft w:val="0"/>
      <w:marRight w:val="0"/>
      <w:marTop w:val="0"/>
      <w:marBottom w:val="0"/>
      <w:divBdr>
        <w:top w:val="none" w:sz="0" w:space="0" w:color="auto"/>
        <w:left w:val="none" w:sz="0" w:space="0" w:color="auto"/>
        <w:bottom w:val="none" w:sz="0" w:space="0" w:color="auto"/>
        <w:right w:val="none" w:sz="0" w:space="0" w:color="auto"/>
      </w:divBdr>
    </w:div>
    <w:div w:id="1188257763">
      <w:bodyDiv w:val="1"/>
      <w:marLeft w:val="0"/>
      <w:marRight w:val="0"/>
      <w:marTop w:val="0"/>
      <w:marBottom w:val="0"/>
      <w:divBdr>
        <w:top w:val="none" w:sz="0" w:space="0" w:color="auto"/>
        <w:left w:val="none" w:sz="0" w:space="0" w:color="auto"/>
        <w:bottom w:val="none" w:sz="0" w:space="0" w:color="auto"/>
        <w:right w:val="none" w:sz="0" w:space="0" w:color="auto"/>
      </w:divBdr>
    </w:div>
    <w:div w:id="1251545032">
      <w:bodyDiv w:val="1"/>
      <w:marLeft w:val="0"/>
      <w:marRight w:val="0"/>
      <w:marTop w:val="0"/>
      <w:marBottom w:val="0"/>
      <w:divBdr>
        <w:top w:val="none" w:sz="0" w:space="0" w:color="auto"/>
        <w:left w:val="none" w:sz="0" w:space="0" w:color="auto"/>
        <w:bottom w:val="none" w:sz="0" w:space="0" w:color="auto"/>
        <w:right w:val="none" w:sz="0" w:space="0" w:color="auto"/>
      </w:divBdr>
    </w:div>
    <w:div w:id="1301500954">
      <w:bodyDiv w:val="1"/>
      <w:marLeft w:val="0"/>
      <w:marRight w:val="0"/>
      <w:marTop w:val="0"/>
      <w:marBottom w:val="0"/>
      <w:divBdr>
        <w:top w:val="none" w:sz="0" w:space="0" w:color="auto"/>
        <w:left w:val="none" w:sz="0" w:space="0" w:color="auto"/>
        <w:bottom w:val="none" w:sz="0" w:space="0" w:color="auto"/>
        <w:right w:val="none" w:sz="0" w:space="0" w:color="auto"/>
      </w:divBdr>
      <w:divsChild>
        <w:div w:id="1673993654">
          <w:marLeft w:val="0"/>
          <w:marRight w:val="0"/>
          <w:marTop w:val="0"/>
          <w:marBottom w:val="0"/>
          <w:divBdr>
            <w:top w:val="none" w:sz="0" w:space="0" w:color="auto"/>
            <w:left w:val="none" w:sz="0" w:space="0" w:color="auto"/>
            <w:bottom w:val="none" w:sz="0" w:space="0" w:color="auto"/>
            <w:right w:val="none" w:sz="0" w:space="0" w:color="auto"/>
          </w:divBdr>
          <w:divsChild>
            <w:div w:id="887423385">
              <w:marLeft w:val="0"/>
              <w:marRight w:val="0"/>
              <w:marTop w:val="0"/>
              <w:marBottom w:val="0"/>
              <w:divBdr>
                <w:top w:val="none" w:sz="0" w:space="0" w:color="auto"/>
                <w:left w:val="none" w:sz="0" w:space="0" w:color="auto"/>
                <w:bottom w:val="none" w:sz="0" w:space="0" w:color="auto"/>
                <w:right w:val="none" w:sz="0" w:space="0" w:color="auto"/>
              </w:divBdr>
              <w:divsChild>
                <w:div w:id="480345585">
                  <w:marLeft w:val="0"/>
                  <w:marRight w:val="0"/>
                  <w:marTop w:val="0"/>
                  <w:marBottom w:val="0"/>
                  <w:divBdr>
                    <w:top w:val="none" w:sz="0" w:space="0" w:color="auto"/>
                    <w:left w:val="none" w:sz="0" w:space="0" w:color="auto"/>
                    <w:bottom w:val="none" w:sz="0" w:space="0" w:color="auto"/>
                    <w:right w:val="none" w:sz="0" w:space="0" w:color="auto"/>
                  </w:divBdr>
                  <w:divsChild>
                    <w:div w:id="758409454">
                      <w:marLeft w:val="0"/>
                      <w:marRight w:val="0"/>
                      <w:marTop w:val="0"/>
                      <w:marBottom w:val="0"/>
                      <w:divBdr>
                        <w:top w:val="none" w:sz="0" w:space="0" w:color="auto"/>
                        <w:left w:val="none" w:sz="0" w:space="0" w:color="auto"/>
                        <w:bottom w:val="none" w:sz="0" w:space="0" w:color="auto"/>
                        <w:right w:val="none" w:sz="0" w:space="0" w:color="auto"/>
                      </w:divBdr>
                      <w:divsChild>
                        <w:div w:id="1715734223">
                          <w:marLeft w:val="0"/>
                          <w:marRight w:val="0"/>
                          <w:marTop w:val="0"/>
                          <w:marBottom w:val="0"/>
                          <w:divBdr>
                            <w:top w:val="none" w:sz="0" w:space="0" w:color="auto"/>
                            <w:left w:val="none" w:sz="0" w:space="0" w:color="auto"/>
                            <w:bottom w:val="none" w:sz="0" w:space="0" w:color="auto"/>
                            <w:right w:val="none" w:sz="0" w:space="0" w:color="auto"/>
                          </w:divBdr>
                          <w:divsChild>
                            <w:div w:id="2663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68332">
      <w:bodyDiv w:val="1"/>
      <w:marLeft w:val="0"/>
      <w:marRight w:val="0"/>
      <w:marTop w:val="0"/>
      <w:marBottom w:val="0"/>
      <w:divBdr>
        <w:top w:val="none" w:sz="0" w:space="0" w:color="auto"/>
        <w:left w:val="none" w:sz="0" w:space="0" w:color="auto"/>
        <w:bottom w:val="none" w:sz="0" w:space="0" w:color="auto"/>
        <w:right w:val="none" w:sz="0" w:space="0" w:color="auto"/>
      </w:divBdr>
    </w:div>
    <w:div w:id="1358776858">
      <w:bodyDiv w:val="1"/>
      <w:marLeft w:val="0"/>
      <w:marRight w:val="0"/>
      <w:marTop w:val="0"/>
      <w:marBottom w:val="0"/>
      <w:divBdr>
        <w:top w:val="none" w:sz="0" w:space="0" w:color="auto"/>
        <w:left w:val="none" w:sz="0" w:space="0" w:color="auto"/>
        <w:bottom w:val="none" w:sz="0" w:space="0" w:color="auto"/>
        <w:right w:val="none" w:sz="0" w:space="0" w:color="auto"/>
      </w:divBdr>
    </w:div>
    <w:div w:id="1445534565">
      <w:bodyDiv w:val="1"/>
      <w:marLeft w:val="0"/>
      <w:marRight w:val="0"/>
      <w:marTop w:val="0"/>
      <w:marBottom w:val="0"/>
      <w:divBdr>
        <w:top w:val="none" w:sz="0" w:space="0" w:color="auto"/>
        <w:left w:val="none" w:sz="0" w:space="0" w:color="auto"/>
        <w:bottom w:val="none" w:sz="0" w:space="0" w:color="auto"/>
        <w:right w:val="none" w:sz="0" w:space="0" w:color="auto"/>
      </w:divBdr>
    </w:div>
    <w:div w:id="1508248952">
      <w:bodyDiv w:val="1"/>
      <w:marLeft w:val="0"/>
      <w:marRight w:val="0"/>
      <w:marTop w:val="0"/>
      <w:marBottom w:val="0"/>
      <w:divBdr>
        <w:top w:val="none" w:sz="0" w:space="0" w:color="auto"/>
        <w:left w:val="none" w:sz="0" w:space="0" w:color="auto"/>
        <w:bottom w:val="none" w:sz="0" w:space="0" w:color="auto"/>
        <w:right w:val="none" w:sz="0" w:space="0" w:color="auto"/>
      </w:divBdr>
      <w:divsChild>
        <w:div w:id="425157551">
          <w:marLeft w:val="0"/>
          <w:marRight w:val="0"/>
          <w:marTop w:val="0"/>
          <w:marBottom w:val="0"/>
          <w:divBdr>
            <w:top w:val="none" w:sz="0" w:space="0" w:color="auto"/>
            <w:left w:val="none" w:sz="0" w:space="0" w:color="auto"/>
            <w:bottom w:val="none" w:sz="0" w:space="0" w:color="auto"/>
            <w:right w:val="none" w:sz="0" w:space="0" w:color="auto"/>
          </w:divBdr>
          <w:divsChild>
            <w:div w:id="403139972">
              <w:marLeft w:val="0"/>
              <w:marRight w:val="0"/>
              <w:marTop w:val="0"/>
              <w:marBottom w:val="0"/>
              <w:divBdr>
                <w:top w:val="none" w:sz="0" w:space="0" w:color="auto"/>
                <w:left w:val="none" w:sz="0" w:space="0" w:color="auto"/>
                <w:bottom w:val="none" w:sz="0" w:space="0" w:color="auto"/>
                <w:right w:val="none" w:sz="0" w:space="0" w:color="auto"/>
              </w:divBdr>
              <w:divsChild>
                <w:div w:id="1384475820">
                  <w:marLeft w:val="0"/>
                  <w:marRight w:val="0"/>
                  <w:marTop w:val="0"/>
                  <w:marBottom w:val="0"/>
                  <w:divBdr>
                    <w:top w:val="none" w:sz="0" w:space="0" w:color="auto"/>
                    <w:left w:val="none" w:sz="0" w:space="0" w:color="auto"/>
                    <w:bottom w:val="none" w:sz="0" w:space="0" w:color="auto"/>
                    <w:right w:val="none" w:sz="0" w:space="0" w:color="auto"/>
                  </w:divBdr>
                  <w:divsChild>
                    <w:div w:id="489171933">
                      <w:marLeft w:val="0"/>
                      <w:marRight w:val="0"/>
                      <w:marTop w:val="0"/>
                      <w:marBottom w:val="0"/>
                      <w:divBdr>
                        <w:top w:val="none" w:sz="0" w:space="0" w:color="auto"/>
                        <w:left w:val="none" w:sz="0" w:space="0" w:color="auto"/>
                        <w:bottom w:val="none" w:sz="0" w:space="0" w:color="auto"/>
                        <w:right w:val="none" w:sz="0" w:space="0" w:color="auto"/>
                      </w:divBdr>
                      <w:divsChild>
                        <w:div w:id="1398476211">
                          <w:marLeft w:val="0"/>
                          <w:marRight w:val="0"/>
                          <w:marTop w:val="0"/>
                          <w:marBottom w:val="0"/>
                          <w:divBdr>
                            <w:top w:val="none" w:sz="0" w:space="0" w:color="auto"/>
                            <w:left w:val="none" w:sz="0" w:space="0" w:color="auto"/>
                            <w:bottom w:val="none" w:sz="0" w:space="0" w:color="auto"/>
                            <w:right w:val="none" w:sz="0" w:space="0" w:color="auto"/>
                          </w:divBdr>
                          <w:divsChild>
                            <w:div w:id="11236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77907">
      <w:bodyDiv w:val="1"/>
      <w:marLeft w:val="0"/>
      <w:marRight w:val="0"/>
      <w:marTop w:val="0"/>
      <w:marBottom w:val="0"/>
      <w:divBdr>
        <w:top w:val="none" w:sz="0" w:space="0" w:color="auto"/>
        <w:left w:val="none" w:sz="0" w:space="0" w:color="auto"/>
        <w:bottom w:val="none" w:sz="0" w:space="0" w:color="auto"/>
        <w:right w:val="none" w:sz="0" w:space="0" w:color="auto"/>
      </w:divBdr>
    </w:div>
    <w:div w:id="1529416569">
      <w:bodyDiv w:val="1"/>
      <w:marLeft w:val="0"/>
      <w:marRight w:val="0"/>
      <w:marTop w:val="0"/>
      <w:marBottom w:val="0"/>
      <w:divBdr>
        <w:top w:val="none" w:sz="0" w:space="0" w:color="auto"/>
        <w:left w:val="none" w:sz="0" w:space="0" w:color="auto"/>
        <w:bottom w:val="none" w:sz="0" w:space="0" w:color="auto"/>
        <w:right w:val="none" w:sz="0" w:space="0" w:color="auto"/>
      </w:divBdr>
    </w:div>
    <w:div w:id="1802503118">
      <w:bodyDiv w:val="1"/>
      <w:marLeft w:val="0"/>
      <w:marRight w:val="0"/>
      <w:marTop w:val="0"/>
      <w:marBottom w:val="0"/>
      <w:divBdr>
        <w:top w:val="none" w:sz="0" w:space="0" w:color="auto"/>
        <w:left w:val="none" w:sz="0" w:space="0" w:color="auto"/>
        <w:bottom w:val="none" w:sz="0" w:space="0" w:color="auto"/>
        <w:right w:val="none" w:sz="0" w:space="0" w:color="auto"/>
      </w:divBdr>
    </w:div>
    <w:div w:id="1814788051">
      <w:bodyDiv w:val="1"/>
      <w:marLeft w:val="0"/>
      <w:marRight w:val="0"/>
      <w:marTop w:val="0"/>
      <w:marBottom w:val="0"/>
      <w:divBdr>
        <w:top w:val="none" w:sz="0" w:space="0" w:color="auto"/>
        <w:left w:val="none" w:sz="0" w:space="0" w:color="auto"/>
        <w:bottom w:val="none" w:sz="0" w:space="0" w:color="auto"/>
        <w:right w:val="none" w:sz="0" w:space="0" w:color="auto"/>
      </w:divBdr>
    </w:div>
    <w:div w:id="1941331005">
      <w:bodyDiv w:val="1"/>
      <w:marLeft w:val="0"/>
      <w:marRight w:val="0"/>
      <w:marTop w:val="0"/>
      <w:marBottom w:val="0"/>
      <w:divBdr>
        <w:top w:val="none" w:sz="0" w:space="0" w:color="auto"/>
        <w:left w:val="none" w:sz="0" w:space="0" w:color="auto"/>
        <w:bottom w:val="none" w:sz="0" w:space="0" w:color="auto"/>
        <w:right w:val="none" w:sz="0" w:space="0" w:color="auto"/>
      </w:divBdr>
    </w:div>
    <w:div w:id="1968508510">
      <w:bodyDiv w:val="1"/>
      <w:marLeft w:val="0"/>
      <w:marRight w:val="0"/>
      <w:marTop w:val="0"/>
      <w:marBottom w:val="0"/>
      <w:divBdr>
        <w:top w:val="none" w:sz="0" w:space="0" w:color="auto"/>
        <w:left w:val="none" w:sz="0" w:space="0" w:color="auto"/>
        <w:bottom w:val="none" w:sz="0" w:space="0" w:color="auto"/>
        <w:right w:val="none" w:sz="0" w:space="0" w:color="auto"/>
      </w:divBdr>
    </w:div>
    <w:div w:id="1996570159">
      <w:bodyDiv w:val="1"/>
      <w:marLeft w:val="0"/>
      <w:marRight w:val="0"/>
      <w:marTop w:val="0"/>
      <w:marBottom w:val="0"/>
      <w:divBdr>
        <w:top w:val="none" w:sz="0" w:space="0" w:color="auto"/>
        <w:left w:val="none" w:sz="0" w:space="0" w:color="auto"/>
        <w:bottom w:val="none" w:sz="0" w:space="0" w:color="auto"/>
        <w:right w:val="none" w:sz="0" w:space="0" w:color="auto"/>
      </w:divBdr>
    </w:div>
    <w:div w:id="2023243937">
      <w:bodyDiv w:val="1"/>
      <w:marLeft w:val="0"/>
      <w:marRight w:val="0"/>
      <w:marTop w:val="0"/>
      <w:marBottom w:val="0"/>
      <w:divBdr>
        <w:top w:val="none" w:sz="0" w:space="0" w:color="auto"/>
        <w:left w:val="none" w:sz="0" w:space="0" w:color="auto"/>
        <w:bottom w:val="none" w:sz="0" w:space="0" w:color="auto"/>
        <w:right w:val="none" w:sz="0" w:space="0" w:color="auto"/>
      </w:divBdr>
    </w:div>
    <w:div w:id="21119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851855\AppData\Roaming\Microsoft\Templates\Servizio%20Supervision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4751-A906-7749-AC15-9DA3CAB0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\Users\D851855\AppData\Roaming\Microsoft\Templates\Servizio Supervisione2.dot</Template>
  <TotalTime>2</TotalTime>
  <Pages>6</Pages>
  <Words>1578</Words>
  <Characters>8997</Characters>
  <Application>Microsoft Macintosh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IACHINI ELEONORA</dc:creator>
  <cp:lastModifiedBy>td-59363</cp:lastModifiedBy>
  <cp:revision>2</cp:revision>
  <cp:lastPrinted>2015-12-03T16:45:00Z</cp:lastPrinted>
  <dcterms:created xsi:type="dcterms:W3CDTF">2016-01-30T10:16:00Z</dcterms:created>
  <dcterms:modified xsi:type="dcterms:W3CDTF">2016-01-30T10:16:00Z</dcterms:modified>
</cp:coreProperties>
</file>