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4BF74" w14:textId="77777777" w:rsidR="00705336" w:rsidRDefault="00705336">
      <w:pPr>
        <w:rPr>
          <w:lang w:val="es-ES_tradnl"/>
        </w:rPr>
      </w:pPr>
      <w:r>
        <w:rPr>
          <w:lang w:val="es-ES_tradnl"/>
        </w:rPr>
        <w:t>Material suplementario:</w:t>
      </w:r>
    </w:p>
    <w:p w14:paraId="38B18D72" w14:textId="77777777" w:rsidR="00705336" w:rsidRDefault="00705336">
      <w:pPr>
        <w:rPr>
          <w:lang w:val="es-ES_tradnl"/>
        </w:rPr>
      </w:pPr>
    </w:p>
    <w:p w14:paraId="0E8C331F" w14:textId="77777777" w:rsidR="00BA292D" w:rsidRDefault="00705336">
      <w:pPr>
        <w:rPr>
          <w:lang w:val="es-ES_tradnl"/>
        </w:rPr>
      </w:pPr>
      <w:r w:rsidRPr="00705336">
        <w:rPr>
          <w:lang w:val="es-ES_tradnl"/>
        </w:rPr>
        <w:t>Se estudian los pacientes sin insuficiencia renal previa y se analiza su pronóstico en función del estadio de AKIN</w:t>
      </w:r>
      <w:r>
        <w:rPr>
          <w:lang w:val="es-ES_tradnl"/>
        </w:rPr>
        <w:t>/KDIGO</w:t>
      </w:r>
      <w:r w:rsidRPr="00705336">
        <w:rPr>
          <w:lang w:val="es-ES_tradnl"/>
        </w:rPr>
        <w:t xml:space="preserve"> en que se encuentran en el momento de iniciar la </w:t>
      </w:r>
      <w:r>
        <w:rPr>
          <w:lang w:val="es-ES_tradnl"/>
        </w:rPr>
        <w:t>terapia de remplazo renal (TRR)</w:t>
      </w:r>
      <w:r w:rsidRPr="00705336">
        <w:rPr>
          <w:lang w:val="es-ES_tradnl"/>
        </w:rPr>
        <w:t>:</w:t>
      </w:r>
    </w:p>
    <w:p w14:paraId="3391E489" w14:textId="77777777" w:rsidR="00705336" w:rsidRPr="00705336" w:rsidRDefault="00705336">
      <w:pPr>
        <w:rPr>
          <w:lang w:val="es-ES_tradnl"/>
        </w:rPr>
      </w:pPr>
    </w:p>
    <w:p w14:paraId="7EF91F0D" w14:textId="77777777" w:rsidR="00705336" w:rsidRPr="00705336" w:rsidRDefault="00705336">
      <w:pPr>
        <w:rPr>
          <w:lang w:val="es-ES_tradnl"/>
        </w:rPr>
      </w:pPr>
      <w:r w:rsidRPr="00705336">
        <w:rPr>
          <w:noProof/>
          <w:lang w:val="es-ES_tradnl"/>
        </w:rPr>
        <w:drawing>
          <wp:inline distT="0" distB="0" distL="0" distR="0" wp14:anchorId="4DCFD699" wp14:editId="39688E57">
            <wp:extent cx="5392436" cy="4053747"/>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2727" cy="4053966"/>
                    </a:xfrm>
                    <a:prstGeom prst="rect">
                      <a:avLst/>
                    </a:prstGeom>
                    <a:noFill/>
                    <a:ln>
                      <a:noFill/>
                    </a:ln>
                  </pic:spPr>
                </pic:pic>
              </a:graphicData>
            </a:graphic>
          </wp:inline>
        </w:drawing>
      </w:r>
    </w:p>
    <w:p w14:paraId="36293A46" w14:textId="77777777" w:rsidR="00705336" w:rsidRPr="00705336" w:rsidRDefault="00705336">
      <w:pPr>
        <w:rPr>
          <w:lang w:val="es-ES_tradnl"/>
        </w:rPr>
      </w:pPr>
      <w:r>
        <w:rPr>
          <w:lang w:val="es-ES_tradnl"/>
        </w:rPr>
        <w:t xml:space="preserve">Figura 1. </w:t>
      </w:r>
      <w:r w:rsidR="0030238C">
        <w:rPr>
          <w:lang w:val="es-ES_tradnl"/>
        </w:rPr>
        <w:t>No se hallan diferencias estadísticamente significativas en la s</w:t>
      </w:r>
      <w:r>
        <w:rPr>
          <w:lang w:val="es-ES_tradnl"/>
        </w:rPr>
        <w:t xml:space="preserve">upervivencia a los 90 días de los pacientes sin insuficiencia renal previa que en el momento de iniciar la TRR se encuentran en distintos </w:t>
      </w:r>
      <w:proofErr w:type="spellStart"/>
      <w:r>
        <w:rPr>
          <w:lang w:val="es-ES_tradnl"/>
        </w:rPr>
        <w:t>estadíos</w:t>
      </w:r>
      <w:proofErr w:type="spellEnd"/>
      <w:r>
        <w:rPr>
          <w:lang w:val="es-ES_tradnl"/>
        </w:rPr>
        <w:t xml:space="preserve"> de AKIN/KDIGO.</w:t>
      </w:r>
      <w:r w:rsidR="0030238C">
        <w:rPr>
          <w:lang w:val="es-ES_tradnl"/>
        </w:rPr>
        <w:t xml:space="preserve"> </w:t>
      </w:r>
    </w:p>
    <w:p w14:paraId="66AD4F57" w14:textId="77777777" w:rsidR="00705336" w:rsidRPr="00705336" w:rsidRDefault="00705336">
      <w:pPr>
        <w:rPr>
          <w:lang w:val="es-ES_tradnl"/>
        </w:rPr>
      </w:pPr>
    </w:p>
    <w:p w14:paraId="21C9BA7D" w14:textId="77777777" w:rsidR="00BA292D" w:rsidRDefault="00BA292D">
      <w:pPr>
        <w:rPr>
          <w:lang w:val="es-ES_tradnl"/>
        </w:rPr>
      </w:pPr>
      <w:r w:rsidRPr="00705336">
        <w:rPr>
          <w:noProof/>
          <w:lang w:val="es-ES_tradnl"/>
        </w:rPr>
        <w:lastRenderedPageBreak/>
        <w:drawing>
          <wp:inline distT="0" distB="0" distL="0" distR="0" wp14:anchorId="7B296283" wp14:editId="7DB543A8">
            <wp:extent cx="5396230" cy="4075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4075870"/>
                    </a:xfrm>
                    <a:prstGeom prst="rect">
                      <a:avLst/>
                    </a:prstGeom>
                    <a:noFill/>
                    <a:ln>
                      <a:noFill/>
                    </a:ln>
                  </pic:spPr>
                </pic:pic>
              </a:graphicData>
            </a:graphic>
          </wp:inline>
        </w:drawing>
      </w:r>
    </w:p>
    <w:p w14:paraId="530406E1" w14:textId="77777777" w:rsidR="0030238C" w:rsidRPr="00705336" w:rsidRDefault="0030238C">
      <w:pPr>
        <w:rPr>
          <w:lang w:val="es-ES_tradnl"/>
        </w:rPr>
      </w:pPr>
      <w:r>
        <w:rPr>
          <w:lang w:val="es-ES_tradnl"/>
        </w:rPr>
        <w:t xml:space="preserve">Figura 2. No se hallan diferencias estadísticamente significativas en la recuperación de la función renal al alta hospitalaria de los pacientes sin insuficiencia renal previa que en el momento de iniciar la TRR se encuentran en distintos </w:t>
      </w:r>
      <w:proofErr w:type="spellStart"/>
      <w:r>
        <w:rPr>
          <w:lang w:val="es-ES_tradnl"/>
        </w:rPr>
        <w:t>estadíos</w:t>
      </w:r>
      <w:proofErr w:type="spellEnd"/>
      <w:r>
        <w:rPr>
          <w:lang w:val="es-ES_tradnl"/>
        </w:rPr>
        <w:t xml:space="preserve"> de AKIN/KDIGO.</w:t>
      </w:r>
    </w:p>
    <w:p w14:paraId="5C88CBCA" w14:textId="77777777" w:rsidR="00BA292D" w:rsidRPr="00705336" w:rsidRDefault="00BA292D">
      <w:pPr>
        <w:rPr>
          <w:lang w:val="es-ES_tradnl"/>
        </w:rPr>
      </w:pPr>
    </w:p>
    <w:p w14:paraId="06FEED5C" w14:textId="77777777" w:rsidR="00BA292D" w:rsidRDefault="00BA292D">
      <w:pPr>
        <w:rPr>
          <w:lang w:val="es-ES_tradnl"/>
        </w:rPr>
      </w:pPr>
      <w:r w:rsidRPr="00705336">
        <w:rPr>
          <w:noProof/>
          <w:lang w:val="es-ES_tradnl"/>
        </w:rPr>
        <w:lastRenderedPageBreak/>
        <w:drawing>
          <wp:inline distT="0" distB="0" distL="0" distR="0" wp14:anchorId="2DF17ED7" wp14:editId="249BCCDB">
            <wp:extent cx="5396230" cy="40438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6230" cy="4043846"/>
                    </a:xfrm>
                    <a:prstGeom prst="rect">
                      <a:avLst/>
                    </a:prstGeom>
                    <a:noFill/>
                    <a:ln>
                      <a:noFill/>
                    </a:ln>
                  </pic:spPr>
                </pic:pic>
              </a:graphicData>
            </a:graphic>
          </wp:inline>
        </w:drawing>
      </w:r>
    </w:p>
    <w:p w14:paraId="7CE4A840" w14:textId="77777777" w:rsidR="0030238C" w:rsidRPr="00705336" w:rsidRDefault="0030238C">
      <w:pPr>
        <w:rPr>
          <w:lang w:val="es-ES_tradnl"/>
        </w:rPr>
      </w:pPr>
      <w:r>
        <w:rPr>
          <w:lang w:val="es-ES_tradnl"/>
        </w:rPr>
        <w:t>Figura 3. Los pacientes sin insuficiencia renal previa que ingresan oligúricos sobreviven menos a los 90 días que los que no ingresan oligúricos. P-valor de 0,014; RR 3,</w:t>
      </w:r>
      <w:r w:rsidR="00ED0AFC">
        <w:rPr>
          <w:lang w:val="es-ES_tradnl"/>
        </w:rPr>
        <w:t>1; IC 95% 1,3-7,7.</w:t>
      </w:r>
    </w:p>
    <w:p w14:paraId="6B17AA8A" w14:textId="77777777" w:rsidR="00BA292D" w:rsidRPr="00705336" w:rsidRDefault="00BA292D">
      <w:pPr>
        <w:rPr>
          <w:lang w:val="es-ES_tradnl"/>
        </w:rPr>
      </w:pPr>
    </w:p>
    <w:p w14:paraId="05F663C0" w14:textId="77777777" w:rsidR="00ED0AFC" w:rsidRPr="00705336" w:rsidRDefault="00ED0AFC">
      <w:pPr>
        <w:rPr>
          <w:lang w:val="es-ES_tradnl"/>
        </w:rPr>
      </w:pPr>
    </w:p>
    <w:p w14:paraId="585D7AB7" w14:textId="77777777" w:rsidR="00BA292D" w:rsidRPr="00705336" w:rsidRDefault="00BA292D">
      <w:pPr>
        <w:rPr>
          <w:lang w:val="es-ES_tradnl"/>
        </w:rPr>
      </w:pPr>
    </w:p>
    <w:p w14:paraId="1539A0A4" w14:textId="77777777" w:rsidR="00ED0AFC" w:rsidRDefault="00ED0AFC" w:rsidP="00ED0AFC">
      <w:pPr>
        <w:rPr>
          <w:lang w:val="es-ES_tradnl"/>
        </w:rPr>
      </w:pPr>
    </w:p>
    <w:p w14:paraId="5ED4651B" w14:textId="77777777" w:rsidR="00ED0AFC" w:rsidRDefault="00ED0AFC" w:rsidP="00ED0AFC">
      <w:pPr>
        <w:rPr>
          <w:lang w:val="es-ES_tradnl"/>
        </w:rPr>
      </w:pPr>
    </w:p>
    <w:p w14:paraId="15379920" w14:textId="77777777" w:rsidR="00ED0AFC" w:rsidRDefault="00ED0AFC" w:rsidP="00ED0AFC">
      <w:pPr>
        <w:rPr>
          <w:lang w:val="es-ES_tradnl"/>
        </w:rPr>
      </w:pPr>
    </w:p>
    <w:p w14:paraId="10FA0BB6" w14:textId="77777777" w:rsidR="00ED0AFC" w:rsidRDefault="00ED0AFC" w:rsidP="00ED0AFC">
      <w:pPr>
        <w:rPr>
          <w:lang w:val="es-ES_tradnl"/>
        </w:rPr>
      </w:pPr>
    </w:p>
    <w:p w14:paraId="63A0099A" w14:textId="77777777" w:rsidR="00ED0AFC" w:rsidRDefault="00ED0AFC" w:rsidP="00ED0AFC">
      <w:pPr>
        <w:rPr>
          <w:lang w:val="es-ES_tradnl"/>
        </w:rPr>
      </w:pPr>
    </w:p>
    <w:p w14:paraId="0D9D3389" w14:textId="77777777" w:rsidR="00ED0AFC" w:rsidRDefault="00ED0AFC" w:rsidP="00ED0AFC">
      <w:pPr>
        <w:rPr>
          <w:lang w:val="es-ES_tradnl"/>
        </w:rPr>
      </w:pPr>
    </w:p>
    <w:p w14:paraId="62CED965" w14:textId="77777777" w:rsidR="00ED0AFC" w:rsidRDefault="00ED0AFC" w:rsidP="00ED0AFC">
      <w:pPr>
        <w:rPr>
          <w:lang w:val="es-ES_tradnl"/>
        </w:rPr>
      </w:pPr>
    </w:p>
    <w:p w14:paraId="3476F499" w14:textId="77777777" w:rsidR="00ED0AFC" w:rsidRDefault="00ED0AFC" w:rsidP="00ED0AFC">
      <w:pPr>
        <w:rPr>
          <w:lang w:val="es-ES_tradnl"/>
        </w:rPr>
      </w:pPr>
    </w:p>
    <w:p w14:paraId="5292638E" w14:textId="77777777" w:rsidR="00ED0AFC" w:rsidRDefault="00ED0AFC" w:rsidP="00ED0AFC">
      <w:pPr>
        <w:rPr>
          <w:lang w:val="es-ES_tradnl"/>
        </w:rPr>
      </w:pPr>
    </w:p>
    <w:p w14:paraId="55020D7C" w14:textId="77777777" w:rsidR="00ED0AFC" w:rsidRDefault="00ED0AFC" w:rsidP="00ED0AFC">
      <w:pPr>
        <w:rPr>
          <w:lang w:val="es-ES_tradnl"/>
        </w:rPr>
      </w:pPr>
    </w:p>
    <w:p w14:paraId="4ACC3227" w14:textId="77777777" w:rsidR="00ED0AFC" w:rsidRDefault="00ED0AFC" w:rsidP="00ED0AFC">
      <w:pPr>
        <w:rPr>
          <w:lang w:val="es-ES_tradnl"/>
        </w:rPr>
      </w:pPr>
    </w:p>
    <w:p w14:paraId="16ACCF6C" w14:textId="77777777" w:rsidR="00ED0AFC" w:rsidRDefault="00ED0AFC" w:rsidP="00ED0AFC">
      <w:pPr>
        <w:rPr>
          <w:lang w:val="es-ES_tradnl"/>
        </w:rPr>
      </w:pPr>
    </w:p>
    <w:p w14:paraId="7E9E201F" w14:textId="77777777" w:rsidR="00ED0AFC" w:rsidRDefault="00ED0AFC" w:rsidP="00ED0AFC">
      <w:pPr>
        <w:rPr>
          <w:lang w:val="es-ES_tradnl"/>
        </w:rPr>
      </w:pPr>
    </w:p>
    <w:p w14:paraId="134346D1" w14:textId="77777777" w:rsidR="00ED0AFC" w:rsidRDefault="00ED0AFC" w:rsidP="00ED0AFC">
      <w:pPr>
        <w:rPr>
          <w:lang w:val="es-ES_tradnl"/>
        </w:rPr>
      </w:pPr>
    </w:p>
    <w:p w14:paraId="170075A7" w14:textId="77777777" w:rsidR="00ED0AFC" w:rsidRDefault="00ED0AFC" w:rsidP="00ED0AFC">
      <w:pPr>
        <w:rPr>
          <w:lang w:val="es-ES_tradnl"/>
        </w:rPr>
      </w:pPr>
    </w:p>
    <w:p w14:paraId="07AE4437" w14:textId="77777777" w:rsidR="00ED0AFC" w:rsidRDefault="00ED0AFC" w:rsidP="00ED0AFC">
      <w:pPr>
        <w:rPr>
          <w:lang w:val="es-ES_tradnl"/>
        </w:rPr>
      </w:pPr>
    </w:p>
    <w:p w14:paraId="437B9C77" w14:textId="77777777" w:rsidR="00ED0AFC" w:rsidRDefault="00ED0AFC" w:rsidP="00ED0AFC">
      <w:pPr>
        <w:rPr>
          <w:lang w:val="es-ES_tradnl"/>
        </w:rPr>
      </w:pPr>
    </w:p>
    <w:p w14:paraId="782E5AB1" w14:textId="77777777" w:rsidR="00ED0AFC" w:rsidRDefault="00ED0AFC" w:rsidP="00ED0AFC">
      <w:pPr>
        <w:rPr>
          <w:lang w:val="es-ES_tradnl"/>
        </w:rPr>
      </w:pPr>
    </w:p>
    <w:p w14:paraId="255A33DC" w14:textId="77777777" w:rsidR="00ED0AFC" w:rsidRDefault="00ED0AFC" w:rsidP="00ED0AFC">
      <w:pPr>
        <w:rPr>
          <w:lang w:val="es-ES_tradnl"/>
        </w:rPr>
      </w:pPr>
    </w:p>
    <w:p w14:paraId="108446A2" w14:textId="77777777" w:rsidR="00ED0AFC" w:rsidRDefault="00ED0AFC" w:rsidP="00ED0AFC">
      <w:pPr>
        <w:rPr>
          <w:lang w:val="es-ES_tradnl"/>
        </w:rPr>
      </w:pPr>
    </w:p>
    <w:p w14:paraId="3D9661CF" w14:textId="77777777" w:rsidR="00ED0AFC" w:rsidRDefault="00ED0AFC" w:rsidP="00ED0AFC">
      <w:pPr>
        <w:rPr>
          <w:lang w:val="es-ES_tradnl"/>
        </w:rPr>
      </w:pPr>
    </w:p>
    <w:p w14:paraId="4D331B70" w14:textId="77777777" w:rsidR="00ED0AFC" w:rsidRDefault="00ED0AFC" w:rsidP="00ED0AFC">
      <w:pPr>
        <w:rPr>
          <w:lang w:val="es-ES_tradnl"/>
        </w:rPr>
      </w:pPr>
      <w:r w:rsidRPr="00705336">
        <w:rPr>
          <w:lang w:val="es-ES_tradnl"/>
        </w:rPr>
        <w:lastRenderedPageBreak/>
        <w:t>Se estudian</w:t>
      </w:r>
      <w:r>
        <w:rPr>
          <w:lang w:val="es-ES_tradnl"/>
        </w:rPr>
        <w:t xml:space="preserve"> por separado</w:t>
      </w:r>
      <w:r w:rsidRPr="00705336">
        <w:rPr>
          <w:lang w:val="es-ES_tradnl"/>
        </w:rPr>
        <w:t xml:space="preserve"> los pacientes sin insuficiencia renal previa</w:t>
      </w:r>
      <w:r>
        <w:rPr>
          <w:lang w:val="es-ES_tradnl"/>
        </w:rPr>
        <w:t xml:space="preserve"> que no ingresan oligúricos</w:t>
      </w:r>
      <w:r w:rsidRPr="00705336">
        <w:rPr>
          <w:lang w:val="es-ES_tradnl"/>
        </w:rPr>
        <w:t xml:space="preserve"> y se analiza su pronóstico:</w:t>
      </w:r>
    </w:p>
    <w:p w14:paraId="3CB07E57" w14:textId="77777777" w:rsidR="00BA292D" w:rsidRPr="00705336" w:rsidRDefault="00BA292D">
      <w:pPr>
        <w:rPr>
          <w:lang w:val="es-ES_tradnl"/>
        </w:rPr>
      </w:pPr>
    </w:p>
    <w:p w14:paraId="59EBA399" w14:textId="77777777" w:rsidR="00BA292D" w:rsidRPr="00705336" w:rsidRDefault="00BA292D">
      <w:pPr>
        <w:rPr>
          <w:lang w:val="es-ES_tradnl"/>
        </w:rPr>
      </w:pPr>
    </w:p>
    <w:p w14:paraId="3FF0162C" w14:textId="77777777" w:rsidR="00BA292D" w:rsidRDefault="00BA292D">
      <w:pPr>
        <w:rPr>
          <w:lang w:val="es-ES_tradnl"/>
        </w:rPr>
      </w:pPr>
      <w:r w:rsidRPr="00705336">
        <w:rPr>
          <w:noProof/>
          <w:lang w:val="es-ES_tradnl"/>
        </w:rPr>
        <w:drawing>
          <wp:inline distT="0" distB="0" distL="0" distR="0" wp14:anchorId="080EC3BB" wp14:editId="39778C10">
            <wp:extent cx="5396230" cy="410151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6230" cy="4101512"/>
                    </a:xfrm>
                    <a:prstGeom prst="rect">
                      <a:avLst/>
                    </a:prstGeom>
                    <a:noFill/>
                    <a:ln>
                      <a:noFill/>
                    </a:ln>
                  </pic:spPr>
                </pic:pic>
              </a:graphicData>
            </a:graphic>
          </wp:inline>
        </w:drawing>
      </w:r>
    </w:p>
    <w:p w14:paraId="788F7DE8" w14:textId="77777777" w:rsidR="00ED0AFC" w:rsidRPr="00705336" w:rsidRDefault="00ED0AFC">
      <w:pPr>
        <w:rPr>
          <w:lang w:val="es-ES_tradnl"/>
        </w:rPr>
      </w:pPr>
      <w:r>
        <w:rPr>
          <w:lang w:val="es-ES_tradnl"/>
        </w:rPr>
        <w:t xml:space="preserve">Figura 4. La supervivencia </w:t>
      </w:r>
      <w:r w:rsidR="00D00600">
        <w:rPr>
          <w:lang w:val="es-ES_tradnl"/>
        </w:rPr>
        <w:t xml:space="preserve">a los 90 días </w:t>
      </w:r>
      <w:r>
        <w:rPr>
          <w:lang w:val="es-ES_tradnl"/>
        </w:rPr>
        <w:t xml:space="preserve">de los pacientes sin insuficiencia renal previa que no ingresan </w:t>
      </w:r>
      <w:r w:rsidR="00D00600">
        <w:rPr>
          <w:lang w:val="es-ES_tradnl"/>
        </w:rPr>
        <w:t>oligúricos es del 80%.</w:t>
      </w:r>
      <w:r>
        <w:rPr>
          <w:lang w:val="es-ES_tradnl"/>
        </w:rPr>
        <w:t xml:space="preserve"> </w:t>
      </w:r>
    </w:p>
    <w:p w14:paraId="33DE2B03" w14:textId="77777777" w:rsidR="00BA292D" w:rsidRDefault="00BA292D">
      <w:pPr>
        <w:rPr>
          <w:lang w:val="es-ES_tradnl"/>
        </w:rPr>
      </w:pPr>
    </w:p>
    <w:p w14:paraId="6D24E422" w14:textId="77777777" w:rsidR="00D00600" w:rsidRDefault="00D00600">
      <w:pPr>
        <w:rPr>
          <w:lang w:val="es-ES_tradnl"/>
        </w:rPr>
      </w:pPr>
    </w:p>
    <w:p w14:paraId="3B50E895" w14:textId="77777777" w:rsidR="00D00600" w:rsidRDefault="00D00600">
      <w:pPr>
        <w:rPr>
          <w:lang w:val="es-ES_tradnl"/>
        </w:rPr>
      </w:pPr>
    </w:p>
    <w:p w14:paraId="29F77C43" w14:textId="77777777" w:rsidR="00D00600" w:rsidRDefault="00D00600">
      <w:pPr>
        <w:rPr>
          <w:lang w:val="es-ES_tradnl"/>
        </w:rPr>
      </w:pPr>
    </w:p>
    <w:p w14:paraId="1666F1E8" w14:textId="77777777" w:rsidR="00D00600" w:rsidRDefault="00D00600">
      <w:pPr>
        <w:rPr>
          <w:lang w:val="es-ES_tradnl"/>
        </w:rPr>
      </w:pPr>
    </w:p>
    <w:p w14:paraId="065B036A" w14:textId="77777777" w:rsidR="00D00600" w:rsidRDefault="00D00600">
      <w:pPr>
        <w:rPr>
          <w:lang w:val="es-ES_tradnl"/>
        </w:rPr>
      </w:pPr>
    </w:p>
    <w:p w14:paraId="6C9E9A79" w14:textId="77777777" w:rsidR="00D00600" w:rsidRDefault="00D00600">
      <w:pPr>
        <w:rPr>
          <w:lang w:val="es-ES_tradnl"/>
        </w:rPr>
      </w:pPr>
    </w:p>
    <w:p w14:paraId="1B99112A" w14:textId="77777777" w:rsidR="00D00600" w:rsidRDefault="00D00600">
      <w:pPr>
        <w:rPr>
          <w:lang w:val="es-ES_tradnl"/>
        </w:rPr>
      </w:pPr>
    </w:p>
    <w:p w14:paraId="5A343FD0" w14:textId="77777777" w:rsidR="00D00600" w:rsidRDefault="00D00600">
      <w:pPr>
        <w:rPr>
          <w:lang w:val="es-ES_tradnl"/>
        </w:rPr>
      </w:pPr>
    </w:p>
    <w:p w14:paraId="2180FA50" w14:textId="77777777" w:rsidR="00D00600" w:rsidRDefault="00D00600">
      <w:pPr>
        <w:rPr>
          <w:lang w:val="es-ES_tradnl"/>
        </w:rPr>
      </w:pPr>
    </w:p>
    <w:p w14:paraId="6C0F8A2E" w14:textId="77777777" w:rsidR="00D00600" w:rsidRDefault="00D00600">
      <w:pPr>
        <w:rPr>
          <w:lang w:val="es-ES_tradnl"/>
        </w:rPr>
      </w:pPr>
    </w:p>
    <w:p w14:paraId="2B34EC9D" w14:textId="77777777" w:rsidR="00D00600" w:rsidRDefault="00D00600">
      <w:pPr>
        <w:rPr>
          <w:lang w:val="es-ES_tradnl"/>
        </w:rPr>
      </w:pPr>
    </w:p>
    <w:p w14:paraId="28661E13" w14:textId="77777777" w:rsidR="00D00600" w:rsidRDefault="00D00600">
      <w:pPr>
        <w:rPr>
          <w:lang w:val="es-ES_tradnl"/>
        </w:rPr>
      </w:pPr>
    </w:p>
    <w:p w14:paraId="709C8CFA" w14:textId="77777777" w:rsidR="00D00600" w:rsidRDefault="00D00600">
      <w:pPr>
        <w:rPr>
          <w:lang w:val="es-ES_tradnl"/>
        </w:rPr>
      </w:pPr>
    </w:p>
    <w:p w14:paraId="40D93700" w14:textId="77777777" w:rsidR="00D00600" w:rsidRDefault="00D00600">
      <w:pPr>
        <w:rPr>
          <w:lang w:val="es-ES_tradnl"/>
        </w:rPr>
      </w:pPr>
    </w:p>
    <w:p w14:paraId="681FCF4B" w14:textId="77777777" w:rsidR="00D00600" w:rsidRDefault="00D00600">
      <w:pPr>
        <w:rPr>
          <w:lang w:val="es-ES_tradnl"/>
        </w:rPr>
      </w:pPr>
    </w:p>
    <w:p w14:paraId="27605759" w14:textId="77777777" w:rsidR="00D00600" w:rsidRDefault="00D00600">
      <w:pPr>
        <w:rPr>
          <w:lang w:val="es-ES_tradnl"/>
        </w:rPr>
      </w:pPr>
    </w:p>
    <w:p w14:paraId="3603C8C6" w14:textId="77777777" w:rsidR="00D00600" w:rsidRDefault="00D00600">
      <w:pPr>
        <w:rPr>
          <w:lang w:val="es-ES_tradnl"/>
        </w:rPr>
      </w:pPr>
    </w:p>
    <w:p w14:paraId="4A3A2CCB" w14:textId="77777777" w:rsidR="00D00600" w:rsidRDefault="00D00600">
      <w:pPr>
        <w:rPr>
          <w:lang w:val="es-ES_tradnl"/>
        </w:rPr>
      </w:pPr>
    </w:p>
    <w:p w14:paraId="34D551EC" w14:textId="77777777" w:rsidR="00D00600" w:rsidRDefault="00D00600">
      <w:pPr>
        <w:rPr>
          <w:lang w:val="es-ES_tradnl"/>
        </w:rPr>
      </w:pPr>
    </w:p>
    <w:p w14:paraId="76B48CF8" w14:textId="77777777" w:rsidR="00D00600" w:rsidRDefault="00D00600" w:rsidP="00D00600">
      <w:pPr>
        <w:rPr>
          <w:lang w:val="es-ES_tradnl"/>
        </w:rPr>
      </w:pPr>
      <w:r w:rsidRPr="00705336">
        <w:rPr>
          <w:lang w:val="es-ES_tradnl"/>
        </w:rPr>
        <w:lastRenderedPageBreak/>
        <w:t xml:space="preserve">Se estudian los pacientes sin insuficiencia renal previa </w:t>
      </w:r>
      <w:r>
        <w:rPr>
          <w:lang w:val="es-ES_tradnl"/>
        </w:rPr>
        <w:t xml:space="preserve">que no están oligúricos en el momento del ingreso </w:t>
      </w:r>
      <w:r w:rsidRPr="00705336">
        <w:rPr>
          <w:lang w:val="es-ES_tradnl"/>
        </w:rPr>
        <w:t>y se analiza su pronóstico en función del estadio de AKIN</w:t>
      </w:r>
      <w:r>
        <w:rPr>
          <w:lang w:val="es-ES_tradnl"/>
        </w:rPr>
        <w:t>/KDIGO</w:t>
      </w:r>
      <w:r w:rsidRPr="00705336">
        <w:rPr>
          <w:lang w:val="es-ES_tradnl"/>
        </w:rPr>
        <w:t xml:space="preserve"> en que se encuentran en el momento de iniciar la </w:t>
      </w:r>
      <w:r>
        <w:rPr>
          <w:lang w:val="es-ES_tradnl"/>
        </w:rPr>
        <w:t>terapia de remplazo renal (TRR)</w:t>
      </w:r>
      <w:r w:rsidRPr="00705336">
        <w:rPr>
          <w:lang w:val="es-ES_tradnl"/>
        </w:rPr>
        <w:t>:</w:t>
      </w:r>
    </w:p>
    <w:p w14:paraId="0790F5D1" w14:textId="77777777" w:rsidR="00D00600" w:rsidRPr="00705336" w:rsidRDefault="00D00600">
      <w:pPr>
        <w:rPr>
          <w:lang w:val="es-ES_tradnl"/>
        </w:rPr>
      </w:pPr>
    </w:p>
    <w:p w14:paraId="5F32FFCE" w14:textId="77777777" w:rsidR="00BA292D" w:rsidRDefault="00BA292D">
      <w:pPr>
        <w:rPr>
          <w:lang w:val="es-ES_tradnl"/>
        </w:rPr>
      </w:pPr>
      <w:r w:rsidRPr="00705336">
        <w:rPr>
          <w:noProof/>
          <w:lang w:val="es-ES_tradnl"/>
        </w:rPr>
        <w:drawing>
          <wp:inline distT="0" distB="0" distL="0" distR="0" wp14:anchorId="3A452551" wp14:editId="09B576A9">
            <wp:extent cx="5396230" cy="409546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4095462"/>
                    </a:xfrm>
                    <a:prstGeom prst="rect">
                      <a:avLst/>
                    </a:prstGeom>
                    <a:noFill/>
                    <a:ln>
                      <a:noFill/>
                    </a:ln>
                  </pic:spPr>
                </pic:pic>
              </a:graphicData>
            </a:graphic>
          </wp:inline>
        </w:drawing>
      </w:r>
    </w:p>
    <w:p w14:paraId="428C7A78" w14:textId="77777777" w:rsidR="00D00600" w:rsidRPr="00705336" w:rsidRDefault="00D00600">
      <w:pPr>
        <w:rPr>
          <w:lang w:val="es-ES_tradnl"/>
        </w:rPr>
      </w:pPr>
      <w:r>
        <w:rPr>
          <w:lang w:val="es-ES_tradnl"/>
        </w:rPr>
        <w:t>Figura 5.</w:t>
      </w:r>
      <w:r w:rsidR="00DD0297">
        <w:rPr>
          <w:lang w:val="es-ES_tradnl"/>
        </w:rPr>
        <w:t xml:space="preserve"> L</w:t>
      </w:r>
      <w:r w:rsidR="00DD0297" w:rsidRPr="00705336">
        <w:rPr>
          <w:lang w:val="es-ES_tradnl"/>
        </w:rPr>
        <w:t xml:space="preserve">os pacientes sin insuficiencia renal previa </w:t>
      </w:r>
      <w:r w:rsidR="00DD0297">
        <w:rPr>
          <w:lang w:val="es-ES_tradnl"/>
        </w:rPr>
        <w:t>que no están oligúricos en el momento del ingreso no tienen un</w:t>
      </w:r>
      <w:r w:rsidR="00DD0297" w:rsidRPr="00705336">
        <w:rPr>
          <w:lang w:val="es-ES_tradnl"/>
        </w:rPr>
        <w:t xml:space="preserve"> pronóstico </w:t>
      </w:r>
      <w:r w:rsidR="00DD0297">
        <w:rPr>
          <w:lang w:val="es-ES_tradnl"/>
        </w:rPr>
        <w:t xml:space="preserve">significativamente diferente </w:t>
      </w:r>
      <w:r w:rsidR="00DD0297" w:rsidRPr="00705336">
        <w:rPr>
          <w:lang w:val="es-ES_tradnl"/>
        </w:rPr>
        <w:t>en función del estadio de AKIN</w:t>
      </w:r>
      <w:r w:rsidR="00DD0297">
        <w:rPr>
          <w:lang w:val="es-ES_tradnl"/>
        </w:rPr>
        <w:t>/KDIGO</w:t>
      </w:r>
      <w:r w:rsidR="00DD0297" w:rsidRPr="00705336">
        <w:rPr>
          <w:lang w:val="es-ES_tradnl"/>
        </w:rPr>
        <w:t xml:space="preserve"> en que se encuentran en el momento de iniciar la </w:t>
      </w:r>
      <w:r w:rsidR="00DD0297">
        <w:rPr>
          <w:lang w:val="es-ES_tradnl"/>
        </w:rPr>
        <w:t>terapia de remplazo renal (TRR).</w:t>
      </w:r>
    </w:p>
    <w:p w14:paraId="2243385E" w14:textId="77777777" w:rsidR="00BA292D" w:rsidRPr="00705336" w:rsidRDefault="00BA292D">
      <w:pPr>
        <w:rPr>
          <w:lang w:val="es-ES_tradnl"/>
        </w:rPr>
      </w:pPr>
    </w:p>
    <w:p w14:paraId="07D641C6" w14:textId="77777777" w:rsidR="00DD0297" w:rsidRDefault="00DD0297">
      <w:pPr>
        <w:rPr>
          <w:lang w:val="es-ES_tradnl"/>
        </w:rPr>
      </w:pPr>
    </w:p>
    <w:p w14:paraId="41A5F151" w14:textId="77777777" w:rsidR="00DD0297" w:rsidRDefault="00DD0297">
      <w:pPr>
        <w:rPr>
          <w:lang w:val="es-ES_tradnl"/>
        </w:rPr>
      </w:pPr>
    </w:p>
    <w:p w14:paraId="16278699" w14:textId="77777777" w:rsidR="00DD0297" w:rsidRDefault="00DD0297">
      <w:pPr>
        <w:rPr>
          <w:lang w:val="es-ES_tradnl"/>
        </w:rPr>
      </w:pPr>
    </w:p>
    <w:p w14:paraId="05634AB7" w14:textId="77777777" w:rsidR="00DD0297" w:rsidRDefault="00DD0297">
      <w:pPr>
        <w:rPr>
          <w:lang w:val="es-ES_tradnl"/>
        </w:rPr>
      </w:pPr>
    </w:p>
    <w:p w14:paraId="4D360B9F" w14:textId="77777777" w:rsidR="00DD0297" w:rsidRDefault="00DD0297">
      <w:pPr>
        <w:rPr>
          <w:lang w:val="es-ES_tradnl"/>
        </w:rPr>
      </w:pPr>
    </w:p>
    <w:p w14:paraId="2D68B4FF" w14:textId="77777777" w:rsidR="00DD0297" w:rsidRDefault="00DD0297">
      <w:pPr>
        <w:rPr>
          <w:lang w:val="es-ES_tradnl"/>
        </w:rPr>
      </w:pPr>
    </w:p>
    <w:p w14:paraId="24F45322" w14:textId="77777777" w:rsidR="00DD0297" w:rsidRDefault="00DD0297">
      <w:pPr>
        <w:rPr>
          <w:lang w:val="es-ES_tradnl"/>
        </w:rPr>
      </w:pPr>
    </w:p>
    <w:p w14:paraId="4C26178B" w14:textId="77777777" w:rsidR="00DD0297" w:rsidRDefault="00DD0297">
      <w:pPr>
        <w:rPr>
          <w:lang w:val="es-ES_tradnl"/>
        </w:rPr>
      </w:pPr>
    </w:p>
    <w:p w14:paraId="6C620151" w14:textId="77777777" w:rsidR="00DD0297" w:rsidRDefault="00DD0297">
      <w:pPr>
        <w:rPr>
          <w:lang w:val="es-ES_tradnl"/>
        </w:rPr>
      </w:pPr>
    </w:p>
    <w:p w14:paraId="06D967C1" w14:textId="77777777" w:rsidR="00DD0297" w:rsidRDefault="00DD0297">
      <w:pPr>
        <w:rPr>
          <w:lang w:val="es-ES_tradnl"/>
        </w:rPr>
      </w:pPr>
    </w:p>
    <w:p w14:paraId="5D6E1D2B" w14:textId="77777777" w:rsidR="00DD0297" w:rsidRDefault="00DD0297">
      <w:pPr>
        <w:rPr>
          <w:lang w:val="es-ES_tradnl"/>
        </w:rPr>
      </w:pPr>
    </w:p>
    <w:p w14:paraId="6461F474" w14:textId="77777777" w:rsidR="00DD0297" w:rsidRDefault="00DD0297">
      <w:pPr>
        <w:rPr>
          <w:lang w:val="es-ES_tradnl"/>
        </w:rPr>
      </w:pPr>
    </w:p>
    <w:p w14:paraId="1CEBED52" w14:textId="77777777" w:rsidR="00DD0297" w:rsidRDefault="00DD0297">
      <w:pPr>
        <w:rPr>
          <w:lang w:val="es-ES_tradnl"/>
        </w:rPr>
      </w:pPr>
    </w:p>
    <w:p w14:paraId="21FC1AD6" w14:textId="77777777" w:rsidR="00DD0297" w:rsidRDefault="00DD0297">
      <w:pPr>
        <w:rPr>
          <w:lang w:val="es-ES_tradnl"/>
        </w:rPr>
      </w:pPr>
    </w:p>
    <w:p w14:paraId="5F9E587C" w14:textId="77777777" w:rsidR="00DD0297" w:rsidRDefault="00DD0297">
      <w:pPr>
        <w:rPr>
          <w:lang w:val="es-ES_tradnl"/>
        </w:rPr>
      </w:pPr>
    </w:p>
    <w:p w14:paraId="58B57798" w14:textId="77777777" w:rsidR="00DD0297" w:rsidRDefault="00DD0297">
      <w:pPr>
        <w:rPr>
          <w:lang w:val="es-ES_tradnl"/>
        </w:rPr>
      </w:pPr>
    </w:p>
    <w:p w14:paraId="44B9E74C" w14:textId="77777777" w:rsidR="00DD0297" w:rsidRDefault="00DD0297" w:rsidP="00DD0297">
      <w:pPr>
        <w:rPr>
          <w:lang w:val="es-ES_tradnl"/>
        </w:rPr>
      </w:pPr>
      <w:r w:rsidRPr="00705336">
        <w:rPr>
          <w:lang w:val="es-ES_tradnl"/>
        </w:rPr>
        <w:lastRenderedPageBreak/>
        <w:t>Se estudian</w:t>
      </w:r>
      <w:r>
        <w:rPr>
          <w:lang w:val="es-ES_tradnl"/>
        </w:rPr>
        <w:t xml:space="preserve"> por separado</w:t>
      </w:r>
      <w:r w:rsidRPr="00705336">
        <w:rPr>
          <w:lang w:val="es-ES_tradnl"/>
        </w:rPr>
        <w:t xml:space="preserve"> los pacientes sin insuficiencia renal previa</w:t>
      </w:r>
      <w:r>
        <w:rPr>
          <w:lang w:val="es-ES_tradnl"/>
        </w:rPr>
        <w:t xml:space="preserve"> que ingresan oligúricos</w:t>
      </w:r>
      <w:r w:rsidRPr="00705336">
        <w:rPr>
          <w:lang w:val="es-ES_tradnl"/>
        </w:rPr>
        <w:t xml:space="preserve"> y se analiza su pronóstico:</w:t>
      </w:r>
    </w:p>
    <w:p w14:paraId="2AEB29B9" w14:textId="77777777" w:rsidR="00DD0297" w:rsidRDefault="00DD0297">
      <w:pPr>
        <w:rPr>
          <w:lang w:val="es-ES_tradnl"/>
        </w:rPr>
      </w:pPr>
    </w:p>
    <w:p w14:paraId="1AAC7341" w14:textId="77777777" w:rsidR="00BA292D" w:rsidRPr="00705336" w:rsidRDefault="00BA292D">
      <w:pPr>
        <w:rPr>
          <w:lang w:val="es-ES_tradnl"/>
        </w:rPr>
      </w:pPr>
      <w:r w:rsidRPr="00705336">
        <w:rPr>
          <w:noProof/>
          <w:lang w:val="es-ES_tradnl"/>
        </w:rPr>
        <w:drawing>
          <wp:inline distT="0" distB="0" distL="0" distR="0" wp14:anchorId="1195E9E5" wp14:editId="3F3AA805">
            <wp:extent cx="5396230" cy="4079412"/>
            <wp:effectExtent l="0" t="0" r="0" b="1016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4079412"/>
                    </a:xfrm>
                    <a:prstGeom prst="rect">
                      <a:avLst/>
                    </a:prstGeom>
                    <a:noFill/>
                    <a:ln>
                      <a:noFill/>
                    </a:ln>
                  </pic:spPr>
                </pic:pic>
              </a:graphicData>
            </a:graphic>
          </wp:inline>
        </w:drawing>
      </w:r>
    </w:p>
    <w:p w14:paraId="64CE3E4E" w14:textId="77777777" w:rsidR="00DD0297" w:rsidRDefault="00DD0297" w:rsidP="00DD0297">
      <w:pPr>
        <w:rPr>
          <w:lang w:val="es-ES_tradnl"/>
        </w:rPr>
      </w:pPr>
      <w:r>
        <w:rPr>
          <w:lang w:val="es-ES_tradnl"/>
        </w:rPr>
        <w:t>Figura 6. La s</w:t>
      </w:r>
      <w:r w:rsidRPr="00705336">
        <w:rPr>
          <w:lang w:val="es-ES_tradnl"/>
        </w:rPr>
        <w:t xml:space="preserve">upervivencia </w:t>
      </w:r>
      <w:r>
        <w:rPr>
          <w:lang w:val="es-ES_tradnl"/>
        </w:rPr>
        <w:t xml:space="preserve">a los 90 días </w:t>
      </w:r>
      <w:r w:rsidRPr="00705336">
        <w:rPr>
          <w:lang w:val="es-ES_tradnl"/>
        </w:rPr>
        <w:t>de los pacientes sin insuficiencia renal previa</w:t>
      </w:r>
      <w:r>
        <w:rPr>
          <w:lang w:val="es-ES_tradnl"/>
        </w:rPr>
        <w:t xml:space="preserve"> que ingresan oligúricos es del 44,76%.</w:t>
      </w:r>
    </w:p>
    <w:p w14:paraId="5739314B" w14:textId="77777777" w:rsidR="00DD0297" w:rsidRDefault="00DD0297" w:rsidP="00DD0297">
      <w:pPr>
        <w:rPr>
          <w:lang w:val="es-ES_tradnl"/>
        </w:rPr>
      </w:pPr>
    </w:p>
    <w:p w14:paraId="4824E6DB" w14:textId="77777777" w:rsidR="00DD0297" w:rsidRDefault="00DD0297" w:rsidP="00DD0297">
      <w:pPr>
        <w:rPr>
          <w:lang w:val="es-ES_tradnl"/>
        </w:rPr>
      </w:pPr>
    </w:p>
    <w:p w14:paraId="4AB94CE1" w14:textId="77777777" w:rsidR="00DD0297" w:rsidRDefault="00DD0297" w:rsidP="00DD0297">
      <w:pPr>
        <w:rPr>
          <w:lang w:val="es-ES_tradnl"/>
        </w:rPr>
      </w:pPr>
    </w:p>
    <w:p w14:paraId="41C72E1A" w14:textId="77777777" w:rsidR="00DD0297" w:rsidRDefault="00DD0297" w:rsidP="00DD0297">
      <w:pPr>
        <w:rPr>
          <w:lang w:val="es-ES_tradnl"/>
        </w:rPr>
      </w:pPr>
    </w:p>
    <w:p w14:paraId="11407789" w14:textId="77777777" w:rsidR="00DD0297" w:rsidRDefault="00DD0297" w:rsidP="00DD0297">
      <w:pPr>
        <w:rPr>
          <w:lang w:val="es-ES_tradnl"/>
        </w:rPr>
      </w:pPr>
    </w:p>
    <w:p w14:paraId="71367F4F" w14:textId="77777777" w:rsidR="00DD0297" w:rsidRDefault="00DD0297" w:rsidP="00DD0297">
      <w:pPr>
        <w:rPr>
          <w:lang w:val="es-ES_tradnl"/>
        </w:rPr>
      </w:pPr>
    </w:p>
    <w:p w14:paraId="52BEF0E9" w14:textId="77777777" w:rsidR="00DD0297" w:rsidRDefault="00DD0297" w:rsidP="00DD0297">
      <w:pPr>
        <w:rPr>
          <w:lang w:val="es-ES_tradnl"/>
        </w:rPr>
      </w:pPr>
    </w:p>
    <w:p w14:paraId="022CF430" w14:textId="77777777" w:rsidR="00DD0297" w:rsidRDefault="00DD0297" w:rsidP="00DD0297">
      <w:pPr>
        <w:rPr>
          <w:lang w:val="es-ES_tradnl"/>
        </w:rPr>
      </w:pPr>
    </w:p>
    <w:p w14:paraId="11A08B3D" w14:textId="77777777" w:rsidR="00DD0297" w:rsidRDefault="00DD0297" w:rsidP="00DD0297">
      <w:pPr>
        <w:rPr>
          <w:lang w:val="es-ES_tradnl"/>
        </w:rPr>
      </w:pPr>
    </w:p>
    <w:p w14:paraId="570A66AC" w14:textId="77777777" w:rsidR="00DD0297" w:rsidRDefault="00DD0297" w:rsidP="00DD0297">
      <w:pPr>
        <w:rPr>
          <w:lang w:val="es-ES_tradnl"/>
        </w:rPr>
      </w:pPr>
    </w:p>
    <w:p w14:paraId="4511B837" w14:textId="77777777" w:rsidR="00DD0297" w:rsidRDefault="00DD0297" w:rsidP="00DD0297">
      <w:pPr>
        <w:rPr>
          <w:lang w:val="es-ES_tradnl"/>
        </w:rPr>
      </w:pPr>
    </w:p>
    <w:p w14:paraId="53D4E6C1" w14:textId="77777777" w:rsidR="00DD0297" w:rsidRDefault="00DD0297" w:rsidP="00DD0297">
      <w:pPr>
        <w:rPr>
          <w:lang w:val="es-ES_tradnl"/>
        </w:rPr>
      </w:pPr>
    </w:p>
    <w:p w14:paraId="29A54C9C" w14:textId="77777777" w:rsidR="00DD0297" w:rsidRDefault="00DD0297" w:rsidP="00DD0297">
      <w:pPr>
        <w:rPr>
          <w:lang w:val="es-ES_tradnl"/>
        </w:rPr>
      </w:pPr>
    </w:p>
    <w:p w14:paraId="4578D5FD" w14:textId="77777777" w:rsidR="00DD0297" w:rsidRDefault="00DD0297" w:rsidP="00DD0297">
      <w:pPr>
        <w:rPr>
          <w:lang w:val="es-ES_tradnl"/>
        </w:rPr>
      </w:pPr>
    </w:p>
    <w:p w14:paraId="47B6122B" w14:textId="77777777" w:rsidR="00DD0297" w:rsidRDefault="00DD0297" w:rsidP="00DD0297">
      <w:pPr>
        <w:rPr>
          <w:lang w:val="es-ES_tradnl"/>
        </w:rPr>
      </w:pPr>
    </w:p>
    <w:p w14:paraId="2EE3CB7F" w14:textId="77777777" w:rsidR="00DD0297" w:rsidRDefault="00DD0297" w:rsidP="00DD0297">
      <w:pPr>
        <w:rPr>
          <w:lang w:val="es-ES_tradnl"/>
        </w:rPr>
      </w:pPr>
    </w:p>
    <w:p w14:paraId="740292BD" w14:textId="77777777" w:rsidR="00DD0297" w:rsidRDefault="00DD0297" w:rsidP="00DD0297">
      <w:pPr>
        <w:rPr>
          <w:lang w:val="es-ES_tradnl"/>
        </w:rPr>
      </w:pPr>
    </w:p>
    <w:p w14:paraId="21C44111" w14:textId="77777777" w:rsidR="00DD0297" w:rsidRDefault="00DD0297" w:rsidP="00DD0297">
      <w:pPr>
        <w:rPr>
          <w:lang w:val="es-ES_tradnl"/>
        </w:rPr>
      </w:pPr>
    </w:p>
    <w:p w14:paraId="0100EBF1" w14:textId="77777777" w:rsidR="00DD0297" w:rsidRDefault="00DD0297" w:rsidP="00DD0297">
      <w:pPr>
        <w:rPr>
          <w:lang w:val="es-ES_tradnl"/>
        </w:rPr>
      </w:pPr>
    </w:p>
    <w:p w14:paraId="1B6829F6" w14:textId="77777777" w:rsidR="00DD0297" w:rsidRDefault="00DD0297" w:rsidP="00DD0297">
      <w:pPr>
        <w:rPr>
          <w:lang w:val="es-ES_tradnl"/>
        </w:rPr>
      </w:pPr>
    </w:p>
    <w:p w14:paraId="061E78B2" w14:textId="77777777" w:rsidR="00DD0297" w:rsidRDefault="00DD0297" w:rsidP="00DD0297">
      <w:pPr>
        <w:rPr>
          <w:lang w:val="es-ES_tradnl"/>
        </w:rPr>
      </w:pPr>
    </w:p>
    <w:p w14:paraId="5A08F7BA" w14:textId="77777777" w:rsidR="00DD0297" w:rsidRDefault="00DD0297" w:rsidP="00DD0297">
      <w:pPr>
        <w:rPr>
          <w:lang w:val="es-ES_tradnl"/>
        </w:rPr>
      </w:pPr>
      <w:r w:rsidRPr="00705336">
        <w:rPr>
          <w:lang w:val="es-ES_tradnl"/>
        </w:rPr>
        <w:lastRenderedPageBreak/>
        <w:t xml:space="preserve">Se estudian los pacientes sin insuficiencia renal previa </w:t>
      </w:r>
      <w:r>
        <w:rPr>
          <w:lang w:val="es-ES_tradnl"/>
        </w:rPr>
        <w:t xml:space="preserve">que están oligúricos en el momento del ingreso </w:t>
      </w:r>
      <w:r w:rsidRPr="00705336">
        <w:rPr>
          <w:lang w:val="es-ES_tradnl"/>
        </w:rPr>
        <w:t>y se analiza su pronóstico en función del estadio de AKIN</w:t>
      </w:r>
      <w:r>
        <w:rPr>
          <w:lang w:val="es-ES_tradnl"/>
        </w:rPr>
        <w:t>/KDIGO</w:t>
      </w:r>
      <w:r w:rsidRPr="00705336">
        <w:rPr>
          <w:lang w:val="es-ES_tradnl"/>
        </w:rPr>
        <w:t xml:space="preserve"> en que se encuentran en el momento de iniciar la </w:t>
      </w:r>
      <w:r>
        <w:rPr>
          <w:lang w:val="es-ES_tradnl"/>
        </w:rPr>
        <w:t>terapia de remplazo renal (TRR)</w:t>
      </w:r>
      <w:r w:rsidRPr="00705336">
        <w:rPr>
          <w:lang w:val="es-ES_tradnl"/>
        </w:rPr>
        <w:t>:</w:t>
      </w:r>
    </w:p>
    <w:p w14:paraId="25147F77" w14:textId="77777777" w:rsidR="00DD0297" w:rsidRPr="00705336" w:rsidRDefault="00DD0297" w:rsidP="00DD0297">
      <w:pPr>
        <w:rPr>
          <w:lang w:val="es-ES_tradnl"/>
        </w:rPr>
      </w:pPr>
    </w:p>
    <w:p w14:paraId="1E6AAEC8" w14:textId="77777777" w:rsidR="00BA292D" w:rsidRDefault="00BA292D">
      <w:pPr>
        <w:rPr>
          <w:lang w:val="es-ES_tradnl"/>
        </w:rPr>
      </w:pPr>
      <w:r w:rsidRPr="00705336">
        <w:rPr>
          <w:noProof/>
          <w:lang w:val="es-ES_tradnl"/>
        </w:rPr>
        <w:drawing>
          <wp:inline distT="0" distB="0" distL="0" distR="0" wp14:anchorId="484C99A3" wp14:editId="3DAEE98B">
            <wp:extent cx="5396230" cy="4079412"/>
            <wp:effectExtent l="0" t="0" r="0"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6230" cy="4079412"/>
                    </a:xfrm>
                    <a:prstGeom prst="rect">
                      <a:avLst/>
                    </a:prstGeom>
                    <a:noFill/>
                    <a:ln>
                      <a:noFill/>
                    </a:ln>
                  </pic:spPr>
                </pic:pic>
              </a:graphicData>
            </a:graphic>
          </wp:inline>
        </w:drawing>
      </w:r>
    </w:p>
    <w:p w14:paraId="7DBFEB1F" w14:textId="77777777" w:rsidR="00DD0297" w:rsidRPr="00705336" w:rsidRDefault="00DD0297" w:rsidP="00DD0297">
      <w:pPr>
        <w:rPr>
          <w:lang w:val="es-ES_tradnl"/>
        </w:rPr>
      </w:pPr>
      <w:r>
        <w:rPr>
          <w:lang w:val="es-ES_tradnl"/>
        </w:rPr>
        <w:t>Figura 7. L</w:t>
      </w:r>
      <w:r w:rsidRPr="00705336">
        <w:rPr>
          <w:lang w:val="es-ES_tradnl"/>
        </w:rPr>
        <w:t xml:space="preserve">os pacientes sin insuficiencia renal previa </w:t>
      </w:r>
      <w:r>
        <w:rPr>
          <w:lang w:val="es-ES_tradnl"/>
        </w:rPr>
        <w:t xml:space="preserve">que </w:t>
      </w:r>
      <w:bookmarkStart w:id="0" w:name="_GoBack"/>
      <w:bookmarkEnd w:id="0"/>
      <w:r>
        <w:rPr>
          <w:lang w:val="es-ES_tradnl"/>
        </w:rPr>
        <w:t>están oligúricos en el momento del ingreso no tienen un</w:t>
      </w:r>
      <w:r w:rsidRPr="00705336">
        <w:rPr>
          <w:lang w:val="es-ES_tradnl"/>
        </w:rPr>
        <w:t xml:space="preserve"> pronóstico </w:t>
      </w:r>
      <w:r>
        <w:rPr>
          <w:lang w:val="es-ES_tradnl"/>
        </w:rPr>
        <w:t xml:space="preserve">significativamente diferente </w:t>
      </w:r>
      <w:r w:rsidRPr="00705336">
        <w:rPr>
          <w:lang w:val="es-ES_tradnl"/>
        </w:rPr>
        <w:t>en función del estadio de AKIN</w:t>
      </w:r>
      <w:r>
        <w:rPr>
          <w:lang w:val="es-ES_tradnl"/>
        </w:rPr>
        <w:t>/KDIGO</w:t>
      </w:r>
      <w:r w:rsidRPr="00705336">
        <w:rPr>
          <w:lang w:val="es-ES_tradnl"/>
        </w:rPr>
        <w:t xml:space="preserve"> en que se encuentran en el momento de iniciar la </w:t>
      </w:r>
      <w:r>
        <w:rPr>
          <w:lang w:val="es-ES_tradnl"/>
        </w:rPr>
        <w:t>terapia de remplazo renal (TRR).</w:t>
      </w:r>
    </w:p>
    <w:p w14:paraId="46ABF481" w14:textId="77777777" w:rsidR="00DD0297" w:rsidRPr="00705336" w:rsidRDefault="00DD0297">
      <w:pPr>
        <w:rPr>
          <w:lang w:val="es-ES_tradnl"/>
        </w:rPr>
      </w:pPr>
    </w:p>
    <w:sectPr w:rsidR="00DD0297" w:rsidRPr="00705336" w:rsidSect="00BF0E04">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92D"/>
    <w:rsid w:val="0030238C"/>
    <w:rsid w:val="00705336"/>
    <w:rsid w:val="00BA292D"/>
    <w:rsid w:val="00BF0E04"/>
    <w:rsid w:val="00D00600"/>
    <w:rsid w:val="00DD0297"/>
    <w:rsid w:val="00ED0A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A8A1E2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292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A292D"/>
    <w:rPr>
      <w:rFonts w:ascii="Lucida Grande" w:hAnsi="Lucida Grande" w:cs="Lucida Grande"/>
      <w:sz w:val="18"/>
      <w:szCs w:val="18"/>
      <w:lang w:val="ca-E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A292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A292D"/>
    <w:rPr>
      <w:rFonts w:ascii="Lucida Grande" w:hAnsi="Lucida Grande" w:cs="Lucida Grande"/>
      <w:sz w:val="18"/>
      <w:szCs w:val="18"/>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emf"/><Relationship Id="rId10"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396</Words>
  <Characters>2182</Characters>
  <Application>Microsoft Macintosh Word</Application>
  <DocSecurity>0</DocSecurity>
  <Lines>18</Lines>
  <Paragraphs>5</Paragraphs>
  <ScaleCrop>false</ScaleCrop>
  <Company>casa</Company>
  <LinksUpToDate>false</LinksUpToDate>
  <CharactersWithSpaces>2573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cubells larrosa</dc:creator>
  <cp:keywords/>
  <dc:description/>
  <cp:lastModifiedBy>carlos cubells larrosa</cp:lastModifiedBy>
  <cp:revision>2</cp:revision>
  <dcterms:created xsi:type="dcterms:W3CDTF">2016-06-21T17:31:00Z</dcterms:created>
  <dcterms:modified xsi:type="dcterms:W3CDTF">2016-06-21T18:27:00Z</dcterms:modified>
</cp:coreProperties>
</file>