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33EB" w14:textId="643666DB" w:rsidR="00E40EA5" w:rsidRPr="00BC2266" w:rsidRDefault="00A70D05" w:rsidP="005C57D5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BC2266">
        <w:rPr>
          <w:rFonts w:ascii="Arial" w:hAnsi="Arial" w:cs="Arial"/>
          <w:b/>
          <w:sz w:val="36"/>
        </w:rPr>
        <w:t>Supplementa</w:t>
      </w:r>
      <w:r w:rsidR="00736212" w:rsidRPr="00BC2266">
        <w:rPr>
          <w:rFonts w:ascii="Arial" w:hAnsi="Arial" w:cs="Arial"/>
          <w:b/>
          <w:sz w:val="36"/>
        </w:rPr>
        <w:t>ry</w:t>
      </w:r>
      <w:r w:rsidRPr="00BC2266">
        <w:rPr>
          <w:rFonts w:ascii="Arial" w:hAnsi="Arial" w:cs="Arial"/>
          <w:b/>
          <w:sz w:val="36"/>
        </w:rPr>
        <w:t xml:space="preserve"> Material</w:t>
      </w:r>
    </w:p>
    <w:p w14:paraId="1614C22B" w14:textId="77777777" w:rsidR="005C57D5" w:rsidRPr="005C57D5" w:rsidRDefault="005C57D5" w:rsidP="005C57D5">
      <w:pPr>
        <w:spacing w:line="480" w:lineRule="auto"/>
        <w:jc w:val="center"/>
        <w:rPr>
          <w:rFonts w:ascii="Arial" w:hAnsi="Arial" w:cs="Arial"/>
          <w:b/>
        </w:rPr>
      </w:pPr>
    </w:p>
    <w:p w14:paraId="7AA44E7E" w14:textId="0C6436A1" w:rsidR="005C57D5" w:rsidRPr="005C57D5" w:rsidRDefault="005C57D5" w:rsidP="005C57D5">
      <w:pPr>
        <w:spacing w:line="480" w:lineRule="auto"/>
        <w:jc w:val="center"/>
        <w:rPr>
          <w:rFonts w:ascii="Arial" w:hAnsi="Arial" w:cs="Arial"/>
          <w:b/>
        </w:rPr>
      </w:pPr>
    </w:p>
    <w:p w14:paraId="726D8000" w14:textId="77777777" w:rsidR="005C57D5" w:rsidRPr="005C57D5" w:rsidRDefault="005C57D5" w:rsidP="005C57D5">
      <w:pPr>
        <w:spacing w:line="480" w:lineRule="auto"/>
        <w:jc w:val="both"/>
        <w:rPr>
          <w:rFonts w:ascii="Arial" w:hAnsi="Arial" w:cs="Arial"/>
          <w:b/>
        </w:rPr>
      </w:pPr>
      <w:r w:rsidRPr="005C57D5">
        <w:rPr>
          <w:rFonts w:ascii="Arial" w:hAnsi="Arial" w:cs="Arial"/>
          <w:b/>
        </w:rPr>
        <w:t>Long-term survival after acute decompensated pulmonary hypertension: a propensity-score matched study</w:t>
      </w:r>
    </w:p>
    <w:p w14:paraId="6DD469B9" w14:textId="77777777" w:rsidR="005C57D5" w:rsidRPr="005C57D5" w:rsidRDefault="005C57D5" w:rsidP="005C57D5">
      <w:pPr>
        <w:spacing w:line="480" w:lineRule="auto"/>
        <w:jc w:val="both"/>
        <w:rPr>
          <w:rFonts w:ascii="Arial" w:hAnsi="Arial" w:cs="Arial"/>
          <w:b/>
        </w:rPr>
      </w:pPr>
    </w:p>
    <w:p w14:paraId="08E8C370" w14:textId="77777777" w:rsidR="005C57D5" w:rsidRPr="005C57D5" w:rsidRDefault="005C57D5" w:rsidP="005C57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cs="Arial"/>
          <w:lang w:val="pt-BR"/>
        </w:rPr>
      </w:pPr>
      <w:r w:rsidRPr="005C57D5">
        <w:rPr>
          <w:rFonts w:ascii="Arial" w:hAnsi="Arial" w:cs="Arial"/>
          <w:highlight w:val="white"/>
          <w:lang w:val="pt-BR"/>
        </w:rPr>
        <w:t>Marcos Vinicius Fernandes Garcia, M.D.</w:t>
      </w:r>
      <w:r w:rsidRPr="005C57D5">
        <w:rPr>
          <w:rFonts w:ascii="Arial" w:hAnsi="Arial" w:cs="Arial"/>
          <w:highlight w:val="white"/>
          <w:vertAlign w:val="superscript"/>
          <w:lang w:val="pt-BR"/>
        </w:rPr>
        <w:t xml:space="preserve">1 </w:t>
      </w:r>
      <w:r w:rsidRPr="005C57D5">
        <w:rPr>
          <w:rFonts w:ascii="Arial" w:hAnsi="Arial" w:cs="Arial"/>
          <w:u w:val="single"/>
          <w:lang w:val="pt-BR"/>
        </w:rPr>
        <w:t>(0000-0003-4730-3650)</w:t>
      </w:r>
    </w:p>
    <w:p w14:paraId="649E6272" w14:textId="77777777" w:rsidR="005C57D5" w:rsidRPr="005C57D5" w:rsidRDefault="005C57D5" w:rsidP="005C57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cs="Arial"/>
          <w:u w:val="single"/>
          <w:lang w:val="pt-BR"/>
        </w:rPr>
      </w:pPr>
      <w:bookmarkStart w:id="0" w:name="_heading=h.gjdgxs" w:colFirst="0" w:colLast="0"/>
      <w:bookmarkEnd w:id="0"/>
      <w:r w:rsidRPr="005C57D5">
        <w:rPr>
          <w:rFonts w:ascii="Arial" w:hAnsi="Arial" w:cs="Arial"/>
          <w:highlight w:val="white"/>
          <w:lang w:val="pt-BR"/>
        </w:rPr>
        <w:t>Rogerio Souza, M.D., Ph.D.</w:t>
      </w:r>
      <w:r w:rsidRPr="005C57D5">
        <w:rPr>
          <w:rFonts w:ascii="Arial" w:hAnsi="Arial" w:cs="Arial"/>
          <w:highlight w:val="white"/>
          <w:vertAlign w:val="superscript"/>
          <w:lang w:val="pt-BR"/>
        </w:rPr>
        <w:t xml:space="preserve">1 </w:t>
      </w:r>
      <w:r w:rsidRPr="005C57D5">
        <w:rPr>
          <w:rFonts w:ascii="Arial" w:hAnsi="Arial" w:cs="Arial"/>
          <w:u w:val="single"/>
          <w:lang w:val="pt-BR"/>
        </w:rPr>
        <w:t>(0000-0003-2789-9143)</w:t>
      </w:r>
    </w:p>
    <w:p w14:paraId="2B33A98C" w14:textId="77777777" w:rsidR="005C57D5" w:rsidRPr="005C57D5" w:rsidRDefault="005C57D5" w:rsidP="005C57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cs="Arial"/>
          <w:u w:val="single"/>
          <w:lang w:val="pt-BR"/>
        </w:rPr>
      </w:pPr>
      <w:r w:rsidRPr="005C57D5">
        <w:rPr>
          <w:rFonts w:ascii="Arial" w:hAnsi="Arial" w:cs="Arial"/>
          <w:highlight w:val="white"/>
          <w:lang w:val="pt-BR"/>
        </w:rPr>
        <w:t>Pedro Caruso, M.D., Ph.D.</w:t>
      </w:r>
      <w:r w:rsidRPr="005C57D5">
        <w:rPr>
          <w:rFonts w:ascii="Arial" w:hAnsi="Arial" w:cs="Arial"/>
          <w:highlight w:val="white"/>
          <w:vertAlign w:val="superscript"/>
          <w:lang w:val="pt-BR"/>
        </w:rPr>
        <w:t xml:space="preserve">1,2 </w:t>
      </w:r>
      <w:r w:rsidRPr="005C57D5">
        <w:rPr>
          <w:rFonts w:ascii="Arial" w:hAnsi="Arial" w:cs="Arial"/>
          <w:u w:val="single"/>
          <w:lang w:val="pt-BR"/>
        </w:rPr>
        <w:t>(0000-0002-1051-8458)</w:t>
      </w:r>
    </w:p>
    <w:p w14:paraId="77FC3C8B" w14:textId="77777777" w:rsidR="005C57D5" w:rsidRPr="005C57D5" w:rsidRDefault="005C57D5" w:rsidP="005C57D5">
      <w:pPr>
        <w:spacing w:line="480" w:lineRule="auto"/>
        <w:jc w:val="both"/>
        <w:rPr>
          <w:rFonts w:ascii="Arial" w:hAnsi="Arial" w:cs="Arial"/>
          <w:b/>
          <w:lang w:val="pt-BR"/>
        </w:rPr>
      </w:pPr>
    </w:p>
    <w:p w14:paraId="22AB94C9" w14:textId="77777777" w:rsidR="005C57D5" w:rsidRPr="005C57D5" w:rsidRDefault="005C57D5" w:rsidP="005C57D5">
      <w:pPr>
        <w:spacing w:line="480" w:lineRule="auto"/>
        <w:jc w:val="both"/>
        <w:rPr>
          <w:rFonts w:ascii="Arial" w:hAnsi="Arial" w:cs="Arial"/>
          <w:lang w:val="pt-BR"/>
        </w:rPr>
      </w:pPr>
      <w:r w:rsidRPr="005C57D5">
        <w:rPr>
          <w:rFonts w:ascii="Arial" w:hAnsi="Arial" w:cs="Arial"/>
          <w:lang w:val="pt-BR"/>
        </w:rPr>
        <w:t xml:space="preserve">Author </w:t>
      </w:r>
      <w:proofErr w:type="spellStart"/>
      <w:r w:rsidRPr="005C57D5">
        <w:rPr>
          <w:rFonts w:ascii="Arial" w:hAnsi="Arial" w:cs="Arial"/>
          <w:lang w:val="pt-BR"/>
        </w:rPr>
        <w:t>affiliations</w:t>
      </w:r>
      <w:proofErr w:type="spellEnd"/>
    </w:p>
    <w:p w14:paraId="2B77B943" w14:textId="77777777" w:rsidR="005C57D5" w:rsidRPr="005C57D5" w:rsidRDefault="005C57D5" w:rsidP="005C57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cs="Arial"/>
          <w:lang w:val="pt-BR"/>
        </w:rPr>
      </w:pPr>
      <w:r w:rsidRPr="005C57D5">
        <w:rPr>
          <w:rFonts w:ascii="Arial" w:hAnsi="Arial" w:cs="Arial"/>
          <w:vertAlign w:val="superscript"/>
          <w:lang w:val="pt-BR"/>
        </w:rPr>
        <w:t xml:space="preserve">1 </w:t>
      </w:r>
      <w:proofErr w:type="spellStart"/>
      <w:r w:rsidRPr="005C57D5">
        <w:rPr>
          <w:rFonts w:ascii="Arial" w:hAnsi="Arial" w:cs="Arial"/>
          <w:lang w:val="pt-BR"/>
        </w:rPr>
        <w:t>Divisao</w:t>
      </w:r>
      <w:proofErr w:type="spellEnd"/>
      <w:r w:rsidRPr="005C57D5">
        <w:rPr>
          <w:rFonts w:ascii="Arial" w:hAnsi="Arial" w:cs="Arial"/>
          <w:lang w:val="pt-BR"/>
        </w:rPr>
        <w:t xml:space="preserve"> de Pneumologia, Instituto do </w:t>
      </w:r>
      <w:proofErr w:type="spellStart"/>
      <w:r w:rsidRPr="005C57D5">
        <w:rPr>
          <w:rFonts w:ascii="Arial" w:hAnsi="Arial" w:cs="Arial"/>
          <w:lang w:val="pt-BR"/>
        </w:rPr>
        <w:t>Coracao</w:t>
      </w:r>
      <w:proofErr w:type="spellEnd"/>
      <w:r w:rsidRPr="005C57D5">
        <w:rPr>
          <w:rFonts w:ascii="Arial" w:hAnsi="Arial" w:cs="Arial"/>
          <w:lang w:val="pt-BR"/>
        </w:rPr>
        <w:t xml:space="preserve">, Hospital das Clínicas HCFMUSP, Faculdade de Medicina da Universidade de </w:t>
      </w:r>
      <w:proofErr w:type="spellStart"/>
      <w:r w:rsidRPr="005C57D5">
        <w:rPr>
          <w:rFonts w:ascii="Arial" w:hAnsi="Arial" w:cs="Arial"/>
          <w:lang w:val="pt-BR"/>
        </w:rPr>
        <w:t>Sao</w:t>
      </w:r>
      <w:proofErr w:type="spellEnd"/>
      <w:r w:rsidRPr="005C57D5">
        <w:rPr>
          <w:rFonts w:ascii="Arial" w:hAnsi="Arial" w:cs="Arial"/>
          <w:lang w:val="pt-BR"/>
        </w:rPr>
        <w:t xml:space="preserve"> Paulo, </w:t>
      </w:r>
      <w:proofErr w:type="spellStart"/>
      <w:r w:rsidRPr="005C57D5">
        <w:rPr>
          <w:rFonts w:ascii="Arial" w:hAnsi="Arial" w:cs="Arial"/>
          <w:lang w:val="pt-BR"/>
        </w:rPr>
        <w:t>Sao</w:t>
      </w:r>
      <w:proofErr w:type="spellEnd"/>
      <w:r w:rsidRPr="005C57D5">
        <w:rPr>
          <w:rFonts w:ascii="Arial" w:hAnsi="Arial" w:cs="Arial"/>
          <w:lang w:val="pt-BR"/>
        </w:rPr>
        <w:t xml:space="preserve"> Paulo, Brazil.</w:t>
      </w:r>
    </w:p>
    <w:p w14:paraId="2B0B1BCE" w14:textId="77777777" w:rsidR="005C57D5" w:rsidRPr="005C57D5" w:rsidRDefault="005C57D5" w:rsidP="005C57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cs="Arial"/>
          <w:highlight w:val="white"/>
          <w:lang w:val="pt-BR"/>
        </w:rPr>
      </w:pPr>
      <w:r w:rsidRPr="005C57D5">
        <w:rPr>
          <w:rFonts w:ascii="Arial" w:hAnsi="Arial" w:cs="Arial"/>
          <w:highlight w:val="white"/>
          <w:vertAlign w:val="superscript"/>
          <w:lang w:val="pt-BR"/>
        </w:rPr>
        <w:t>2</w:t>
      </w:r>
      <w:r w:rsidRPr="005C57D5">
        <w:rPr>
          <w:rFonts w:ascii="Arial" w:hAnsi="Arial" w:cs="Arial"/>
          <w:highlight w:val="white"/>
          <w:lang w:val="pt-BR"/>
        </w:rPr>
        <w:t xml:space="preserve"> Intensive Care Unit, AC Camargo </w:t>
      </w:r>
      <w:proofErr w:type="spellStart"/>
      <w:r w:rsidRPr="005C57D5">
        <w:rPr>
          <w:rFonts w:ascii="Arial" w:hAnsi="Arial" w:cs="Arial"/>
          <w:highlight w:val="white"/>
          <w:lang w:val="pt-BR"/>
        </w:rPr>
        <w:t>Cancer</w:t>
      </w:r>
      <w:proofErr w:type="spellEnd"/>
      <w:r w:rsidRPr="005C57D5">
        <w:rPr>
          <w:rFonts w:ascii="Arial" w:hAnsi="Arial" w:cs="Arial"/>
          <w:highlight w:val="white"/>
          <w:lang w:val="pt-BR"/>
        </w:rPr>
        <w:t xml:space="preserve"> Center, São Paulo, Brazil.</w:t>
      </w:r>
    </w:p>
    <w:p w14:paraId="34A67D6E" w14:textId="77777777" w:rsidR="00736212" w:rsidRPr="005C57D5" w:rsidRDefault="00736212" w:rsidP="005C57D5">
      <w:pPr>
        <w:spacing w:line="480" w:lineRule="auto"/>
        <w:rPr>
          <w:rFonts w:ascii="Arial" w:hAnsi="Arial" w:cs="Arial"/>
          <w:b/>
          <w:lang w:val="pt-BR"/>
        </w:rPr>
      </w:pPr>
    </w:p>
    <w:p w14:paraId="49B3B047" w14:textId="57F55C72" w:rsidR="006808E5" w:rsidRPr="005C57D5" w:rsidRDefault="006808E5" w:rsidP="005C57D5">
      <w:pPr>
        <w:spacing w:line="480" w:lineRule="auto"/>
        <w:rPr>
          <w:rFonts w:ascii="Arial" w:hAnsi="Arial" w:cs="Arial"/>
          <w:b/>
          <w:u w:val="single"/>
        </w:rPr>
      </w:pPr>
      <w:r w:rsidRPr="005C57D5">
        <w:rPr>
          <w:rFonts w:ascii="Arial" w:hAnsi="Arial" w:cs="Arial"/>
          <w:b/>
          <w:u w:val="single"/>
        </w:rPr>
        <w:t>Methods</w:t>
      </w:r>
    </w:p>
    <w:p w14:paraId="60511007" w14:textId="20E0BB41" w:rsidR="00736212" w:rsidRPr="005C57D5" w:rsidRDefault="00736212" w:rsidP="005C57D5">
      <w:pPr>
        <w:spacing w:line="480" w:lineRule="auto"/>
        <w:rPr>
          <w:rFonts w:ascii="Arial" w:hAnsi="Arial" w:cs="Arial"/>
        </w:rPr>
      </w:pPr>
    </w:p>
    <w:p w14:paraId="687C76DD" w14:textId="1CA25C3E" w:rsidR="00736212" w:rsidRPr="005C57D5" w:rsidRDefault="00736212" w:rsidP="005C57D5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5C57D5">
        <w:rPr>
          <w:rFonts w:ascii="Arial" w:hAnsi="Arial" w:cs="Arial"/>
          <w:color w:val="000000" w:themeColor="text1"/>
        </w:rPr>
        <w:t>The simplified version of the risk assessment strategy proposed by the ESC/ERS PH guidelines, using the following variables: NYHA-FC, BNP, 6MWT, right atrial pressure (RAP) or cardiac index (CI). In this version of ESC/ERS risk assessment each variable was evaluated for the presence of low, intermediate or high-risk criteria and overall risk category was determined by computing the mean of the risk grades from available variables for each patient and rounding to the nearest integer.</w:t>
      </w:r>
    </w:p>
    <w:p w14:paraId="1BB97697" w14:textId="77777777" w:rsidR="00736212" w:rsidRPr="005C57D5" w:rsidRDefault="00736212" w:rsidP="005C57D5">
      <w:pPr>
        <w:spacing w:line="480" w:lineRule="auto"/>
        <w:jc w:val="both"/>
        <w:rPr>
          <w:rFonts w:ascii="Arial" w:hAnsi="Arial" w:cs="Arial"/>
        </w:rPr>
      </w:pPr>
    </w:p>
    <w:p w14:paraId="69143270" w14:textId="1270F99C" w:rsidR="006808E5" w:rsidRPr="005C57D5" w:rsidRDefault="006808E5" w:rsidP="005C57D5">
      <w:pPr>
        <w:spacing w:line="480" w:lineRule="auto"/>
        <w:rPr>
          <w:rFonts w:ascii="Arial" w:hAnsi="Arial" w:cs="Arial"/>
        </w:rPr>
      </w:pPr>
    </w:p>
    <w:p w14:paraId="13248EB2" w14:textId="6733C544" w:rsidR="006808E5" w:rsidRPr="005C57D5" w:rsidRDefault="006808E5" w:rsidP="005C57D5">
      <w:pPr>
        <w:spacing w:line="480" w:lineRule="auto"/>
        <w:rPr>
          <w:rFonts w:ascii="Arial" w:hAnsi="Arial" w:cs="Arial"/>
          <w:b/>
          <w:u w:val="single"/>
        </w:rPr>
      </w:pPr>
      <w:r w:rsidRPr="005C57D5">
        <w:rPr>
          <w:rFonts w:ascii="Arial" w:hAnsi="Arial" w:cs="Arial"/>
          <w:b/>
          <w:u w:val="single"/>
        </w:rPr>
        <w:lastRenderedPageBreak/>
        <w:t>Results</w:t>
      </w:r>
    </w:p>
    <w:p w14:paraId="160EC22E" w14:textId="182E8347" w:rsidR="006808E5" w:rsidRPr="005C57D5" w:rsidRDefault="006808E5" w:rsidP="005C57D5">
      <w:pPr>
        <w:spacing w:line="480" w:lineRule="auto"/>
        <w:jc w:val="both"/>
        <w:rPr>
          <w:rFonts w:ascii="Arial" w:hAnsi="Arial" w:cs="Arial"/>
        </w:rPr>
      </w:pPr>
    </w:p>
    <w:p w14:paraId="7C21A2EE" w14:textId="7A17E741" w:rsidR="00EC78B7" w:rsidRPr="005C57D5" w:rsidRDefault="00EC78B7" w:rsidP="005C57D5">
      <w:pPr>
        <w:spacing w:line="480" w:lineRule="auto"/>
        <w:rPr>
          <w:rFonts w:ascii="Arial" w:eastAsia="Arial Unicode MS" w:hAnsi="Arial" w:cs="Arial"/>
        </w:rPr>
      </w:pPr>
      <w:r w:rsidRPr="005C57D5">
        <w:rPr>
          <w:rFonts w:ascii="Arial" w:hAnsi="Arial" w:cs="Arial"/>
          <w:b/>
        </w:rPr>
        <w:t>Figure S1</w:t>
      </w:r>
      <w:r w:rsidRPr="005C57D5">
        <w:rPr>
          <w:rFonts w:ascii="Arial" w:hAnsi="Arial" w:cs="Arial"/>
        </w:rPr>
        <w:t>: B</w:t>
      </w:r>
      <w:r w:rsidRPr="005C57D5">
        <w:rPr>
          <w:rFonts w:ascii="Arial" w:eastAsia="Arial Unicode MS" w:hAnsi="Arial" w:cs="Arial"/>
        </w:rPr>
        <w:t>oxplots</w:t>
      </w:r>
      <w:r w:rsidRPr="005C57D5">
        <w:rPr>
          <w:rFonts w:ascii="Arial" w:hAnsi="Arial" w:cs="Arial"/>
        </w:rPr>
        <w:t xml:space="preserve"> showing the overlapping</w:t>
      </w:r>
      <w:r w:rsidRPr="005C57D5">
        <w:rPr>
          <w:rFonts w:ascii="Arial" w:eastAsia="Arial Unicode MS" w:hAnsi="Arial" w:cs="Arial"/>
        </w:rPr>
        <w:t xml:space="preserve"> of the estimated propensity score between ICU and no ICU matched patients.</w:t>
      </w:r>
    </w:p>
    <w:p w14:paraId="020FA419" w14:textId="77777777" w:rsidR="00736212" w:rsidRPr="005C57D5" w:rsidRDefault="00736212" w:rsidP="005C57D5">
      <w:pPr>
        <w:spacing w:line="480" w:lineRule="auto"/>
        <w:rPr>
          <w:rFonts w:ascii="Arial" w:hAnsi="Arial" w:cs="Arial"/>
          <w:b/>
          <w:bCs/>
        </w:rPr>
      </w:pPr>
    </w:p>
    <w:p w14:paraId="3174808B" w14:textId="77777777" w:rsidR="00EC78B7" w:rsidRPr="005C57D5" w:rsidRDefault="00EC78B7" w:rsidP="005C57D5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5D74268B" w14:textId="77777777" w:rsidR="00EC78B7" w:rsidRPr="005C57D5" w:rsidRDefault="00EC78B7" w:rsidP="005C57D5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</w:rPr>
      </w:pPr>
      <w:r w:rsidRPr="005C57D5">
        <w:rPr>
          <w:rFonts w:ascii="Arial" w:hAnsi="Arial" w:cs="Arial"/>
          <w:noProof/>
        </w:rPr>
        <w:drawing>
          <wp:inline distT="0" distB="0" distL="0" distR="0" wp14:anchorId="7F3B3E88" wp14:editId="5F5279CF">
            <wp:extent cx="5435904" cy="43957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1-05-18 at 15.52.2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415" cy="44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785D" w14:textId="77777777" w:rsidR="00EC78B7" w:rsidRPr="005C57D5" w:rsidRDefault="00EC78B7" w:rsidP="005C57D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</w:rPr>
      </w:pPr>
    </w:p>
    <w:p w14:paraId="3469D075" w14:textId="77777777" w:rsidR="005C57D5" w:rsidRPr="005C57D5" w:rsidRDefault="005C57D5" w:rsidP="005C57D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olor w:val="000000"/>
        </w:rPr>
      </w:pPr>
    </w:p>
    <w:p w14:paraId="69D313FD" w14:textId="77777777" w:rsidR="005C57D5" w:rsidRPr="005C57D5" w:rsidRDefault="005C57D5" w:rsidP="005C57D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olor w:val="000000"/>
        </w:rPr>
      </w:pPr>
    </w:p>
    <w:p w14:paraId="2132F80F" w14:textId="77777777" w:rsidR="005C57D5" w:rsidRPr="005C57D5" w:rsidRDefault="005C57D5" w:rsidP="005C57D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color w:val="000000"/>
        </w:rPr>
      </w:pPr>
    </w:p>
    <w:p w14:paraId="7F7F9B6F" w14:textId="61B2BE14" w:rsidR="001B23A9" w:rsidRPr="005C57D5" w:rsidRDefault="001B23A9" w:rsidP="005C57D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5C57D5">
        <w:rPr>
          <w:rFonts w:ascii="Arial" w:hAnsi="Arial" w:cs="Arial"/>
          <w:b/>
          <w:color w:val="000000"/>
        </w:rPr>
        <w:lastRenderedPageBreak/>
        <w:t>Table S1:</w:t>
      </w:r>
      <w:r w:rsidRPr="005C57D5">
        <w:rPr>
          <w:rFonts w:ascii="Arial" w:hAnsi="Arial" w:cs="Arial"/>
          <w:color w:val="000000"/>
        </w:rPr>
        <w:t xml:space="preserve"> Additional characteristics of patients that required ICU admission compared to patients with no previous ICU admission, for unmatched and matched samples during the study period.</w:t>
      </w:r>
    </w:p>
    <w:p w14:paraId="5D7AE10A" w14:textId="77777777" w:rsidR="001B23A9" w:rsidRPr="00E60D42" w:rsidRDefault="001B23A9" w:rsidP="001B23A9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E18363E" w14:textId="77777777" w:rsidR="001B23A9" w:rsidRPr="00E60D42" w:rsidRDefault="001B23A9" w:rsidP="001B23A9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ListTable6Colorful"/>
        <w:tblpPr w:leftFromText="180" w:rightFromText="180" w:vertAnchor="text" w:horzAnchor="margin" w:tblpY="-65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37"/>
        <w:gridCol w:w="1238"/>
        <w:gridCol w:w="1210"/>
        <w:gridCol w:w="857"/>
        <w:gridCol w:w="1252"/>
        <w:gridCol w:w="1387"/>
        <w:gridCol w:w="839"/>
      </w:tblGrid>
      <w:tr w:rsidR="001B23A9" w:rsidRPr="008660A4" w14:paraId="710E0AEF" w14:textId="77777777" w:rsidTr="00B95A5A">
        <w:trPr>
          <w:cantSplit/>
          <w:trHeight w:hRule="exact" w:val="679"/>
        </w:trPr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5BACC" w14:textId="77777777" w:rsidR="001B23A9" w:rsidRPr="008660A4" w:rsidRDefault="001B23A9" w:rsidP="00B95A5A">
            <w:pPr>
              <w:pStyle w:val="Normal1"/>
              <w:spacing w:line="240" w:lineRule="auto"/>
              <w:contextualSpacing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3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BE885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421C9">
              <w:rPr>
                <w:b/>
                <w:sz w:val="20"/>
                <w:szCs w:val="20"/>
              </w:rPr>
              <w:t>Unmatched</w:t>
            </w:r>
            <w:proofErr w:type="spellEnd"/>
            <w:r w:rsidRPr="005421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421C9">
              <w:rPr>
                <w:b/>
                <w:sz w:val="20"/>
                <w:szCs w:val="20"/>
              </w:rPr>
              <w:t>sample</w:t>
            </w:r>
            <w:proofErr w:type="spellEnd"/>
          </w:p>
        </w:tc>
        <w:tc>
          <w:tcPr>
            <w:tcW w:w="19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09EF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421C9">
              <w:rPr>
                <w:b/>
                <w:sz w:val="20"/>
                <w:szCs w:val="20"/>
              </w:rPr>
              <w:t>Matched</w:t>
            </w:r>
            <w:proofErr w:type="spellEnd"/>
            <w:r w:rsidRPr="005421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421C9">
              <w:rPr>
                <w:b/>
                <w:sz w:val="20"/>
                <w:szCs w:val="20"/>
              </w:rPr>
              <w:t>sample</w:t>
            </w:r>
            <w:proofErr w:type="spellEnd"/>
          </w:p>
        </w:tc>
      </w:tr>
      <w:tr w:rsidR="001B23A9" w:rsidRPr="008660A4" w14:paraId="36854F65" w14:textId="77777777" w:rsidTr="00B95A5A">
        <w:trPr>
          <w:cantSplit/>
          <w:trHeight w:hRule="exact" w:val="679"/>
        </w:trPr>
        <w:tc>
          <w:tcPr>
            <w:tcW w:w="1240" w:type="pct"/>
            <w:tcBorders>
              <w:top w:val="single" w:sz="4" w:space="0" w:color="auto"/>
            </w:tcBorders>
            <w:vAlign w:val="center"/>
          </w:tcPr>
          <w:p w14:paraId="42C66F5B" w14:textId="1278F0DD" w:rsidR="001B23A9" w:rsidRPr="005421C9" w:rsidRDefault="001B23A9" w:rsidP="00B95A5A">
            <w:pPr>
              <w:pStyle w:val="Normal1"/>
              <w:spacing w:line="240" w:lineRule="auto"/>
              <w:contextualSpacing w:val="0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51AACBB3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8"/>
                <w:szCs w:val="20"/>
                <w:lang w:val="en-US"/>
              </w:rPr>
            </w:pPr>
            <w:r w:rsidRPr="005421C9">
              <w:rPr>
                <w:b/>
                <w:sz w:val="18"/>
                <w:szCs w:val="20"/>
              </w:rPr>
              <w:t>ICU admission (n=46)</w:t>
            </w:r>
          </w:p>
        </w:tc>
        <w:tc>
          <w:tcPr>
            <w:tcW w:w="671" w:type="pct"/>
            <w:tcBorders>
              <w:top w:val="single" w:sz="4" w:space="0" w:color="auto"/>
            </w:tcBorders>
            <w:vAlign w:val="center"/>
          </w:tcPr>
          <w:p w14:paraId="20558379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b/>
                <w:sz w:val="18"/>
                <w:szCs w:val="20"/>
              </w:rPr>
            </w:pPr>
            <w:r w:rsidRPr="005421C9">
              <w:rPr>
                <w:b/>
                <w:sz w:val="18"/>
                <w:szCs w:val="20"/>
              </w:rPr>
              <w:t>No ICU admission</w:t>
            </w:r>
          </w:p>
          <w:p w14:paraId="0BA16C96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8"/>
                <w:szCs w:val="20"/>
                <w:lang w:val="en-US"/>
              </w:rPr>
            </w:pPr>
            <w:r w:rsidRPr="005421C9">
              <w:rPr>
                <w:b/>
                <w:sz w:val="18"/>
                <w:szCs w:val="20"/>
              </w:rPr>
              <w:t>(n=62)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4ACF6FBD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8"/>
                <w:szCs w:val="20"/>
                <w:lang w:val="en-US"/>
              </w:rPr>
            </w:pPr>
            <w:r w:rsidRPr="005421C9">
              <w:rPr>
                <w:b/>
                <w:i/>
                <w:sz w:val="18"/>
                <w:szCs w:val="20"/>
              </w:rPr>
              <w:t>P</w:t>
            </w:r>
          </w:p>
        </w:tc>
        <w:tc>
          <w:tcPr>
            <w:tcW w:w="694" w:type="pct"/>
            <w:tcBorders>
              <w:top w:val="single" w:sz="4" w:space="0" w:color="auto"/>
            </w:tcBorders>
            <w:vAlign w:val="center"/>
          </w:tcPr>
          <w:p w14:paraId="12FE76D0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8"/>
                <w:szCs w:val="20"/>
                <w:lang w:val="en-US"/>
              </w:rPr>
            </w:pPr>
            <w:r w:rsidRPr="005421C9">
              <w:rPr>
                <w:b/>
                <w:sz w:val="18"/>
                <w:szCs w:val="20"/>
              </w:rPr>
              <w:t>ICU admission (n=33)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4720B22C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b/>
                <w:sz w:val="18"/>
                <w:szCs w:val="20"/>
              </w:rPr>
            </w:pPr>
            <w:r w:rsidRPr="005421C9">
              <w:rPr>
                <w:b/>
                <w:sz w:val="18"/>
                <w:szCs w:val="20"/>
              </w:rPr>
              <w:t>No ICU admission</w:t>
            </w:r>
          </w:p>
          <w:p w14:paraId="4C602D0E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8"/>
                <w:szCs w:val="20"/>
                <w:lang w:val="en-US"/>
              </w:rPr>
            </w:pPr>
            <w:r w:rsidRPr="005421C9">
              <w:rPr>
                <w:b/>
                <w:sz w:val="18"/>
                <w:szCs w:val="20"/>
              </w:rPr>
              <w:t>(n=33)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14:paraId="20AD6195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8"/>
                <w:szCs w:val="20"/>
                <w:lang w:val="en-US"/>
              </w:rPr>
            </w:pPr>
            <w:r w:rsidRPr="005421C9">
              <w:rPr>
                <w:b/>
                <w:i/>
                <w:sz w:val="18"/>
                <w:szCs w:val="20"/>
              </w:rPr>
              <w:t>P</w:t>
            </w:r>
          </w:p>
        </w:tc>
      </w:tr>
      <w:tr w:rsidR="001B23A9" w:rsidRPr="008660A4" w14:paraId="7CE4D4A9" w14:textId="77777777" w:rsidTr="00B95A5A">
        <w:trPr>
          <w:cantSplit/>
          <w:trHeight w:hRule="exact" w:val="679"/>
        </w:trPr>
        <w:tc>
          <w:tcPr>
            <w:tcW w:w="1240" w:type="pct"/>
            <w:vAlign w:val="center"/>
          </w:tcPr>
          <w:p w14:paraId="3343AD5C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rPr>
                <w:sz w:val="18"/>
                <w:szCs w:val="20"/>
              </w:rPr>
            </w:pPr>
            <w:r w:rsidRPr="005421C9">
              <w:rPr>
                <w:sz w:val="18"/>
                <w:szCs w:val="20"/>
              </w:rPr>
              <w:t>Median PAP (mmHg)</w:t>
            </w:r>
          </w:p>
        </w:tc>
        <w:tc>
          <w:tcPr>
            <w:tcW w:w="686" w:type="pct"/>
            <w:vAlign w:val="center"/>
          </w:tcPr>
          <w:p w14:paraId="465E69D4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50 (48–66)</w:t>
            </w:r>
          </w:p>
        </w:tc>
        <w:tc>
          <w:tcPr>
            <w:tcW w:w="671" w:type="pct"/>
            <w:vAlign w:val="center"/>
          </w:tcPr>
          <w:p w14:paraId="2F0EC7D4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57 (44–64)</w:t>
            </w:r>
          </w:p>
        </w:tc>
        <w:tc>
          <w:tcPr>
            <w:tcW w:w="475" w:type="pct"/>
            <w:vAlign w:val="center"/>
          </w:tcPr>
          <w:p w14:paraId="6514D360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color w:val="FF0000"/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0.09</w:t>
            </w:r>
          </w:p>
        </w:tc>
        <w:tc>
          <w:tcPr>
            <w:tcW w:w="694" w:type="pct"/>
            <w:vAlign w:val="center"/>
          </w:tcPr>
          <w:p w14:paraId="6AFDEF07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51 (48–66)</w:t>
            </w:r>
          </w:p>
        </w:tc>
        <w:tc>
          <w:tcPr>
            <w:tcW w:w="769" w:type="pct"/>
            <w:vAlign w:val="center"/>
          </w:tcPr>
          <w:p w14:paraId="2AC7C1A0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56 (46–65)</w:t>
            </w:r>
          </w:p>
        </w:tc>
        <w:tc>
          <w:tcPr>
            <w:tcW w:w="465" w:type="pct"/>
            <w:vAlign w:val="center"/>
          </w:tcPr>
          <w:p w14:paraId="4C5BE81F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0.56</w:t>
            </w:r>
          </w:p>
        </w:tc>
      </w:tr>
      <w:tr w:rsidR="001B23A9" w:rsidRPr="008660A4" w14:paraId="5D1D6851" w14:textId="77777777" w:rsidTr="00B95A5A">
        <w:trPr>
          <w:cantSplit/>
          <w:trHeight w:hRule="exact" w:val="679"/>
        </w:trPr>
        <w:tc>
          <w:tcPr>
            <w:tcW w:w="1240" w:type="pct"/>
            <w:vAlign w:val="center"/>
          </w:tcPr>
          <w:p w14:paraId="71BF4AB5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rPr>
                <w:sz w:val="18"/>
                <w:szCs w:val="20"/>
              </w:rPr>
            </w:pPr>
            <w:r w:rsidRPr="005421C9">
              <w:rPr>
                <w:sz w:val="18"/>
                <w:szCs w:val="20"/>
              </w:rPr>
              <w:t>PVR (Woods)</w:t>
            </w:r>
          </w:p>
        </w:tc>
        <w:tc>
          <w:tcPr>
            <w:tcW w:w="686" w:type="pct"/>
            <w:vAlign w:val="center"/>
          </w:tcPr>
          <w:p w14:paraId="52A1F092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11.6 (8.7–17.0)</w:t>
            </w:r>
          </w:p>
        </w:tc>
        <w:tc>
          <w:tcPr>
            <w:tcW w:w="671" w:type="pct"/>
            <w:vAlign w:val="center"/>
          </w:tcPr>
          <w:p w14:paraId="299703C2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9.8 (6.2–13.3)</w:t>
            </w:r>
          </w:p>
        </w:tc>
        <w:tc>
          <w:tcPr>
            <w:tcW w:w="475" w:type="pct"/>
            <w:vAlign w:val="center"/>
          </w:tcPr>
          <w:p w14:paraId="2177E07A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color w:val="FF0000"/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0.10</w:t>
            </w:r>
          </w:p>
        </w:tc>
        <w:tc>
          <w:tcPr>
            <w:tcW w:w="694" w:type="pct"/>
            <w:vAlign w:val="center"/>
          </w:tcPr>
          <w:p w14:paraId="0EEB683D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11.7 (8.7–17.0)</w:t>
            </w:r>
          </w:p>
        </w:tc>
        <w:tc>
          <w:tcPr>
            <w:tcW w:w="769" w:type="pct"/>
            <w:vAlign w:val="center"/>
          </w:tcPr>
          <w:p w14:paraId="780A9D4F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9.9 (7.6–14.3)</w:t>
            </w:r>
          </w:p>
        </w:tc>
        <w:tc>
          <w:tcPr>
            <w:tcW w:w="465" w:type="pct"/>
            <w:vAlign w:val="center"/>
          </w:tcPr>
          <w:p w14:paraId="4A41E5E5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0.08</w:t>
            </w:r>
          </w:p>
        </w:tc>
      </w:tr>
      <w:tr w:rsidR="001B23A9" w:rsidRPr="008660A4" w14:paraId="47065665" w14:textId="77777777" w:rsidTr="00B95A5A">
        <w:trPr>
          <w:cantSplit/>
          <w:trHeight w:hRule="exact" w:val="679"/>
        </w:trPr>
        <w:tc>
          <w:tcPr>
            <w:tcW w:w="1240" w:type="pct"/>
            <w:vAlign w:val="center"/>
          </w:tcPr>
          <w:p w14:paraId="4C37DB5E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rPr>
                <w:sz w:val="18"/>
                <w:szCs w:val="20"/>
              </w:rPr>
            </w:pPr>
            <w:r w:rsidRPr="005421C9">
              <w:rPr>
                <w:sz w:val="18"/>
                <w:szCs w:val="20"/>
              </w:rPr>
              <w:t>PAOP (mmHg)</w:t>
            </w:r>
          </w:p>
        </w:tc>
        <w:tc>
          <w:tcPr>
            <w:tcW w:w="686" w:type="pct"/>
            <w:vAlign w:val="center"/>
          </w:tcPr>
          <w:p w14:paraId="15E78D3A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10 (7–12)</w:t>
            </w:r>
          </w:p>
        </w:tc>
        <w:tc>
          <w:tcPr>
            <w:tcW w:w="671" w:type="pct"/>
            <w:vAlign w:val="center"/>
          </w:tcPr>
          <w:p w14:paraId="6F21A902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12 (10–15)</w:t>
            </w:r>
          </w:p>
        </w:tc>
        <w:tc>
          <w:tcPr>
            <w:tcW w:w="475" w:type="pct"/>
            <w:vAlign w:val="center"/>
          </w:tcPr>
          <w:p w14:paraId="795DA1BE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color w:val="FF0000"/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0.09</w:t>
            </w:r>
          </w:p>
        </w:tc>
        <w:tc>
          <w:tcPr>
            <w:tcW w:w="694" w:type="pct"/>
            <w:vAlign w:val="center"/>
          </w:tcPr>
          <w:p w14:paraId="1812E525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10 (7–12)</w:t>
            </w:r>
          </w:p>
        </w:tc>
        <w:tc>
          <w:tcPr>
            <w:tcW w:w="769" w:type="pct"/>
            <w:vAlign w:val="center"/>
          </w:tcPr>
          <w:p w14:paraId="27ED7E4E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12 (10–15)</w:t>
            </w:r>
          </w:p>
        </w:tc>
        <w:tc>
          <w:tcPr>
            <w:tcW w:w="465" w:type="pct"/>
            <w:vAlign w:val="center"/>
          </w:tcPr>
          <w:p w14:paraId="5D134336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0.08</w:t>
            </w:r>
          </w:p>
        </w:tc>
      </w:tr>
      <w:tr w:rsidR="001B23A9" w:rsidRPr="008660A4" w14:paraId="754D0466" w14:textId="77777777" w:rsidTr="00B95A5A">
        <w:trPr>
          <w:cantSplit/>
          <w:trHeight w:hRule="exact" w:val="679"/>
        </w:trPr>
        <w:tc>
          <w:tcPr>
            <w:tcW w:w="1240" w:type="pct"/>
            <w:vAlign w:val="center"/>
          </w:tcPr>
          <w:p w14:paraId="592D2A1F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rPr>
                <w:sz w:val="18"/>
                <w:szCs w:val="20"/>
              </w:rPr>
            </w:pPr>
            <w:r w:rsidRPr="005421C9">
              <w:rPr>
                <w:sz w:val="18"/>
                <w:szCs w:val="20"/>
              </w:rPr>
              <w:t>RAP (mmHg)</w:t>
            </w:r>
          </w:p>
        </w:tc>
        <w:tc>
          <w:tcPr>
            <w:tcW w:w="686" w:type="pct"/>
            <w:vAlign w:val="center"/>
          </w:tcPr>
          <w:p w14:paraId="34B5C167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12 (6–18)</w:t>
            </w:r>
          </w:p>
        </w:tc>
        <w:tc>
          <w:tcPr>
            <w:tcW w:w="671" w:type="pct"/>
            <w:vAlign w:val="center"/>
          </w:tcPr>
          <w:p w14:paraId="3BC9539A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10 (7–13)</w:t>
            </w:r>
          </w:p>
        </w:tc>
        <w:tc>
          <w:tcPr>
            <w:tcW w:w="475" w:type="pct"/>
            <w:vAlign w:val="center"/>
          </w:tcPr>
          <w:p w14:paraId="359903DA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color w:val="FF0000"/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0.17</w:t>
            </w:r>
          </w:p>
        </w:tc>
        <w:tc>
          <w:tcPr>
            <w:tcW w:w="694" w:type="pct"/>
            <w:vAlign w:val="center"/>
          </w:tcPr>
          <w:p w14:paraId="4A3591EB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12 (5–18)</w:t>
            </w:r>
          </w:p>
        </w:tc>
        <w:tc>
          <w:tcPr>
            <w:tcW w:w="769" w:type="pct"/>
            <w:vAlign w:val="center"/>
          </w:tcPr>
          <w:p w14:paraId="042BC868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12 (8–15)</w:t>
            </w:r>
          </w:p>
        </w:tc>
        <w:tc>
          <w:tcPr>
            <w:tcW w:w="465" w:type="pct"/>
            <w:vAlign w:val="center"/>
          </w:tcPr>
          <w:p w14:paraId="1EB3DDB4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0.98</w:t>
            </w:r>
          </w:p>
        </w:tc>
      </w:tr>
      <w:tr w:rsidR="001B23A9" w:rsidRPr="008660A4" w14:paraId="7578D9D1" w14:textId="77777777" w:rsidTr="00B95A5A">
        <w:trPr>
          <w:cantSplit/>
          <w:trHeight w:hRule="exact" w:val="679"/>
        </w:trPr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14:paraId="26AEBE3C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rPr>
                <w:sz w:val="18"/>
                <w:szCs w:val="20"/>
              </w:rPr>
            </w:pPr>
            <w:r w:rsidRPr="005421C9">
              <w:rPr>
                <w:sz w:val="18"/>
                <w:szCs w:val="20"/>
              </w:rPr>
              <w:t>Cardiac output (L/min)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18C4BCF8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3.7 (2.8–4.4)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4E924046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4.2 (3.4–4.6)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5BB89086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color w:val="FF0000"/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0.08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14:paraId="528D4F60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3.8 (2.8–4.4)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122B08E5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4.1 (3.1–4.6)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1800E5B4" w14:textId="77777777" w:rsidR="001B23A9" w:rsidRPr="005421C9" w:rsidRDefault="001B23A9" w:rsidP="00B95A5A">
            <w:pPr>
              <w:pStyle w:val="Normal1"/>
              <w:spacing w:line="240" w:lineRule="auto"/>
              <w:contextualSpacing w:val="0"/>
              <w:jc w:val="center"/>
              <w:rPr>
                <w:sz w:val="15"/>
                <w:szCs w:val="16"/>
              </w:rPr>
            </w:pPr>
            <w:r w:rsidRPr="005421C9">
              <w:rPr>
                <w:sz w:val="15"/>
                <w:szCs w:val="16"/>
              </w:rPr>
              <w:t>0.28</w:t>
            </w:r>
          </w:p>
        </w:tc>
      </w:tr>
    </w:tbl>
    <w:p w14:paraId="3849264E" w14:textId="77777777" w:rsidR="001B23A9" w:rsidRDefault="001B23A9" w:rsidP="001B23A9">
      <w:pPr>
        <w:autoSpaceDE w:val="0"/>
        <w:autoSpaceDN w:val="0"/>
        <w:adjustRightInd w:val="0"/>
        <w:ind w:right="89"/>
        <w:jc w:val="both"/>
        <w:rPr>
          <w:rFonts w:ascii="Arial" w:hAnsi="Arial" w:cs="Arial"/>
          <w:sz w:val="20"/>
          <w:szCs w:val="20"/>
        </w:rPr>
      </w:pPr>
      <w:r w:rsidRPr="006E1793">
        <w:rPr>
          <w:rFonts w:ascii="Arial" w:hAnsi="Arial" w:cs="Arial"/>
          <w:sz w:val="20"/>
          <w:szCs w:val="20"/>
        </w:rPr>
        <w:t xml:space="preserve">Categorical and continuous data are presented as frequencies (percentages) and median (25–75% interquartile range), respectively. ICU: intensive care unit, </w:t>
      </w:r>
      <w:r>
        <w:rPr>
          <w:rFonts w:ascii="Arial" w:hAnsi="Arial" w:cs="Arial"/>
          <w:sz w:val="20"/>
          <w:szCs w:val="20"/>
        </w:rPr>
        <w:t xml:space="preserve">RHC: right heart catheterization, PAP: pulmonary artery pressure, PVR: pulmonary vascular resistance, PAOP: pulmonary artery occlusion pressure, RAP: right atrial pressure.  </w:t>
      </w:r>
    </w:p>
    <w:p w14:paraId="694F5015" w14:textId="77777777" w:rsidR="001B23A9" w:rsidRPr="00E60D42" w:rsidRDefault="001B23A9" w:rsidP="001B23A9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DB9F430" w14:textId="20D12476" w:rsidR="006808E5" w:rsidRDefault="006808E5" w:rsidP="006808E5">
      <w:pPr>
        <w:jc w:val="both"/>
        <w:rPr>
          <w:rFonts w:ascii="Arial" w:hAnsi="Arial" w:cs="Arial"/>
        </w:rPr>
      </w:pPr>
    </w:p>
    <w:p w14:paraId="12708329" w14:textId="01646988" w:rsidR="006808E5" w:rsidRDefault="006808E5" w:rsidP="006808E5">
      <w:pPr>
        <w:jc w:val="both"/>
        <w:rPr>
          <w:rFonts w:ascii="Arial" w:hAnsi="Arial" w:cs="Arial"/>
        </w:rPr>
      </w:pPr>
    </w:p>
    <w:p w14:paraId="04312B46" w14:textId="6D55DDFE" w:rsidR="006808E5" w:rsidRDefault="006808E5" w:rsidP="006808E5">
      <w:pPr>
        <w:jc w:val="both"/>
        <w:rPr>
          <w:rFonts w:ascii="Arial" w:hAnsi="Arial" w:cs="Arial"/>
        </w:rPr>
      </w:pPr>
    </w:p>
    <w:p w14:paraId="12323C24" w14:textId="2C39E3A8" w:rsidR="006808E5" w:rsidRDefault="006808E5" w:rsidP="006808E5">
      <w:pPr>
        <w:jc w:val="both"/>
        <w:rPr>
          <w:rFonts w:ascii="Arial" w:hAnsi="Arial" w:cs="Arial"/>
        </w:rPr>
      </w:pPr>
    </w:p>
    <w:p w14:paraId="43DF6ECF" w14:textId="6DAADFAD" w:rsidR="006808E5" w:rsidRDefault="006808E5" w:rsidP="006808E5">
      <w:pPr>
        <w:jc w:val="both"/>
        <w:rPr>
          <w:rFonts w:ascii="Arial" w:hAnsi="Arial" w:cs="Arial"/>
        </w:rPr>
      </w:pPr>
    </w:p>
    <w:p w14:paraId="4F53DFF1" w14:textId="5FC2F033" w:rsidR="006808E5" w:rsidRDefault="006808E5" w:rsidP="006808E5">
      <w:pPr>
        <w:jc w:val="both"/>
        <w:rPr>
          <w:rFonts w:ascii="Arial" w:hAnsi="Arial" w:cs="Arial"/>
        </w:rPr>
      </w:pPr>
    </w:p>
    <w:p w14:paraId="5485B196" w14:textId="27FAB843" w:rsidR="006808E5" w:rsidRDefault="006808E5" w:rsidP="006808E5">
      <w:pPr>
        <w:jc w:val="both"/>
        <w:rPr>
          <w:rFonts w:ascii="Arial" w:hAnsi="Arial" w:cs="Arial"/>
        </w:rPr>
      </w:pPr>
    </w:p>
    <w:p w14:paraId="587BA3FA" w14:textId="1A4E8C28" w:rsidR="006808E5" w:rsidRDefault="006808E5" w:rsidP="006808E5">
      <w:pPr>
        <w:jc w:val="both"/>
        <w:rPr>
          <w:rFonts w:ascii="Arial" w:hAnsi="Arial" w:cs="Arial"/>
        </w:rPr>
      </w:pPr>
    </w:p>
    <w:p w14:paraId="5263A84E" w14:textId="543CA701" w:rsidR="006808E5" w:rsidRDefault="006808E5" w:rsidP="006808E5">
      <w:pPr>
        <w:jc w:val="both"/>
        <w:rPr>
          <w:rFonts w:ascii="Arial" w:hAnsi="Arial" w:cs="Arial"/>
        </w:rPr>
      </w:pPr>
    </w:p>
    <w:p w14:paraId="35DFB611" w14:textId="625888CF" w:rsidR="006808E5" w:rsidRDefault="006808E5" w:rsidP="006808E5">
      <w:pPr>
        <w:jc w:val="both"/>
        <w:rPr>
          <w:rFonts w:ascii="Arial" w:hAnsi="Arial" w:cs="Arial"/>
        </w:rPr>
      </w:pPr>
    </w:p>
    <w:p w14:paraId="798556D8" w14:textId="0B61A105" w:rsidR="006808E5" w:rsidRDefault="006808E5" w:rsidP="006808E5">
      <w:pPr>
        <w:jc w:val="both"/>
        <w:rPr>
          <w:rFonts w:ascii="Arial" w:hAnsi="Arial" w:cs="Arial"/>
        </w:rPr>
      </w:pPr>
    </w:p>
    <w:p w14:paraId="3B6AFCBB" w14:textId="126E6974" w:rsidR="006808E5" w:rsidRDefault="006808E5" w:rsidP="006808E5">
      <w:pPr>
        <w:jc w:val="both"/>
        <w:rPr>
          <w:rFonts w:ascii="Arial" w:hAnsi="Arial" w:cs="Arial"/>
        </w:rPr>
      </w:pPr>
    </w:p>
    <w:p w14:paraId="30D0409D" w14:textId="404B86B9" w:rsidR="006808E5" w:rsidRDefault="006808E5" w:rsidP="006808E5">
      <w:pPr>
        <w:jc w:val="both"/>
        <w:rPr>
          <w:rFonts w:ascii="Arial" w:hAnsi="Arial" w:cs="Arial"/>
        </w:rPr>
      </w:pPr>
    </w:p>
    <w:p w14:paraId="2C7C502F" w14:textId="381CE0E8" w:rsidR="006808E5" w:rsidRDefault="006808E5" w:rsidP="006808E5">
      <w:pPr>
        <w:jc w:val="both"/>
        <w:rPr>
          <w:rFonts w:ascii="Arial" w:hAnsi="Arial" w:cs="Arial"/>
        </w:rPr>
      </w:pPr>
    </w:p>
    <w:p w14:paraId="46ED0936" w14:textId="0E8729CC" w:rsidR="006808E5" w:rsidRDefault="006808E5" w:rsidP="006808E5">
      <w:pPr>
        <w:jc w:val="both"/>
        <w:rPr>
          <w:rFonts w:ascii="Arial" w:hAnsi="Arial" w:cs="Arial"/>
        </w:rPr>
      </w:pPr>
    </w:p>
    <w:p w14:paraId="725B2E07" w14:textId="2F01C837" w:rsidR="006808E5" w:rsidRDefault="006808E5" w:rsidP="006808E5">
      <w:pPr>
        <w:jc w:val="both"/>
        <w:rPr>
          <w:rFonts w:ascii="Arial" w:hAnsi="Arial" w:cs="Arial"/>
        </w:rPr>
      </w:pPr>
    </w:p>
    <w:p w14:paraId="726AC19D" w14:textId="0492A9DC" w:rsidR="006808E5" w:rsidRDefault="006808E5" w:rsidP="006808E5">
      <w:pPr>
        <w:jc w:val="both"/>
        <w:rPr>
          <w:rFonts w:ascii="Arial" w:hAnsi="Arial" w:cs="Arial"/>
        </w:rPr>
      </w:pPr>
    </w:p>
    <w:p w14:paraId="098B2049" w14:textId="39624F4F" w:rsidR="006808E5" w:rsidRDefault="006808E5" w:rsidP="006808E5">
      <w:pPr>
        <w:jc w:val="both"/>
        <w:rPr>
          <w:rFonts w:ascii="Arial" w:hAnsi="Arial" w:cs="Arial"/>
        </w:rPr>
      </w:pPr>
    </w:p>
    <w:p w14:paraId="0B896BC9" w14:textId="31F8A894" w:rsidR="006808E5" w:rsidRDefault="006808E5" w:rsidP="006808E5">
      <w:pPr>
        <w:jc w:val="both"/>
        <w:rPr>
          <w:rFonts w:ascii="Arial" w:hAnsi="Arial" w:cs="Arial"/>
        </w:rPr>
      </w:pPr>
    </w:p>
    <w:p w14:paraId="31539817" w14:textId="77777777" w:rsidR="00BC2266" w:rsidRDefault="00BC2266" w:rsidP="005C57D5">
      <w:pPr>
        <w:spacing w:line="480" w:lineRule="auto"/>
        <w:jc w:val="both"/>
        <w:rPr>
          <w:rFonts w:ascii="Arial" w:hAnsi="Arial" w:cs="Arial"/>
          <w:b/>
        </w:rPr>
      </w:pPr>
    </w:p>
    <w:p w14:paraId="76062EE4" w14:textId="34A0E9A8" w:rsidR="006808E5" w:rsidRDefault="008120CB" w:rsidP="005C57D5">
      <w:pPr>
        <w:spacing w:line="480" w:lineRule="auto"/>
        <w:jc w:val="both"/>
        <w:rPr>
          <w:rFonts w:ascii="Arial" w:hAnsi="Arial" w:cs="Arial"/>
        </w:rPr>
      </w:pPr>
      <w:r w:rsidRPr="00313795">
        <w:rPr>
          <w:rFonts w:ascii="Arial" w:hAnsi="Arial" w:cs="Arial"/>
          <w:b/>
        </w:rPr>
        <w:lastRenderedPageBreak/>
        <w:t>Table S2:</w:t>
      </w:r>
      <w:r>
        <w:rPr>
          <w:rFonts w:ascii="Arial" w:hAnsi="Arial" w:cs="Arial"/>
        </w:rPr>
        <w:t xml:space="preserve"> </w:t>
      </w:r>
      <w:r w:rsidR="00313795">
        <w:rPr>
          <w:rFonts w:ascii="Arial" w:hAnsi="Arial" w:cs="Arial"/>
        </w:rPr>
        <w:t xml:space="preserve">ICU </w:t>
      </w:r>
      <w:bookmarkStart w:id="1" w:name="_GoBack"/>
      <w:bookmarkEnd w:id="1"/>
      <w:r w:rsidR="00313795">
        <w:rPr>
          <w:rFonts w:ascii="Arial" w:hAnsi="Arial" w:cs="Arial"/>
        </w:rPr>
        <w:t>group patients’ clinical data at ICU admission and during ICU stay</w:t>
      </w:r>
    </w:p>
    <w:p w14:paraId="619EB738" w14:textId="20E7B750" w:rsidR="006808E5" w:rsidRDefault="006808E5" w:rsidP="006808E5">
      <w:pPr>
        <w:jc w:val="both"/>
        <w:rPr>
          <w:rFonts w:ascii="Arial" w:hAnsi="Arial" w:cs="Arial"/>
        </w:rPr>
      </w:pPr>
    </w:p>
    <w:p w14:paraId="3AD660DB" w14:textId="4D4E89F9" w:rsidR="006808E5" w:rsidRDefault="006808E5" w:rsidP="006808E5">
      <w:pPr>
        <w:jc w:val="both"/>
        <w:rPr>
          <w:rFonts w:ascii="Arial" w:hAnsi="Arial" w:cs="Arial"/>
        </w:rPr>
      </w:pPr>
    </w:p>
    <w:tbl>
      <w:tblPr>
        <w:tblStyle w:val="ListTable6Colorful"/>
        <w:tblW w:w="3787" w:type="pct"/>
        <w:jc w:val="center"/>
        <w:tblLayout w:type="fixed"/>
        <w:tblLook w:val="0600" w:firstRow="0" w:lastRow="0" w:firstColumn="0" w:lastColumn="0" w:noHBand="1" w:noVBand="1"/>
      </w:tblPr>
      <w:tblGrid>
        <w:gridCol w:w="4655"/>
        <w:gridCol w:w="2177"/>
      </w:tblGrid>
      <w:tr w:rsidR="00BC2266" w:rsidRPr="005C57D5" w14:paraId="539F716A" w14:textId="483293E9" w:rsidTr="00BC2266">
        <w:trPr>
          <w:trHeight w:val="606"/>
          <w:jc w:val="center"/>
        </w:trPr>
        <w:tc>
          <w:tcPr>
            <w:tcW w:w="3407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7209" w14:textId="6B04D6E8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b/>
                <w:lang w:val="en-US"/>
              </w:rPr>
            </w:pPr>
            <w:r w:rsidRPr="00313795">
              <w:rPr>
                <w:b/>
                <w:lang w:val="en-US"/>
              </w:rPr>
              <w:t>Variables</w:t>
            </w:r>
            <w:r>
              <w:rPr>
                <w:b/>
                <w:lang w:val="en-US"/>
              </w:rPr>
              <w:t xml:space="preserve"> at ICU admission</w:t>
            </w:r>
          </w:p>
        </w:tc>
        <w:tc>
          <w:tcPr>
            <w:tcW w:w="1593" w:type="pct"/>
            <w:tcBorders>
              <w:top w:val="nil"/>
              <w:bottom w:val="single" w:sz="4" w:space="0" w:color="auto"/>
            </w:tcBorders>
          </w:tcPr>
          <w:p w14:paraId="2B711B94" w14:textId="3A67CD6C" w:rsidR="00BC2266" w:rsidRPr="005C57D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b/>
                <w:lang w:val="en-US"/>
              </w:rPr>
            </w:pPr>
            <w:r w:rsidRPr="005C57D5">
              <w:rPr>
                <w:b/>
                <w:lang w:val="en-US"/>
              </w:rPr>
              <w:t>ICU Admission Group</w:t>
            </w:r>
          </w:p>
          <w:p w14:paraId="516D1E6C" w14:textId="1C492291" w:rsidR="00BC2266" w:rsidRPr="005C57D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b/>
                <w:i/>
                <w:lang w:val="en-US"/>
              </w:rPr>
            </w:pPr>
            <w:r w:rsidRPr="005C57D5">
              <w:rPr>
                <w:b/>
                <w:i/>
                <w:lang w:val="en-US"/>
              </w:rPr>
              <w:t xml:space="preserve">Matched </w:t>
            </w:r>
            <w:r>
              <w:rPr>
                <w:b/>
                <w:i/>
                <w:lang w:val="en-US"/>
              </w:rPr>
              <w:t>Sample</w:t>
            </w:r>
          </w:p>
          <w:p w14:paraId="57612257" w14:textId="75193233" w:rsidR="00BC2266" w:rsidRPr="005C57D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b/>
                <w:lang w:val="en-US"/>
              </w:rPr>
            </w:pPr>
            <w:r w:rsidRPr="005C57D5">
              <w:rPr>
                <w:b/>
                <w:lang w:val="en-US"/>
              </w:rPr>
              <w:t xml:space="preserve">(n=33) </w:t>
            </w:r>
          </w:p>
        </w:tc>
      </w:tr>
      <w:tr w:rsidR="00BC2266" w:rsidRPr="00313795" w14:paraId="7290B7D2" w14:textId="09E1BC4A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4BEFE8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bCs/>
                <w:szCs w:val="19"/>
                <w:lang w:val="en-US"/>
              </w:rPr>
            </w:pPr>
            <w:r w:rsidRPr="00313795">
              <w:rPr>
                <w:bCs/>
                <w:szCs w:val="19"/>
                <w:lang w:val="en-US"/>
              </w:rPr>
              <w:t>SOFA</w:t>
            </w:r>
          </w:p>
        </w:tc>
        <w:tc>
          <w:tcPr>
            <w:tcW w:w="1593" w:type="pct"/>
            <w:tcBorders>
              <w:top w:val="nil"/>
              <w:bottom w:val="nil"/>
            </w:tcBorders>
          </w:tcPr>
          <w:p w14:paraId="34011011" w14:textId="7FB3D819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5 (4-7)</w:t>
            </w:r>
          </w:p>
        </w:tc>
      </w:tr>
      <w:tr w:rsidR="00BC2266" w:rsidRPr="00313795" w14:paraId="6E6B8374" w14:textId="27D223F5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E8E76E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bCs/>
                <w:szCs w:val="19"/>
                <w:lang w:val="en-US"/>
              </w:rPr>
            </w:pPr>
            <w:r w:rsidRPr="00313795">
              <w:rPr>
                <w:bCs/>
                <w:szCs w:val="19"/>
                <w:lang w:val="en-US"/>
              </w:rPr>
              <w:t>SAPS 3</w:t>
            </w:r>
          </w:p>
        </w:tc>
        <w:tc>
          <w:tcPr>
            <w:tcW w:w="1593" w:type="pct"/>
            <w:tcBorders>
              <w:top w:val="nil"/>
            </w:tcBorders>
          </w:tcPr>
          <w:p w14:paraId="43BA484B" w14:textId="39A0EF7B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47 (40-53)</w:t>
            </w:r>
          </w:p>
        </w:tc>
      </w:tr>
      <w:tr w:rsidR="00BC2266" w:rsidRPr="00313795" w14:paraId="602804A2" w14:textId="629C92AB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865DD4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MAP (mmHg)</w:t>
            </w:r>
          </w:p>
        </w:tc>
        <w:tc>
          <w:tcPr>
            <w:tcW w:w="1593" w:type="pct"/>
          </w:tcPr>
          <w:p w14:paraId="2BB3A455" w14:textId="6414A822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72 (70-84)</w:t>
            </w:r>
          </w:p>
        </w:tc>
      </w:tr>
      <w:tr w:rsidR="00BC2266" w:rsidRPr="00313795" w14:paraId="0EC0BCB8" w14:textId="25B40E2C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A46A8FE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Heart rate (bpm)</w:t>
            </w:r>
          </w:p>
        </w:tc>
        <w:tc>
          <w:tcPr>
            <w:tcW w:w="1593" w:type="pct"/>
          </w:tcPr>
          <w:p w14:paraId="079077CB" w14:textId="5005010E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95 (86-115)</w:t>
            </w:r>
          </w:p>
        </w:tc>
      </w:tr>
      <w:tr w:rsidR="00BC2266" w:rsidRPr="00313795" w14:paraId="5AE70563" w14:textId="4C505700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149EC3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Creatinine (mg/dL)</w:t>
            </w:r>
          </w:p>
        </w:tc>
        <w:tc>
          <w:tcPr>
            <w:tcW w:w="1593" w:type="pct"/>
          </w:tcPr>
          <w:p w14:paraId="412673F1" w14:textId="2E68C021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1.25 (0.85-2.03)</w:t>
            </w:r>
          </w:p>
        </w:tc>
      </w:tr>
      <w:tr w:rsidR="00BC2266" w:rsidRPr="00313795" w14:paraId="2673CA47" w14:textId="7B3AAF53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C68BE4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BNP (pg/mL)</w:t>
            </w:r>
          </w:p>
        </w:tc>
        <w:tc>
          <w:tcPr>
            <w:tcW w:w="1593" w:type="pct"/>
          </w:tcPr>
          <w:p w14:paraId="15650DFF" w14:textId="5FE221FB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535 (253-809)</w:t>
            </w:r>
          </w:p>
        </w:tc>
      </w:tr>
      <w:tr w:rsidR="00BC2266" w:rsidRPr="00313795" w14:paraId="01B9771C" w14:textId="60D6B970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23C1F6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Sodium (mEq/L)</w:t>
            </w:r>
          </w:p>
        </w:tc>
        <w:tc>
          <w:tcPr>
            <w:tcW w:w="1593" w:type="pct"/>
          </w:tcPr>
          <w:p w14:paraId="2894FAAB" w14:textId="50D63965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137 (134-139)</w:t>
            </w:r>
          </w:p>
        </w:tc>
      </w:tr>
      <w:tr w:rsidR="00BC2266" w:rsidRPr="00313795" w14:paraId="1F99B0B9" w14:textId="6C8AD87B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C89D90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Arterial lactate (mg/dL)</w:t>
            </w:r>
          </w:p>
        </w:tc>
        <w:tc>
          <w:tcPr>
            <w:tcW w:w="1593" w:type="pct"/>
          </w:tcPr>
          <w:p w14:paraId="259FE4B7" w14:textId="5FCE8ACD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15 (11-19)</w:t>
            </w:r>
          </w:p>
        </w:tc>
      </w:tr>
      <w:tr w:rsidR="00BC2266" w:rsidRPr="00313795" w14:paraId="159677AC" w14:textId="0216080B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1D7362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  <w:lang w:val="en-US"/>
              </w:rPr>
            </w:pPr>
            <w:r w:rsidRPr="00313795">
              <w:rPr>
                <w:szCs w:val="19"/>
                <w:lang w:val="en-US"/>
              </w:rPr>
              <w:t>ScvO</w:t>
            </w:r>
            <w:r w:rsidRPr="00313795">
              <w:rPr>
                <w:szCs w:val="19"/>
                <w:vertAlign w:val="subscript"/>
                <w:lang w:val="en-US"/>
              </w:rPr>
              <w:t>2</w:t>
            </w:r>
            <w:r w:rsidRPr="00313795">
              <w:rPr>
                <w:szCs w:val="19"/>
                <w:lang w:val="en-US"/>
              </w:rPr>
              <w:t xml:space="preserve"> (%)</w:t>
            </w:r>
          </w:p>
        </w:tc>
        <w:tc>
          <w:tcPr>
            <w:tcW w:w="1593" w:type="pct"/>
            <w:tcBorders>
              <w:bottom w:val="nil"/>
            </w:tcBorders>
          </w:tcPr>
          <w:p w14:paraId="223F2D05" w14:textId="233B3EC9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61.3 (53.8-68.1)</w:t>
            </w:r>
          </w:p>
        </w:tc>
      </w:tr>
      <w:tr w:rsidR="00BC2266" w:rsidRPr="00313795" w14:paraId="78721881" w14:textId="0E5BFBFC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B4D260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proofErr w:type="spellStart"/>
            <w:r w:rsidRPr="00313795">
              <w:rPr>
                <w:szCs w:val="19"/>
              </w:rPr>
              <w:t>Intravenous</w:t>
            </w:r>
            <w:proofErr w:type="spellEnd"/>
            <w:r w:rsidRPr="00313795">
              <w:rPr>
                <w:szCs w:val="19"/>
              </w:rPr>
              <w:t xml:space="preserve"> </w:t>
            </w:r>
            <w:proofErr w:type="spellStart"/>
            <w:r w:rsidRPr="00313795">
              <w:rPr>
                <w:szCs w:val="19"/>
              </w:rPr>
              <w:t>furosemide</w:t>
            </w:r>
            <w:proofErr w:type="spellEnd"/>
            <w:r w:rsidRPr="00313795">
              <w:rPr>
                <w:szCs w:val="19"/>
              </w:rPr>
              <w:t xml:space="preserve"> use, n (%)</w:t>
            </w:r>
          </w:p>
        </w:tc>
        <w:tc>
          <w:tcPr>
            <w:tcW w:w="1593" w:type="pct"/>
            <w:tcBorders>
              <w:top w:val="nil"/>
            </w:tcBorders>
          </w:tcPr>
          <w:p w14:paraId="79DEA20C" w14:textId="7CF13D67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31 (94.0)</w:t>
            </w:r>
          </w:p>
        </w:tc>
      </w:tr>
      <w:tr w:rsidR="00BC2266" w:rsidRPr="00313795" w14:paraId="0A12641A" w14:textId="6CFBACB4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22FA7C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proofErr w:type="spellStart"/>
            <w:r w:rsidRPr="00313795">
              <w:rPr>
                <w:szCs w:val="19"/>
              </w:rPr>
              <w:t>Vasopressors</w:t>
            </w:r>
            <w:proofErr w:type="spellEnd"/>
            <w:r w:rsidRPr="00313795">
              <w:rPr>
                <w:szCs w:val="19"/>
              </w:rPr>
              <w:t xml:space="preserve"> use, n (%) *</w:t>
            </w:r>
          </w:p>
        </w:tc>
        <w:tc>
          <w:tcPr>
            <w:tcW w:w="1593" w:type="pct"/>
          </w:tcPr>
          <w:p w14:paraId="0E1D6975" w14:textId="65B69042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14 (42.4)</w:t>
            </w:r>
          </w:p>
        </w:tc>
      </w:tr>
      <w:tr w:rsidR="00BC2266" w:rsidRPr="00313795" w14:paraId="6E516E2B" w14:textId="19636EEB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96F2E9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Dobutamine use, n (%)</w:t>
            </w:r>
          </w:p>
        </w:tc>
        <w:tc>
          <w:tcPr>
            <w:tcW w:w="1593" w:type="pct"/>
          </w:tcPr>
          <w:p w14:paraId="16A2F6CE" w14:textId="040F1C4B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26 (78.7)</w:t>
            </w:r>
          </w:p>
        </w:tc>
      </w:tr>
      <w:tr w:rsidR="00BC2266" w:rsidRPr="00313795" w14:paraId="0B2C41E3" w14:textId="04E2F09E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FC607B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Nitric oxide use, n (%)</w:t>
            </w:r>
          </w:p>
        </w:tc>
        <w:tc>
          <w:tcPr>
            <w:tcW w:w="1593" w:type="pct"/>
          </w:tcPr>
          <w:p w14:paraId="11357E38" w14:textId="1211C522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7 (21.1)</w:t>
            </w:r>
          </w:p>
        </w:tc>
      </w:tr>
      <w:tr w:rsidR="00BC2266" w:rsidRPr="00313795" w14:paraId="1CE7420A" w14:textId="4C37F340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E866A0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  <w:lang w:val="en-US"/>
              </w:rPr>
            </w:pPr>
            <w:r w:rsidRPr="00313795">
              <w:rPr>
                <w:szCs w:val="19"/>
                <w:lang w:val="en-US"/>
              </w:rPr>
              <w:t xml:space="preserve">Pulmonary artery </w:t>
            </w:r>
            <w:proofErr w:type="spellStart"/>
            <w:r w:rsidRPr="00313795">
              <w:rPr>
                <w:szCs w:val="19"/>
                <w:lang w:val="en-US"/>
              </w:rPr>
              <w:t>cateter</w:t>
            </w:r>
            <w:proofErr w:type="spellEnd"/>
            <w:r w:rsidRPr="00313795">
              <w:rPr>
                <w:szCs w:val="19"/>
                <w:lang w:val="en-US"/>
              </w:rPr>
              <w:t xml:space="preserve"> use, n (%)</w:t>
            </w:r>
          </w:p>
        </w:tc>
        <w:tc>
          <w:tcPr>
            <w:tcW w:w="1593" w:type="pct"/>
          </w:tcPr>
          <w:p w14:paraId="197BADFA" w14:textId="4F73DA57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12 (36.3)</w:t>
            </w:r>
          </w:p>
        </w:tc>
      </w:tr>
      <w:tr w:rsidR="00BC2266" w:rsidRPr="00313795" w14:paraId="12E1E423" w14:textId="38CE0D7D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DD483B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Invasive MV use, n (%)</w:t>
            </w:r>
          </w:p>
        </w:tc>
        <w:tc>
          <w:tcPr>
            <w:tcW w:w="1593" w:type="pct"/>
            <w:tcBorders>
              <w:bottom w:val="nil"/>
            </w:tcBorders>
          </w:tcPr>
          <w:p w14:paraId="53E83AB1" w14:textId="17F1FEEC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1 (3.0)</w:t>
            </w:r>
          </w:p>
        </w:tc>
      </w:tr>
      <w:tr w:rsidR="00BC2266" w:rsidRPr="00313795" w14:paraId="7222399A" w14:textId="0F2080AE" w:rsidTr="00BC2266">
        <w:trPr>
          <w:trHeight w:hRule="exact" w:val="353"/>
          <w:jc w:val="center"/>
        </w:trPr>
        <w:tc>
          <w:tcPr>
            <w:tcW w:w="3407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C7C3" w14:textId="77777777" w:rsidR="00BC2266" w:rsidRPr="00313795" w:rsidRDefault="00BC2266" w:rsidP="005C57D5">
            <w:pPr>
              <w:pStyle w:val="Normal1"/>
              <w:spacing w:line="480" w:lineRule="auto"/>
              <w:contextualSpacing w:val="0"/>
              <w:rPr>
                <w:szCs w:val="19"/>
              </w:rPr>
            </w:pPr>
            <w:r w:rsidRPr="00313795">
              <w:rPr>
                <w:szCs w:val="19"/>
              </w:rPr>
              <w:t>Renal replacement therapy, n (%)</w:t>
            </w:r>
          </w:p>
        </w:tc>
        <w:tc>
          <w:tcPr>
            <w:tcW w:w="1593" w:type="pct"/>
            <w:tcBorders>
              <w:top w:val="nil"/>
              <w:bottom w:val="single" w:sz="4" w:space="0" w:color="auto"/>
            </w:tcBorders>
          </w:tcPr>
          <w:p w14:paraId="6CF547A9" w14:textId="26DBED9C" w:rsidR="00BC2266" w:rsidRPr="00313795" w:rsidRDefault="00BC2266" w:rsidP="005C57D5">
            <w:pPr>
              <w:pStyle w:val="Normal1"/>
              <w:spacing w:line="480" w:lineRule="auto"/>
              <w:contextualSpacing w:val="0"/>
              <w:jc w:val="center"/>
              <w:rPr>
                <w:szCs w:val="19"/>
              </w:rPr>
            </w:pPr>
            <w:r>
              <w:rPr>
                <w:szCs w:val="19"/>
              </w:rPr>
              <w:t>3 (9.0)</w:t>
            </w:r>
          </w:p>
        </w:tc>
      </w:tr>
    </w:tbl>
    <w:p w14:paraId="32B9FC5F" w14:textId="77777777" w:rsidR="005C57D5" w:rsidRDefault="005C57D5" w:rsidP="00313795">
      <w:pPr>
        <w:jc w:val="both"/>
        <w:rPr>
          <w:rFonts w:ascii="Arial" w:hAnsi="Arial" w:cs="Arial"/>
          <w:sz w:val="20"/>
          <w:szCs w:val="20"/>
        </w:rPr>
      </w:pPr>
    </w:p>
    <w:p w14:paraId="6841566E" w14:textId="3B40744A" w:rsidR="00313795" w:rsidRPr="00313795" w:rsidRDefault="00313795" w:rsidP="00313795">
      <w:pPr>
        <w:jc w:val="both"/>
        <w:rPr>
          <w:rFonts w:ascii="Arial" w:hAnsi="Arial" w:cs="Arial"/>
          <w:sz w:val="20"/>
          <w:szCs w:val="20"/>
        </w:rPr>
      </w:pPr>
      <w:r w:rsidRPr="00313795">
        <w:rPr>
          <w:rFonts w:ascii="Arial" w:hAnsi="Arial" w:cs="Arial"/>
          <w:sz w:val="20"/>
          <w:szCs w:val="20"/>
        </w:rPr>
        <w:t>Categorical and continuous data are presented as frequencies (percentages) and median (25-75% interquartile range).</w:t>
      </w:r>
      <w:r>
        <w:rPr>
          <w:rFonts w:ascii="Arial" w:hAnsi="Arial" w:cs="Arial"/>
          <w:sz w:val="20"/>
          <w:szCs w:val="20"/>
        </w:rPr>
        <w:t xml:space="preserve"> </w:t>
      </w:r>
      <w:r w:rsidRPr="00313795">
        <w:rPr>
          <w:rFonts w:ascii="Arial" w:hAnsi="Arial" w:cs="Arial"/>
          <w:sz w:val="20"/>
          <w:szCs w:val="20"/>
        </w:rPr>
        <w:t>SOFA: sequential organ failure assessment; SAPS 3: simplified acute physiology score; MAP: mean arterial pressure; BNP: brain natriuretic peptide; ScvO2%: central venous oxygen saturation; MV: mechanical ventilation.</w:t>
      </w:r>
    </w:p>
    <w:p w14:paraId="590FFC2F" w14:textId="2D9DA842" w:rsidR="006808E5" w:rsidRPr="00313795" w:rsidRDefault="00313795" w:rsidP="00313795">
      <w:pPr>
        <w:jc w:val="both"/>
        <w:rPr>
          <w:rFonts w:ascii="Arial" w:hAnsi="Arial" w:cs="Arial"/>
          <w:sz w:val="20"/>
          <w:szCs w:val="20"/>
        </w:rPr>
      </w:pPr>
      <w:r w:rsidRPr="00313795">
        <w:rPr>
          <w:rFonts w:ascii="Arial" w:hAnsi="Arial" w:cs="Arial"/>
          <w:sz w:val="20"/>
          <w:szCs w:val="20"/>
        </w:rPr>
        <w:t>* Vasopressors defined as any use of norepinephrine, vasopressin or epinephrine</w:t>
      </w:r>
    </w:p>
    <w:sectPr w:rsidR="006808E5" w:rsidRPr="00313795" w:rsidSect="003665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C0B9E" w14:textId="77777777" w:rsidR="000B3140" w:rsidRDefault="000B3140" w:rsidP="006808E5">
      <w:r>
        <w:separator/>
      </w:r>
    </w:p>
  </w:endnote>
  <w:endnote w:type="continuationSeparator" w:id="0">
    <w:p w14:paraId="5AA20023" w14:textId="77777777" w:rsidR="000B3140" w:rsidRDefault="000B3140" w:rsidP="0068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8731F" w14:textId="77777777" w:rsidR="000B3140" w:rsidRDefault="000B3140" w:rsidP="006808E5">
      <w:r>
        <w:separator/>
      </w:r>
    </w:p>
  </w:footnote>
  <w:footnote w:type="continuationSeparator" w:id="0">
    <w:p w14:paraId="6A8939DD" w14:textId="77777777" w:rsidR="000B3140" w:rsidRDefault="000B3140" w:rsidP="0068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05"/>
    <w:rsid w:val="000071AB"/>
    <w:rsid w:val="0001356E"/>
    <w:rsid w:val="00030CFF"/>
    <w:rsid w:val="00032D65"/>
    <w:rsid w:val="0003529D"/>
    <w:rsid w:val="0005451F"/>
    <w:rsid w:val="000B1062"/>
    <w:rsid w:val="000B3140"/>
    <w:rsid w:val="000B617D"/>
    <w:rsid w:val="000C17AD"/>
    <w:rsid w:val="000C5766"/>
    <w:rsid w:val="000F5F87"/>
    <w:rsid w:val="0014238C"/>
    <w:rsid w:val="00173A21"/>
    <w:rsid w:val="00191A27"/>
    <w:rsid w:val="001B23A9"/>
    <w:rsid w:val="001D70A3"/>
    <w:rsid w:val="001F46AE"/>
    <w:rsid w:val="001F7D9F"/>
    <w:rsid w:val="0025766D"/>
    <w:rsid w:val="00286FC8"/>
    <w:rsid w:val="00297055"/>
    <w:rsid w:val="002D7081"/>
    <w:rsid w:val="002F1644"/>
    <w:rsid w:val="00313795"/>
    <w:rsid w:val="00332131"/>
    <w:rsid w:val="0033224C"/>
    <w:rsid w:val="003616EE"/>
    <w:rsid w:val="00365814"/>
    <w:rsid w:val="003665E6"/>
    <w:rsid w:val="0038323A"/>
    <w:rsid w:val="003B707E"/>
    <w:rsid w:val="003E4C2D"/>
    <w:rsid w:val="003E5E81"/>
    <w:rsid w:val="003E6678"/>
    <w:rsid w:val="004029F4"/>
    <w:rsid w:val="00414961"/>
    <w:rsid w:val="00453472"/>
    <w:rsid w:val="00456137"/>
    <w:rsid w:val="004621E6"/>
    <w:rsid w:val="00491F66"/>
    <w:rsid w:val="004A5268"/>
    <w:rsid w:val="004B0105"/>
    <w:rsid w:val="004B22A5"/>
    <w:rsid w:val="004C519E"/>
    <w:rsid w:val="004E5D73"/>
    <w:rsid w:val="004E72A3"/>
    <w:rsid w:val="00535694"/>
    <w:rsid w:val="005431D6"/>
    <w:rsid w:val="00553B45"/>
    <w:rsid w:val="005551AA"/>
    <w:rsid w:val="00570204"/>
    <w:rsid w:val="00572AAF"/>
    <w:rsid w:val="00592C07"/>
    <w:rsid w:val="005A4944"/>
    <w:rsid w:val="005C57D5"/>
    <w:rsid w:val="00612DC1"/>
    <w:rsid w:val="006162CB"/>
    <w:rsid w:val="00644EB7"/>
    <w:rsid w:val="006808E5"/>
    <w:rsid w:val="006815BA"/>
    <w:rsid w:val="006B72E3"/>
    <w:rsid w:val="006C0062"/>
    <w:rsid w:val="006E3E72"/>
    <w:rsid w:val="006F53DA"/>
    <w:rsid w:val="00732FA4"/>
    <w:rsid w:val="00736212"/>
    <w:rsid w:val="00746E03"/>
    <w:rsid w:val="00766E7D"/>
    <w:rsid w:val="00797EC6"/>
    <w:rsid w:val="007C6C0A"/>
    <w:rsid w:val="007C6EA5"/>
    <w:rsid w:val="007E590D"/>
    <w:rsid w:val="007F56B0"/>
    <w:rsid w:val="00802EE7"/>
    <w:rsid w:val="008120CB"/>
    <w:rsid w:val="00841C1C"/>
    <w:rsid w:val="008653F2"/>
    <w:rsid w:val="00880F75"/>
    <w:rsid w:val="00895E13"/>
    <w:rsid w:val="00895E7D"/>
    <w:rsid w:val="008A378B"/>
    <w:rsid w:val="008B4C52"/>
    <w:rsid w:val="008B5392"/>
    <w:rsid w:val="008B62D4"/>
    <w:rsid w:val="009422C1"/>
    <w:rsid w:val="0094409E"/>
    <w:rsid w:val="009607F2"/>
    <w:rsid w:val="00965A84"/>
    <w:rsid w:val="009A0791"/>
    <w:rsid w:val="009A406A"/>
    <w:rsid w:val="00A06405"/>
    <w:rsid w:val="00A108A2"/>
    <w:rsid w:val="00A10BF4"/>
    <w:rsid w:val="00A17BBF"/>
    <w:rsid w:val="00A37889"/>
    <w:rsid w:val="00A5068B"/>
    <w:rsid w:val="00A70D05"/>
    <w:rsid w:val="00A9048E"/>
    <w:rsid w:val="00AA5511"/>
    <w:rsid w:val="00AB714C"/>
    <w:rsid w:val="00AE1525"/>
    <w:rsid w:val="00B0540C"/>
    <w:rsid w:val="00B134D6"/>
    <w:rsid w:val="00B136E7"/>
    <w:rsid w:val="00B303AC"/>
    <w:rsid w:val="00B43EA4"/>
    <w:rsid w:val="00B579BB"/>
    <w:rsid w:val="00B74E25"/>
    <w:rsid w:val="00B76FD7"/>
    <w:rsid w:val="00B815F5"/>
    <w:rsid w:val="00B93B3C"/>
    <w:rsid w:val="00B9468F"/>
    <w:rsid w:val="00BA3647"/>
    <w:rsid w:val="00BB226A"/>
    <w:rsid w:val="00BC2266"/>
    <w:rsid w:val="00BF6365"/>
    <w:rsid w:val="00C17F31"/>
    <w:rsid w:val="00C33F99"/>
    <w:rsid w:val="00C45408"/>
    <w:rsid w:val="00C71111"/>
    <w:rsid w:val="00C93A50"/>
    <w:rsid w:val="00CB23C6"/>
    <w:rsid w:val="00CC3006"/>
    <w:rsid w:val="00CD7D27"/>
    <w:rsid w:val="00CE720B"/>
    <w:rsid w:val="00D105F7"/>
    <w:rsid w:val="00D351A1"/>
    <w:rsid w:val="00D66A7F"/>
    <w:rsid w:val="00D77A7E"/>
    <w:rsid w:val="00D94AEF"/>
    <w:rsid w:val="00DB14B8"/>
    <w:rsid w:val="00DB7962"/>
    <w:rsid w:val="00DD03E2"/>
    <w:rsid w:val="00E2280D"/>
    <w:rsid w:val="00E40EA5"/>
    <w:rsid w:val="00E43E2A"/>
    <w:rsid w:val="00E54364"/>
    <w:rsid w:val="00E738CB"/>
    <w:rsid w:val="00EA618B"/>
    <w:rsid w:val="00EB064F"/>
    <w:rsid w:val="00EC5EE7"/>
    <w:rsid w:val="00EC78B7"/>
    <w:rsid w:val="00EF16F2"/>
    <w:rsid w:val="00F06094"/>
    <w:rsid w:val="00F105EE"/>
    <w:rsid w:val="00F26CCC"/>
    <w:rsid w:val="00FB5E4C"/>
    <w:rsid w:val="00FB7CE4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E4BB9D"/>
  <w15:chartTrackingRefBased/>
  <w15:docId w15:val="{6026B21F-F210-2D4E-8562-1B2CCEF1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normalChar"/>
    <w:rsid w:val="006808E5"/>
    <w:pPr>
      <w:spacing w:line="276" w:lineRule="auto"/>
      <w:contextualSpacing/>
    </w:pPr>
    <w:rPr>
      <w:rFonts w:ascii="Arial" w:eastAsia="Arial" w:hAnsi="Arial" w:cs="Arial"/>
      <w:sz w:val="22"/>
      <w:szCs w:val="22"/>
      <w:lang w:val="pt-BR" w:eastAsia="pt-BR"/>
    </w:rPr>
  </w:style>
  <w:style w:type="character" w:customStyle="1" w:styleId="normalChar">
    <w:name w:val="normal Char"/>
    <w:basedOn w:val="DefaultParagraphFont"/>
    <w:link w:val="Normal1"/>
    <w:rsid w:val="006808E5"/>
    <w:rPr>
      <w:rFonts w:ascii="Arial" w:eastAsia="Arial" w:hAnsi="Arial" w:cs="Arial"/>
      <w:sz w:val="22"/>
      <w:szCs w:val="22"/>
      <w:lang w:val="pt-BR" w:eastAsia="pt-BR"/>
    </w:rPr>
  </w:style>
  <w:style w:type="table" w:styleId="ListTable6Colorful">
    <w:name w:val="List Table 6 Colorful"/>
    <w:basedOn w:val="TableNormal"/>
    <w:uiPriority w:val="51"/>
    <w:rsid w:val="006808E5"/>
    <w:pPr>
      <w:contextualSpacing/>
    </w:pPr>
    <w:rPr>
      <w:rFonts w:ascii="Arial" w:eastAsia="Arial" w:hAnsi="Arial" w:cs="Arial"/>
      <w:color w:val="000000" w:themeColor="text1"/>
      <w:sz w:val="22"/>
      <w:szCs w:val="22"/>
      <w:lang w:val="pt-BR" w:eastAsia="pt-B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8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8E5"/>
  </w:style>
  <w:style w:type="paragraph" w:styleId="Footer">
    <w:name w:val="footer"/>
    <w:basedOn w:val="Normal"/>
    <w:link w:val="FooterChar"/>
    <w:uiPriority w:val="99"/>
    <w:unhideWhenUsed/>
    <w:rsid w:val="0068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2022-05-23T22:01:00Z</dcterms:created>
  <dcterms:modified xsi:type="dcterms:W3CDTF">2022-05-25T00:04:00Z</dcterms:modified>
</cp:coreProperties>
</file>