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32" w:rsidRPr="004217CD" w:rsidRDefault="007A7432" w:rsidP="009E2454">
      <w:pPr>
        <w:spacing w:line="480" w:lineRule="auto"/>
        <w:rPr>
          <w:b/>
          <w:bCs/>
          <w:u w:val="single"/>
          <w:lang w:val="es-ES"/>
        </w:rPr>
      </w:pPr>
      <w:r w:rsidRPr="004217CD">
        <w:rPr>
          <w:b/>
          <w:bCs/>
          <w:u w:val="single"/>
          <w:lang w:val="es-ES"/>
        </w:rPr>
        <w:t>MATERIAL SUPLEMENTARIO</w:t>
      </w:r>
    </w:p>
    <w:p w:rsidR="00D94654" w:rsidRPr="004217CD" w:rsidRDefault="007E2A66" w:rsidP="009E2454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t>Tabla 1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Características de los tumores índice </w:t>
      </w:r>
      <w:r w:rsidR="008B66BE" w:rsidRPr="004217CD">
        <w:rPr>
          <w:lang w:val="es-ES"/>
        </w:rPr>
        <w:t>(n=5</w:t>
      </w:r>
      <w:r w:rsidR="009E2454" w:rsidRPr="004217CD">
        <w:rPr>
          <w:lang w:val="es-ES"/>
        </w:rPr>
        <w:t>.</w:t>
      </w:r>
      <w:r w:rsidR="008B66BE" w:rsidRPr="004217CD">
        <w:rPr>
          <w:lang w:val="es-ES"/>
        </w:rPr>
        <w:t xml:space="preserve">223) </w:t>
      </w:r>
      <w:r w:rsidRPr="004217CD">
        <w:rPr>
          <w:lang w:val="es-ES"/>
        </w:rPr>
        <w:t>de los pacientes incluidos en el estudio</w:t>
      </w:r>
      <w:r w:rsidR="009E2454" w:rsidRPr="004217CD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1988"/>
      </w:tblGrid>
      <w:tr w:rsidR="007E2A66" w:rsidRPr="004217CD" w:rsidTr="009E2454">
        <w:tc>
          <w:tcPr>
            <w:tcW w:w="5662" w:type="dxa"/>
            <w:gridSpan w:val="2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bookmarkStart w:id="0" w:name="_Hlk35525433"/>
            <w:r w:rsidRPr="004217CD">
              <w:rPr>
                <w:b/>
                <w:bCs/>
                <w:lang w:val="es-ES"/>
              </w:rPr>
              <w:t>Edad</w:t>
            </w:r>
            <w:r w:rsidRPr="004217CD">
              <w:rPr>
                <w:lang w:val="es-ES"/>
              </w:rPr>
              <w:t xml:space="preserve"> (media / desviación estándar) años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61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 (11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8E0A8C" w:rsidP="007E2A66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Masculino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647 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Femenino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576 (11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Localización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Cavidad oral 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693 (13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Rinofaringe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252 (4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Orofaringe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990 (19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Hipofaringe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465 (8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Laringe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687 (54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Metástasis cervical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136 (2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Tóxicos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No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476 (9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Moderado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775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Severo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972 (76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proofErr w:type="spellStart"/>
            <w:r w:rsidRPr="004217CD">
              <w:rPr>
                <w:b/>
                <w:bCs/>
                <w:lang w:val="es-ES"/>
              </w:rPr>
              <w:t>cT</w:t>
            </w:r>
            <w:proofErr w:type="spellEnd"/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cT1-2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973 (56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cT3-4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250 (43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proofErr w:type="spellStart"/>
            <w:r w:rsidRPr="004217CD">
              <w:rPr>
                <w:b/>
                <w:bCs/>
                <w:lang w:val="es-ES"/>
              </w:rPr>
              <w:t>cN</w:t>
            </w:r>
            <w:proofErr w:type="spellEnd"/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cN0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113 (59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bCs/>
                <w:lang w:val="es-ES"/>
              </w:rPr>
            </w:pPr>
            <w:proofErr w:type="spellStart"/>
            <w:r w:rsidRPr="004217CD">
              <w:rPr>
                <w:bCs/>
                <w:lang w:val="es-ES"/>
              </w:rPr>
              <w:t>cN</w:t>
            </w:r>
            <w:proofErr w:type="spellEnd"/>
            <w:r w:rsidRPr="004217CD">
              <w:rPr>
                <w:bCs/>
                <w:lang w:val="es-ES"/>
              </w:rPr>
              <w:t>+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110 (40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Grado histológico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Bien diferenciado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743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Mod</w:t>
            </w:r>
            <w:r w:rsidR="009E2454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 xml:space="preserve"> diferenciado 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7A7432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731 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Mal diferenciado</w:t>
            </w:r>
          </w:p>
        </w:tc>
        <w:tc>
          <w:tcPr>
            <w:tcW w:w="1988" w:type="dxa"/>
          </w:tcPr>
          <w:p w:rsidR="007E2A66" w:rsidRPr="004217CD" w:rsidRDefault="008B66BE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749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</w:tbl>
    <w:p w:rsidR="007E2A66" w:rsidRPr="004217CD" w:rsidRDefault="007E2A66" w:rsidP="007E2A66">
      <w:pPr>
        <w:spacing w:line="480" w:lineRule="auto"/>
        <w:rPr>
          <w:lang w:val="es-ES"/>
        </w:rPr>
      </w:pPr>
    </w:p>
    <w:bookmarkEnd w:id="0"/>
    <w:p w:rsidR="007E2A66" w:rsidRPr="004217CD" w:rsidRDefault="007E2A66">
      <w:pPr>
        <w:rPr>
          <w:lang w:val="es-ES"/>
        </w:rPr>
      </w:pPr>
      <w:r w:rsidRPr="004217CD">
        <w:rPr>
          <w:lang w:val="es-ES"/>
        </w:rPr>
        <w:br w:type="page"/>
      </w:r>
    </w:p>
    <w:p w:rsidR="007E2A66" w:rsidRPr="004217CD" w:rsidRDefault="007E2A66" w:rsidP="004217CD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Tabla 2</w:t>
      </w:r>
      <w:r w:rsidR="009E2454" w:rsidRPr="004217CD">
        <w:rPr>
          <w:b/>
          <w:bCs/>
          <w:lang w:val="es-ES"/>
        </w:rPr>
        <w:t xml:space="preserve">. </w:t>
      </w:r>
      <w:r w:rsidRPr="004217CD">
        <w:rPr>
          <w:lang w:val="es-ES"/>
        </w:rPr>
        <w:t xml:space="preserve">Características de los tumores incluidos en el análisis de supervivencia en función del </w:t>
      </w:r>
      <w:r w:rsidR="008E0A8C">
        <w:rPr>
          <w:lang w:val="es-ES"/>
        </w:rPr>
        <w:t>género</w:t>
      </w:r>
      <w:r w:rsidR="009E2454" w:rsidRPr="004217CD">
        <w:rPr>
          <w:lang w:val="es-ES"/>
        </w:rPr>
        <w:t>.</w:t>
      </w:r>
      <w:r w:rsidRPr="004217CD">
        <w:rPr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1846"/>
      </w:tblGrid>
      <w:tr w:rsidR="007E2A66" w:rsidRPr="004217CD" w:rsidTr="009E2454">
        <w:tc>
          <w:tcPr>
            <w:tcW w:w="5662" w:type="dxa"/>
            <w:gridSpan w:val="2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b/>
                <w:bCs/>
                <w:lang w:val="es-ES"/>
              </w:rPr>
              <w:t>Edad</w:t>
            </w:r>
            <w:r w:rsidRPr="004217CD">
              <w:rPr>
                <w:lang w:val="es-ES"/>
              </w:rPr>
              <w:t xml:space="preserve"> (media / desviación estándar) años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62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 (11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8E0A8C" w:rsidP="007E2A66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Masculino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751 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Femenino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562 (10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Localización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Cavidad oral 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749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Rinofaringe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232 (4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Orofaringe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099 (20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Hipofaringe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504 (9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Laringe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604 (49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Metástasis cervical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125 (2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Tóxicos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No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469 (8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Moderado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770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Severo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074 (76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proofErr w:type="spellStart"/>
            <w:r w:rsidRPr="004217CD">
              <w:rPr>
                <w:b/>
                <w:bCs/>
                <w:lang w:val="es-ES"/>
              </w:rPr>
              <w:t>cT</w:t>
            </w:r>
            <w:proofErr w:type="spellEnd"/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cT1-2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066 (57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cT3-4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247 (42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proofErr w:type="spellStart"/>
            <w:r w:rsidRPr="004217CD">
              <w:rPr>
                <w:b/>
                <w:bCs/>
                <w:lang w:val="es-ES"/>
              </w:rPr>
              <w:t>cN</w:t>
            </w:r>
            <w:proofErr w:type="spellEnd"/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cN0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305 (62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bCs/>
                <w:lang w:val="es-ES"/>
              </w:rPr>
            </w:pPr>
            <w:proofErr w:type="spellStart"/>
            <w:r w:rsidRPr="004217CD">
              <w:rPr>
                <w:bCs/>
                <w:lang w:val="es-ES"/>
              </w:rPr>
              <w:t>cN</w:t>
            </w:r>
            <w:proofErr w:type="spellEnd"/>
            <w:r w:rsidRPr="004217CD">
              <w:rPr>
                <w:bCs/>
                <w:lang w:val="es-ES"/>
              </w:rPr>
              <w:t>+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008 (42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9E2454">
        <w:tc>
          <w:tcPr>
            <w:tcW w:w="2405" w:type="dxa"/>
            <w:vMerge w:val="restart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Grado histológico</w:t>
            </w: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Bien diferenciado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747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Mod</w:t>
            </w:r>
            <w:r w:rsidR="009E2454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 xml:space="preserve"> diferenciado 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4217CD" w:rsidRP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>821 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</w:tr>
      <w:tr w:rsidR="007E2A66" w:rsidRPr="004217CD" w:rsidTr="009E2454">
        <w:tc>
          <w:tcPr>
            <w:tcW w:w="2405" w:type="dxa"/>
            <w:vMerge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</w:p>
        </w:tc>
        <w:tc>
          <w:tcPr>
            <w:tcW w:w="3257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Mal diferenciado</w:t>
            </w:r>
          </w:p>
        </w:tc>
        <w:tc>
          <w:tcPr>
            <w:tcW w:w="1846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745 (14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</w:tbl>
    <w:p w:rsidR="007E2A66" w:rsidRPr="004217CD" w:rsidRDefault="007E2A66" w:rsidP="007E2A66">
      <w:pPr>
        <w:spacing w:line="480" w:lineRule="auto"/>
        <w:rPr>
          <w:lang w:val="es-ES"/>
        </w:rPr>
      </w:pPr>
    </w:p>
    <w:p w:rsidR="007E2A66" w:rsidRPr="004217CD" w:rsidRDefault="007E2A66">
      <w:pPr>
        <w:rPr>
          <w:lang w:val="es-ES"/>
        </w:rPr>
      </w:pPr>
      <w:r w:rsidRPr="004217CD">
        <w:rPr>
          <w:lang w:val="es-ES"/>
        </w:rPr>
        <w:br w:type="page"/>
      </w:r>
    </w:p>
    <w:p w:rsidR="007E2A66" w:rsidRPr="004217CD" w:rsidRDefault="007E2A66" w:rsidP="007E2A66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Tabla 3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Valores del porcentaje de cambio anual (</w:t>
      </w:r>
      <w:proofErr w:type="spellStart"/>
      <w:r w:rsidRPr="004217CD">
        <w:rPr>
          <w:lang w:val="es-ES"/>
        </w:rPr>
        <w:t>Annual</w:t>
      </w:r>
      <w:proofErr w:type="spellEnd"/>
      <w:r w:rsidRPr="004217CD">
        <w:rPr>
          <w:lang w:val="es-ES"/>
        </w:rPr>
        <w:t xml:space="preserve"> </w:t>
      </w:r>
      <w:proofErr w:type="spellStart"/>
      <w:r w:rsidRPr="004217CD">
        <w:rPr>
          <w:lang w:val="es-ES"/>
        </w:rPr>
        <w:t>Percentage</w:t>
      </w:r>
      <w:proofErr w:type="spellEnd"/>
      <w:r w:rsidRPr="004217CD">
        <w:rPr>
          <w:lang w:val="es-ES"/>
        </w:rPr>
        <w:t xml:space="preserve"> </w:t>
      </w:r>
      <w:proofErr w:type="spellStart"/>
      <w:r w:rsidRPr="004217CD">
        <w:rPr>
          <w:lang w:val="es-ES"/>
        </w:rPr>
        <w:t>rate</w:t>
      </w:r>
      <w:proofErr w:type="spellEnd"/>
      <w:r w:rsidRPr="004217CD">
        <w:rPr>
          <w:lang w:val="es-ES"/>
        </w:rPr>
        <w:t xml:space="preserve"> Change, APC) en la proporción de tumores en pacientes de </w:t>
      </w:r>
      <w:r w:rsidR="008E0A8C">
        <w:rPr>
          <w:lang w:val="es-ES"/>
        </w:rPr>
        <w:t>género</w:t>
      </w:r>
      <w:r w:rsidRPr="004217CD">
        <w:rPr>
          <w:lang w:val="es-ES"/>
        </w:rPr>
        <w:t xml:space="preserve"> femenino a lo largo del periodo de estudio</w:t>
      </w:r>
      <w:r w:rsidR="009E2454" w:rsidRPr="004217CD">
        <w:rPr>
          <w:lang w:val="es-ES"/>
        </w:rPr>
        <w:t>.</w:t>
      </w:r>
      <w:r w:rsidRPr="004217CD">
        <w:rPr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8"/>
        <w:gridCol w:w="1317"/>
        <w:gridCol w:w="1276"/>
        <w:gridCol w:w="992"/>
      </w:tblGrid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APC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IC 95%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Global de pacientes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20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5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04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ind w:left="708"/>
              <w:rPr>
                <w:lang w:val="es-ES"/>
              </w:rPr>
            </w:pPr>
            <w:r w:rsidRPr="004217CD">
              <w:rPr>
                <w:lang w:val="es-ES"/>
              </w:rPr>
              <w:t>1981-2001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13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1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03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ind w:left="708"/>
              <w:rPr>
                <w:lang w:val="es-ES"/>
              </w:rPr>
            </w:pPr>
            <w:r w:rsidRPr="004217CD">
              <w:rPr>
                <w:lang w:val="es-ES"/>
              </w:rPr>
              <w:t>20</w:t>
            </w:r>
            <w:r w:rsidR="004217CD">
              <w:rPr>
                <w:lang w:val="es-ES"/>
              </w:rPr>
              <w:t>0</w:t>
            </w:r>
            <w:r w:rsidR="002362A3">
              <w:rPr>
                <w:lang w:val="es-ES"/>
              </w:rPr>
              <w:t>1</w:t>
            </w:r>
            <w:r w:rsidRPr="004217CD">
              <w:rPr>
                <w:lang w:val="es-ES"/>
              </w:rPr>
              <w:t>-2019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97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2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Cavidad oral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20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5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Rinofaringe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95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-4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5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54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Orofaringe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62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</w:t>
            </w:r>
            <w:r w:rsidR="004217CD">
              <w:rPr>
                <w:lang w:val="es-ES"/>
              </w:rPr>
              <w:t xml:space="preserve"> a </w:t>
            </w:r>
            <w:r w:rsidRPr="004217CD">
              <w:rPr>
                <w:lang w:val="es-ES"/>
              </w:rPr>
              <w:t>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Hipofaringe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58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-1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5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13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12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Laringe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78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</w:t>
            </w:r>
            <w:r w:rsidR="004217CD">
              <w:rPr>
                <w:lang w:val="es-ES"/>
              </w:rPr>
              <w:t xml:space="preserve"> a </w:t>
            </w:r>
            <w:r w:rsidRPr="004217CD">
              <w:rPr>
                <w:lang w:val="es-ES"/>
              </w:rPr>
              <w:t>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7E2A66" w:rsidRPr="004217CD" w:rsidTr="007E2A66">
        <w:tc>
          <w:tcPr>
            <w:tcW w:w="349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Metástasis sin primario</w:t>
            </w:r>
          </w:p>
        </w:tc>
        <w:tc>
          <w:tcPr>
            <w:tcW w:w="1317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48</w:t>
            </w:r>
          </w:p>
        </w:tc>
        <w:tc>
          <w:tcPr>
            <w:tcW w:w="1276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-4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 xml:space="preserve">9 </w:t>
            </w:r>
            <w:r w:rsidR="004217CD">
              <w:rPr>
                <w:lang w:val="es-ES"/>
              </w:rPr>
              <w:t>a</w:t>
            </w:r>
            <w:r w:rsidRPr="004217CD">
              <w:rPr>
                <w:lang w:val="es-ES"/>
              </w:rPr>
              <w:t xml:space="preserve"> 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</w:t>
            </w:r>
          </w:p>
        </w:tc>
        <w:tc>
          <w:tcPr>
            <w:tcW w:w="992" w:type="dxa"/>
          </w:tcPr>
          <w:p w:rsidR="007E2A66" w:rsidRPr="004217CD" w:rsidRDefault="007E2A66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34</w:t>
            </w:r>
          </w:p>
        </w:tc>
      </w:tr>
    </w:tbl>
    <w:p w:rsidR="007E2A66" w:rsidRPr="004217CD" w:rsidRDefault="007E2A66" w:rsidP="007E2A66">
      <w:pPr>
        <w:spacing w:line="480" w:lineRule="auto"/>
        <w:rPr>
          <w:lang w:val="es-ES"/>
        </w:rPr>
      </w:pPr>
      <w:r w:rsidRPr="004217CD">
        <w:rPr>
          <w:lang w:val="es-ES"/>
        </w:rPr>
        <w:br w:type="page"/>
      </w:r>
    </w:p>
    <w:p w:rsidR="007E2A66" w:rsidRPr="004217CD" w:rsidRDefault="007E2A66">
      <w:pPr>
        <w:rPr>
          <w:lang w:val="es-ES"/>
        </w:rPr>
        <w:sectPr w:rsidR="007E2A66" w:rsidRPr="004217CD" w:rsidSect="0078664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E2A66" w:rsidRPr="004217CD" w:rsidRDefault="007E2A66" w:rsidP="007E2A66">
      <w:pPr>
        <w:spacing w:line="24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Tabla 4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 Distribución por trienios de los pacientes en función de la localización primaria del tumor</w:t>
      </w:r>
      <w:r w:rsidR="009E2454" w:rsidRPr="004217CD">
        <w:rPr>
          <w:lang w:val="es-ES"/>
        </w:rPr>
        <w:t xml:space="preserve"> (% </w:t>
      </w:r>
      <w:r w:rsidR="008E0A8C">
        <w:rPr>
          <w:lang w:val="es-ES"/>
        </w:rPr>
        <w:t>género</w:t>
      </w:r>
      <w:r w:rsidR="009E2454" w:rsidRPr="004217CD">
        <w:rPr>
          <w:lang w:val="es-ES"/>
        </w:rPr>
        <w:t xml:space="preserve"> masculino / % </w:t>
      </w:r>
      <w:r w:rsidR="008E0A8C">
        <w:rPr>
          <w:lang w:val="es-ES"/>
        </w:rPr>
        <w:t>género</w:t>
      </w:r>
      <w:r w:rsidR="009E2454" w:rsidRPr="004217CD">
        <w:rPr>
          <w:lang w:val="es-ES"/>
        </w:rPr>
        <w:t xml:space="preserve"> femenino).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7"/>
        <w:gridCol w:w="1749"/>
        <w:gridCol w:w="1749"/>
        <w:gridCol w:w="1749"/>
        <w:gridCol w:w="1749"/>
        <w:gridCol w:w="1749"/>
        <w:gridCol w:w="1750"/>
        <w:gridCol w:w="1750"/>
      </w:tblGrid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Global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Cavidad oral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Rinofaringe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Orofaringe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Hipofaringe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Laringe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1º desconocido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1985-1987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530 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0%/30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304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1988-1990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577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6%/28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36%/5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333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(100%/0%)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1991-1993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601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8%/22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9%/24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138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276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1994-1996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629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317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1997-1999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565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8%/23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105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273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2000-2002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549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115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2003-2005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509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8%/13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1%/26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244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2006-2008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485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8%/12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2%/27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(43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8%/56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113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220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(100%/0%)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2009-2011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398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2%/15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(59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6%/40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4%/28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8%/18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196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2%/30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2012-2014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380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7%/15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6%/29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5%/38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158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2015-2017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282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1%/21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(53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3%/46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(54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2%/45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155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9%-11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2018-2019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244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(48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3%/51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6%/23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Total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5828 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848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5%/29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257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6%/28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1192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559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2833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139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</w:tr>
    </w:tbl>
    <w:p w:rsidR="007E2A66" w:rsidRPr="004217CD" w:rsidRDefault="007E2A66" w:rsidP="007E2A66">
      <w:pPr>
        <w:spacing w:line="240" w:lineRule="auto"/>
        <w:rPr>
          <w:lang w:val="es-ES"/>
        </w:rPr>
      </w:pPr>
    </w:p>
    <w:p w:rsidR="007E2A66" w:rsidRPr="004217CD" w:rsidRDefault="007E2A66" w:rsidP="007E2A66">
      <w:pPr>
        <w:spacing w:line="24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Tabla 5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 Distribución por trienios de los pacientes en función de la localización primaria del tumor considerando tan sólo los tumores índice</w:t>
      </w:r>
      <w:r w:rsidR="009E2454" w:rsidRPr="004217CD">
        <w:rPr>
          <w:lang w:val="es-ES"/>
        </w:rPr>
        <w:t xml:space="preserve"> </w:t>
      </w:r>
      <w:r w:rsidR="008E0A8C" w:rsidRPr="004217CD">
        <w:rPr>
          <w:lang w:val="es-ES"/>
        </w:rPr>
        <w:t xml:space="preserve">(% </w:t>
      </w:r>
      <w:r w:rsidR="008E0A8C">
        <w:rPr>
          <w:lang w:val="es-ES"/>
        </w:rPr>
        <w:t>género</w:t>
      </w:r>
      <w:r w:rsidR="008E0A8C" w:rsidRPr="004217CD">
        <w:rPr>
          <w:lang w:val="es-ES"/>
        </w:rPr>
        <w:t xml:space="preserve"> masculino / % </w:t>
      </w:r>
      <w:r w:rsidR="008E0A8C">
        <w:rPr>
          <w:lang w:val="es-ES"/>
        </w:rPr>
        <w:t>género</w:t>
      </w:r>
      <w:r w:rsidR="008E0A8C" w:rsidRPr="004217CD">
        <w:rPr>
          <w:lang w:val="es-ES"/>
        </w:rPr>
        <w:t xml:space="preserve"> femenino).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7"/>
        <w:gridCol w:w="1749"/>
        <w:gridCol w:w="1749"/>
        <w:gridCol w:w="1749"/>
        <w:gridCol w:w="1749"/>
        <w:gridCol w:w="1749"/>
        <w:gridCol w:w="1750"/>
        <w:gridCol w:w="1750"/>
      </w:tblGrid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Global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Cav</w:t>
            </w:r>
            <w:r w:rsidR="004217CD">
              <w:rPr>
                <w:b/>
                <w:bCs/>
                <w:lang w:val="es-ES"/>
              </w:rPr>
              <w:t xml:space="preserve">idad </w:t>
            </w:r>
            <w:r w:rsidRPr="004217CD">
              <w:rPr>
                <w:b/>
                <w:bCs/>
                <w:lang w:val="es-ES"/>
              </w:rPr>
              <w:t>oral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Rinofaringe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Orofaringe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Hipofaringe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Laringe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1º desconocido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1985-1987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517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0%/30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300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1988-1990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556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326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(100%/0%)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1991-1993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566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8%/21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9%/24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(100%/0%)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271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1994-1996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571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7%/26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110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299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1997-1999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507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3%/27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4%/12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259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2000-2002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471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249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2003-2005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450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1%/37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1%/26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8%/18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230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2006-2008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415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1%/37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(43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8%/56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8/12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202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(100%/0%)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2009-2011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338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7%/16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(58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3%/41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2%/30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8%/21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180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2012-2014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312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2%/29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7%/27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73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88%)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7%/41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2015-2017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321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9%/22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(50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0%/50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(54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2%/45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3%/16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2018-2019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199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9%/23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(48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7%/51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14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6%/21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35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1%/22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19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86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7%/33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</w:tr>
      <w:tr w:rsidR="007E2A66" w:rsidRPr="004217CD" w:rsidTr="007E2A66">
        <w:tc>
          <w:tcPr>
            <w:tcW w:w="1749" w:type="dxa"/>
          </w:tcPr>
          <w:p w:rsidR="007E2A66" w:rsidRPr="004217CD" w:rsidRDefault="007E2A66" w:rsidP="007E2A66">
            <w:pPr>
              <w:rPr>
                <w:lang w:val="es-ES"/>
              </w:rPr>
            </w:pPr>
            <w:r w:rsidRPr="004217CD">
              <w:rPr>
                <w:lang w:val="es-ES"/>
              </w:rPr>
              <w:t>Total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5223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693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(69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4%/30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252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8%/28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990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749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465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0%/6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2687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(94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9%/5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750" w:type="dxa"/>
          </w:tcPr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136</w:t>
            </w:r>
          </w:p>
          <w:p w:rsidR="007E2A66" w:rsidRPr="004217CD" w:rsidRDefault="007E2A66" w:rsidP="004217CD">
            <w:pPr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(88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2%/11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</w:tr>
    </w:tbl>
    <w:p w:rsidR="007E2A66" w:rsidRPr="004217CD" w:rsidRDefault="007E2A66" w:rsidP="007E2A66">
      <w:pPr>
        <w:spacing w:line="240" w:lineRule="auto"/>
        <w:rPr>
          <w:lang w:val="es-ES"/>
        </w:rPr>
      </w:pPr>
    </w:p>
    <w:p w:rsidR="007E2A66" w:rsidRPr="004217CD" w:rsidRDefault="007E2A66">
      <w:pPr>
        <w:rPr>
          <w:lang w:val="es-ES"/>
        </w:rPr>
        <w:sectPr w:rsidR="007E2A66" w:rsidRPr="004217CD" w:rsidSect="007E2A66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FE0FA0" w:rsidRPr="004217CD" w:rsidRDefault="007E2A66" w:rsidP="00FE0FA0">
      <w:pPr>
        <w:spacing w:line="480" w:lineRule="auto"/>
        <w:jc w:val="both"/>
        <w:rPr>
          <w:b/>
          <w:bCs/>
          <w:lang w:val="es-ES"/>
        </w:rPr>
      </w:pPr>
      <w:r w:rsidRPr="004217CD">
        <w:rPr>
          <w:b/>
          <w:bCs/>
          <w:lang w:val="es-ES"/>
        </w:rPr>
        <w:lastRenderedPageBreak/>
        <w:t>Figura 1</w:t>
      </w:r>
      <w:r w:rsidR="009E2454" w:rsidRPr="004217CD">
        <w:rPr>
          <w:b/>
          <w:bCs/>
          <w:lang w:val="es-ES"/>
        </w:rPr>
        <w:t>.</w:t>
      </w:r>
      <w:r w:rsidRPr="004217CD">
        <w:rPr>
          <w:b/>
          <w:bCs/>
          <w:lang w:val="es-ES"/>
        </w:rPr>
        <w:t xml:space="preserve">  </w:t>
      </w:r>
      <w:r w:rsidR="00FE0FA0" w:rsidRPr="004217CD">
        <w:rPr>
          <w:lang w:val="es-ES"/>
        </w:rPr>
        <w:t xml:space="preserve">Tendencias en el porcentaje de tumores en pacientes de </w:t>
      </w:r>
      <w:r w:rsidR="008E0A8C">
        <w:rPr>
          <w:lang w:val="es-ES"/>
        </w:rPr>
        <w:t>género</w:t>
      </w:r>
      <w:r w:rsidR="00FE0FA0" w:rsidRPr="004217CD">
        <w:rPr>
          <w:lang w:val="es-ES"/>
        </w:rPr>
        <w:t xml:space="preserve"> femenino a lo largo del periodo de estudio para los carcinomas de orofaringe</w:t>
      </w:r>
      <w:r w:rsidR="009E2454" w:rsidRPr="004217CD">
        <w:rPr>
          <w:lang w:val="es-ES"/>
        </w:rPr>
        <w:t>.</w:t>
      </w:r>
    </w:p>
    <w:p w:rsidR="007E2A66" w:rsidRPr="004217CD" w:rsidRDefault="00FE0FA0">
      <w:pPr>
        <w:rPr>
          <w:b/>
          <w:bCs/>
          <w:lang w:val="es-ES"/>
        </w:rPr>
      </w:pPr>
      <w:r w:rsidRPr="004217CD">
        <w:rPr>
          <w:b/>
          <w:bCs/>
          <w:noProof/>
          <w:lang w:val="es-ES"/>
        </w:rPr>
        <w:drawing>
          <wp:inline distT="0" distB="0" distL="0" distR="0">
            <wp:extent cx="5574172" cy="2495550"/>
            <wp:effectExtent l="0" t="0" r="7620" b="0"/>
            <wp:docPr id="1" name="Imagen 1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Suplementaria 1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0" t="9092" r="9337" b="23808"/>
                    <a:stretch/>
                  </pic:blipFill>
                  <pic:spPr bwMode="auto">
                    <a:xfrm>
                      <a:off x="0" y="0"/>
                      <a:ext cx="5582944" cy="2499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2A66" w:rsidRPr="004217CD">
        <w:rPr>
          <w:b/>
          <w:bCs/>
          <w:lang w:val="es-ES"/>
        </w:rPr>
        <w:br w:type="page"/>
      </w:r>
    </w:p>
    <w:p w:rsidR="007E2A66" w:rsidRPr="004217CD" w:rsidRDefault="007E2A66" w:rsidP="007E2A66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Tabla 6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Tipo de tratamiento realizado en función de</w:t>
      </w:r>
      <w:r w:rsidR="008E0A8C">
        <w:rPr>
          <w:lang w:val="es-ES"/>
        </w:rPr>
        <w:t>l género</w:t>
      </w:r>
      <w:r w:rsidRPr="004217CD">
        <w:rPr>
          <w:lang w:val="es-ES"/>
        </w:rPr>
        <w:t xml:space="preserve"> del paciente dependiendo de la localización del tumor primario</w:t>
      </w:r>
      <w:r w:rsidR="009E2454" w:rsidRPr="004217CD">
        <w:rPr>
          <w:lang w:val="es-ES"/>
        </w:rPr>
        <w:t xml:space="preserve"> (RT, radioterapia; QT-RT, quimio-radioterapia).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1281"/>
      </w:tblGrid>
      <w:tr w:rsidR="007E2A66" w:rsidRPr="004217CD" w:rsidTr="009E2454">
        <w:tc>
          <w:tcPr>
            <w:tcW w:w="7651" w:type="dxa"/>
            <w:gridSpan w:val="4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 xml:space="preserve">Cavidad oral 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Tratamiento</w:t>
            </w: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281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Paliativo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25 (4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22 (10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281" w:type="dxa"/>
            <w:vMerge w:val="restart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013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185 (34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84 (39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 + RT/QT-RT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128 (23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41 (18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179 (33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58 (27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21 (3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6 (2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Total 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538 (100%)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211 (100%)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7651" w:type="dxa"/>
            <w:gridSpan w:val="4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Rinofaringe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Tratamiento</w:t>
            </w: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281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Paliativo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 (2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 (6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281" w:type="dxa"/>
            <w:vMerge w:val="restart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006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-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-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 + RT/QT-RT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-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-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118 (71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33 (50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44 (26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29 (43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Total 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166 (100%)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66 (100%)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7651" w:type="dxa"/>
            <w:gridSpan w:val="4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Orofaringe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Tratamiento</w:t>
            </w: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281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Paliativo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129 (13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8 (7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1281" w:type="dxa"/>
            <w:vMerge w:val="restart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044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110 (11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9 (7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 + RT/QT-RT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84 (8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6 (5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445 (45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56 (48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216 (22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36 (31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Total 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984 (100%)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115 (100%)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7651" w:type="dxa"/>
            <w:gridSpan w:val="4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Hipofaringe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Tratamiento</w:t>
            </w: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281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Paliativo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51 (10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3 (10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3%)</w:t>
            </w:r>
          </w:p>
        </w:tc>
        <w:tc>
          <w:tcPr>
            <w:tcW w:w="1281" w:type="dxa"/>
            <w:vMerge w:val="restart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768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51 (10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 (6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 + RT/QT-RT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109 (22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6 (20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181 (38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10 (34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83 (17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8 (27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Total 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475 (100%)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29 (100%)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7651" w:type="dxa"/>
            <w:gridSpan w:val="4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Laringe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Tratamiento</w:t>
            </w: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281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Paliativo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80 (3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 (1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281" w:type="dxa"/>
            <w:vMerge w:val="restart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068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504 (20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25 (19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 + RT/QT-RT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424 (17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13 (10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1349 (54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77 (60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119 (4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 (8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Total 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2476 (100%)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128 (100%)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7651" w:type="dxa"/>
            <w:gridSpan w:val="4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lastRenderedPageBreak/>
              <w:t>Metástasis sin tumor primario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Tratamiento</w:t>
            </w: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276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281" w:type="dxa"/>
          </w:tcPr>
          <w:p w:rsidR="007E2A66" w:rsidRPr="004217CD" w:rsidRDefault="007E2A66" w:rsidP="007E2A66">
            <w:pPr>
              <w:spacing w:line="276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Paliativo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 (9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 (7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7%)</w:t>
            </w:r>
          </w:p>
        </w:tc>
        <w:tc>
          <w:tcPr>
            <w:tcW w:w="1281" w:type="dxa"/>
            <w:vMerge w:val="restart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489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17 (15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 (15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Cirugía + RT/QT-RT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73 (65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7 (53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9 (8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3 (23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QT-RT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2 (1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0 (0%)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Total 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112 (100%)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  <w:r w:rsidRPr="004217CD">
              <w:rPr>
                <w:lang w:val="es-ES"/>
              </w:rPr>
              <w:t>13 (100%)</w:t>
            </w:r>
          </w:p>
        </w:tc>
        <w:tc>
          <w:tcPr>
            <w:tcW w:w="1281" w:type="dxa"/>
            <w:vMerge/>
          </w:tcPr>
          <w:p w:rsidR="007E2A66" w:rsidRPr="004217CD" w:rsidRDefault="007E2A66" w:rsidP="007E2A66">
            <w:pPr>
              <w:spacing w:line="276" w:lineRule="auto"/>
              <w:rPr>
                <w:lang w:val="es-ES"/>
              </w:rPr>
            </w:pPr>
          </w:p>
        </w:tc>
      </w:tr>
    </w:tbl>
    <w:p w:rsidR="007E2A66" w:rsidRPr="004217CD" w:rsidRDefault="007E2A66" w:rsidP="007E2A66">
      <w:pPr>
        <w:spacing w:line="276" w:lineRule="auto"/>
        <w:rPr>
          <w:lang w:val="es-ES"/>
        </w:rPr>
      </w:pPr>
    </w:p>
    <w:p w:rsidR="007E2A66" w:rsidRPr="004217CD" w:rsidRDefault="007E2A66" w:rsidP="007E2A66">
      <w:pPr>
        <w:spacing w:line="480" w:lineRule="auto"/>
        <w:rPr>
          <w:b/>
          <w:bCs/>
          <w:lang w:val="es-ES"/>
        </w:rPr>
      </w:pPr>
    </w:p>
    <w:p w:rsidR="007E2A66" w:rsidRPr="004217CD" w:rsidRDefault="007E2A66" w:rsidP="007E2A66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t>Tabla 7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Supervivencia específica a los 5 años en función del </w:t>
      </w:r>
      <w:r w:rsidR="008E0A8C">
        <w:rPr>
          <w:lang w:val="es-ES"/>
        </w:rPr>
        <w:t>género</w:t>
      </w:r>
      <w:r w:rsidRPr="004217CD">
        <w:rPr>
          <w:lang w:val="es-ES"/>
        </w:rPr>
        <w:t xml:space="preserve"> dependiendo de la localización del tumor primario</w:t>
      </w:r>
      <w:r w:rsidR="009E2454" w:rsidRPr="004217CD">
        <w:rPr>
          <w:lang w:val="es-ES"/>
        </w:rPr>
        <w:t xml:space="preserve"> (IC 95%).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1138"/>
      </w:tblGrid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</w:p>
        </w:tc>
        <w:tc>
          <w:tcPr>
            <w:tcW w:w="2123" w:type="dxa"/>
          </w:tcPr>
          <w:p w:rsidR="007E2A66" w:rsidRPr="004217CD" w:rsidRDefault="008E0A8C" w:rsidP="007E2A66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masculino </w:t>
            </w:r>
          </w:p>
        </w:tc>
        <w:tc>
          <w:tcPr>
            <w:tcW w:w="2124" w:type="dxa"/>
          </w:tcPr>
          <w:p w:rsidR="007E2A66" w:rsidRPr="004217CD" w:rsidRDefault="008E0A8C" w:rsidP="007E2A66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  <w:r w:rsidR="007E2A66" w:rsidRPr="004217CD">
              <w:rPr>
                <w:b/>
                <w:bCs/>
                <w:lang w:val="es-ES"/>
              </w:rPr>
              <w:t xml:space="preserve"> femenino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Cavidad oral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65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537098" w:rsidRPr="004217CD">
              <w:rPr>
                <w:lang w:val="es-ES"/>
              </w:rPr>
              <w:t>(61</w:t>
            </w:r>
            <w:r w:rsidR="009E2454" w:rsidRPr="004217CD">
              <w:rPr>
                <w:lang w:val="es-ES"/>
              </w:rPr>
              <w:t>,6-69,9%)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52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(46,0-59,7%)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Rinofaringe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59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% (51,4-66,7%)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(60,6-82,9%)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139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Orofaringe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(43,5-50,2%)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63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(54,8-72,5%)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003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Hipofaringe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46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(41,7-51,1%)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51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(32,8-69,7%)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617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Laringe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81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(79,8-82,9%)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90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(84,1-95,3%)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023</w:t>
            </w:r>
          </w:p>
        </w:tc>
      </w:tr>
      <w:tr w:rsidR="007E2A66" w:rsidRPr="004217CD" w:rsidTr="009E2454"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Metástasis sin 1º</w:t>
            </w:r>
          </w:p>
        </w:tc>
        <w:tc>
          <w:tcPr>
            <w:tcW w:w="2123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38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5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(28,3-48,6%)</w:t>
            </w:r>
          </w:p>
        </w:tc>
        <w:tc>
          <w:tcPr>
            <w:tcW w:w="2124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73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8</w:t>
            </w:r>
            <w:r w:rsidR="009E2454" w:rsidRPr="004217CD">
              <w:rPr>
                <w:lang w:val="es-ES"/>
              </w:rPr>
              <w:t>%</w:t>
            </w:r>
            <w:r w:rsidRPr="004217CD">
              <w:rPr>
                <w:lang w:val="es-ES"/>
              </w:rPr>
              <w:t xml:space="preserve"> </w:t>
            </w:r>
            <w:r w:rsidR="009E2454" w:rsidRPr="004217CD">
              <w:rPr>
                <w:lang w:val="es-ES"/>
              </w:rPr>
              <w:t>(48,1-99,4%)</w:t>
            </w:r>
          </w:p>
        </w:tc>
        <w:tc>
          <w:tcPr>
            <w:tcW w:w="1138" w:type="dxa"/>
          </w:tcPr>
          <w:p w:rsidR="007E2A66" w:rsidRPr="004217CD" w:rsidRDefault="007E2A66" w:rsidP="007E2A66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136</w:t>
            </w:r>
          </w:p>
        </w:tc>
      </w:tr>
    </w:tbl>
    <w:p w:rsidR="007E2A66" w:rsidRPr="004217CD" w:rsidRDefault="007E2A66" w:rsidP="007E2A66">
      <w:pPr>
        <w:spacing w:line="480" w:lineRule="auto"/>
        <w:rPr>
          <w:lang w:val="es-ES"/>
        </w:rPr>
      </w:pPr>
    </w:p>
    <w:p w:rsidR="005C5AB2" w:rsidRPr="004217CD" w:rsidRDefault="005C5AB2">
      <w:pPr>
        <w:rPr>
          <w:b/>
          <w:bCs/>
          <w:lang w:val="es-ES"/>
        </w:rPr>
      </w:pPr>
      <w:r w:rsidRPr="004217CD">
        <w:rPr>
          <w:b/>
          <w:bCs/>
          <w:lang w:val="es-ES"/>
        </w:rPr>
        <w:br w:type="page"/>
      </w:r>
    </w:p>
    <w:p w:rsidR="007E2A66" w:rsidRPr="004217CD" w:rsidRDefault="005C5AB2" w:rsidP="007E2A66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Figura 2</w:t>
      </w:r>
      <w:r w:rsidR="009E2454" w:rsidRPr="004217CD">
        <w:rPr>
          <w:b/>
          <w:bCs/>
          <w:lang w:val="es-ES"/>
        </w:rPr>
        <w:t>.</w:t>
      </w:r>
      <w:r w:rsidRPr="004217CD">
        <w:rPr>
          <w:b/>
          <w:bCs/>
          <w:lang w:val="es-ES"/>
        </w:rPr>
        <w:t xml:space="preserve"> </w:t>
      </w:r>
      <w:r w:rsidR="00E34089" w:rsidRPr="004217CD">
        <w:rPr>
          <w:lang w:val="es-ES"/>
        </w:rPr>
        <w:t xml:space="preserve">Curvas de supervivencia específica de los pacientes con carcinomas de cavidad oral en función del </w:t>
      </w:r>
      <w:r w:rsidR="008E0A8C">
        <w:rPr>
          <w:lang w:val="es-ES"/>
        </w:rPr>
        <w:t>g</w:t>
      </w:r>
      <w:bookmarkStart w:id="1" w:name="_GoBack"/>
      <w:bookmarkEnd w:id="1"/>
      <w:r w:rsidR="008E0A8C">
        <w:rPr>
          <w:lang w:val="es-ES"/>
        </w:rPr>
        <w:t>énero</w:t>
      </w:r>
      <w:r w:rsidR="00E34089" w:rsidRPr="004217CD">
        <w:rPr>
          <w:lang w:val="es-ES"/>
        </w:rPr>
        <w:t xml:space="preserve"> dependiendo de la categoría de extensión local del tumor </w:t>
      </w:r>
      <w:r w:rsidR="00F9271B" w:rsidRPr="004217CD">
        <w:rPr>
          <w:lang w:val="es-ES"/>
        </w:rPr>
        <w:t xml:space="preserve">(A) </w:t>
      </w:r>
      <w:r w:rsidR="00E34089" w:rsidRPr="004217CD">
        <w:rPr>
          <w:lang w:val="es-ES"/>
        </w:rPr>
        <w:t>y del tipo de tratamiento realizado</w:t>
      </w:r>
      <w:r w:rsidR="00F9271B" w:rsidRPr="004217CD">
        <w:rPr>
          <w:lang w:val="es-ES"/>
        </w:rPr>
        <w:t xml:space="preserve"> (B)</w:t>
      </w:r>
      <w:r w:rsidR="009E2454" w:rsidRPr="004217CD">
        <w:rPr>
          <w:lang w:val="es-ES"/>
        </w:rPr>
        <w:t>.</w:t>
      </w:r>
    </w:p>
    <w:p w:rsidR="00E34089" w:rsidRPr="004217CD" w:rsidRDefault="00F9271B" w:rsidP="007E2A66">
      <w:pPr>
        <w:spacing w:line="480" w:lineRule="auto"/>
        <w:rPr>
          <w:b/>
          <w:bCs/>
          <w:lang w:val="es-ES"/>
        </w:rPr>
      </w:pPr>
      <w:r w:rsidRPr="004217CD">
        <w:rPr>
          <w:b/>
          <w:bCs/>
          <w:noProof/>
          <w:lang w:val="es-ES"/>
        </w:rPr>
        <w:drawing>
          <wp:inline distT="0" distB="0" distL="0" distR="0">
            <wp:extent cx="5421860" cy="270510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Suplementaria 2.1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80" b="27258"/>
                    <a:stretch/>
                  </pic:blipFill>
                  <pic:spPr bwMode="auto">
                    <a:xfrm>
                      <a:off x="0" y="0"/>
                      <a:ext cx="5436025" cy="2712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5AB2" w:rsidRPr="004217CD" w:rsidRDefault="00F9271B">
      <w:pPr>
        <w:rPr>
          <w:b/>
          <w:bCs/>
          <w:lang w:val="es-ES"/>
        </w:rPr>
      </w:pPr>
      <w:r w:rsidRPr="004217CD">
        <w:rPr>
          <w:b/>
          <w:bCs/>
          <w:noProof/>
          <w:lang w:val="es-ES"/>
        </w:rPr>
        <w:drawing>
          <wp:inline distT="0" distB="0" distL="0" distR="0">
            <wp:extent cx="5450887" cy="2867025"/>
            <wp:effectExtent l="0" t="0" r="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 Suplementaria 2.2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09" b="23808"/>
                    <a:stretch/>
                  </pic:blipFill>
                  <pic:spPr bwMode="auto">
                    <a:xfrm>
                      <a:off x="0" y="0"/>
                      <a:ext cx="5460178" cy="287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5AB2" w:rsidRPr="004217CD">
        <w:rPr>
          <w:b/>
          <w:bCs/>
          <w:lang w:val="es-ES"/>
        </w:rPr>
        <w:br w:type="page"/>
      </w:r>
    </w:p>
    <w:p w:rsidR="005C5AB2" w:rsidRPr="004217CD" w:rsidRDefault="005C5AB2" w:rsidP="005C5AB2">
      <w:pPr>
        <w:spacing w:line="480" w:lineRule="auto"/>
        <w:rPr>
          <w:lang w:val="es-ES"/>
        </w:rPr>
      </w:pPr>
      <w:r w:rsidRPr="004217CD">
        <w:rPr>
          <w:b/>
          <w:bCs/>
          <w:lang w:val="es-ES"/>
        </w:rPr>
        <w:lastRenderedPageBreak/>
        <w:t>Tabla 8</w:t>
      </w:r>
      <w:r w:rsidR="009E2454" w:rsidRPr="004217CD">
        <w:rPr>
          <w:b/>
          <w:bCs/>
          <w:lang w:val="es-ES"/>
        </w:rPr>
        <w:t>.</w:t>
      </w:r>
      <w:r w:rsidRPr="004217CD">
        <w:rPr>
          <w:lang w:val="es-ES"/>
        </w:rPr>
        <w:t xml:space="preserve"> Resultados del estudio multivariante considerando la supervivencia específica como variable dependiente para los tumores localizados en la cavidad oral</w:t>
      </w:r>
      <w:r w:rsidR="00146731" w:rsidRPr="004217CD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2833"/>
        <w:gridCol w:w="1560"/>
        <w:gridCol w:w="1275"/>
        <w:gridCol w:w="1128"/>
      </w:tblGrid>
      <w:tr w:rsidR="005C5AB2" w:rsidRPr="004217CD" w:rsidTr="00E34089">
        <w:tc>
          <w:tcPr>
            <w:tcW w:w="4531" w:type="dxa"/>
            <w:gridSpan w:val="2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HR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IC 95%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P</w:t>
            </w:r>
          </w:p>
        </w:tc>
      </w:tr>
      <w:tr w:rsidR="005C5AB2" w:rsidRPr="004217CD" w:rsidTr="00E34089">
        <w:tc>
          <w:tcPr>
            <w:tcW w:w="4531" w:type="dxa"/>
            <w:gridSpan w:val="2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b/>
                <w:bCs/>
                <w:lang w:val="es-ES"/>
              </w:rPr>
              <w:t>Edad</w:t>
            </w:r>
            <w:r w:rsidRPr="004217CD">
              <w:rPr>
                <w:lang w:val="es-ES"/>
              </w:rPr>
              <w:t xml:space="preserve"> (años)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03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02-1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04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5C5AB2" w:rsidRPr="004217CD" w:rsidTr="00E34089">
        <w:tc>
          <w:tcPr>
            <w:tcW w:w="1698" w:type="dxa"/>
            <w:vMerge w:val="restart"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>Tóxicos</w:t>
            </w: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 xml:space="preserve">No 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Moderado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94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62-1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42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783</w:t>
            </w: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Severo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90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62-1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31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603</w:t>
            </w:r>
          </w:p>
        </w:tc>
      </w:tr>
      <w:tr w:rsidR="005C5AB2" w:rsidRPr="004217CD" w:rsidTr="00E34089">
        <w:tc>
          <w:tcPr>
            <w:tcW w:w="1698" w:type="dxa"/>
            <w:vMerge w:val="restart"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  <w:proofErr w:type="spellStart"/>
            <w:r w:rsidRPr="004217CD">
              <w:rPr>
                <w:b/>
                <w:bCs/>
                <w:lang w:val="es-ES"/>
              </w:rPr>
              <w:t>cT</w:t>
            </w:r>
            <w:proofErr w:type="spellEnd"/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cT1-2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cT3-4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66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07-3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41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5C5AB2" w:rsidRPr="004217CD" w:rsidTr="00E34089">
        <w:tc>
          <w:tcPr>
            <w:tcW w:w="1698" w:type="dxa"/>
            <w:vMerge w:val="restart"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  <w:proofErr w:type="spellStart"/>
            <w:r w:rsidRPr="004217CD">
              <w:rPr>
                <w:b/>
                <w:bCs/>
                <w:lang w:val="es-ES"/>
              </w:rPr>
              <w:t>cN</w:t>
            </w:r>
            <w:proofErr w:type="spellEnd"/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cN0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proofErr w:type="spellStart"/>
            <w:r w:rsidRPr="004217CD">
              <w:rPr>
                <w:lang w:val="es-ES"/>
              </w:rPr>
              <w:t>cN</w:t>
            </w:r>
            <w:proofErr w:type="spellEnd"/>
            <w:r w:rsidRPr="004217CD">
              <w:rPr>
                <w:lang w:val="es-ES"/>
              </w:rPr>
              <w:t>+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31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79-2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97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0001</w:t>
            </w:r>
          </w:p>
        </w:tc>
      </w:tr>
      <w:tr w:rsidR="005C5AB2" w:rsidRPr="004217CD" w:rsidTr="00E34089">
        <w:tc>
          <w:tcPr>
            <w:tcW w:w="1698" w:type="dxa"/>
            <w:vMerge w:val="restart"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  <w:r w:rsidRPr="004217CD">
              <w:rPr>
                <w:b/>
                <w:bCs/>
                <w:lang w:val="es-ES"/>
              </w:rPr>
              <w:t xml:space="preserve">Grado </w:t>
            </w: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Bien diferenciado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Mod</w:t>
            </w:r>
            <w:r w:rsidR="004217CD">
              <w:rPr>
                <w:lang w:val="es-ES"/>
              </w:rPr>
              <w:t>.</w:t>
            </w:r>
            <w:r w:rsidRPr="004217CD">
              <w:rPr>
                <w:lang w:val="es-ES"/>
              </w:rPr>
              <w:t xml:space="preserve"> diferenciado 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39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00-1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93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047</w:t>
            </w: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Mal diferenciado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2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15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24-3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71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006</w:t>
            </w:r>
          </w:p>
        </w:tc>
      </w:tr>
      <w:tr w:rsidR="005C5AB2" w:rsidRPr="004217CD" w:rsidTr="00E34089">
        <w:tc>
          <w:tcPr>
            <w:tcW w:w="1698" w:type="dxa"/>
            <w:vMerge w:val="restart"/>
          </w:tcPr>
          <w:p w:rsidR="005C5AB2" w:rsidRPr="004217CD" w:rsidRDefault="008E0A8C" w:rsidP="00E34089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Género</w:t>
            </w: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Masculino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</w:tr>
      <w:tr w:rsidR="005C5AB2" w:rsidRPr="004217CD" w:rsidTr="00E34089">
        <w:tc>
          <w:tcPr>
            <w:tcW w:w="1698" w:type="dxa"/>
            <w:vMerge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</w:p>
        </w:tc>
        <w:tc>
          <w:tcPr>
            <w:tcW w:w="2833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Femenino</w:t>
            </w:r>
          </w:p>
        </w:tc>
        <w:tc>
          <w:tcPr>
            <w:tcW w:w="1560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43</w:t>
            </w:r>
          </w:p>
        </w:tc>
        <w:tc>
          <w:tcPr>
            <w:tcW w:w="1275" w:type="dxa"/>
          </w:tcPr>
          <w:p w:rsidR="005C5AB2" w:rsidRPr="004217CD" w:rsidRDefault="005C5AB2" w:rsidP="004217CD">
            <w:pPr>
              <w:spacing w:line="480" w:lineRule="auto"/>
              <w:jc w:val="center"/>
              <w:rPr>
                <w:lang w:val="es-ES"/>
              </w:rPr>
            </w:pPr>
            <w:r w:rsidRPr="004217CD">
              <w:rPr>
                <w:lang w:val="es-ES"/>
              </w:rPr>
              <w:t>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02-1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94</w:t>
            </w:r>
          </w:p>
        </w:tc>
        <w:tc>
          <w:tcPr>
            <w:tcW w:w="1128" w:type="dxa"/>
          </w:tcPr>
          <w:p w:rsidR="005C5AB2" w:rsidRPr="004217CD" w:rsidRDefault="005C5AB2" w:rsidP="00E34089">
            <w:pPr>
              <w:spacing w:line="480" w:lineRule="auto"/>
              <w:rPr>
                <w:lang w:val="es-ES"/>
              </w:rPr>
            </w:pPr>
            <w:r w:rsidRPr="004217CD">
              <w:rPr>
                <w:lang w:val="es-ES"/>
              </w:rPr>
              <w:t>0</w:t>
            </w:r>
            <w:r w:rsidR="009E2454" w:rsidRPr="004217CD">
              <w:rPr>
                <w:lang w:val="es-ES"/>
              </w:rPr>
              <w:t>,</w:t>
            </w:r>
            <w:r w:rsidRPr="004217CD">
              <w:rPr>
                <w:lang w:val="es-ES"/>
              </w:rPr>
              <w:t>034</w:t>
            </w:r>
          </w:p>
        </w:tc>
      </w:tr>
    </w:tbl>
    <w:p w:rsidR="005C5AB2" w:rsidRPr="004217CD" w:rsidRDefault="005C5AB2" w:rsidP="005C5AB2">
      <w:pPr>
        <w:spacing w:line="480" w:lineRule="auto"/>
        <w:rPr>
          <w:lang w:val="es-ES"/>
        </w:rPr>
      </w:pPr>
    </w:p>
    <w:p w:rsidR="005C5AB2" w:rsidRPr="004217CD" w:rsidRDefault="005C5AB2" w:rsidP="007E2A66">
      <w:pPr>
        <w:spacing w:line="480" w:lineRule="auto"/>
        <w:rPr>
          <w:b/>
          <w:bCs/>
          <w:lang w:val="es-ES"/>
        </w:rPr>
      </w:pPr>
    </w:p>
    <w:sectPr w:rsidR="005C5AB2" w:rsidRPr="004217CD" w:rsidSect="007E2A6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66"/>
    <w:rsid w:val="00146731"/>
    <w:rsid w:val="002362A3"/>
    <w:rsid w:val="004217CD"/>
    <w:rsid w:val="00537098"/>
    <w:rsid w:val="005C5AB2"/>
    <w:rsid w:val="0078664C"/>
    <w:rsid w:val="007A7432"/>
    <w:rsid w:val="007E2A66"/>
    <w:rsid w:val="008B66BE"/>
    <w:rsid w:val="008E0A8C"/>
    <w:rsid w:val="009E2454"/>
    <w:rsid w:val="00AB72E7"/>
    <w:rsid w:val="00D94654"/>
    <w:rsid w:val="00E34089"/>
    <w:rsid w:val="00F9271B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4202"/>
  <w15:chartTrackingRefBased/>
  <w15:docId w15:val="{7EA99A2D-A9BD-47D8-A16B-291E4C3F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2020-04-06T17:42:00Z</dcterms:created>
  <dcterms:modified xsi:type="dcterms:W3CDTF">2020-04-06T17:32:00Z</dcterms:modified>
</cp:coreProperties>
</file>