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3F5E5" w14:textId="2528CCD7" w:rsidR="003B1684" w:rsidRDefault="003B1684" w:rsidP="003B1684">
      <w:pPr>
        <w:jc w:val="center"/>
        <w:rPr>
          <w:rFonts w:ascii="Times New Roman" w:hAnsi="Times New Roman"/>
          <w:b/>
        </w:rPr>
      </w:pPr>
      <w:r>
        <w:rPr>
          <w:noProof/>
          <w:lang w:val="en-US" w:eastAsia="en-US"/>
        </w:rPr>
        <w:drawing>
          <wp:anchor distT="0" distB="0" distL="114300" distR="114300" simplePos="0" relativeHeight="251659264" behindDoc="1" locked="0" layoutInCell="1" allowOverlap="1" wp14:anchorId="6D0BF014" wp14:editId="7E061993">
            <wp:simplePos x="0" y="0"/>
            <wp:positionH relativeFrom="column">
              <wp:posOffset>-1798955</wp:posOffset>
            </wp:positionH>
            <wp:positionV relativeFrom="paragraph">
              <wp:posOffset>-763905</wp:posOffset>
            </wp:positionV>
            <wp:extent cx="1030605" cy="1217930"/>
            <wp:effectExtent l="0" t="0" r="0" b="0"/>
            <wp:wrapTight wrapText="bothSides">
              <wp:wrapPolygon edited="0">
                <wp:start x="0" y="0"/>
                <wp:lineTo x="0" y="21285"/>
                <wp:lineTo x="21161" y="21285"/>
                <wp:lineTo x="21161" y="0"/>
                <wp:lineTo x="0" y="0"/>
              </wp:wrapPolygon>
            </wp:wrapTight>
            <wp:docPr id="1" name="Imagen 1" descr="Descripción: C:\Users\ana\Desktop\gr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ana\Desktop\grand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0605" cy="1217930"/>
                    </a:xfrm>
                    <a:prstGeom prst="rect">
                      <a:avLst/>
                    </a:prstGeom>
                    <a:noFill/>
                    <a:ln>
                      <a:noFill/>
                    </a:ln>
                  </pic:spPr>
                </pic:pic>
              </a:graphicData>
            </a:graphic>
          </wp:anchor>
        </w:drawing>
      </w:r>
      <w:r w:rsidRPr="00C90FC4">
        <w:rPr>
          <w:rFonts w:ascii="Times New Roman" w:hAnsi="Times New Roman"/>
          <w:b/>
        </w:rPr>
        <w:t xml:space="preserve">ACTUALIZACIÓN DE LA GUÍA </w:t>
      </w:r>
      <w:r w:rsidR="00DA3CA9">
        <w:rPr>
          <w:rFonts w:ascii="Times New Roman" w:hAnsi="Times New Roman"/>
          <w:b/>
        </w:rPr>
        <w:t>MEXICANA</w:t>
      </w:r>
      <w:r w:rsidRPr="00C90FC4">
        <w:rPr>
          <w:rFonts w:ascii="Times New Roman" w:hAnsi="Times New Roman"/>
          <w:b/>
        </w:rPr>
        <w:t xml:space="preserve"> PARA EL TRATAMIENTO FARMACOLÓGICO DE LA ARTRITIS REUMATOIDE</w:t>
      </w:r>
    </w:p>
    <w:p w14:paraId="15DCFCD4" w14:textId="77777777" w:rsidR="003B1684" w:rsidRPr="00DA60EE" w:rsidRDefault="003B1684" w:rsidP="003B1684">
      <w:pPr>
        <w:jc w:val="center"/>
        <w:rPr>
          <w:rFonts w:ascii="Times New Roman" w:hAnsi="Times New Roman"/>
          <w:b/>
        </w:rPr>
      </w:pPr>
      <w:r w:rsidRPr="00DA60EE">
        <w:rPr>
          <w:rFonts w:ascii="Times New Roman" w:hAnsi="Times New Roman"/>
          <w:b/>
        </w:rPr>
        <w:t>COLEGIO MEXICANO DE REUMATOLOGÍA</w:t>
      </w:r>
    </w:p>
    <w:p w14:paraId="59DC120E" w14:textId="77777777" w:rsidR="0068632C" w:rsidRPr="00213210" w:rsidRDefault="0068632C">
      <w:pPr>
        <w:rPr>
          <w:color w:val="31849B" w:themeColor="accent5" w:themeShade="BF"/>
          <w:u w:val="single"/>
        </w:rPr>
      </w:pPr>
    </w:p>
    <w:p w14:paraId="6AAD7E67" w14:textId="77777777" w:rsidR="00D54A7D" w:rsidRPr="00213210" w:rsidRDefault="00D54A7D">
      <w:pPr>
        <w:rPr>
          <w:b/>
          <w:color w:val="31849B" w:themeColor="accent5" w:themeShade="BF"/>
          <w:sz w:val="28"/>
          <w:u w:val="single"/>
        </w:rPr>
      </w:pPr>
      <w:r w:rsidRPr="00213210">
        <w:rPr>
          <w:b/>
          <w:color w:val="31849B" w:themeColor="accent5" w:themeShade="BF"/>
          <w:sz w:val="28"/>
          <w:u w:val="single"/>
        </w:rPr>
        <w:t>ANALGÉSICOS</w:t>
      </w:r>
      <w:r w:rsidR="00213210" w:rsidRPr="00213210">
        <w:rPr>
          <w:b/>
          <w:color w:val="31849B" w:themeColor="accent5" w:themeShade="BF"/>
          <w:sz w:val="28"/>
          <w:u w:val="single"/>
        </w:rPr>
        <w:t xml:space="preserve"> Y ANTIINFLAMATORIOS</w:t>
      </w:r>
    </w:p>
    <w:p w14:paraId="1CD7273D" w14:textId="77777777" w:rsidR="00D54A7D" w:rsidRDefault="00D54A7D"/>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410"/>
      </w:tblGrid>
      <w:tr w:rsidR="002859B6" w:rsidRPr="0068632C" w14:paraId="351658C7" w14:textId="77777777" w:rsidTr="007614D7">
        <w:tc>
          <w:tcPr>
            <w:tcW w:w="2660" w:type="dxa"/>
          </w:tcPr>
          <w:p w14:paraId="0508FF45" w14:textId="77777777" w:rsidR="002859B6" w:rsidRPr="00AA2750" w:rsidRDefault="002859B6" w:rsidP="002859B6">
            <w:pPr>
              <w:numPr>
                <w:ilvl w:val="0"/>
                <w:numId w:val="1"/>
              </w:numPr>
              <w:ind w:left="0"/>
              <w:contextualSpacing/>
              <w:jc w:val="both"/>
              <w:rPr>
                <w:rFonts w:ascii="Arial" w:hAnsi="Arial" w:cs="Arial"/>
                <w:b/>
                <w:sz w:val="28"/>
                <w:szCs w:val="28"/>
              </w:rPr>
            </w:pPr>
            <w:r w:rsidRPr="00AA2750">
              <w:rPr>
                <w:rFonts w:ascii="Arial" w:hAnsi="Arial" w:cs="Arial"/>
                <w:b/>
                <w:sz w:val="28"/>
                <w:szCs w:val="28"/>
              </w:rPr>
              <w:t>AINE</w:t>
            </w:r>
          </w:p>
        </w:tc>
        <w:tc>
          <w:tcPr>
            <w:tcW w:w="7410" w:type="dxa"/>
          </w:tcPr>
          <w:p w14:paraId="45359EB5" w14:textId="77777777" w:rsidR="002859B6" w:rsidRPr="0068632C" w:rsidRDefault="002859B6"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Antiinflamatorios no esteroideos que inhiben la ciclooxigenasa 1 y 2 (COX-1 y COX-2), que regula la producción de mediadores celulares (prostaglandinas y tromboxanos) que intervienen en diferentes procesos inflamatorios. Algunos fármacos son inhibidores selectivos de la COX-2, mientras otros actúan sobre ambas formas de la enzima. </w:t>
            </w:r>
          </w:p>
        </w:tc>
      </w:tr>
      <w:tr w:rsidR="002859B6" w:rsidRPr="0068632C" w14:paraId="11B374E0" w14:textId="77777777" w:rsidTr="007614D7">
        <w:tc>
          <w:tcPr>
            <w:tcW w:w="2660" w:type="dxa"/>
          </w:tcPr>
          <w:p w14:paraId="355887A9" w14:textId="77777777" w:rsidR="002859B6" w:rsidRPr="0068632C" w:rsidRDefault="002859B6" w:rsidP="007614D7">
            <w:pPr>
              <w:contextualSpacing/>
              <w:jc w:val="both"/>
              <w:rPr>
                <w:rFonts w:ascii="Arial" w:hAnsi="Arial" w:cs="Arial"/>
                <w:sz w:val="20"/>
                <w:szCs w:val="20"/>
              </w:rPr>
            </w:pPr>
            <w:r w:rsidRPr="0068632C">
              <w:rPr>
                <w:rFonts w:ascii="Arial" w:hAnsi="Arial" w:cs="Arial"/>
                <w:sz w:val="20"/>
                <w:szCs w:val="20"/>
              </w:rPr>
              <w:t>Línea de tratamiento en la que está indicado</w:t>
            </w:r>
          </w:p>
        </w:tc>
        <w:tc>
          <w:tcPr>
            <w:tcW w:w="7410" w:type="dxa"/>
          </w:tcPr>
          <w:p w14:paraId="20592F2B" w14:textId="77777777" w:rsidR="002859B6" w:rsidRPr="0068632C" w:rsidRDefault="002859B6" w:rsidP="007614D7">
            <w:pPr>
              <w:contextualSpacing/>
              <w:jc w:val="both"/>
              <w:rPr>
                <w:rFonts w:ascii="Arial" w:hAnsi="Arial" w:cs="Arial"/>
                <w:sz w:val="20"/>
                <w:szCs w:val="20"/>
              </w:rPr>
            </w:pPr>
            <w:r w:rsidRPr="0068632C">
              <w:rPr>
                <w:rFonts w:ascii="Arial" w:hAnsi="Arial" w:cs="Arial"/>
                <w:sz w:val="20"/>
                <w:szCs w:val="20"/>
              </w:rPr>
              <w:t>En pacientes con AR generan una disminución en dolor y rigidez matutina.</w:t>
            </w:r>
            <w:r w:rsidR="00781885">
              <w:rPr>
                <w:rFonts w:ascii="Arial" w:hAnsi="Arial" w:cs="Arial"/>
                <w:sz w:val="20"/>
                <w:szCs w:val="20"/>
              </w:rPr>
              <w:t xml:space="preserve"> </w:t>
            </w:r>
            <w:r w:rsidR="00781885" w:rsidRPr="00577BEB">
              <w:rPr>
                <w:rFonts w:ascii="Arial" w:eastAsia="TrebuchetMS" w:hAnsi="Arial" w:cs="Arial"/>
                <w:b/>
                <w:color w:val="000000"/>
                <w:sz w:val="20"/>
                <w:szCs w:val="20"/>
                <w:lang w:val="es-ES"/>
              </w:rPr>
              <w:t>[</w:t>
            </w:r>
            <w:r w:rsidR="00781885" w:rsidRPr="002A5EEF">
              <w:rPr>
                <w:rFonts w:ascii="Arial" w:hAnsi="Arial" w:cs="Arial"/>
                <w:b/>
                <w:sz w:val="20"/>
                <w:szCs w:val="20"/>
              </w:rPr>
              <w:t>NE: 1, GR: A</w:t>
            </w:r>
            <w:r w:rsidR="00781885">
              <w:rPr>
                <w:rFonts w:ascii="Arial" w:hAnsi="Arial" w:cs="Arial"/>
                <w:b/>
                <w:sz w:val="20"/>
                <w:szCs w:val="20"/>
              </w:rPr>
              <w:t>]</w:t>
            </w:r>
            <w:r w:rsidR="008C0FFD" w:rsidRPr="00BA2D3E">
              <w:rPr>
                <w:rFonts w:ascii="Arial" w:hAnsi="Arial" w:cs="Arial"/>
                <w:color w:val="FF0000"/>
                <w:sz w:val="20"/>
                <w:szCs w:val="20"/>
                <w:vertAlign w:val="superscript"/>
              </w:rPr>
              <w:t>1</w:t>
            </w:r>
          </w:p>
          <w:p w14:paraId="1873571F" w14:textId="77777777" w:rsidR="002859B6" w:rsidRPr="0068632C" w:rsidRDefault="002859B6" w:rsidP="007614D7">
            <w:pPr>
              <w:contextualSpacing/>
              <w:jc w:val="both"/>
              <w:rPr>
                <w:rFonts w:ascii="Arial" w:eastAsia="Times-Roman" w:hAnsi="Arial" w:cs="Arial"/>
                <w:b/>
                <w:sz w:val="20"/>
                <w:szCs w:val="20"/>
              </w:rPr>
            </w:pPr>
          </w:p>
          <w:p w14:paraId="1BE1F337" w14:textId="77777777" w:rsidR="002859B6" w:rsidRPr="0068632C" w:rsidRDefault="002859B6" w:rsidP="007614D7">
            <w:pPr>
              <w:contextualSpacing/>
              <w:jc w:val="both"/>
              <w:rPr>
                <w:rFonts w:ascii="Arial" w:eastAsia="TrebuchetMS" w:hAnsi="Arial" w:cs="Arial"/>
                <w:sz w:val="20"/>
                <w:szCs w:val="20"/>
                <w:lang w:val="es-ES"/>
              </w:rPr>
            </w:pPr>
            <w:r w:rsidRPr="0068632C">
              <w:rPr>
                <w:rFonts w:ascii="Arial" w:eastAsia="TrebuchetMS,Bold" w:hAnsi="Arial" w:cs="Arial"/>
                <w:bCs/>
                <w:sz w:val="20"/>
                <w:szCs w:val="20"/>
                <w:lang w:val="es-ES"/>
              </w:rPr>
              <w:t xml:space="preserve">También se puede utilizar en caso de una recaída y ante la persistencia de síntomas incontrolados aislados a pesar de existir buena respuesta objetiva a un FARME. </w:t>
            </w:r>
            <w:r w:rsidRPr="0068632C">
              <w:rPr>
                <w:rFonts w:ascii="Arial" w:eastAsia="TrebuchetMS" w:hAnsi="Arial" w:cs="Arial"/>
                <w:sz w:val="20"/>
                <w:szCs w:val="20"/>
                <w:lang w:val="es-ES"/>
              </w:rPr>
              <w:t>Se usarán en función del tiempo necesario para que el FARME alcance</w:t>
            </w:r>
            <w:r w:rsidR="001E73A8">
              <w:rPr>
                <w:rFonts w:ascii="Arial" w:eastAsia="TrebuchetMS" w:hAnsi="Arial" w:cs="Arial"/>
                <w:sz w:val="20"/>
                <w:szCs w:val="20"/>
                <w:lang w:val="es-ES"/>
              </w:rPr>
              <w:t xml:space="preserve"> niveles terapéuticos eficaces.</w:t>
            </w:r>
            <w:r w:rsidR="00781885">
              <w:rPr>
                <w:rFonts w:ascii="Arial" w:eastAsia="TrebuchetMS" w:hAnsi="Arial" w:cs="Arial"/>
                <w:sz w:val="20"/>
                <w:szCs w:val="20"/>
                <w:lang w:val="es-ES"/>
              </w:rPr>
              <w:t xml:space="preserve"> </w:t>
            </w:r>
            <w:r w:rsidR="00781885" w:rsidRPr="00577BEB">
              <w:rPr>
                <w:rFonts w:ascii="Arial" w:eastAsia="TrebuchetMS" w:hAnsi="Arial" w:cs="Arial"/>
                <w:b/>
                <w:color w:val="000000"/>
                <w:sz w:val="20"/>
                <w:szCs w:val="20"/>
                <w:lang w:val="es-ES"/>
              </w:rPr>
              <w:t>[</w:t>
            </w:r>
            <w:r w:rsidR="00781885">
              <w:rPr>
                <w:rFonts w:ascii="Arial" w:hAnsi="Arial" w:cs="Arial"/>
                <w:b/>
                <w:sz w:val="20"/>
                <w:szCs w:val="20"/>
              </w:rPr>
              <w:t>NE: IV</w:t>
            </w:r>
            <w:r w:rsidR="00781885" w:rsidRPr="002A5EEF">
              <w:rPr>
                <w:rFonts w:ascii="Arial" w:hAnsi="Arial" w:cs="Arial"/>
                <w:b/>
                <w:sz w:val="20"/>
                <w:szCs w:val="20"/>
              </w:rPr>
              <w:t xml:space="preserve">, GR: </w:t>
            </w:r>
            <w:r w:rsidR="00781885">
              <w:rPr>
                <w:rFonts w:ascii="Arial" w:hAnsi="Arial" w:cs="Arial"/>
                <w:b/>
                <w:sz w:val="20"/>
                <w:szCs w:val="20"/>
              </w:rPr>
              <w:t>D]</w:t>
            </w:r>
            <w:r w:rsidR="008C0FFD" w:rsidRPr="00BA2D3E">
              <w:rPr>
                <w:rFonts w:ascii="Arial" w:eastAsia="TrebuchetMS" w:hAnsi="Arial" w:cs="Arial"/>
                <w:color w:val="FF0000"/>
                <w:sz w:val="20"/>
                <w:szCs w:val="20"/>
                <w:vertAlign w:val="superscript"/>
                <w:lang w:val="es-ES"/>
              </w:rPr>
              <w:t>2</w:t>
            </w:r>
          </w:p>
          <w:p w14:paraId="463C4C3D" w14:textId="77777777" w:rsidR="00E15142" w:rsidRPr="0068632C" w:rsidRDefault="00E15142" w:rsidP="007614D7">
            <w:pPr>
              <w:contextualSpacing/>
              <w:jc w:val="both"/>
              <w:rPr>
                <w:rFonts w:ascii="Arial" w:eastAsia="Times-Roman" w:hAnsi="Arial" w:cs="Arial"/>
                <w:b/>
                <w:sz w:val="20"/>
                <w:szCs w:val="20"/>
              </w:rPr>
            </w:pPr>
          </w:p>
          <w:p w14:paraId="12459009" w14:textId="77777777" w:rsidR="00E15142" w:rsidRPr="00781885" w:rsidRDefault="00E15142" w:rsidP="00781885">
            <w:pPr>
              <w:autoSpaceDE w:val="0"/>
              <w:autoSpaceDN w:val="0"/>
              <w:adjustRightInd w:val="0"/>
              <w:contextualSpacing/>
              <w:jc w:val="both"/>
              <w:rPr>
                <w:rFonts w:ascii="Arial" w:hAnsi="Arial" w:cs="Arial"/>
                <w:color w:val="FF0000"/>
                <w:sz w:val="20"/>
                <w:szCs w:val="20"/>
              </w:rPr>
            </w:pPr>
            <w:r w:rsidRPr="0068632C">
              <w:rPr>
                <w:rFonts w:ascii="Arial" w:hAnsi="Arial" w:cs="Arial"/>
                <w:sz w:val="20"/>
                <w:szCs w:val="20"/>
              </w:rPr>
              <w:t>La elección del AINE o COX-2 debe ser individualizada debido a s</w:t>
            </w:r>
            <w:r w:rsidR="001E73A8">
              <w:rPr>
                <w:rFonts w:ascii="Arial" w:hAnsi="Arial" w:cs="Arial"/>
                <w:sz w:val="20"/>
                <w:szCs w:val="20"/>
              </w:rPr>
              <w:t>u distinto perfil de seguridad.</w:t>
            </w:r>
            <w:r w:rsidR="00781885" w:rsidRPr="00577BEB">
              <w:rPr>
                <w:rFonts w:ascii="Arial" w:eastAsia="TrebuchetMS" w:hAnsi="Arial" w:cs="Arial"/>
                <w:b/>
                <w:color w:val="000000"/>
                <w:sz w:val="20"/>
                <w:szCs w:val="20"/>
                <w:lang w:val="es-ES"/>
              </w:rPr>
              <w:t xml:space="preserve"> [</w:t>
            </w:r>
            <w:r w:rsidR="00781885" w:rsidRPr="002A5EEF">
              <w:rPr>
                <w:rFonts w:ascii="Arial" w:hAnsi="Arial" w:cs="Arial"/>
                <w:b/>
                <w:sz w:val="20"/>
                <w:szCs w:val="20"/>
              </w:rPr>
              <w:t>NE: 1, GR: A</w:t>
            </w:r>
            <w:r w:rsidR="00781885">
              <w:rPr>
                <w:rFonts w:ascii="Arial" w:hAnsi="Arial" w:cs="Arial"/>
                <w:b/>
                <w:sz w:val="20"/>
                <w:szCs w:val="20"/>
              </w:rPr>
              <w:t>]</w:t>
            </w:r>
            <w:r w:rsidR="008C0FFD" w:rsidRPr="00BA2D3E">
              <w:rPr>
                <w:rFonts w:ascii="Arial" w:hAnsi="Arial" w:cs="Arial"/>
                <w:color w:val="FF0000"/>
                <w:sz w:val="20"/>
                <w:szCs w:val="20"/>
                <w:vertAlign w:val="superscript"/>
              </w:rPr>
              <w:t>1,2,3</w:t>
            </w:r>
          </w:p>
        </w:tc>
      </w:tr>
      <w:tr w:rsidR="002859B6" w:rsidRPr="0068632C" w14:paraId="5A8D249F" w14:textId="77777777" w:rsidTr="007614D7">
        <w:tc>
          <w:tcPr>
            <w:tcW w:w="2660" w:type="dxa"/>
          </w:tcPr>
          <w:p w14:paraId="2C97736B" w14:textId="77777777" w:rsidR="002859B6" w:rsidRPr="0068632C" w:rsidRDefault="002859B6" w:rsidP="007614D7">
            <w:pPr>
              <w:contextualSpacing/>
              <w:jc w:val="both"/>
              <w:rPr>
                <w:rFonts w:ascii="Arial" w:eastAsia="Times-Roman" w:hAnsi="Arial" w:cs="Arial"/>
                <w:b/>
                <w:sz w:val="20"/>
                <w:szCs w:val="20"/>
              </w:rPr>
            </w:pPr>
            <w:r w:rsidRPr="0068632C">
              <w:rPr>
                <w:rFonts w:ascii="Arial" w:hAnsi="Arial" w:cs="Arial"/>
                <w:sz w:val="20"/>
                <w:szCs w:val="20"/>
              </w:rPr>
              <w:t>Estudios que se requieren antes del tratamiento  y durante el seguimiento</w:t>
            </w:r>
          </w:p>
        </w:tc>
        <w:tc>
          <w:tcPr>
            <w:tcW w:w="7410" w:type="dxa"/>
          </w:tcPr>
          <w:p w14:paraId="493392A2" w14:textId="77777777" w:rsidR="002859B6" w:rsidRPr="0068632C" w:rsidRDefault="00C2289C" w:rsidP="00C2289C">
            <w:pPr>
              <w:contextualSpacing/>
              <w:jc w:val="both"/>
              <w:rPr>
                <w:rFonts w:ascii="Arial" w:eastAsia="Times-Roman" w:hAnsi="Arial" w:cs="Arial"/>
                <w:sz w:val="20"/>
                <w:szCs w:val="20"/>
              </w:rPr>
            </w:pPr>
            <w:r>
              <w:rPr>
                <w:rFonts w:ascii="Arial" w:eastAsia="Times-Roman" w:hAnsi="Arial" w:cs="Arial"/>
                <w:sz w:val="20"/>
                <w:szCs w:val="20"/>
              </w:rPr>
              <w:t>BH</w:t>
            </w:r>
            <w:r w:rsidR="002859B6" w:rsidRPr="0068632C">
              <w:rPr>
                <w:rFonts w:ascii="Arial" w:eastAsia="Times-Roman" w:hAnsi="Arial" w:cs="Arial"/>
                <w:sz w:val="20"/>
                <w:szCs w:val="20"/>
              </w:rPr>
              <w:t xml:space="preserve">, </w:t>
            </w:r>
            <w:r>
              <w:rPr>
                <w:rFonts w:ascii="Arial" w:eastAsia="Times-Roman" w:hAnsi="Arial" w:cs="Arial"/>
                <w:sz w:val="20"/>
                <w:szCs w:val="20"/>
              </w:rPr>
              <w:t>PFH</w:t>
            </w:r>
            <w:r w:rsidR="001E73A8">
              <w:rPr>
                <w:rFonts w:ascii="Arial" w:eastAsia="Times-Roman" w:hAnsi="Arial" w:cs="Arial"/>
                <w:sz w:val="20"/>
                <w:szCs w:val="20"/>
              </w:rPr>
              <w:t xml:space="preserve"> y </w:t>
            </w:r>
            <w:r>
              <w:rPr>
                <w:rFonts w:ascii="Arial" w:eastAsia="Times-Roman" w:hAnsi="Arial" w:cs="Arial"/>
                <w:sz w:val="20"/>
                <w:szCs w:val="20"/>
              </w:rPr>
              <w:t>PFR</w:t>
            </w:r>
            <w:r w:rsidR="001E73A8">
              <w:rPr>
                <w:rFonts w:ascii="Arial" w:eastAsia="Times-Roman" w:hAnsi="Arial" w:cs="Arial"/>
                <w:sz w:val="20"/>
                <w:szCs w:val="20"/>
              </w:rPr>
              <w:t>, en especial en pacientes con hepatopatía y nefropatía.</w:t>
            </w:r>
          </w:p>
        </w:tc>
      </w:tr>
      <w:tr w:rsidR="002859B6" w:rsidRPr="0068632C" w14:paraId="7AAAA2F5" w14:textId="77777777" w:rsidTr="007614D7">
        <w:tc>
          <w:tcPr>
            <w:tcW w:w="2660" w:type="dxa"/>
          </w:tcPr>
          <w:p w14:paraId="73C2C472" w14:textId="77777777" w:rsidR="002859B6" w:rsidRPr="0068632C" w:rsidRDefault="002859B6" w:rsidP="007614D7">
            <w:pPr>
              <w:contextualSpacing/>
              <w:jc w:val="both"/>
              <w:rPr>
                <w:rFonts w:ascii="Arial" w:eastAsia="Times-Roman" w:hAnsi="Arial" w:cs="Arial"/>
                <w:b/>
                <w:sz w:val="20"/>
                <w:szCs w:val="20"/>
              </w:rPr>
            </w:pPr>
            <w:r w:rsidRPr="0068632C">
              <w:rPr>
                <w:rFonts w:ascii="Arial" w:hAnsi="Arial" w:cs="Arial"/>
                <w:sz w:val="20"/>
                <w:szCs w:val="20"/>
              </w:rPr>
              <w:t>Monoterapia o en combinaciones (¿cuál es la mejor combinación y secuencia?)</w:t>
            </w:r>
          </w:p>
        </w:tc>
        <w:tc>
          <w:tcPr>
            <w:tcW w:w="7410" w:type="dxa"/>
          </w:tcPr>
          <w:p w14:paraId="11F73DB5" w14:textId="77777777" w:rsidR="002859B6" w:rsidRPr="0068632C" w:rsidRDefault="002859B6" w:rsidP="007614D7">
            <w:pPr>
              <w:autoSpaceDE w:val="0"/>
              <w:autoSpaceDN w:val="0"/>
              <w:adjustRightInd w:val="0"/>
              <w:contextualSpacing/>
              <w:jc w:val="both"/>
              <w:rPr>
                <w:rFonts w:ascii="Arial" w:eastAsia="TrebuchetMS,Bold" w:hAnsi="Arial" w:cs="Arial"/>
                <w:bCs/>
                <w:color w:val="FF0000"/>
                <w:sz w:val="20"/>
                <w:szCs w:val="20"/>
                <w:lang w:val="es-ES"/>
              </w:rPr>
            </w:pPr>
            <w:r w:rsidRPr="0068632C">
              <w:rPr>
                <w:rFonts w:ascii="Arial" w:eastAsia="TrebuchetMS" w:hAnsi="Arial" w:cs="Arial"/>
                <w:color w:val="000000"/>
                <w:sz w:val="20"/>
                <w:szCs w:val="20"/>
                <w:lang w:val="es-ES"/>
              </w:rPr>
              <w:t>No existe evidencia de que combinaciones de AINE sean más eficaces que la monoterapia</w:t>
            </w:r>
            <w:r w:rsidR="004A2279" w:rsidRPr="0068632C">
              <w:rPr>
                <w:rFonts w:ascii="Arial" w:eastAsia="TrebuchetMS" w:hAnsi="Arial" w:cs="Arial"/>
                <w:color w:val="000000"/>
                <w:sz w:val="20"/>
                <w:szCs w:val="20"/>
                <w:lang w:val="es-ES"/>
              </w:rPr>
              <w:t>, al contrario, sólo potencian</w:t>
            </w:r>
            <w:r w:rsidR="001E73A8">
              <w:rPr>
                <w:rFonts w:ascii="Arial" w:eastAsia="TrebuchetMS" w:hAnsi="Arial" w:cs="Arial"/>
                <w:color w:val="000000"/>
                <w:sz w:val="20"/>
                <w:szCs w:val="20"/>
                <w:lang w:val="es-ES"/>
              </w:rPr>
              <w:t xml:space="preserve"> </w:t>
            </w:r>
            <w:r w:rsidR="004A2279" w:rsidRPr="0068632C">
              <w:rPr>
                <w:rFonts w:ascii="Arial" w:eastAsia="TrebuchetMS" w:hAnsi="Arial" w:cs="Arial"/>
                <w:color w:val="000000"/>
                <w:sz w:val="20"/>
                <w:szCs w:val="20"/>
                <w:lang w:val="es-ES"/>
              </w:rPr>
              <w:t>las reacciones adversas</w:t>
            </w:r>
            <w:r w:rsidR="007614D7" w:rsidRPr="0068632C">
              <w:rPr>
                <w:rFonts w:ascii="Arial" w:eastAsia="TrebuchetMS" w:hAnsi="Arial" w:cs="Arial"/>
                <w:color w:val="000000"/>
                <w:sz w:val="20"/>
                <w:szCs w:val="20"/>
                <w:lang w:val="es-ES"/>
              </w:rPr>
              <w:t xml:space="preserve"> de grupo</w:t>
            </w:r>
            <w:r w:rsidRPr="0068632C">
              <w:rPr>
                <w:rFonts w:ascii="Arial" w:eastAsia="TrebuchetMS" w:hAnsi="Arial" w:cs="Arial"/>
                <w:color w:val="000000"/>
                <w:sz w:val="20"/>
                <w:szCs w:val="20"/>
                <w:lang w:val="es-ES"/>
              </w:rPr>
              <w:t>.</w:t>
            </w:r>
            <w:r w:rsidR="00781885" w:rsidRPr="00577BEB">
              <w:rPr>
                <w:rFonts w:ascii="Arial" w:eastAsia="TrebuchetMS" w:hAnsi="Arial" w:cs="Arial"/>
                <w:b/>
                <w:color w:val="000000"/>
                <w:sz w:val="20"/>
                <w:szCs w:val="20"/>
                <w:lang w:val="es-ES"/>
              </w:rPr>
              <w:t xml:space="preserve"> [</w:t>
            </w:r>
            <w:r w:rsidR="00781885" w:rsidRPr="002A5EEF">
              <w:rPr>
                <w:rFonts w:ascii="Arial" w:hAnsi="Arial" w:cs="Arial"/>
                <w:b/>
                <w:sz w:val="20"/>
                <w:szCs w:val="20"/>
              </w:rPr>
              <w:t>NE: 1, GR: A</w:t>
            </w:r>
            <w:r w:rsidR="00781885">
              <w:rPr>
                <w:rFonts w:ascii="Arial" w:hAnsi="Arial" w:cs="Arial"/>
                <w:b/>
                <w:sz w:val="20"/>
                <w:szCs w:val="20"/>
              </w:rPr>
              <w:t>]</w:t>
            </w:r>
            <w:r w:rsidR="008C0FFD" w:rsidRPr="00BA2D3E">
              <w:rPr>
                <w:rFonts w:ascii="Arial" w:eastAsia="TrebuchetMS,Bold" w:hAnsi="Arial" w:cs="Arial"/>
                <w:bCs/>
                <w:color w:val="FF0000"/>
                <w:sz w:val="20"/>
                <w:szCs w:val="20"/>
                <w:vertAlign w:val="superscript"/>
                <w:lang w:val="es-ES"/>
              </w:rPr>
              <w:t>2</w:t>
            </w:r>
          </w:p>
          <w:p w14:paraId="5506F8A2" w14:textId="77777777" w:rsidR="002859B6" w:rsidRPr="0068632C" w:rsidRDefault="002859B6" w:rsidP="007614D7">
            <w:pPr>
              <w:contextualSpacing/>
              <w:jc w:val="both"/>
              <w:rPr>
                <w:rFonts w:ascii="Arial" w:eastAsia="Times-Roman" w:hAnsi="Arial" w:cs="Arial"/>
                <w:b/>
                <w:sz w:val="20"/>
                <w:szCs w:val="20"/>
              </w:rPr>
            </w:pPr>
          </w:p>
          <w:p w14:paraId="077D3B51" w14:textId="77777777" w:rsidR="002859B6" w:rsidRPr="0068632C" w:rsidRDefault="002859B6" w:rsidP="007614D7">
            <w:pPr>
              <w:contextualSpacing/>
              <w:jc w:val="both"/>
              <w:rPr>
                <w:rFonts w:ascii="Arial" w:hAnsi="Arial" w:cs="Arial"/>
                <w:color w:val="FF0000"/>
                <w:sz w:val="20"/>
                <w:szCs w:val="20"/>
              </w:rPr>
            </w:pPr>
            <w:r w:rsidRPr="0068632C">
              <w:rPr>
                <w:rFonts w:ascii="Arial" w:hAnsi="Arial" w:cs="Arial"/>
                <w:sz w:val="20"/>
                <w:szCs w:val="20"/>
              </w:rPr>
              <w:t>El agregar paracetamol al uso de naproxeno demostró m</w:t>
            </w:r>
            <w:r w:rsidR="001E73A8">
              <w:rPr>
                <w:rFonts w:ascii="Arial" w:hAnsi="Arial" w:cs="Arial"/>
                <w:sz w:val="20"/>
                <w:szCs w:val="20"/>
              </w:rPr>
              <w:t>ejoría en el control del dolor.</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NE: 1, GR: A</w:t>
            </w:r>
            <w:r w:rsidR="001E2E55">
              <w:rPr>
                <w:rFonts w:ascii="Arial" w:hAnsi="Arial" w:cs="Arial"/>
                <w:b/>
                <w:sz w:val="20"/>
                <w:szCs w:val="20"/>
              </w:rPr>
              <w:t>]</w:t>
            </w:r>
            <w:r w:rsidR="008C0FFD" w:rsidRPr="00BA2D3E">
              <w:rPr>
                <w:rFonts w:ascii="Arial" w:hAnsi="Arial" w:cs="Arial"/>
                <w:color w:val="FF0000"/>
                <w:sz w:val="20"/>
                <w:szCs w:val="20"/>
                <w:vertAlign w:val="superscript"/>
              </w:rPr>
              <w:t>1</w:t>
            </w:r>
          </w:p>
          <w:p w14:paraId="6A594B72" w14:textId="77777777" w:rsidR="002859B6" w:rsidRPr="0068632C" w:rsidRDefault="002859B6" w:rsidP="007614D7">
            <w:pPr>
              <w:contextualSpacing/>
              <w:jc w:val="both"/>
              <w:rPr>
                <w:rFonts w:ascii="Arial" w:hAnsi="Arial" w:cs="Arial"/>
                <w:color w:val="FF0000"/>
                <w:sz w:val="20"/>
                <w:szCs w:val="20"/>
              </w:rPr>
            </w:pPr>
          </w:p>
          <w:p w14:paraId="7EB03704" w14:textId="77777777" w:rsidR="002859B6" w:rsidRPr="0068632C" w:rsidRDefault="002859B6" w:rsidP="007614D7">
            <w:pPr>
              <w:contextualSpacing/>
              <w:jc w:val="both"/>
              <w:rPr>
                <w:rFonts w:ascii="Arial" w:hAnsi="Arial" w:cs="Arial"/>
                <w:color w:val="FF0000"/>
                <w:sz w:val="20"/>
                <w:szCs w:val="20"/>
              </w:rPr>
            </w:pPr>
            <w:r w:rsidRPr="0068632C">
              <w:rPr>
                <w:rFonts w:ascii="Arial" w:hAnsi="Arial" w:cs="Arial"/>
                <w:sz w:val="20"/>
                <w:szCs w:val="20"/>
              </w:rPr>
              <w:t>100 mg de diclofenaco no mostraron un beneficio mayor al uso de 50 mg diclofenaco y paracetamol o codeína.</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NE: 1, GR: A</w:t>
            </w:r>
            <w:r w:rsidR="001E2E55">
              <w:rPr>
                <w:rFonts w:ascii="Arial" w:hAnsi="Arial" w:cs="Arial"/>
                <w:b/>
                <w:sz w:val="20"/>
                <w:szCs w:val="20"/>
              </w:rPr>
              <w:t>]</w:t>
            </w:r>
            <w:r w:rsidR="008C0FFD" w:rsidRPr="00BA2D3E">
              <w:rPr>
                <w:rFonts w:ascii="Arial" w:hAnsi="Arial" w:cs="Arial"/>
                <w:color w:val="FF0000"/>
                <w:sz w:val="20"/>
                <w:szCs w:val="20"/>
                <w:vertAlign w:val="superscript"/>
              </w:rPr>
              <w:t>1</w:t>
            </w:r>
          </w:p>
          <w:p w14:paraId="493B9627" w14:textId="77777777" w:rsidR="002859B6" w:rsidRPr="0068632C" w:rsidRDefault="002859B6" w:rsidP="007614D7">
            <w:pPr>
              <w:contextualSpacing/>
              <w:jc w:val="both"/>
              <w:rPr>
                <w:rFonts w:ascii="Arial" w:hAnsi="Arial" w:cs="Arial"/>
                <w:color w:val="FF0000"/>
                <w:sz w:val="20"/>
                <w:szCs w:val="20"/>
              </w:rPr>
            </w:pPr>
          </w:p>
          <w:p w14:paraId="0DFC4032" w14:textId="77777777" w:rsidR="002859B6" w:rsidRPr="0068632C" w:rsidRDefault="002859B6" w:rsidP="007614D7">
            <w:pPr>
              <w:contextualSpacing/>
              <w:jc w:val="both"/>
              <w:rPr>
                <w:rFonts w:ascii="Arial" w:hAnsi="Arial" w:cs="Arial"/>
                <w:color w:val="FF0000"/>
                <w:sz w:val="20"/>
                <w:szCs w:val="20"/>
              </w:rPr>
            </w:pPr>
            <w:r w:rsidRPr="0068632C">
              <w:rPr>
                <w:rFonts w:ascii="Arial" w:hAnsi="Arial" w:cs="Arial"/>
                <w:sz w:val="20"/>
                <w:szCs w:val="20"/>
              </w:rPr>
              <w:t>150 mg de indometacina no mostraron un beneficio mayor al uso de 50 mg de indometacina y paracetamol.</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NE: 1, GR: A</w:t>
            </w:r>
            <w:r w:rsidR="001E2E55">
              <w:rPr>
                <w:rFonts w:ascii="Arial" w:hAnsi="Arial" w:cs="Arial"/>
                <w:b/>
                <w:sz w:val="20"/>
                <w:szCs w:val="20"/>
              </w:rPr>
              <w:t>]</w:t>
            </w:r>
            <w:r w:rsidR="008C0FFD" w:rsidRPr="00BA2D3E">
              <w:rPr>
                <w:rFonts w:ascii="Arial" w:hAnsi="Arial" w:cs="Arial"/>
                <w:color w:val="FF0000"/>
                <w:sz w:val="20"/>
                <w:szCs w:val="20"/>
                <w:vertAlign w:val="superscript"/>
              </w:rPr>
              <w:t>1</w:t>
            </w:r>
          </w:p>
          <w:p w14:paraId="21377277" w14:textId="77777777" w:rsidR="002859B6" w:rsidRPr="0068632C" w:rsidRDefault="002859B6" w:rsidP="007614D7">
            <w:pPr>
              <w:autoSpaceDE w:val="0"/>
              <w:autoSpaceDN w:val="0"/>
              <w:adjustRightInd w:val="0"/>
              <w:contextualSpacing/>
              <w:jc w:val="both"/>
              <w:rPr>
                <w:rFonts w:ascii="Arial" w:eastAsia="TrebuchetMS,Bold" w:hAnsi="Arial" w:cs="Arial"/>
                <w:bCs/>
                <w:color w:val="FF0000"/>
                <w:sz w:val="20"/>
                <w:szCs w:val="20"/>
              </w:rPr>
            </w:pPr>
          </w:p>
          <w:p w14:paraId="672F10D3" w14:textId="77777777" w:rsidR="002859B6" w:rsidRPr="0068632C" w:rsidRDefault="002859B6" w:rsidP="007614D7">
            <w:pPr>
              <w:autoSpaceDE w:val="0"/>
              <w:autoSpaceDN w:val="0"/>
              <w:adjustRightInd w:val="0"/>
              <w:contextualSpacing/>
              <w:jc w:val="both"/>
              <w:rPr>
                <w:rFonts w:ascii="Arial" w:eastAsia="TrebuchetMS" w:hAnsi="Arial" w:cs="Arial"/>
                <w:color w:val="FF0000"/>
                <w:sz w:val="20"/>
                <w:szCs w:val="20"/>
                <w:lang w:val="es-ES"/>
              </w:rPr>
            </w:pPr>
            <w:r w:rsidRPr="0068632C">
              <w:rPr>
                <w:rFonts w:ascii="Arial" w:eastAsia="TrebuchetMS" w:hAnsi="Arial" w:cs="Arial"/>
                <w:color w:val="000000"/>
                <w:sz w:val="20"/>
                <w:szCs w:val="20"/>
                <w:lang w:val="es-ES"/>
              </w:rPr>
              <w:t xml:space="preserve">El uso concomitante de MTX y AINE es seguro con el monitoreo apropiado, pero el uso de ácido acetilsalicílico a dosis </w:t>
            </w:r>
            <w:r w:rsidR="001E73A8">
              <w:rPr>
                <w:rFonts w:ascii="Arial" w:eastAsia="TrebuchetMS" w:hAnsi="Arial" w:cs="Arial"/>
                <w:color w:val="000000"/>
                <w:sz w:val="20"/>
                <w:szCs w:val="20"/>
                <w:lang w:val="es-ES"/>
              </w:rPr>
              <w:t>antiinflamatoria debe evitarse.</w:t>
            </w:r>
            <w:r w:rsidR="001E2E55">
              <w:rPr>
                <w:rFonts w:ascii="Arial" w:eastAsia="TrebuchetMS" w:hAnsi="Arial" w:cs="Arial"/>
                <w:color w:val="000000"/>
                <w:sz w:val="20"/>
                <w:szCs w:val="20"/>
                <w:lang w:val="es-ES"/>
              </w:rPr>
              <w:t xml:space="preserve"> </w:t>
            </w:r>
            <w:r w:rsidR="001E2E55" w:rsidRPr="00577BEB">
              <w:rPr>
                <w:rFonts w:ascii="Arial" w:eastAsia="TrebuchetMS" w:hAnsi="Arial" w:cs="Arial"/>
                <w:b/>
                <w:color w:val="000000"/>
                <w:sz w:val="20"/>
                <w:szCs w:val="20"/>
                <w:lang w:val="es-ES"/>
              </w:rPr>
              <w:t>[</w:t>
            </w:r>
            <w:r w:rsidR="001E2E55" w:rsidRPr="002A5EEF">
              <w:rPr>
                <w:rFonts w:ascii="Arial" w:hAnsi="Arial" w:cs="Arial"/>
                <w:b/>
                <w:sz w:val="20"/>
                <w:szCs w:val="20"/>
              </w:rPr>
              <w:t>NE: 1, GR: A</w:t>
            </w:r>
            <w:r w:rsidR="001E2E55">
              <w:rPr>
                <w:rFonts w:ascii="Arial" w:hAnsi="Arial" w:cs="Arial"/>
                <w:b/>
                <w:sz w:val="20"/>
                <w:szCs w:val="20"/>
              </w:rPr>
              <w:t>]</w:t>
            </w:r>
            <w:r w:rsidR="008C0FFD" w:rsidRPr="00BA2D3E">
              <w:rPr>
                <w:rFonts w:ascii="Arial" w:eastAsia="TrebuchetMS" w:hAnsi="Arial" w:cs="Arial"/>
                <w:color w:val="FF0000"/>
                <w:sz w:val="20"/>
                <w:szCs w:val="20"/>
                <w:vertAlign w:val="superscript"/>
                <w:lang w:val="es-ES"/>
              </w:rPr>
              <w:t>4</w:t>
            </w:r>
          </w:p>
          <w:p w14:paraId="13A56771" w14:textId="77777777" w:rsidR="002859B6" w:rsidRPr="0068632C" w:rsidRDefault="002859B6" w:rsidP="007614D7">
            <w:pPr>
              <w:autoSpaceDE w:val="0"/>
              <w:autoSpaceDN w:val="0"/>
              <w:adjustRightInd w:val="0"/>
              <w:contextualSpacing/>
              <w:jc w:val="both"/>
              <w:rPr>
                <w:rFonts w:ascii="Arial" w:eastAsia="TrebuchetMS" w:hAnsi="Arial" w:cs="Arial"/>
                <w:color w:val="000000"/>
                <w:sz w:val="20"/>
                <w:szCs w:val="20"/>
                <w:lang w:val="es-ES"/>
              </w:rPr>
            </w:pPr>
          </w:p>
          <w:p w14:paraId="4B7E0609" w14:textId="77777777" w:rsidR="002859B6" w:rsidRPr="0068632C" w:rsidRDefault="002859B6" w:rsidP="007614D7">
            <w:pPr>
              <w:autoSpaceDE w:val="0"/>
              <w:autoSpaceDN w:val="0"/>
              <w:adjustRightInd w:val="0"/>
              <w:contextualSpacing/>
              <w:jc w:val="both"/>
              <w:rPr>
                <w:rFonts w:ascii="Arial" w:eastAsia="TrebuchetMS" w:hAnsi="Arial" w:cs="Arial"/>
                <w:color w:val="000000"/>
                <w:sz w:val="20"/>
                <w:szCs w:val="20"/>
                <w:lang w:val="es-ES"/>
              </w:rPr>
            </w:pPr>
            <w:r w:rsidRPr="0068632C">
              <w:rPr>
                <w:rFonts w:ascii="Arial" w:eastAsia="TrebuchetMS" w:hAnsi="Arial" w:cs="Arial"/>
                <w:color w:val="000000"/>
                <w:sz w:val="20"/>
                <w:szCs w:val="20"/>
                <w:lang w:val="es-ES"/>
              </w:rPr>
              <w:t>Pacientes con riesgo de desarrollar úlceras gastroduodenales asociadas a AINE deben de recibir gastroprotección a base de un inhibidor de bomba de protones (IBP).</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II</w:t>
            </w:r>
            <w:r w:rsidR="001E2E55" w:rsidRPr="002A5EEF">
              <w:rPr>
                <w:rFonts w:ascii="Arial" w:hAnsi="Arial" w:cs="Arial"/>
                <w:b/>
                <w:sz w:val="20"/>
                <w:szCs w:val="20"/>
              </w:rPr>
              <w:t>, GR: A</w:t>
            </w:r>
            <w:r w:rsidR="001E2E55">
              <w:rPr>
                <w:rFonts w:ascii="Arial" w:hAnsi="Arial" w:cs="Arial"/>
                <w:b/>
                <w:sz w:val="20"/>
                <w:szCs w:val="20"/>
              </w:rPr>
              <w:t>]</w:t>
            </w:r>
            <w:r w:rsidRPr="0068632C">
              <w:rPr>
                <w:rFonts w:ascii="Arial" w:eastAsia="TrebuchetMS" w:hAnsi="Arial" w:cs="Arial"/>
                <w:color w:val="000000"/>
                <w:sz w:val="20"/>
                <w:szCs w:val="20"/>
                <w:lang w:val="es-ES"/>
              </w:rPr>
              <w:t xml:space="preserve"> </w:t>
            </w:r>
            <w:r w:rsidR="008C0FFD" w:rsidRPr="00BA2D3E">
              <w:rPr>
                <w:rFonts w:ascii="Arial" w:eastAsia="TrebuchetMS" w:hAnsi="Arial" w:cs="Arial"/>
                <w:color w:val="FF0000"/>
                <w:sz w:val="20"/>
                <w:szCs w:val="20"/>
                <w:vertAlign w:val="superscript"/>
                <w:lang w:val="es-ES"/>
              </w:rPr>
              <w:t>3</w:t>
            </w:r>
          </w:p>
          <w:p w14:paraId="3CBA52A6" w14:textId="77777777" w:rsidR="002859B6" w:rsidRPr="0068632C" w:rsidRDefault="002859B6" w:rsidP="007614D7">
            <w:pPr>
              <w:autoSpaceDE w:val="0"/>
              <w:autoSpaceDN w:val="0"/>
              <w:adjustRightInd w:val="0"/>
              <w:contextualSpacing/>
              <w:jc w:val="both"/>
              <w:rPr>
                <w:rFonts w:ascii="Arial" w:eastAsia="TrebuchetMS" w:hAnsi="Arial" w:cs="Arial"/>
                <w:color w:val="000000"/>
                <w:sz w:val="20"/>
                <w:szCs w:val="20"/>
                <w:lang w:val="es-ES"/>
              </w:rPr>
            </w:pPr>
          </w:p>
          <w:p w14:paraId="530179CE" w14:textId="77777777" w:rsidR="002859B6" w:rsidRPr="001E2E55" w:rsidRDefault="002859B6" w:rsidP="007614D7">
            <w:pPr>
              <w:jc w:val="both"/>
              <w:rPr>
                <w:rFonts w:ascii="Arial" w:hAnsi="Arial" w:cs="Arial"/>
                <w:color w:val="FF0000"/>
                <w:sz w:val="20"/>
                <w:szCs w:val="20"/>
              </w:rPr>
            </w:pPr>
            <w:r w:rsidRPr="0068632C">
              <w:rPr>
                <w:rFonts w:ascii="Arial" w:hAnsi="Arial" w:cs="Arial"/>
                <w:sz w:val="20"/>
                <w:szCs w:val="20"/>
              </w:rPr>
              <w:t>La evidencia de costo-efectividad no es concluyente, pero los inhibidores selectivos COX-2 pueden ser costo-efectivos en pacientes con riesgo elevado</w:t>
            </w:r>
            <w:r w:rsidR="001E73A8">
              <w:rPr>
                <w:rFonts w:ascii="Arial" w:hAnsi="Arial" w:cs="Arial"/>
                <w:sz w:val="20"/>
                <w:szCs w:val="20"/>
              </w:rPr>
              <w:t xml:space="preserve"> de eventos gastrointestinales.</w:t>
            </w:r>
            <w:r w:rsidR="001E2E55">
              <w:rPr>
                <w:rFonts w:ascii="Arial" w:hAnsi="Arial" w:cs="Arial"/>
                <w:sz w:val="20"/>
                <w:szCs w:val="20"/>
              </w:rPr>
              <w:t xml:space="preserve"> </w:t>
            </w:r>
            <w:r w:rsidR="001E2E55" w:rsidRPr="00577BEB">
              <w:rPr>
                <w:rFonts w:ascii="Arial" w:eastAsia="TrebuchetMS" w:hAnsi="Arial" w:cs="Arial"/>
                <w:b/>
                <w:color w:val="000000"/>
                <w:sz w:val="20"/>
                <w:szCs w:val="20"/>
                <w:lang w:val="es-ES"/>
              </w:rPr>
              <w:t>[</w:t>
            </w:r>
            <w:r w:rsidR="001E2E55" w:rsidRPr="002A5EEF">
              <w:rPr>
                <w:rFonts w:ascii="Arial" w:hAnsi="Arial" w:cs="Arial"/>
                <w:b/>
                <w:sz w:val="20"/>
                <w:szCs w:val="20"/>
              </w:rPr>
              <w:t xml:space="preserve">NE: </w:t>
            </w:r>
            <w:r w:rsidR="001E2E55">
              <w:rPr>
                <w:rFonts w:ascii="Arial" w:hAnsi="Arial" w:cs="Arial"/>
                <w:b/>
                <w:sz w:val="20"/>
                <w:szCs w:val="20"/>
              </w:rPr>
              <w:t>II</w:t>
            </w:r>
            <w:r w:rsidR="001E2E55" w:rsidRPr="002A5EEF">
              <w:rPr>
                <w:rFonts w:ascii="Arial" w:hAnsi="Arial" w:cs="Arial"/>
                <w:b/>
                <w:sz w:val="20"/>
                <w:szCs w:val="20"/>
              </w:rPr>
              <w:t>, GR: A</w:t>
            </w:r>
            <w:r w:rsidR="001E2E55">
              <w:rPr>
                <w:rFonts w:ascii="Arial" w:hAnsi="Arial" w:cs="Arial"/>
                <w:b/>
                <w:sz w:val="20"/>
                <w:szCs w:val="20"/>
              </w:rPr>
              <w:t>]</w:t>
            </w:r>
            <w:r w:rsidR="008C0FFD" w:rsidRPr="00BA2D3E">
              <w:rPr>
                <w:rFonts w:ascii="Arial" w:hAnsi="Arial" w:cs="Arial"/>
                <w:color w:val="FF0000"/>
                <w:sz w:val="20"/>
                <w:szCs w:val="20"/>
                <w:vertAlign w:val="superscript"/>
              </w:rPr>
              <w:t>1</w:t>
            </w:r>
          </w:p>
        </w:tc>
      </w:tr>
      <w:tr w:rsidR="002859B6" w:rsidRPr="0068632C" w14:paraId="76AE0E2E" w14:textId="77777777" w:rsidTr="007614D7">
        <w:tc>
          <w:tcPr>
            <w:tcW w:w="2660" w:type="dxa"/>
          </w:tcPr>
          <w:p w14:paraId="7F3A8A02" w14:textId="77777777" w:rsidR="002859B6" w:rsidRPr="0068632C" w:rsidRDefault="002859B6" w:rsidP="007614D7">
            <w:pPr>
              <w:contextualSpacing/>
              <w:jc w:val="both"/>
              <w:rPr>
                <w:rFonts w:ascii="Arial" w:eastAsia="Times-Roman" w:hAnsi="Arial" w:cs="Arial"/>
                <w:b/>
                <w:sz w:val="20"/>
                <w:szCs w:val="20"/>
              </w:rPr>
            </w:pPr>
            <w:r w:rsidRPr="0068632C">
              <w:rPr>
                <w:rFonts w:ascii="Arial" w:hAnsi="Arial" w:cs="Arial"/>
                <w:sz w:val="20"/>
                <w:szCs w:val="20"/>
              </w:rPr>
              <w:t>Tiempo para definir ajuste de dosis  y retiro del medicamento</w:t>
            </w:r>
          </w:p>
        </w:tc>
        <w:tc>
          <w:tcPr>
            <w:tcW w:w="7410" w:type="dxa"/>
          </w:tcPr>
          <w:p w14:paraId="03CD7C6C" w14:textId="77777777" w:rsidR="002859B6" w:rsidRPr="0068632C" w:rsidRDefault="002859B6" w:rsidP="007614D7">
            <w:pPr>
              <w:contextualSpacing/>
              <w:jc w:val="both"/>
              <w:rPr>
                <w:rFonts w:ascii="Arial" w:eastAsia="TrebuchetMS" w:hAnsi="Arial" w:cs="Arial"/>
                <w:color w:val="000000"/>
                <w:sz w:val="20"/>
                <w:szCs w:val="20"/>
                <w:lang w:val="es-ES"/>
              </w:rPr>
            </w:pPr>
            <w:r w:rsidRPr="0068632C">
              <w:rPr>
                <w:rFonts w:ascii="Arial" w:eastAsia="TrebuchetMS,Bold" w:hAnsi="Arial" w:cs="Arial"/>
                <w:bCs/>
                <w:color w:val="000000"/>
                <w:sz w:val="20"/>
                <w:szCs w:val="20"/>
                <w:lang w:val="es-ES"/>
              </w:rPr>
              <w:t xml:space="preserve">Cualquier AINE debe utilizarse a dosis plenas durante al menos una semana antes de considerar que existe un fracaso terapéutico. Una vez controlados los síntomas, el AINE debe utilizarse a la dosis mínima eficaz y </w:t>
            </w:r>
            <w:r w:rsidRPr="0068632C">
              <w:rPr>
                <w:rFonts w:ascii="Arial" w:hAnsi="Arial" w:cs="Arial"/>
                <w:sz w:val="20"/>
                <w:szCs w:val="20"/>
              </w:rPr>
              <w:t>durante el menor tiempo necesario</w:t>
            </w:r>
            <w:r w:rsidRPr="0068632C">
              <w:rPr>
                <w:rFonts w:ascii="Arial" w:eastAsia="TrebuchetMS" w:hAnsi="Arial" w:cs="Arial"/>
                <w:color w:val="000000"/>
                <w:sz w:val="20"/>
                <w:szCs w:val="20"/>
                <w:lang w:val="es-ES"/>
              </w:rPr>
              <w:t>, ya que los eventos adversos son dependientes de la dosis y duración del tratamiento</w:t>
            </w:r>
            <w:r w:rsidR="001E73A8">
              <w:rPr>
                <w:rFonts w:ascii="Arial" w:hAnsi="Arial" w:cs="Arial"/>
                <w:sz w:val="20"/>
                <w:szCs w:val="20"/>
              </w:rPr>
              <w:t>.</w:t>
            </w:r>
            <w:r w:rsidR="008C0FFD" w:rsidRPr="00BA2D3E">
              <w:rPr>
                <w:rFonts w:ascii="Arial" w:eastAsia="TrebuchetMS" w:hAnsi="Arial" w:cs="Arial"/>
                <w:color w:val="FF0000"/>
                <w:sz w:val="20"/>
                <w:szCs w:val="20"/>
                <w:vertAlign w:val="superscript"/>
                <w:lang w:val="es-ES"/>
              </w:rPr>
              <w:t>1,2,3</w:t>
            </w:r>
          </w:p>
          <w:p w14:paraId="7D2ADAED" w14:textId="77777777" w:rsidR="002859B6" w:rsidRPr="0068632C" w:rsidRDefault="002859B6" w:rsidP="007614D7">
            <w:pPr>
              <w:contextualSpacing/>
              <w:jc w:val="both"/>
              <w:rPr>
                <w:rFonts w:ascii="Arial" w:eastAsia="Times-Roman" w:hAnsi="Arial" w:cs="Arial"/>
                <w:b/>
                <w:sz w:val="20"/>
                <w:szCs w:val="20"/>
              </w:rPr>
            </w:pPr>
            <w:r w:rsidRPr="0068632C">
              <w:rPr>
                <w:rFonts w:ascii="Arial" w:eastAsia="Times-Roman" w:hAnsi="Arial" w:cs="Arial"/>
                <w:sz w:val="20"/>
                <w:szCs w:val="20"/>
              </w:rPr>
              <w:t xml:space="preserve">Nivel de evidencia: </w:t>
            </w:r>
            <w:r w:rsidRPr="0068632C">
              <w:rPr>
                <w:rFonts w:ascii="Arial" w:eastAsia="Times-Roman" w:hAnsi="Arial" w:cs="Arial"/>
                <w:b/>
                <w:sz w:val="20"/>
                <w:szCs w:val="20"/>
              </w:rPr>
              <w:t>I</w:t>
            </w:r>
          </w:p>
          <w:p w14:paraId="701DAFEE" w14:textId="77777777" w:rsidR="002859B6" w:rsidRPr="0068632C" w:rsidRDefault="002859B6" w:rsidP="007614D7">
            <w:pPr>
              <w:contextualSpacing/>
              <w:jc w:val="both"/>
              <w:rPr>
                <w:rFonts w:ascii="Arial" w:eastAsia="Times-Roman" w:hAnsi="Arial" w:cs="Arial"/>
                <w:sz w:val="20"/>
                <w:szCs w:val="20"/>
              </w:rPr>
            </w:pPr>
            <w:r w:rsidRPr="0068632C">
              <w:rPr>
                <w:rFonts w:ascii="Arial" w:eastAsia="Times-Roman" w:hAnsi="Arial" w:cs="Arial"/>
                <w:sz w:val="20"/>
                <w:szCs w:val="20"/>
              </w:rPr>
              <w:lastRenderedPageBreak/>
              <w:t xml:space="preserve">Grado de recomendación: </w:t>
            </w:r>
            <w:r w:rsidRPr="0068632C">
              <w:rPr>
                <w:rFonts w:ascii="Arial" w:eastAsia="Times-Roman" w:hAnsi="Arial" w:cs="Arial"/>
                <w:b/>
                <w:sz w:val="20"/>
                <w:szCs w:val="20"/>
              </w:rPr>
              <w:t>A</w:t>
            </w:r>
          </w:p>
          <w:p w14:paraId="3DF324CA" w14:textId="77777777" w:rsidR="002859B6" w:rsidRPr="0068632C" w:rsidRDefault="002859B6" w:rsidP="007614D7">
            <w:pPr>
              <w:autoSpaceDE w:val="0"/>
              <w:autoSpaceDN w:val="0"/>
              <w:adjustRightInd w:val="0"/>
              <w:contextualSpacing/>
              <w:jc w:val="both"/>
              <w:rPr>
                <w:rFonts w:ascii="Arial" w:eastAsia="TrebuchetMS" w:hAnsi="Arial" w:cs="Arial"/>
                <w:sz w:val="20"/>
                <w:szCs w:val="20"/>
              </w:rPr>
            </w:pPr>
          </w:p>
          <w:p w14:paraId="33D71F71" w14:textId="77777777" w:rsidR="002859B6" w:rsidRPr="0068632C" w:rsidRDefault="002859B6" w:rsidP="007614D7">
            <w:pPr>
              <w:autoSpaceDE w:val="0"/>
              <w:autoSpaceDN w:val="0"/>
              <w:adjustRightInd w:val="0"/>
              <w:contextualSpacing/>
              <w:jc w:val="both"/>
              <w:rPr>
                <w:rFonts w:ascii="Arial" w:eastAsia="TrebuchetMS" w:hAnsi="Arial" w:cs="Arial"/>
                <w:sz w:val="20"/>
                <w:szCs w:val="20"/>
              </w:rPr>
            </w:pPr>
            <w:r w:rsidRPr="0068632C">
              <w:rPr>
                <w:rFonts w:ascii="Arial" w:hAnsi="Arial" w:cs="Arial"/>
                <w:sz w:val="20"/>
                <w:szCs w:val="20"/>
              </w:rPr>
              <w:t xml:space="preserve">Se deben administrar por 1 a 2 semanas, con períodos de descanso de 5 a 7 días teniendo control estrecho sobre las </w:t>
            </w:r>
            <w:r w:rsidR="00D2135E">
              <w:rPr>
                <w:rFonts w:ascii="Arial" w:hAnsi="Arial" w:cs="Arial"/>
                <w:sz w:val="20"/>
                <w:szCs w:val="20"/>
              </w:rPr>
              <w:t>PFH</w:t>
            </w:r>
            <w:r w:rsidRPr="0068632C">
              <w:rPr>
                <w:rFonts w:ascii="Arial" w:hAnsi="Arial" w:cs="Arial"/>
                <w:sz w:val="20"/>
                <w:szCs w:val="20"/>
              </w:rPr>
              <w:t>, renal y tiempos de coagulación.</w:t>
            </w:r>
          </w:p>
          <w:p w14:paraId="5EDE0585" w14:textId="77777777" w:rsidR="002859B6" w:rsidRPr="0068632C" w:rsidRDefault="002859B6" w:rsidP="007614D7">
            <w:pPr>
              <w:autoSpaceDE w:val="0"/>
              <w:autoSpaceDN w:val="0"/>
              <w:adjustRightInd w:val="0"/>
              <w:contextualSpacing/>
              <w:jc w:val="both"/>
              <w:rPr>
                <w:rFonts w:ascii="Arial" w:eastAsia="TrebuchetMS" w:hAnsi="Arial" w:cs="Arial"/>
                <w:sz w:val="20"/>
                <w:szCs w:val="20"/>
              </w:rPr>
            </w:pPr>
          </w:p>
          <w:p w14:paraId="0686A67F" w14:textId="77777777" w:rsidR="002859B6" w:rsidRPr="001E2E55" w:rsidRDefault="002859B6" w:rsidP="001E2E55">
            <w:pPr>
              <w:autoSpaceDE w:val="0"/>
              <w:autoSpaceDN w:val="0"/>
              <w:adjustRightInd w:val="0"/>
              <w:contextualSpacing/>
              <w:jc w:val="both"/>
              <w:rPr>
                <w:rFonts w:ascii="Arial" w:eastAsia="TrebuchetMS,Bold" w:hAnsi="Arial" w:cs="Arial"/>
                <w:bCs/>
                <w:color w:val="000000"/>
                <w:sz w:val="20"/>
                <w:szCs w:val="20"/>
                <w:lang w:val="es-ES"/>
              </w:rPr>
            </w:pPr>
            <w:r w:rsidRPr="0068632C">
              <w:rPr>
                <w:rFonts w:ascii="Arial" w:eastAsia="TrebuchetMS" w:hAnsi="Arial" w:cs="Arial"/>
                <w:sz w:val="20"/>
                <w:szCs w:val="20"/>
                <w:lang w:val="es-ES"/>
              </w:rPr>
              <w:t>Cuando el AINE se suspende tras haber sido utilizado durante un tiempo prolongado (&gt; 3 meses), esta suspensión debe ser gradual para evitar efectos de rebote del dolor. No existe un esquema que haya</w:t>
            </w:r>
            <w:r w:rsidRPr="0068632C">
              <w:rPr>
                <w:rFonts w:ascii="Arial" w:eastAsia="TrebuchetMS" w:hAnsi="Arial" w:cs="Arial"/>
                <w:color w:val="000000"/>
                <w:sz w:val="20"/>
                <w:szCs w:val="20"/>
                <w:lang w:val="es-ES"/>
              </w:rPr>
              <w:t xml:space="preserve"> demostrado su eficacia frente a otros para esta reducción.</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IV, GR: D]</w:t>
            </w:r>
            <w:r w:rsidR="008C0FFD" w:rsidRPr="00BA2D3E">
              <w:rPr>
                <w:rFonts w:ascii="Arial" w:eastAsia="TrebuchetMS,Bold" w:hAnsi="Arial" w:cs="Arial"/>
                <w:bCs/>
                <w:color w:val="FF0000"/>
                <w:sz w:val="20"/>
                <w:szCs w:val="20"/>
                <w:vertAlign w:val="superscript"/>
                <w:lang w:val="es-ES"/>
              </w:rPr>
              <w:t>2</w:t>
            </w:r>
          </w:p>
        </w:tc>
      </w:tr>
      <w:tr w:rsidR="002859B6" w:rsidRPr="0068632C" w14:paraId="1CF65E68" w14:textId="77777777" w:rsidTr="007614D7">
        <w:tc>
          <w:tcPr>
            <w:tcW w:w="2660" w:type="dxa"/>
          </w:tcPr>
          <w:p w14:paraId="0E62F5D2" w14:textId="77777777" w:rsidR="002859B6" w:rsidRPr="0068632C" w:rsidRDefault="002859B6" w:rsidP="007614D7">
            <w:pPr>
              <w:contextualSpacing/>
              <w:jc w:val="both"/>
              <w:rPr>
                <w:rFonts w:ascii="Arial" w:eastAsia="Times-Roman" w:hAnsi="Arial" w:cs="Arial"/>
                <w:b/>
                <w:sz w:val="20"/>
                <w:szCs w:val="20"/>
              </w:rPr>
            </w:pPr>
            <w:r w:rsidRPr="0068632C">
              <w:rPr>
                <w:rFonts w:ascii="Arial" w:hAnsi="Arial" w:cs="Arial"/>
                <w:sz w:val="20"/>
                <w:szCs w:val="20"/>
              </w:rPr>
              <w:lastRenderedPageBreak/>
              <w:t>Dosis mínima y máxima</w:t>
            </w:r>
          </w:p>
        </w:tc>
        <w:tc>
          <w:tcPr>
            <w:tcW w:w="7410" w:type="dxa"/>
          </w:tcPr>
          <w:p w14:paraId="057D3D8D" w14:textId="29471A77" w:rsidR="002859B6" w:rsidRPr="0068632C" w:rsidRDefault="002859B6" w:rsidP="007614D7">
            <w:pPr>
              <w:contextualSpacing/>
              <w:jc w:val="both"/>
              <w:rPr>
                <w:rFonts w:ascii="Arial" w:eastAsia="Times-Roman" w:hAnsi="Arial" w:cs="Arial"/>
                <w:sz w:val="20"/>
                <w:szCs w:val="20"/>
              </w:rPr>
            </w:pPr>
            <w:r w:rsidRPr="0068632C">
              <w:rPr>
                <w:rFonts w:ascii="Arial" w:eastAsia="Times-Roman" w:hAnsi="Arial" w:cs="Arial"/>
                <w:sz w:val="20"/>
                <w:szCs w:val="20"/>
              </w:rPr>
              <w:t>Naproxeno (250 a 500 mg/12 h). Dosis máxima 1,259 mg/</w:t>
            </w:r>
            <w:r w:rsidR="003E0B2A">
              <w:rPr>
                <w:rFonts w:ascii="Arial" w:eastAsia="Times-Roman" w:hAnsi="Arial" w:cs="Arial"/>
                <w:sz w:val="20"/>
                <w:szCs w:val="20"/>
              </w:rPr>
              <w:t>24 h</w:t>
            </w:r>
          </w:p>
          <w:p w14:paraId="30AF0FE8" w14:textId="27CF1036" w:rsidR="002859B6" w:rsidRPr="0068632C" w:rsidRDefault="002859B6" w:rsidP="007614D7">
            <w:pPr>
              <w:contextualSpacing/>
              <w:jc w:val="both"/>
              <w:rPr>
                <w:rFonts w:ascii="Arial" w:eastAsia="Times-Roman" w:hAnsi="Arial" w:cs="Arial"/>
                <w:sz w:val="20"/>
                <w:szCs w:val="20"/>
              </w:rPr>
            </w:pPr>
            <w:r w:rsidRPr="0068632C">
              <w:rPr>
                <w:rFonts w:ascii="Arial" w:eastAsia="Times-Roman" w:hAnsi="Arial" w:cs="Arial"/>
                <w:sz w:val="20"/>
                <w:szCs w:val="20"/>
              </w:rPr>
              <w:t>Diclofenaco (100 mg/24 h). Dosis máxima 150 mg/</w:t>
            </w:r>
            <w:r w:rsidR="003E0B2A">
              <w:rPr>
                <w:rFonts w:ascii="Arial" w:eastAsia="Times-Roman" w:hAnsi="Arial" w:cs="Arial"/>
                <w:sz w:val="20"/>
                <w:szCs w:val="20"/>
              </w:rPr>
              <w:t>24 h</w:t>
            </w:r>
          </w:p>
          <w:p w14:paraId="47020E46" w14:textId="4DADBE4F" w:rsidR="002859B6" w:rsidRPr="0068632C" w:rsidRDefault="002859B6" w:rsidP="007614D7">
            <w:pPr>
              <w:contextualSpacing/>
              <w:jc w:val="both"/>
              <w:rPr>
                <w:rFonts w:ascii="Arial" w:eastAsia="Times-Roman" w:hAnsi="Arial" w:cs="Arial"/>
                <w:sz w:val="20"/>
                <w:szCs w:val="20"/>
              </w:rPr>
            </w:pPr>
            <w:r w:rsidRPr="0068632C">
              <w:rPr>
                <w:rFonts w:ascii="Arial" w:eastAsia="Times-Roman" w:hAnsi="Arial" w:cs="Arial"/>
                <w:sz w:val="20"/>
                <w:szCs w:val="20"/>
              </w:rPr>
              <w:t>Ketoprofeno (</w:t>
            </w:r>
            <w:r w:rsidR="00186363" w:rsidRPr="0068632C">
              <w:rPr>
                <w:rFonts w:ascii="Arial" w:eastAsia="Times-Roman" w:hAnsi="Arial" w:cs="Arial"/>
                <w:sz w:val="20"/>
                <w:szCs w:val="20"/>
              </w:rPr>
              <w:t>150-</w:t>
            </w:r>
            <w:r w:rsidRPr="0068632C">
              <w:rPr>
                <w:rFonts w:ascii="Arial" w:eastAsia="Times-Roman" w:hAnsi="Arial" w:cs="Arial"/>
                <w:sz w:val="20"/>
                <w:szCs w:val="20"/>
              </w:rPr>
              <w:t>200 mg/24 h). Dosis máxima 300 mg/</w:t>
            </w:r>
            <w:r w:rsidR="003E0B2A">
              <w:rPr>
                <w:rFonts w:ascii="Arial" w:eastAsia="Times-Roman" w:hAnsi="Arial" w:cs="Arial"/>
                <w:sz w:val="20"/>
                <w:szCs w:val="20"/>
              </w:rPr>
              <w:t>24 h</w:t>
            </w:r>
          </w:p>
          <w:p w14:paraId="34EA68D9" w14:textId="77777777" w:rsidR="002859B6" w:rsidRPr="0068632C" w:rsidRDefault="002859B6" w:rsidP="007614D7">
            <w:pPr>
              <w:contextualSpacing/>
              <w:jc w:val="both"/>
              <w:rPr>
                <w:rFonts w:ascii="Arial" w:eastAsia="Times-Roman" w:hAnsi="Arial" w:cs="Arial"/>
                <w:sz w:val="20"/>
                <w:szCs w:val="20"/>
              </w:rPr>
            </w:pPr>
            <w:r w:rsidRPr="0068632C">
              <w:rPr>
                <w:rFonts w:ascii="Arial" w:eastAsia="Times-Roman" w:hAnsi="Arial" w:cs="Arial"/>
                <w:sz w:val="20"/>
                <w:szCs w:val="20"/>
              </w:rPr>
              <w:t>Meloxicam (15 mg/24 h). Dosis máxima 15 mg/24h</w:t>
            </w:r>
          </w:p>
          <w:p w14:paraId="1FC5295F" w14:textId="77777777" w:rsidR="002859B6" w:rsidRPr="0068632C" w:rsidRDefault="002859B6" w:rsidP="007614D7">
            <w:pPr>
              <w:contextualSpacing/>
              <w:jc w:val="both"/>
              <w:rPr>
                <w:rFonts w:ascii="Arial" w:eastAsia="Times-Roman" w:hAnsi="Arial" w:cs="Arial"/>
                <w:sz w:val="20"/>
                <w:szCs w:val="20"/>
              </w:rPr>
            </w:pPr>
            <w:r w:rsidRPr="0068632C">
              <w:rPr>
                <w:rFonts w:ascii="Arial" w:eastAsia="Times-Roman" w:hAnsi="Arial" w:cs="Arial"/>
                <w:sz w:val="20"/>
                <w:szCs w:val="20"/>
              </w:rPr>
              <w:t>Piroxicam (20 mg/24 h). Dosis máxima 20 mg/24h</w:t>
            </w:r>
          </w:p>
          <w:p w14:paraId="69D0E180" w14:textId="77777777" w:rsidR="002859B6" w:rsidRPr="0068632C" w:rsidRDefault="002859B6" w:rsidP="007614D7">
            <w:pPr>
              <w:contextualSpacing/>
              <w:jc w:val="both"/>
              <w:rPr>
                <w:rFonts w:ascii="Arial" w:eastAsia="Times-Roman" w:hAnsi="Arial" w:cs="Arial"/>
                <w:sz w:val="20"/>
                <w:szCs w:val="20"/>
              </w:rPr>
            </w:pPr>
            <w:r w:rsidRPr="0068632C">
              <w:rPr>
                <w:rFonts w:ascii="Arial" w:eastAsia="Times-Roman" w:hAnsi="Arial" w:cs="Arial"/>
                <w:sz w:val="20"/>
                <w:szCs w:val="20"/>
              </w:rPr>
              <w:t>Celecoxib (100 a 200 mg/24 h). Dosis máxima 400mg/24h</w:t>
            </w:r>
          </w:p>
          <w:p w14:paraId="0D67C9FD" w14:textId="77777777" w:rsidR="002859B6" w:rsidRPr="0068632C" w:rsidRDefault="002859B6" w:rsidP="007614D7">
            <w:pPr>
              <w:contextualSpacing/>
              <w:jc w:val="both"/>
              <w:rPr>
                <w:rFonts w:ascii="Arial" w:eastAsia="Times-Roman" w:hAnsi="Arial" w:cs="Arial"/>
                <w:sz w:val="20"/>
                <w:szCs w:val="20"/>
              </w:rPr>
            </w:pPr>
            <w:r w:rsidRPr="0068632C">
              <w:rPr>
                <w:rFonts w:ascii="Arial" w:eastAsia="Times-Roman" w:hAnsi="Arial" w:cs="Arial"/>
                <w:sz w:val="20"/>
                <w:szCs w:val="20"/>
              </w:rPr>
              <w:t>Etoricoxib (60 a 90 mg/24 h). Dosis máxima 120 mg/24h</w:t>
            </w:r>
          </w:p>
          <w:p w14:paraId="61BCA442" w14:textId="77777777" w:rsidR="002859B6" w:rsidRPr="0068632C" w:rsidRDefault="002859B6" w:rsidP="007614D7">
            <w:pPr>
              <w:contextualSpacing/>
              <w:jc w:val="both"/>
              <w:rPr>
                <w:rFonts w:ascii="Arial" w:eastAsia="Times-Roman" w:hAnsi="Arial" w:cs="Arial"/>
                <w:sz w:val="20"/>
                <w:szCs w:val="20"/>
              </w:rPr>
            </w:pPr>
            <w:r w:rsidRPr="0068632C">
              <w:rPr>
                <w:rFonts w:ascii="Arial" w:eastAsia="Times-Roman" w:hAnsi="Arial" w:cs="Arial"/>
                <w:sz w:val="20"/>
                <w:szCs w:val="20"/>
              </w:rPr>
              <w:t>Lumiracoxib (100 mg/24 h). Dosis máxima 400 mg/24h</w:t>
            </w:r>
          </w:p>
        </w:tc>
      </w:tr>
      <w:tr w:rsidR="002859B6" w:rsidRPr="0068632C" w14:paraId="41A517C6" w14:textId="77777777" w:rsidTr="007614D7">
        <w:tc>
          <w:tcPr>
            <w:tcW w:w="2660" w:type="dxa"/>
          </w:tcPr>
          <w:p w14:paraId="32907ADF" w14:textId="77777777" w:rsidR="002859B6" w:rsidRPr="0068632C" w:rsidRDefault="002859B6" w:rsidP="007614D7">
            <w:pPr>
              <w:contextualSpacing/>
              <w:jc w:val="both"/>
              <w:rPr>
                <w:rFonts w:ascii="Arial" w:hAnsi="Arial" w:cs="Arial"/>
                <w:sz w:val="20"/>
                <w:szCs w:val="20"/>
              </w:rPr>
            </w:pPr>
            <w:r w:rsidRPr="0068632C">
              <w:rPr>
                <w:rFonts w:ascii="Arial" w:hAnsi="Arial" w:cs="Arial"/>
                <w:sz w:val="20"/>
                <w:szCs w:val="20"/>
              </w:rPr>
              <w:t>Contraindicaciones</w:t>
            </w:r>
          </w:p>
        </w:tc>
        <w:tc>
          <w:tcPr>
            <w:tcW w:w="7410" w:type="dxa"/>
          </w:tcPr>
          <w:p w14:paraId="6BC6949A" w14:textId="77777777" w:rsidR="002859B6" w:rsidRPr="0068632C" w:rsidRDefault="002859B6" w:rsidP="007614D7">
            <w:pPr>
              <w:contextualSpacing/>
              <w:jc w:val="both"/>
              <w:rPr>
                <w:rFonts w:ascii="Arial" w:hAnsi="Arial" w:cs="Arial"/>
                <w:color w:val="FF0000"/>
                <w:sz w:val="20"/>
                <w:szCs w:val="20"/>
              </w:rPr>
            </w:pPr>
            <w:r w:rsidRPr="0068632C">
              <w:rPr>
                <w:rFonts w:ascii="Arial" w:hAnsi="Arial" w:cs="Arial"/>
                <w:sz w:val="20"/>
                <w:szCs w:val="20"/>
              </w:rPr>
              <w:t>Los pacientes con una historia previa de enfermedad gastrointestinal tienen un menor riesgo de complicaciones con los inhibidores selectivos COX-2 comp</w:t>
            </w:r>
            <w:r w:rsidR="001E73A8">
              <w:rPr>
                <w:rFonts w:ascii="Arial" w:hAnsi="Arial" w:cs="Arial"/>
                <w:sz w:val="20"/>
                <w:szCs w:val="20"/>
              </w:rPr>
              <w:t>arado con un AINE no selectivo.</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GR: A</w:t>
            </w:r>
            <w:r w:rsidR="001E2E55">
              <w:rPr>
                <w:rFonts w:ascii="Arial" w:hAnsi="Arial" w:cs="Arial"/>
                <w:b/>
                <w:sz w:val="20"/>
                <w:szCs w:val="20"/>
              </w:rPr>
              <w:t>]</w:t>
            </w:r>
            <w:r w:rsidR="00A220CE">
              <w:rPr>
                <w:rFonts w:ascii="Arial" w:hAnsi="Arial" w:cs="Arial"/>
                <w:color w:val="FF0000"/>
                <w:sz w:val="20"/>
                <w:szCs w:val="20"/>
                <w:vertAlign w:val="superscript"/>
              </w:rPr>
              <w:t>2,3,4</w:t>
            </w:r>
          </w:p>
          <w:p w14:paraId="3C3FBEBF" w14:textId="77777777" w:rsidR="002859B6" w:rsidRPr="0068632C" w:rsidRDefault="002859B6" w:rsidP="007614D7">
            <w:pPr>
              <w:autoSpaceDE w:val="0"/>
              <w:autoSpaceDN w:val="0"/>
              <w:adjustRightInd w:val="0"/>
              <w:jc w:val="both"/>
              <w:rPr>
                <w:rFonts w:ascii="Arial" w:eastAsia="TrebuchetMS" w:hAnsi="Arial" w:cs="Arial"/>
                <w:color w:val="000000"/>
                <w:sz w:val="20"/>
                <w:szCs w:val="20"/>
                <w:lang w:val="es-ES"/>
              </w:rPr>
            </w:pPr>
          </w:p>
          <w:p w14:paraId="74858751" w14:textId="77777777" w:rsidR="002859B6" w:rsidRPr="0068632C" w:rsidRDefault="002859B6" w:rsidP="001E73A8">
            <w:pPr>
              <w:autoSpaceDE w:val="0"/>
              <w:autoSpaceDN w:val="0"/>
              <w:adjustRightInd w:val="0"/>
              <w:jc w:val="both"/>
              <w:rPr>
                <w:rFonts w:ascii="Arial" w:eastAsia="TrebuchetMS" w:hAnsi="Arial" w:cs="Arial"/>
                <w:color w:val="FF0000"/>
                <w:sz w:val="20"/>
                <w:szCs w:val="20"/>
                <w:lang w:val="es-ES"/>
              </w:rPr>
            </w:pPr>
            <w:r w:rsidRPr="0068632C">
              <w:rPr>
                <w:rFonts w:ascii="Arial" w:eastAsia="TrebuchetMS" w:hAnsi="Arial" w:cs="Arial"/>
                <w:color w:val="000000"/>
                <w:sz w:val="20"/>
                <w:szCs w:val="20"/>
                <w:lang w:val="es-ES"/>
              </w:rPr>
              <w:t>Los factores de riesgo definitivos para úlceras gastroduodenales asociados a AINE son edad avanzada, historia previa de úlcera, dosis altas de AINE, uso combinado AINE o de manera concomitante con glucocorticoides y la presencia de comorbilidades.</w:t>
            </w:r>
            <w:r w:rsidR="008C0FFD" w:rsidRPr="00BA2D3E">
              <w:rPr>
                <w:rFonts w:ascii="Arial" w:eastAsia="TrebuchetMS" w:hAnsi="Arial" w:cs="Arial"/>
                <w:color w:val="FF0000"/>
                <w:sz w:val="20"/>
                <w:szCs w:val="20"/>
                <w:vertAlign w:val="superscript"/>
                <w:lang w:val="es-ES"/>
              </w:rPr>
              <w:t>3</w:t>
            </w:r>
          </w:p>
        </w:tc>
      </w:tr>
      <w:tr w:rsidR="002859B6" w:rsidRPr="0068632C" w14:paraId="10256032" w14:textId="77777777" w:rsidTr="007614D7">
        <w:tc>
          <w:tcPr>
            <w:tcW w:w="2660" w:type="dxa"/>
          </w:tcPr>
          <w:p w14:paraId="758DEFC0" w14:textId="77777777" w:rsidR="002859B6" w:rsidRPr="0068632C" w:rsidRDefault="002859B6" w:rsidP="007614D7">
            <w:pPr>
              <w:contextualSpacing/>
              <w:jc w:val="both"/>
              <w:rPr>
                <w:rFonts w:ascii="Arial" w:hAnsi="Arial" w:cs="Arial"/>
                <w:sz w:val="20"/>
                <w:szCs w:val="20"/>
              </w:rPr>
            </w:pPr>
            <w:r w:rsidRPr="0068632C">
              <w:rPr>
                <w:rFonts w:ascii="Arial" w:hAnsi="Arial" w:cs="Arial"/>
                <w:sz w:val="20"/>
                <w:szCs w:val="20"/>
              </w:rPr>
              <w:t>Casos especiales</w:t>
            </w:r>
          </w:p>
        </w:tc>
        <w:tc>
          <w:tcPr>
            <w:tcW w:w="7410" w:type="dxa"/>
          </w:tcPr>
          <w:p w14:paraId="61339D5F" w14:textId="77777777" w:rsidR="002859B6" w:rsidRPr="0068632C" w:rsidRDefault="002859B6" w:rsidP="007614D7">
            <w:pPr>
              <w:autoSpaceDE w:val="0"/>
              <w:autoSpaceDN w:val="0"/>
              <w:adjustRightInd w:val="0"/>
              <w:contextualSpacing/>
              <w:jc w:val="both"/>
              <w:rPr>
                <w:rFonts w:ascii="Arial" w:eastAsia="TrebuchetMS,Bold" w:hAnsi="Arial" w:cs="Arial"/>
                <w:bCs/>
                <w:color w:val="FF0000"/>
                <w:sz w:val="20"/>
                <w:szCs w:val="20"/>
                <w:lang w:val="es-ES"/>
              </w:rPr>
            </w:pPr>
            <w:r w:rsidRPr="0068632C">
              <w:rPr>
                <w:rFonts w:ascii="Arial" w:eastAsia="TrebuchetMS,Bold" w:hAnsi="Arial" w:cs="Arial"/>
                <w:bCs/>
                <w:color w:val="000000"/>
                <w:sz w:val="20"/>
                <w:szCs w:val="20"/>
                <w:lang w:val="es-ES"/>
              </w:rPr>
              <w:t xml:space="preserve">En los pacientes ancianos se monitorizará la función renal y hepática y se adaptarán los intervalos de las dosis de los fármacos </w:t>
            </w:r>
            <w:r w:rsidR="001E73A8">
              <w:rPr>
                <w:rFonts w:ascii="Arial" w:eastAsia="TrebuchetMS,Bold" w:hAnsi="Arial" w:cs="Arial"/>
                <w:bCs/>
                <w:color w:val="000000"/>
                <w:sz w:val="20"/>
                <w:szCs w:val="20"/>
                <w:lang w:val="es-ES"/>
              </w:rPr>
              <w:t>que se eliminan por estas vías.</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IV</w:t>
            </w:r>
            <w:r w:rsidR="001E2E55" w:rsidRPr="002A5EEF">
              <w:rPr>
                <w:rFonts w:ascii="Arial" w:hAnsi="Arial" w:cs="Arial"/>
                <w:b/>
                <w:sz w:val="20"/>
                <w:szCs w:val="20"/>
              </w:rPr>
              <w:t xml:space="preserve">, GR: </w:t>
            </w:r>
            <w:r w:rsidR="001E2E55">
              <w:rPr>
                <w:rFonts w:ascii="Arial" w:hAnsi="Arial" w:cs="Arial"/>
                <w:b/>
                <w:sz w:val="20"/>
                <w:szCs w:val="20"/>
              </w:rPr>
              <w:t>D]</w:t>
            </w:r>
            <w:r w:rsidR="008C0FFD" w:rsidRPr="00BA2D3E">
              <w:rPr>
                <w:rFonts w:ascii="Arial" w:eastAsia="TrebuchetMS,Bold" w:hAnsi="Arial" w:cs="Arial"/>
                <w:bCs/>
                <w:color w:val="FF0000"/>
                <w:sz w:val="20"/>
                <w:szCs w:val="20"/>
                <w:vertAlign w:val="superscript"/>
                <w:lang w:val="es-ES"/>
              </w:rPr>
              <w:t>2</w:t>
            </w:r>
          </w:p>
          <w:p w14:paraId="142932D6" w14:textId="77777777" w:rsidR="002859B6" w:rsidRPr="0068632C" w:rsidRDefault="002859B6" w:rsidP="007614D7">
            <w:pPr>
              <w:autoSpaceDE w:val="0"/>
              <w:autoSpaceDN w:val="0"/>
              <w:adjustRightInd w:val="0"/>
              <w:contextualSpacing/>
              <w:jc w:val="both"/>
              <w:rPr>
                <w:rFonts w:ascii="Arial" w:eastAsia="TrebuchetMS,Bold" w:hAnsi="Arial" w:cs="Arial"/>
                <w:bCs/>
                <w:color w:val="000000"/>
                <w:sz w:val="20"/>
                <w:szCs w:val="20"/>
                <w:lang w:val="es-ES"/>
              </w:rPr>
            </w:pPr>
          </w:p>
          <w:p w14:paraId="0B8FEFBF" w14:textId="77777777" w:rsidR="002859B6" w:rsidRPr="0068632C" w:rsidRDefault="002859B6" w:rsidP="007614D7">
            <w:pPr>
              <w:autoSpaceDE w:val="0"/>
              <w:autoSpaceDN w:val="0"/>
              <w:adjustRightInd w:val="0"/>
              <w:contextualSpacing/>
              <w:jc w:val="both"/>
              <w:rPr>
                <w:rFonts w:ascii="Arial" w:eastAsia="TrebuchetMS,Bold" w:hAnsi="Arial" w:cs="Arial"/>
                <w:bCs/>
                <w:color w:val="FF0000"/>
                <w:sz w:val="20"/>
                <w:szCs w:val="20"/>
                <w:lang w:val="es-ES"/>
              </w:rPr>
            </w:pPr>
            <w:r w:rsidRPr="0068632C">
              <w:rPr>
                <w:rFonts w:ascii="Arial" w:eastAsia="TrebuchetMS,Bold" w:hAnsi="Arial" w:cs="Arial"/>
                <w:bCs/>
                <w:color w:val="000000"/>
                <w:sz w:val="20"/>
                <w:szCs w:val="20"/>
                <w:lang w:val="es-ES"/>
              </w:rPr>
              <w:t xml:space="preserve">Se recomienda evitar en lo posible el uso de AINE durante el embarazo y la lactancia. </w:t>
            </w:r>
            <w:r w:rsidRPr="0068632C">
              <w:rPr>
                <w:rFonts w:ascii="Arial" w:eastAsia="TrebuchetMS" w:hAnsi="Arial" w:cs="Arial"/>
                <w:color w:val="000000"/>
                <w:sz w:val="20"/>
                <w:szCs w:val="20"/>
                <w:lang w:val="es-ES"/>
              </w:rPr>
              <w:t>En el último trimestre se ha observado cierre precoz del conducto arterioso y al tener efecto antiagregante e inhibidor de la musculatura uterina, los AINE no son recomendables en fechas cercanas al parto. Todos los AINE pasan, en mayor o menor medida, a la leche materna. Por estos motivos los AINE se deben evitar en el primer y último trimestre del embarazo y durante la lactancia. Si son necesarios, se usarán AINE de vida media co</w:t>
            </w:r>
            <w:r w:rsidR="001E73A8">
              <w:rPr>
                <w:rFonts w:ascii="Arial" w:eastAsia="TrebuchetMS" w:hAnsi="Arial" w:cs="Arial"/>
                <w:color w:val="000000"/>
                <w:sz w:val="20"/>
                <w:szCs w:val="20"/>
                <w:lang w:val="es-ES"/>
              </w:rPr>
              <w:t>rta (ibuprofeno o ketoprofeno).</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IV</w:t>
            </w:r>
            <w:r w:rsidR="001E2E55" w:rsidRPr="002A5EEF">
              <w:rPr>
                <w:rFonts w:ascii="Arial" w:hAnsi="Arial" w:cs="Arial"/>
                <w:b/>
                <w:sz w:val="20"/>
                <w:szCs w:val="20"/>
              </w:rPr>
              <w:t xml:space="preserve">, GR: </w:t>
            </w:r>
            <w:r w:rsidR="001E2E55">
              <w:rPr>
                <w:rFonts w:ascii="Arial" w:hAnsi="Arial" w:cs="Arial"/>
                <w:b/>
                <w:sz w:val="20"/>
                <w:szCs w:val="20"/>
              </w:rPr>
              <w:t>D]</w:t>
            </w:r>
            <w:r w:rsidR="008C0FFD" w:rsidRPr="00BA2D3E">
              <w:rPr>
                <w:rFonts w:ascii="Arial" w:eastAsia="TrebuchetMS,Bold" w:hAnsi="Arial" w:cs="Arial"/>
                <w:bCs/>
                <w:color w:val="FF0000"/>
                <w:sz w:val="20"/>
                <w:szCs w:val="20"/>
                <w:vertAlign w:val="superscript"/>
                <w:lang w:val="es-ES"/>
              </w:rPr>
              <w:t>2</w:t>
            </w:r>
          </w:p>
          <w:p w14:paraId="2BED281D" w14:textId="77777777" w:rsidR="002859B6" w:rsidRPr="0068632C" w:rsidRDefault="002859B6" w:rsidP="007614D7">
            <w:pPr>
              <w:autoSpaceDE w:val="0"/>
              <w:autoSpaceDN w:val="0"/>
              <w:adjustRightInd w:val="0"/>
              <w:contextualSpacing/>
              <w:jc w:val="both"/>
              <w:rPr>
                <w:rFonts w:ascii="Arial" w:eastAsia="TrebuchetMS,Bold" w:hAnsi="Arial" w:cs="Arial"/>
                <w:bCs/>
                <w:color w:val="000000"/>
                <w:sz w:val="20"/>
                <w:szCs w:val="20"/>
                <w:lang w:val="es-ES"/>
              </w:rPr>
            </w:pPr>
          </w:p>
          <w:p w14:paraId="44289D14" w14:textId="77777777" w:rsidR="002859B6" w:rsidRPr="0068632C" w:rsidRDefault="002859B6" w:rsidP="007614D7">
            <w:pPr>
              <w:autoSpaceDE w:val="0"/>
              <w:autoSpaceDN w:val="0"/>
              <w:adjustRightInd w:val="0"/>
              <w:contextualSpacing/>
              <w:jc w:val="both"/>
              <w:rPr>
                <w:rFonts w:ascii="Arial" w:eastAsia="TrebuchetMS" w:hAnsi="Arial" w:cs="Arial"/>
                <w:color w:val="FF0000"/>
                <w:sz w:val="20"/>
                <w:szCs w:val="20"/>
                <w:lang w:val="es-ES"/>
              </w:rPr>
            </w:pPr>
            <w:r w:rsidRPr="0068632C">
              <w:rPr>
                <w:rFonts w:ascii="Arial" w:eastAsia="TrebuchetMS" w:hAnsi="Arial" w:cs="Arial"/>
                <w:color w:val="000000"/>
                <w:sz w:val="20"/>
                <w:szCs w:val="20"/>
                <w:lang w:val="es-ES"/>
              </w:rPr>
              <w:t>No existen estudios que específicamente comparen la eficacia y seguridad de terapias contra dolor en pacientes con y sin comorbilidades cardiovasculares o condiciones renales. Por lo que se recomienda que los AINE sean utilizados cautelosamente en la población general con AR y utilizar las guías actuales del uso de AINE y opioides en insufi</w:t>
            </w:r>
            <w:r w:rsidR="001E73A8">
              <w:rPr>
                <w:rFonts w:ascii="Arial" w:eastAsia="TrebuchetMS" w:hAnsi="Arial" w:cs="Arial"/>
                <w:color w:val="000000"/>
                <w:sz w:val="20"/>
                <w:szCs w:val="20"/>
                <w:lang w:val="es-ES"/>
              </w:rPr>
              <w:t>ciencia renal moderada a grave.</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GR: A</w:t>
            </w:r>
            <w:r w:rsidR="001E2E55">
              <w:rPr>
                <w:rFonts w:ascii="Arial" w:hAnsi="Arial" w:cs="Arial"/>
                <w:b/>
                <w:sz w:val="20"/>
                <w:szCs w:val="20"/>
              </w:rPr>
              <w:t>]</w:t>
            </w:r>
            <w:r w:rsidR="001E2E55">
              <w:rPr>
                <w:rFonts w:ascii="Arial" w:eastAsia="TrebuchetMS" w:hAnsi="Arial" w:cs="Arial"/>
                <w:color w:val="FF0000"/>
                <w:sz w:val="20"/>
                <w:szCs w:val="20"/>
                <w:vertAlign w:val="superscript"/>
                <w:lang w:val="es-ES"/>
              </w:rPr>
              <w:t xml:space="preserve"> </w:t>
            </w:r>
            <w:r w:rsidR="00A220CE">
              <w:rPr>
                <w:rFonts w:ascii="Arial" w:eastAsia="TrebuchetMS" w:hAnsi="Arial" w:cs="Arial"/>
                <w:color w:val="FF0000"/>
                <w:sz w:val="20"/>
                <w:szCs w:val="20"/>
                <w:vertAlign w:val="superscript"/>
                <w:lang w:val="es-ES"/>
              </w:rPr>
              <w:t>5</w:t>
            </w:r>
          </w:p>
          <w:p w14:paraId="651ED91C" w14:textId="77777777" w:rsidR="002859B6" w:rsidRPr="0068632C" w:rsidRDefault="002859B6" w:rsidP="007614D7">
            <w:pPr>
              <w:contextualSpacing/>
              <w:jc w:val="both"/>
              <w:rPr>
                <w:rFonts w:ascii="Arial" w:hAnsi="Arial" w:cs="Arial"/>
                <w:sz w:val="20"/>
                <w:szCs w:val="20"/>
                <w:lang w:val="es-ES"/>
              </w:rPr>
            </w:pPr>
          </w:p>
          <w:p w14:paraId="6B7C06FF" w14:textId="77777777" w:rsidR="002859B6" w:rsidRPr="0068632C" w:rsidRDefault="002859B6" w:rsidP="007614D7">
            <w:pPr>
              <w:contextualSpacing/>
              <w:jc w:val="both"/>
              <w:rPr>
                <w:rFonts w:ascii="Arial" w:hAnsi="Arial" w:cs="Arial"/>
                <w:sz w:val="20"/>
                <w:szCs w:val="20"/>
              </w:rPr>
            </w:pPr>
            <w:r w:rsidRPr="0068632C">
              <w:rPr>
                <w:rFonts w:ascii="Arial" w:hAnsi="Arial" w:cs="Arial"/>
                <w:sz w:val="20"/>
                <w:szCs w:val="20"/>
              </w:rPr>
              <w:t>Se sugiere valoración estricta y vigilancia estrecha en pacientes que están recibiendo un AINE y anticoagulantes.</w:t>
            </w:r>
          </w:p>
        </w:tc>
      </w:tr>
    </w:tbl>
    <w:p w14:paraId="04E825E0" w14:textId="77777777" w:rsidR="005A5DD9" w:rsidRPr="00423351" w:rsidRDefault="005A5DD9">
      <w:pPr>
        <w:rPr>
          <w:lang w:val="es-MX"/>
        </w:rPr>
      </w:pPr>
    </w:p>
    <w:p w14:paraId="5901AF55" w14:textId="77777777" w:rsidR="002859B6" w:rsidRPr="00423351" w:rsidRDefault="002859B6">
      <w:pPr>
        <w:rPr>
          <w:lang w:val="es-MX"/>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410"/>
      </w:tblGrid>
      <w:tr w:rsidR="00CF4A0E" w:rsidRPr="0068632C" w14:paraId="6506D737" w14:textId="77777777" w:rsidTr="007614D7">
        <w:tc>
          <w:tcPr>
            <w:tcW w:w="2660" w:type="dxa"/>
          </w:tcPr>
          <w:p w14:paraId="30B0291F" w14:textId="77777777" w:rsidR="00CF4A0E" w:rsidRPr="00AA2750" w:rsidRDefault="00CF4A0E" w:rsidP="00CF4A0E">
            <w:pPr>
              <w:numPr>
                <w:ilvl w:val="0"/>
                <w:numId w:val="1"/>
              </w:numPr>
              <w:ind w:left="0"/>
              <w:contextualSpacing/>
              <w:jc w:val="both"/>
              <w:rPr>
                <w:rFonts w:ascii="Arial" w:hAnsi="Arial" w:cs="Arial"/>
                <w:b/>
                <w:sz w:val="28"/>
                <w:szCs w:val="28"/>
              </w:rPr>
            </w:pPr>
            <w:r w:rsidRPr="00AA2750">
              <w:rPr>
                <w:rFonts w:ascii="Arial" w:hAnsi="Arial" w:cs="Arial"/>
                <w:b/>
                <w:sz w:val="28"/>
                <w:szCs w:val="28"/>
              </w:rPr>
              <w:t xml:space="preserve">Glucocorticoides </w:t>
            </w:r>
          </w:p>
        </w:tc>
        <w:tc>
          <w:tcPr>
            <w:tcW w:w="7410" w:type="dxa"/>
          </w:tcPr>
          <w:p w14:paraId="71264A8C" w14:textId="77777777" w:rsidR="00CF4A0E" w:rsidRPr="0068632C" w:rsidRDefault="00E2773E" w:rsidP="007614D7">
            <w:pPr>
              <w:contextualSpacing/>
              <w:jc w:val="both"/>
              <w:rPr>
                <w:rFonts w:ascii="Arial" w:eastAsia="Times-Roman" w:hAnsi="Arial" w:cs="Arial"/>
                <w:sz w:val="20"/>
                <w:szCs w:val="20"/>
              </w:rPr>
            </w:pPr>
            <w:r w:rsidRPr="0068632C">
              <w:rPr>
                <w:rFonts w:ascii="Arial" w:eastAsia="Times-Roman" w:hAnsi="Arial" w:cs="Arial"/>
                <w:sz w:val="20"/>
                <w:szCs w:val="20"/>
              </w:rPr>
              <w:t>Antiinflamatorios</w:t>
            </w:r>
            <w:r w:rsidR="00CF4A0E" w:rsidRPr="0068632C">
              <w:rPr>
                <w:rFonts w:ascii="Arial" w:eastAsia="Times-Roman" w:hAnsi="Arial" w:cs="Arial"/>
                <w:sz w:val="20"/>
                <w:szCs w:val="20"/>
              </w:rPr>
              <w:t xml:space="preserve"> e inmunosupresores que ejercen su acción a través de su unión con receptores específicos intracelulares, por lo que inhiben la síntesis, liberación y acción d</w:t>
            </w:r>
            <w:r w:rsidR="005A5A6D">
              <w:rPr>
                <w:rFonts w:ascii="Arial" w:eastAsia="Times-Roman" w:hAnsi="Arial" w:cs="Arial"/>
                <w:sz w:val="20"/>
                <w:szCs w:val="20"/>
              </w:rPr>
              <w:t>e citoc</w:t>
            </w:r>
            <w:r w:rsidR="00CF4A0E" w:rsidRPr="0068632C">
              <w:rPr>
                <w:rFonts w:ascii="Arial" w:eastAsia="Times-Roman" w:hAnsi="Arial" w:cs="Arial"/>
                <w:sz w:val="20"/>
                <w:szCs w:val="20"/>
              </w:rPr>
              <w:t>inas y otros mediadores que participan en la respuesta inflamatoria; e incrementan la transcripción de genes antiinflamatorios.</w:t>
            </w:r>
          </w:p>
        </w:tc>
      </w:tr>
      <w:tr w:rsidR="00CF4A0E" w:rsidRPr="0068632C" w14:paraId="76064FDE" w14:textId="77777777" w:rsidTr="007614D7">
        <w:tc>
          <w:tcPr>
            <w:tcW w:w="2660" w:type="dxa"/>
          </w:tcPr>
          <w:p w14:paraId="527B4AA5" w14:textId="77777777" w:rsidR="00CF4A0E" w:rsidRPr="0068632C" w:rsidRDefault="00CF4A0E" w:rsidP="007614D7">
            <w:pPr>
              <w:contextualSpacing/>
              <w:jc w:val="both"/>
              <w:rPr>
                <w:rFonts w:ascii="Arial" w:hAnsi="Arial" w:cs="Arial"/>
                <w:sz w:val="20"/>
                <w:szCs w:val="20"/>
              </w:rPr>
            </w:pPr>
            <w:r w:rsidRPr="0068632C">
              <w:rPr>
                <w:rFonts w:ascii="Arial" w:hAnsi="Arial" w:cs="Arial"/>
                <w:sz w:val="20"/>
                <w:szCs w:val="20"/>
              </w:rPr>
              <w:t>Línea de tratamiento en la que está indicado</w:t>
            </w:r>
          </w:p>
        </w:tc>
        <w:tc>
          <w:tcPr>
            <w:tcW w:w="7410" w:type="dxa"/>
          </w:tcPr>
          <w:p w14:paraId="5EEB8AD5" w14:textId="77777777" w:rsidR="00CF4A0E" w:rsidRPr="001E2E55" w:rsidRDefault="00CF4A0E" w:rsidP="007614D7">
            <w:pPr>
              <w:contextualSpacing/>
              <w:jc w:val="both"/>
              <w:rPr>
                <w:rFonts w:ascii="Arial" w:hAnsi="Arial" w:cs="Arial"/>
                <w:sz w:val="20"/>
                <w:szCs w:val="20"/>
                <w:lang w:val="es-ES"/>
              </w:rPr>
            </w:pPr>
            <w:r w:rsidRPr="001E2E55">
              <w:rPr>
                <w:rFonts w:ascii="Arial" w:hAnsi="Arial" w:cs="Arial"/>
                <w:sz w:val="20"/>
                <w:szCs w:val="20"/>
                <w:lang w:val="es-ES"/>
              </w:rPr>
              <w:t>Se utilizan</w:t>
            </w:r>
            <w:r w:rsidR="007F04D6" w:rsidRPr="001E2E55">
              <w:rPr>
                <w:rFonts w:ascii="Arial" w:hAnsi="Arial" w:cs="Arial"/>
                <w:sz w:val="20"/>
                <w:szCs w:val="20"/>
                <w:lang w:val="es-ES"/>
              </w:rPr>
              <w:t xml:space="preserve"> en cualquier fase de la enfermedad y</w:t>
            </w:r>
            <w:r w:rsidRPr="001E2E55">
              <w:rPr>
                <w:rFonts w:ascii="Arial" w:hAnsi="Arial" w:cs="Arial"/>
                <w:sz w:val="20"/>
                <w:szCs w:val="20"/>
                <w:lang w:val="es-ES"/>
              </w:rPr>
              <w:t xml:space="preserve"> como terapia “puente” en la fase inicial, a la espera del efecto terapéutico de los FARME o durante una recaída, así como para el control de síntomas en caso de no existir otra opción, </w:t>
            </w:r>
            <w:r w:rsidRPr="001E2E55">
              <w:rPr>
                <w:rFonts w:ascii="Arial" w:hAnsi="Arial" w:cs="Arial"/>
                <w:sz w:val="20"/>
                <w:szCs w:val="20"/>
                <w:lang w:val="es-ES"/>
              </w:rPr>
              <w:lastRenderedPageBreak/>
              <w:t>pero debido a sus efectos secundarios, su uso deberá ser durante el menor tiempo posible, según permita</w:t>
            </w:r>
            <w:r w:rsidR="00A220CE" w:rsidRPr="001E2E55">
              <w:rPr>
                <w:rFonts w:ascii="Arial" w:hAnsi="Arial" w:cs="Arial"/>
                <w:sz w:val="20"/>
                <w:szCs w:val="20"/>
                <w:lang w:val="es-ES"/>
              </w:rPr>
              <w:t xml:space="preserve"> la actividad de la enfermedad.</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IV</w:t>
            </w:r>
            <w:r w:rsidR="001E2E55" w:rsidRPr="002A5EEF">
              <w:rPr>
                <w:rFonts w:ascii="Arial" w:hAnsi="Arial" w:cs="Arial"/>
                <w:b/>
                <w:sz w:val="20"/>
                <w:szCs w:val="20"/>
              </w:rPr>
              <w:t xml:space="preserve">, GR: </w:t>
            </w:r>
            <w:r w:rsidR="001E2E55">
              <w:rPr>
                <w:rFonts w:ascii="Arial" w:hAnsi="Arial" w:cs="Arial"/>
                <w:b/>
                <w:sz w:val="20"/>
                <w:szCs w:val="20"/>
              </w:rPr>
              <w:t>D]</w:t>
            </w:r>
            <w:r w:rsidR="001E2E55">
              <w:rPr>
                <w:rFonts w:ascii="Arial" w:eastAsia="TrebuchetMS" w:hAnsi="Arial" w:cs="Arial"/>
                <w:color w:val="FF0000"/>
                <w:sz w:val="20"/>
                <w:szCs w:val="20"/>
                <w:vertAlign w:val="superscript"/>
                <w:lang w:val="es-ES"/>
              </w:rPr>
              <w:t xml:space="preserve"> </w:t>
            </w:r>
            <w:r w:rsidR="008C0FFD" w:rsidRPr="001E2E55">
              <w:rPr>
                <w:rFonts w:ascii="Arial" w:hAnsi="Arial" w:cs="Arial"/>
                <w:color w:val="FF0000"/>
                <w:sz w:val="20"/>
                <w:szCs w:val="20"/>
                <w:vertAlign w:val="superscript"/>
                <w:lang w:val="es-ES"/>
              </w:rPr>
              <w:t>2,</w:t>
            </w:r>
            <w:r w:rsidR="00A220CE" w:rsidRPr="001E2E55">
              <w:rPr>
                <w:rFonts w:ascii="Arial" w:hAnsi="Arial" w:cs="Arial"/>
                <w:color w:val="FF0000"/>
                <w:sz w:val="20"/>
                <w:szCs w:val="20"/>
                <w:vertAlign w:val="superscript"/>
                <w:lang w:val="es-ES"/>
              </w:rPr>
              <w:t>6</w:t>
            </w:r>
          </w:p>
          <w:p w14:paraId="0D3A06FE" w14:textId="77777777" w:rsidR="009E31AE" w:rsidRPr="001E2E55" w:rsidRDefault="009E31AE" w:rsidP="009E31AE">
            <w:pPr>
              <w:contextualSpacing/>
              <w:jc w:val="both"/>
              <w:rPr>
                <w:rFonts w:ascii="Arial" w:hAnsi="Arial" w:cs="Arial"/>
                <w:sz w:val="20"/>
                <w:szCs w:val="20"/>
                <w:lang w:val="es-ES"/>
              </w:rPr>
            </w:pPr>
          </w:p>
          <w:p w14:paraId="062AEA2F" w14:textId="77777777" w:rsidR="009E31AE" w:rsidRPr="001E2E55" w:rsidRDefault="009E31AE" w:rsidP="009E31AE">
            <w:pPr>
              <w:contextualSpacing/>
              <w:jc w:val="both"/>
              <w:rPr>
                <w:rFonts w:ascii="Arial" w:hAnsi="Arial" w:cs="Arial"/>
                <w:color w:val="FF0000"/>
                <w:sz w:val="20"/>
                <w:szCs w:val="20"/>
                <w:lang w:val="es-ES"/>
              </w:rPr>
            </w:pPr>
            <w:r w:rsidRPr="001E2E55">
              <w:rPr>
                <w:rFonts w:ascii="Arial" w:hAnsi="Arial" w:cs="Arial"/>
                <w:sz w:val="20"/>
                <w:szCs w:val="20"/>
                <w:lang w:val="es-ES"/>
              </w:rPr>
              <w:t xml:space="preserve">Estos medicamentos de ninguna manera sustituyen a los FARME y sólo se considera su uso sin FARME en la AR del anciano, seronegativa, no erosiva o similar al síndrome de sinovitis simétrica recidivante con edema con fóvea. </w:t>
            </w:r>
            <w:r w:rsidR="001E2E55" w:rsidRPr="00577BEB">
              <w:rPr>
                <w:rFonts w:ascii="Arial" w:eastAsia="TrebuchetMS" w:hAnsi="Arial" w:cs="Arial"/>
                <w:b/>
                <w:color w:val="000000"/>
                <w:sz w:val="20"/>
                <w:szCs w:val="20"/>
                <w:lang w:val="es-ES"/>
              </w:rPr>
              <w:t>[</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8C0FFD" w:rsidRPr="001E2E55">
              <w:rPr>
                <w:rFonts w:ascii="Arial" w:hAnsi="Arial" w:cs="Arial"/>
                <w:color w:val="FF0000"/>
                <w:sz w:val="20"/>
                <w:szCs w:val="20"/>
                <w:vertAlign w:val="superscript"/>
                <w:lang w:val="es-ES"/>
              </w:rPr>
              <w:t>2</w:t>
            </w:r>
          </w:p>
          <w:p w14:paraId="3766D17C" w14:textId="77777777" w:rsidR="007F04D6" w:rsidRPr="001E2E55" w:rsidRDefault="007F04D6" w:rsidP="007614D7">
            <w:pPr>
              <w:contextualSpacing/>
              <w:jc w:val="both"/>
              <w:rPr>
                <w:rFonts w:ascii="Arial" w:eastAsia="Times-Roman" w:hAnsi="Arial" w:cs="Arial"/>
                <w:b/>
                <w:sz w:val="20"/>
                <w:szCs w:val="20"/>
              </w:rPr>
            </w:pPr>
          </w:p>
          <w:p w14:paraId="7E7F55AA" w14:textId="77777777" w:rsidR="009E31AE" w:rsidRPr="001E2E55" w:rsidRDefault="007F04D6" w:rsidP="007614D7">
            <w:pPr>
              <w:contextualSpacing/>
              <w:jc w:val="both"/>
              <w:rPr>
                <w:rFonts w:ascii="Arial" w:eastAsia="Times-Roman" w:hAnsi="Arial" w:cs="Arial"/>
                <w:sz w:val="20"/>
                <w:szCs w:val="20"/>
              </w:rPr>
            </w:pPr>
            <w:r w:rsidRPr="001E2E55">
              <w:rPr>
                <w:rFonts w:ascii="Arial" w:eastAsia="Times-Roman" w:hAnsi="Arial" w:cs="Arial"/>
                <w:sz w:val="20"/>
                <w:szCs w:val="20"/>
              </w:rPr>
              <w:t xml:space="preserve">Algunos pacientes requieren utilizar dosis muy bajas (&lt; 5 mg) por </w:t>
            </w:r>
            <w:r w:rsidR="001E2E55">
              <w:rPr>
                <w:rFonts w:ascii="Arial" w:eastAsia="Times-Roman" w:hAnsi="Arial" w:cs="Arial"/>
                <w:sz w:val="20"/>
                <w:szCs w:val="20"/>
              </w:rPr>
              <w:t>periodos de tiempo prolongados.</w:t>
            </w:r>
          </w:p>
        </w:tc>
      </w:tr>
      <w:tr w:rsidR="00CF4A0E" w:rsidRPr="0068632C" w14:paraId="17D6E33B" w14:textId="77777777" w:rsidTr="007614D7">
        <w:tc>
          <w:tcPr>
            <w:tcW w:w="2660" w:type="dxa"/>
          </w:tcPr>
          <w:p w14:paraId="6B32F440" w14:textId="77777777" w:rsidR="00CF4A0E" w:rsidRPr="0068632C" w:rsidRDefault="00CF4A0E" w:rsidP="007614D7">
            <w:pPr>
              <w:contextualSpacing/>
              <w:jc w:val="both"/>
              <w:rPr>
                <w:rFonts w:ascii="Arial" w:eastAsia="Times-Roman" w:hAnsi="Arial" w:cs="Arial"/>
                <w:b/>
                <w:sz w:val="20"/>
                <w:szCs w:val="20"/>
              </w:rPr>
            </w:pPr>
            <w:r w:rsidRPr="0068632C">
              <w:rPr>
                <w:rFonts w:ascii="Arial" w:hAnsi="Arial" w:cs="Arial"/>
                <w:sz w:val="20"/>
                <w:szCs w:val="20"/>
              </w:rPr>
              <w:lastRenderedPageBreak/>
              <w:t xml:space="preserve">Estudios que se requieren antes del tratamiento  y durante el seguimiento </w:t>
            </w:r>
          </w:p>
        </w:tc>
        <w:tc>
          <w:tcPr>
            <w:tcW w:w="7410" w:type="dxa"/>
          </w:tcPr>
          <w:p w14:paraId="1CD13E27" w14:textId="77777777" w:rsidR="00CF4A0E" w:rsidRPr="001E2E55" w:rsidRDefault="00CF4A0E" w:rsidP="007614D7">
            <w:pPr>
              <w:contextualSpacing/>
              <w:jc w:val="both"/>
              <w:rPr>
                <w:rFonts w:ascii="Arial" w:hAnsi="Arial" w:cs="Arial"/>
                <w:color w:val="FF0000"/>
                <w:sz w:val="20"/>
                <w:szCs w:val="20"/>
                <w:lang w:val="es-ES"/>
              </w:rPr>
            </w:pPr>
            <w:r w:rsidRPr="001E2E55">
              <w:rPr>
                <w:rFonts w:ascii="Arial" w:hAnsi="Arial" w:cs="Arial"/>
                <w:sz w:val="20"/>
                <w:szCs w:val="20"/>
                <w:lang w:val="es-ES"/>
              </w:rPr>
              <w:t>Se recomienda gastroprotección con un inhibidor de la bomba de protones en pacientes con tratamiento combin</w:t>
            </w:r>
            <w:r w:rsidR="00A220CE" w:rsidRPr="001E2E55">
              <w:rPr>
                <w:rFonts w:ascii="Arial" w:hAnsi="Arial" w:cs="Arial"/>
                <w:sz w:val="20"/>
                <w:szCs w:val="20"/>
                <w:lang w:val="es-ES"/>
              </w:rPr>
              <w:t>ado de AINE y glucocorticoides.</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A220CE" w:rsidRPr="001E2E55">
              <w:rPr>
                <w:rFonts w:ascii="Arial" w:hAnsi="Arial" w:cs="Arial"/>
                <w:color w:val="FF0000"/>
                <w:sz w:val="20"/>
                <w:szCs w:val="20"/>
                <w:vertAlign w:val="superscript"/>
                <w:lang w:val="es-ES"/>
              </w:rPr>
              <w:t>6</w:t>
            </w:r>
          </w:p>
          <w:p w14:paraId="224A1E3C" w14:textId="77777777" w:rsidR="00CF4A0E" w:rsidRPr="001E2E55" w:rsidRDefault="00CF4A0E" w:rsidP="007614D7">
            <w:pPr>
              <w:contextualSpacing/>
              <w:jc w:val="both"/>
              <w:rPr>
                <w:rFonts w:ascii="Arial" w:hAnsi="Arial" w:cs="Arial"/>
                <w:color w:val="FF0000"/>
                <w:sz w:val="20"/>
                <w:szCs w:val="20"/>
                <w:lang w:val="es-ES"/>
              </w:rPr>
            </w:pPr>
          </w:p>
          <w:p w14:paraId="1076A2E4" w14:textId="77777777" w:rsidR="00CF4A0E" w:rsidRPr="001E2E55" w:rsidRDefault="00CF4A0E" w:rsidP="007614D7">
            <w:pPr>
              <w:contextualSpacing/>
              <w:jc w:val="both"/>
              <w:rPr>
                <w:rFonts w:ascii="Arial" w:hAnsi="Arial" w:cs="Arial"/>
                <w:color w:val="FF0000"/>
                <w:sz w:val="20"/>
                <w:szCs w:val="20"/>
                <w:lang w:val="es-ES"/>
              </w:rPr>
            </w:pPr>
            <w:r w:rsidRPr="001E2E55">
              <w:rPr>
                <w:rFonts w:ascii="Arial" w:hAnsi="Arial" w:cs="Arial"/>
                <w:sz w:val="20"/>
                <w:szCs w:val="20"/>
                <w:lang w:val="es-ES"/>
              </w:rPr>
              <w:t>En caso de utilizar el glucocorticoide ≥ 10 mg/día por &gt; tres meses, se recomienda vigilancia para prevención o diagnóstico de osteoporosis y la suplemen</w:t>
            </w:r>
            <w:r w:rsidR="001155D4" w:rsidRPr="001E2E55">
              <w:rPr>
                <w:rFonts w:ascii="Arial" w:hAnsi="Arial" w:cs="Arial"/>
                <w:sz w:val="20"/>
                <w:szCs w:val="20"/>
                <w:lang w:val="es-ES"/>
              </w:rPr>
              <w:t>tación con calcio y vitamina D.</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8C0FFD" w:rsidRPr="001E2E55">
              <w:rPr>
                <w:rFonts w:ascii="Arial" w:hAnsi="Arial" w:cs="Arial"/>
                <w:color w:val="FF0000"/>
                <w:sz w:val="20"/>
                <w:szCs w:val="20"/>
                <w:vertAlign w:val="superscript"/>
                <w:lang w:val="es-ES"/>
              </w:rPr>
              <w:t>3</w:t>
            </w:r>
          </w:p>
          <w:p w14:paraId="3253B60F" w14:textId="77777777" w:rsidR="00CF4A0E" w:rsidRPr="001E2E55" w:rsidRDefault="00CF4A0E" w:rsidP="007614D7">
            <w:pPr>
              <w:contextualSpacing/>
              <w:jc w:val="both"/>
              <w:rPr>
                <w:rFonts w:ascii="Arial" w:hAnsi="Arial" w:cs="Arial"/>
                <w:color w:val="FF0000"/>
                <w:sz w:val="20"/>
                <w:szCs w:val="20"/>
                <w:lang w:val="es-ES"/>
              </w:rPr>
            </w:pPr>
          </w:p>
          <w:p w14:paraId="507C1DE3" w14:textId="77777777" w:rsidR="00CF4A0E" w:rsidRPr="001E2E55" w:rsidRDefault="00CF4A0E" w:rsidP="007614D7">
            <w:pPr>
              <w:contextualSpacing/>
              <w:jc w:val="both"/>
              <w:rPr>
                <w:rFonts w:ascii="Arial" w:hAnsi="Arial" w:cs="Arial"/>
                <w:color w:val="FF0000"/>
                <w:sz w:val="20"/>
                <w:szCs w:val="20"/>
                <w:lang w:val="es-ES"/>
              </w:rPr>
            </w:pPr>
            <w:r w:rsidRPr="001E2E55">
              <w:rPr>
                <w:rFonts w:ascii="Arial" w:hAnsi="Arial" w:cs="Arial"/>
                <w:sz w:val="20"/>
                <w:szCs w:val="20"/>
                <w:lang w:val="es-ES"/>
              </w:rPr>
              <w:t>Se debe realizar evaluación con densitometría ósea para determinar el uso de fármacos antirresortivos como bifosfonatos según las guías de manejo de osteoporosis en pacientes con esteroides y, en caso de no ser posible, manejando los factores de riesgo para ost</w:t>
            </w:r>
            <w:r w:rsidR="00A220CE" w:rsidRPr="001E2E55">
              <w:rPr>
                <w:rFonts w:ascii="Arial" w:hAnsi="Arial" w:cs="Arial"/>
                <w:sz w:val="20"/>
                <w:szCs w:val="20"/>
                <w:lang w:val="es-ES"/>
              </w:rPr>
              <w:t>eoporosis.</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A220CE" w:rsidRPr="001E2E55">
              <w:rPr>
                <w:rFonts w:ascii="Arial" w:hAnsi="Arial" w:cs="Arial"/>
                <w:color w:val="FF0000"/>
                <w:sz w:val="20"/>
                <w:szCs w:val="20"/>
                <w:vertAlign w:val="superscript"/>
                <w:lang w:val="es-ES"/>
              </w:rPr>
              <w:t>2</w:t>
            </w:r>
            <w:r w:rsidR="001155D4" w:rsidRPr="001E2E55">
              <w:rPr>
                <w:rFonts w:ascii="Arial" w:hAnsi="Arial" w:cs="Arial"/>
                <w:color w:val="FF0000"/>
                <w:sz w:val="20"/>
                <w:szCs w:val="20"/>
                <w:vertAlign w:val="superscript"/>
                <w:lang w:val="es-ES"/>
              </w:rPr>
              <w:t>,</w:t>
            </w:r>
            <w:r w:rsidR="00A220CE" w:rsidRPr="001E2E55">
              <w:rPr>
                <w:rFonts w:ascii="Arial" w:hAnsi="Arial" w:cs="Arial"/>
                <w:color w:val="FF0000"/>
                <w:sz w:val="20"/>
                <w:szCs w:val="20"/>
                <w:vertAlign w:val="superscript"/>
                <w:lang w:val="es-ES"/>
              </w:rPr>
              <w:t>6</w:t>
            </w:r>
            <w:r w:rsidR="001155D4" w:rsidRPr="001E2E55">
              <w:rPr>
                <w:rFonts w:ascii="Arial" w:hAnsi="Arial" w:cs="Arial"/>
                <w:color w:val="FF0000"/>
                <w:sz w:val="20"/>
                <w:szCs w:val="20"/>
                <w:vertAlign w:val="superscript"/>
                <w:lang w:val="es-ES"/>
              </w:rPr>
              <w:t>,</w:t>
            </w:r>
            <w:r w:rsidR="008C0FFD" w:rsidRPr="001E2E55">
              <w:rPr>
                <w:rFonts w:ascii="Arial" w:hAnsi="Arial" w:cs="Arial"/>
                <w:color w:val="FF0000"/>
                <w:sz w:val="20"/>
                <w:szCs w:val="20"/>
                <w:vertAlign w:val="superscript"/>
                <w:lang w:val="es-ES"/>
              </w:rPr>
              <w:t>5</w:t>
            </w:r>
          </w:p>
          <w:p w14:paraId="44936F65" w14:textId="77777777" w:rsidR="00CF4A0E" w:rsidRPr="001E2E55" w:rsidRDefault="00CF4A0E" w:rsidP="007614D7">
            <w:pPr>
              <w:contextualSpacing/>
              <w:jc w:val="both"/>
              <w:rPr>
                <w:rFonts w:ascii="Arial" w:hAnsi="Arial" w:cs="Arial"/>
                <w:sz w:val="20"/>
                <w:szCs w:val="20"/>
                <w:lang w:val="es-ES"/>
              </w:rPr>
            </w:pPr>
          </w:p>
          <w:p w14:paraId="67255F0A" w14:textId="77777777" w:rsidR="00CF4A0E" w:rsidRPr="001E2E55" w:rsidRDefault="00CF4A0E" w:rsidP="007614D7">
            <w:pPr>
              <w:contextualSpacing/>
              <w:jc w:val="both"/>
              <w:rPr>
                <w:rFonts w:ascii="Arial" w:hAnsi="Arial" w:cs="Arial"/>
                <w:sz w:val="20"/>
                <w:szCs w:val="20"/>
                <w:lang w:val="es-ES"/>
              </w:rPr>
            </w:pPr>
            <w:r w:rsidRPr="001E2E55">
              <w:rPr>
                <w:rFonts w:ascii="Arial" w:hAnsi="Arial" w:cs="Arial"/>
                <w:sz w:val="20"/>
                <w:szCs w:val="20"/>
                <w:lang w:val="es-ES"/>
              </w:rPr>
              <w:t>Se sugiere la valoración oftalmológica durante el uso de glucocorticoides para valoración de efectos adversos.</w:t>
            </w:r>
          </w:p>
          <w:p w14:paraId="1FBBEB4F" w14:textId="77777777" w:rsidR="00CF4A0E" w:rsidRPr="001E2E55" w:rsidRDefault="00CF4A0E" w:rsidP="007614D7">
            <w:pPr>
              <w:contextualSpacing/>
              <w:jc w:val="both"/>
              <w:rPr>
                <w:rFonts w:ascii="Arial" w:hAnsi="Arial" w:cs="Arial"/>
                <w:sz w:val="20"/>
                <w:szCs w:val="20"/>
                <w:lang w:val="es-ES"/>
              </w:rPr>
            </w:pPr>
          </w:p>
          <w:p w14:paraId="073F0607" w14:textId="77777777" w:rsidR="00CF4A0E" w:rsidRPr="001E2E55" w:rsidRDefault="00CF4A0E" w:rsidP="007614D7">
            <w:pPr>
              <w:contextualSpacing/>
              <w:jc w:val="both"/>
              <w:rPr>
                <w:rFonts w:ascii="Arial" w:hAnsi="Arial" w:cs="Arial"/>
                <w:color w:val="FF0000"/>
                <w:sz w:val="20"/>
                <w:szCs w:val="20"/>
                <w:lang w:val="es-ES"/>
              </w:rPr>
            </w:pPr>
            <w:r w:rsidRPr="001E2E55">
              <w:rPr>
                <w:rFonts w:ascii="Arial" w:hAnsi="Arial" w:cs="Arial"/>
                <w:sz w:val="20"/>
                <w:szCs w:val="20"/>
                <w:lang w:val="es-ES"/>
              </w:rPr>
              <w:t>Se demuestra que no existe intolerancia a la glucosa en pacientes con AR activa al recibir dosis altas de prednisolona, pero debido a diferencias individuales s</w:t>
            </w:r>
            <w:r w:rsidR="00A220CE" w:rsidRPr="001E2E55">
              <w:rPr>
                <w:rFonts w:ascii="Arial" w:hAnsi="Arial" w:cs="Arial"/>
                <w:sz w:val="20"/>
                <w:szCs w:val="20"/>
                <w:lang w:val="es-ES"/>
              </w:rPr>
              <w:t>e recomienda su monitorización.</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A220CE" w:rsidRPr="001E2E55">
              <w:rPr>
                <w:rFonts w:ascii="Arial" w:hAnsi="Arial" w:cs="Arial"/>
                <w:color w:val="FF0000"/>
                <w:sz w:val="20"/>
                <w:szCs w:val="20"/>
                <w:vertAlign w:val="superscript"/>
                <w:lang w:val="es-ES"/>
              </w:rPr>
              <w:t>8</w:t>
            </w:r>
          </w:p>
        </w:tc>
      </w:tr>
      <w:tr w:rsidR="00CF4A0E" w:rsidRPr="0068632C" w14:paraId="1902591C" w14:textId="77777777" w:rsidTr="007614D7">
        <w:tc>
          <w:tcPr>
            <w:tcW w:w="2660" w:type="dxa"/>
          </w:tcPr>
          <w:p w14:paraId="29D81A1D" w14:textId="77777777" w:rsidR="00CF4A0E" w:rsidRPr="0068632C" w:rsidRDefault="00CF4A0E" w:rsidP="007614D7">
            <w:pPr>
              <w:contextualSpacing/>
              <w:jc w:val="both"/>
              <w:rPr>
                <w:rFonts w:ascii="Arial" w:hAnsi="Arial" w:cs="Arial"/>
                <w:sz w:val="20"/>
                <w:szCs w:val="20"/>
              </w:rPr>
            </w:pPr>
            <w:r w:rsidRPr="0068632C">
              <w:rPr>
                <w:rFonts w:ascii="Arial" w:hAnsi="Arial" w:cs="Arial"/>
                <w:sz w:val="20"/>
                <w:szCs w:val="20"/>
              </w:rPr>
              <w:t>Monoterapia o en combinaciones (¿cuál es la mejor combinación y secuencia?)</w:t>
            </w:r>
          </w:p>
        </w:tc>
        <w:tc>
          <w:tcPr>
            <w:tcW w:w="7410" w:type="dxa"/>
          </w:tcPr>
          <w:p w14:paraId="626E8F8B" w14:textId="77777777" w:rsidR="00CF4A0E" w:rsidRPr="0068632C" w:rsidRDefault="00CF4A0E" w:rsidP="007614D7">
            <w:pPr>
              <w:contextualSpacing/>
              <w:jc w:val="both"/>
              <w:rPr>
                <w:rFonts w:ascii="Arial" w:hAnsi="Arial" w:cs="Arial"/>
                <w:color w:val="FF0000"/>
                <w:sz w:val="20"/>
                <w:szCs w:val="20"/>
                <w:lang w:val="es-ES"/>
              </w:rPr>
            </w:pPr>
            <w:r w:rsidRPr="0068632C">
              <w:rPr>
                <w:rFonts w:ascii="Arial" w:hAnsi="Arial" w:cs="Arial"/>
                <w:sz w:val="20"/>
                <w:szCs w:val="20"/>
                <w:lang w:val="es-ES"/>
              </w:rPr>
              <w:t>Existe evidencia de su acción como modificador de la enfermedad en AR de reciente comienzo, a dosis bajas y siempre en combinación con FARME.</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A220CE">
              <w:rPr>
                <w:rFonts w:ascii="Arial" w:hAnsi="Arial" w:cs="Arial"/>
                <w:color w:val="FF0000"/>
                <w:sz w:val="20"/>
                <w:szCs w:val="20"/>
                <w:vertAlign w:val="superscript"/>
                <w:lang w:val="es-ES"/>
              </w:rPr>
              <w:t>2,6</w:t>
            </w:r>
          </w:p>
          <w:p w14:paraId="4685AC80" w14:textId="77777777" w:rsidR="009E31AE" w:rsidRPr="0068632C" w:rsidRDefault="009E31AE" w:rsidP="007614D7">
            <w:pPr>
              <w:contextualSpacing/>
              <w:jc w:val="both"/>
              <w:rPr>
                <w:rFonts w:ascii="Arial" w:hAnsi="Arial" w:cs="Arial"/>
                <w:sz w:val="20"/>
                <w:szCs w:val="20"/>
                <w:lang w:val="es-ES"/>
              </w:rPr>
            </w:pPr>
          </w:p>
          <w:p w14:paraId="11377EA6" w14:textId="77777777" w:rsidR="00CF4A0E" w:rsidRPr="001E2E55" w:rsidRDefault="00CF4A0E" w:rsidP="007614D7">
            <w:pPr>
              <w:contextualSpacing/>
              <w:jc w:val="both"/>
              <w:rPr>
                <w:rFonts w:ascii="Arial" w:hAnsi="Arial" w:cs="Arial"/>
                <w:color w:val="FF0000"/>
                <w:sz w:val="20"/>
                <w:szCs w:val="20"/>
                <w:lang w:val="es-ES"/>
              </w:rPr>
            </w:pPr>
            <w:r w:rsidRPr="0068632C">
              <w:rPr>
                <w:rFonts w:ascii="Arial" w:hAnsi="Arial" w:cs="Arial"/>
                <w:sz w:val="20"/>
                <w:szCs w:val="20"/>
                <w:lang w:val="es-ES"/>
              </w:rPr>
              <w:t xml:space="preserve">Además como terapia “puente” en la fase inicial, a la espera del efecto terapéutico de los FARME o durante una recaída, así como para el control de síntomas en caso de no existir otra opción, pero debido a sus efectos secundarios su uso deberá reducirse </w:t>
            </w:r>
            <w:r w:rsidR="00E612EF" w:rsidRPr="0068632C">
              <w:rPr>
                <w:rFonts w:ascii="Arial" w:hAnsi="Arial" w:cs="Arial"/>
                <w:sz w:val="20"/>
                <w:szCs w:val="20"/>
                <w:lang w:val="es-ES"/>
              </w:rPr>
              <w:t xml:space="preserve"> a la menor dosis posible, y ser administrado por un corto periodo de tiempo,</w:t>
            </w:r>
            <w:r w:rsidRPr="0068632C">
              <w:rPr>
                <w:rFonts w:ascii="Arial" w:hAnsi="Arial" w:cs="Arial"/>
                <w:sz w:val="20"/>
                <w:szCs w:val="20"/>
                <w:lang w:val="es-ES"/>
              </w:rPr>
              <w:t xml:space="preserve"> según</w:t>
            </w:r>
            <w:r w:rsidR="00E612EF" w:rsidRPr="0068632C">
              <w:rPr>
                <w:rFonts w:ascii="Arial" w:hAnsi="Arial" w:cs="Arial"/>
                <w:sz w:val="20"/>
                <w:szCs w:val="20"/>
                <w:lang w:val="es-ES"/>
              </w:rPr>
              <w:t xml:space="preserve"> como</w:t>
            </w:r>
            <w:r w:rsidRPr="0068632C">
              <w:rPr>
                <w:rFonts w:ascii="Arial" w:hAnsi="Arial" w:cs="Arial"/>
                <w:sz w:val="20"/>
                <w:szCs w:val="20"/>
                <w:lang w:val="es-ES"/>
              </w:rPr>
              <w:t xml:space="preserve"> permita</w:t>
            </w:r>
            <w:r w:rsidR="00A220CE">
              <w:rPr>
                <w:rFonts w:ascii="Arial" w:hAnsi="Arial" w:cs="Arial"/>
                <w:sz w:val="20"/>
                <w:szCs w:val="20"/>
                <w:lang w:val="es-ES"/>
              </w:rPr>
              <w:t xml:space="preserve"> la actividad de la enfermedad.</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IV</w:t>
            </w:r>
            <w:r w:rsidR="001E2E55" w:rsidRPr="002A5EEF">
              <w:rPr>
                <w:rFonts w:ascii="Arial" w:hAnsi="Arial" w:cs="Arial"/>
                <w:b/>
                <w:sz w:val="20"/>
                <w:szCs w:val="20"/>
              </w:rPr>
              <w:t xml:space="preserve">, GR: </w:t>
            </w:r>
            <w:r w:rsidR="001E2E55">
              <w:rPr>
                <w:rFonts w:ascii="Arial" w:hAnsi="Arial" w:cs="Arial"/>
                <w:b/>
                <w:sz w:val="20"/>
                <w:szCs w:val="20"/>
              </w:rPr>
              <w:t>D]</w:t>
            </w:r>
            <w:r w:rsidR="00A220CE">
              <w:rPr>
                <w:rFonts w:ascii="Arial" w:hAnsi="Arial" w:cs="Arial"/>
                <w:color w:val="FF0000"/>
                <w:sz w:val="20"/>
                <w:szCs w:val="20"/>
                <w:vertAlign w:val="superscript"/>
                <w:lang w:val="es-ES"/>
              </w:rPr>
              <w:t>2,6</w:t>
            </w:r>
          </w:p>
        </w:tc>
      </w:tr>
      <w:tr w:rsidR="00CF4A0E" w:rsidRPr="0068632C" w14:paraId="431C1744" w14:textId="77777777" w:rsidTr="007614D7">
        <w:tc>
          <w:tcPr>
            <w:tcW w:w="2660" w:type="dxa"/>
          </w:tcPr>
          <w:p w14:paraId="0A21407F" w14:textId="77777777" w:rsidR="00CF4A0E" w:rsidRPr="0068632C" w:rsidRDefault="00CF4A0E" w:rsidP="007614D7">
            <w:pPr>
              <w:contextualSpacing/>
              <w:jc w:val="both"/>
              <w:rPr>
                <w:rFonts w:ascii="Arial" w:eastAsia="Times-Roman" w:hAnsi="Arial" w:cs="Arial"/>
                <w:b/>
                <w:sz w:val="20"/>
                <w:szCs w:val="20"/>
              </w:rPr>
            </w:pPr>
            <w:r w:rsidRPr="0068632C">
              <w:rPr>
                <w:rFonts w:ascii="Arial" w:hAnsi="Arial" w:cs="Arial"/>
                <w:sz w:val="20"/>
                <w:szCs w:val="20"/>
              </w:rPr>
              <w:t>Dosis mínima y máxima</w:t>
            </w:r>
          </w:p>
        </w:tc>
        <w:tc>
          <w:tcPr>
            <w:tcW w:w="7410" w:type="dxa"/>
          </w:tcPr>
          <w:p w14:paraId="38B3F9E4" w14:textId="77777777" w:rsidR="00CF4A0E" w:rsidRPr="0068632C" w:rsidRDefault="00CF4A0E" w:rsidP="007614D7">
            <w:pPr>
              <w:contextualSpacing/>
              <w:jc w:val="both"/>
              <w:rPr>
                <w:rFonts w:ascii="Arial" w:hAnsi="Arial" w:cs="Arial"/>
                <w:color w:val="FF0000"/>
                <w:sz w:val="20"/>
                <w:szCs w:val="20"/>
                <w:lang w:val="es-ES"/>
              </w:rPr>
            </w:pPr>
            <w:r w:rsidRPr="0068632C">
              <w:rPr>
                <w:rFonts w:ascii="Arial" w:hAnsi="Arial" w:cs="Arial"/>
                <w:sz w:val="20"/>
                <w:szCs w:val="20"/>
                <w:lang w:val="es-ES"/>
              </w:rPr>
              <w:t>La dosis inicial se debe individualizar con base en la actividad de la enfermedad, factores metabólicos (DM) y pacientes con factores de riesgo p</w:t>
            </w:r>
            <w:r w:rsidR="00A220CE">
              <w:rPr>
                <w:rFonts w:ascii="Arial" w:hAnsi="Arial" w:cs="Arial"/>
                <w:sz w:val="20"/>
                <w:szCs w:val="20"/>
                <w:lang w:val="es-ES"/>
              </w:rPr>
              <w:t>ara infecciones u osteoporosis.</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A220CE" w:rsidRPr="00A220CE">
              <w:rPr>
                <w:rFonts w:ascii="Arial" w:hAnsi="Arial" w:cs="Arial"/>
                <w:color w:val="FF0000"/>
                <w:sz w:val="20"/>
                <w:szCs w:val="20"/>
                <w:vertAlign w:val="superscript"/>
                <w:lang w:val="es-ES"/>
              </w:rPr>
              <w:t>9</w:t>
            </w:r>
            <w:r w:rsidRPr="0068632C">
              <w:rPr>
                <w:rFonts w:ascii="Arial" w:hAnsi="Arial" w:cs="Arial"/>
                <w:color w:val="FF0000"/>
                <w:sz w:val="20"/>
                <w:szCs w:val="20"/>
                <w:lang w:val="es-ES"/>
              </w:rPr>
              <w:t xml:space="preserve"> </w:t>
            </w:r>
          </w:p>
          <w:p w14:paraId="6B866AAE" w14:textId="77777777" w:rsidR="00CF4A0E" w:rsidRPr="0068632C" w:rsidRDefault="00CF4A0E" w:rsidP="007614D7">
            <w:pPr>
              <w:contextualSpacing/>
              <w:jc w:val="both"/>
              <w:rPr>
                <w:rFonts w:ascii="Arial" w:hAnsi="Arial" w:cs="Arial"/>
                <w:sz w:val="20"/>
                <w:szCs w:val="20"/>
                <w:lang w:val="es-ES"/>
              </w:rPr>
            </w:pPr>
          </w:p>
          <w:p w14:paraId="1EB780A9" w14:textId="77777777" w:rsidR="00CF4A0E" w:rsidRPr="0068632C" w:rsidRDefault="00CF4A0E" w:rsidP="007614D7">
            <w:pPr>
              <w:contextualSpacing/>
              <w:jc w:val="both"/>
              <w:rPr>
                <w:rFonts w:ascii="Arial" w:hAnsi="Arial" w:cs="Arial"/>
                <w:sz w:val="20"/>
                <w:szCs w:val="20"/>
                <w:lang w:val="es-ES"/>
              </w:rPr>
            </w:pPr>
            <w:r w:rsidRPr="0068632C">
              <w:rPr>
                <w:rFonts w:ascii="Arial" w:hAnsi="Arial" w:cs="Arial"/>
                <w:sz w:val="20"/>
                <w:szCs w:val="20"/>
                <w:lang w:val="es-ES"/>
              </w:rPr>
              <w:t>La mayoría de los estudios en AR sugieren el uso de dosis bajas por vía oral (≤ 10 mg/día de prednisona o sus equivalentes). No existen estudios comparativos de su uso preferente a dosis más a</w:t>
            </w:r>
            <w:r w:rsidR="00A220CE">
              <w:rPr>
                <w:rFonts w:ascii="Arial" w:hAnsi="Arial" w:cs="Arial"/>
                <w:sz w:val="20"/>
                <w:szCs w:val="20"/>
                <w:lang w:val="es-ES"/>
              </w:rPr>
              <w:t>ltas al inicio del tratamiento.</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A220CE">
              <w:rPr>
                <w:rFonts w:ascii="Arial" w:hAnsi="Arial" w:cs="Arial"/>
                <w:color w:val="FF0000"/>
                <w:sz w:val="20"/>
                <w:szCs w:val="20"/>
                <w:vertAlign w:val="superscript"/>
                <w:lang w:val="es-ES"/>
              </w:rPr>
              <w:t>6</w:t>
            </w:r>
          </w:p>
          <w:p w14:paraId="00CF9928" w14:textId="77777777" w:rsidR="00CF4A0E" w:rsidRPr="0068632C" w:rsidRDefault="00CF4A0E" w:rsidP="007614D7">
            <w:pPr>
              <w:contextualSpacing/>
              <w:jc w:val="both"/>
              <w:rPr>
                <w:rFonts w:ascii="Arial" w:hAnsi="Arial" w:cs="Arial"/>
                <w:sz w:val="20"/>
                <w:szCs w:val="20"/>
                <w:lang w:val="es-ES"/>
              </w:rPr>
            </w:pPr>
          </w:p>
          <w:p w14:paraId="37334B21" w14:textId="77777777" w:rsidR="00CF4A0E" w:rsidRPr="0068632C" w:rsidRDefault="00CF4A0E" w:rsidP="007614D7">
            <w:pPr>
              <w:contextualSpacing/>
              <w:jc w:val="both"/>
              <w:rPr>
                <w:rFonts w:ascii="Arial" w:hAnsi="Arial" w:cs="Arial"/>
                <w:color w:val="FF0000"/>
                <w:sz w:val="20"/>
                <w:szCs w:val="20"/>
                <w:lang w:val="es-ES"/>
              </w:rPr>
            </w:pPr>
            <w:r w:rsidRPr="0068632C">
              <w:rPr>
                <w:rFonts w:ascii="Arial" w:hAnsi="Arial" w:cs="Arial"/>
                <w:sz w:val="20"/>
                <w:szCs w:val="20"/>
                <w:lang w:val="es-ES"/>
              </w:rPr>
              <w:t>Siempre que sea posible se dejara una dosis única diaria durante la mañana y la dosis se reduce de manera progresiva (pasando las dosis fraccionadas a toma única antes de la disminución de la dosis) hasta</w:t>
            </w:r>
            <w:r w:rsidR="00A220CE">
              <w:rPr>
                <w:rFonts w:ascii="Arial" w:hAnsi="Arial" w:cs="Arial"/>
                <w:sz w:val="20"/>
                <w:szCs w:val="20"/>
                <w:lang w:val="es-ES"/>
              </w:rPr>
              <w:t xml:space="preserve"> la suspensión del medicamento.</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8C0FFD" w:rsidRPr="00BA2D3E">
              <w:rPr>
                <w:rFonts w:ascii="Arial" w:hAnsi="Arial" w:cs="Arial"/>
                <w:color w:val="FF0000"/>
                <w:sz w:val="20"/>
                <w:szCs w:val="20"/>
                <w:vertAlign w:val="superscript"/>
                <w:lang w:val="es-ES"/>
              </w:rPr>
              <w:t>2</w:t>
            </w:r>
          </w:p>
          <w:p w14:paraId="45D60249" w14:textId="77777777" w:rsidR="00CF4A0E" w:rsidRPr="0068632C" w:rsidRDefault="00CF4A0E" w:rsidP="007614D7">
            <w:pPr>
              <w:contextualSpacing/>
              <w:jc w:val="both"/>
              <w:rPr>
                <w:rFonts w:ascii="Arial" w:hAnsi="Arial" w:cs="Arial"/>
                <w:sz w:val="20"/>
                <w:szCs w:val="20"/>
                <w:lang w:val="es-ES"/>
              </w:rPr>
            </w:pPr>
          </w:p>
          <w:p w14:paraId="3E2292E5" w14:textId="77777777" w:rsidR="00CF4A0E" w:rsidRPr="0068632C" w:rsidRDefault="00CF4A0E" w:rsidP="007614D7">
            <w:pPr>
              <w:contextualSpacing/>
              <w:jc w:val="both"/>
              <w:rPr>
                <w:rFonts w:ascii="Arial" w:hAnsi="Arial" w:cs="Arial"/>
                <w:color w:val="FF0000"/>
                <w:sz w:val="20"/>
                <w:szCs w:val="20"/>
                <w:lang w:val="es-ES"/>
              </w:rPr>
            </w:pPr>
            <w:r w:rsidRPr="0068632C">
              <w:rPr>
                <w:rFonts w:ascii="Arial" w:hAnsi="Arial" w:cs="Arial"/>
                <w:sz w:val="20"/>
                <w:szCs w:val="20"/>
                <w:lang w:val="es-ES"/>
              </w:rPr>
              <w:t>Dos estudios reportaron el beneficio de terapia con prednisona a dosis altas en AR de reciente comienzo: COBRA (</w:t>
            </w:r>
            <w:r w:rsidRPr="0068632C">
              <w:rPr>
                <w:rFonts w:ascii="Arial" w:hAnsi="Arial" w:cs="Arial"/>
                <w:i/>
                <w:sz w:val="20"/>
                <w:szCs w:val="20"/>
                <w:lang w:val="es-ES"/>
              </w:rPr>
              <w:t>Combination</w:t>
            </w:r>
            <w:r w:rsidR="00E2773E">
              <w:rPr>
                <w:rFonts w:ascii="Arial" w:hAnsi="Arial" w:cs="Arial"/>
                <w:i/>
                <w:sz w:val="20"/>
                <w:szCs w:val="20"/>
                <w:lang w:val="es-ES"/>
              </w:rPr>
              <w:t xml:space="preserve"> </w:t>
            </w:r>
            <w:r w:rsidRPr="0068632C">
              <w:rPr>
                <w:rFonts w:ascii="Arial" w:hAnsi="Arial" w:cs="Arial"/>
                <w:i/>
                <w:sz w:val="20"/>
                <w:szCs w:val="20"/>
                <w:lang w:val="es-ES"/>
              </w:rPr>
              <w:t>therapy in Rheumatoid</w:t>
            </w:r>
            <w:r w:rsidR="00E2773E">
              <w:rPr>
                <w:rFonts w:ascii="Arial" w:hAnsi="Arial" w:cs="Arial"/>
                <w:i/>
                <w:sz w:val="20"/>
                <w:szCs w:val="20"/>
                <w:lang w:val="es-ES"/>
              </w:rPr>
              <w:t xml:space="preserve"> </w:t>
            </w:r>
            <w:r w:rsidRPr="0068632C">
              <w:rPr>
                <w:rFonts w:ascii="Arial" w:hAnsi="Arial" w:cs="Arial"/>
                <w:i/>
                <w:sz w:val="20"/>
                <w:szCs w:val="20"/>
                <w:lang w:val="es-ES"/>
              </w:rPr>
              <w:t>Arthritis</w:t>
            </w:r>
            <w:r w:rsidRPr="0068632C">
              <w:rPr>
                <w:rFonts w:ascii="Arial" w:hAnsi="Arial" w:cs="Arial"/>
                <w:sz w:val="20"/>
                <w:szCs w:val="20"/>
                <w:lang w:val="es-ES"/>
              </w:rPr>
              <w:t>) y BeSt (</w:t>
            </w:r>
            <w:r w:rsidRPr="0068632C">
              <w:rPr>
                <w:rFonts w:ascii="Arial" w:hAnsi="Arial" w:cs="Arial"/>
                <w:i/>
                <w:sz w:val="20"/>
                <w:szCs w:val="20"/>
                <w:lang w:val="es-ES"/>
              </w:rPr>
              <w:t>Behandel-Stratieen</w:t>
            </w:r>
            <w:r w:rsidRPr="0068632C">
              <w:rPr>
                <w:rFonts w:ascii="Arial" w:hAnsi="Arial" w:cs="Arial"/>
                <w:sz w:val="20"/>
                <w:szCs w:val="20"/>
                <w:lang w:val="es-ES"/>
              </w:rPr>
              <w:t xml:space="preserve">), utilizaron 60 mg de prednisona en combinación con otros FARME tradicionales y con una reducción a 7.5 mg a la semana seis y </w:t>
            </w:r>
            <w:r w:rsidRPr="0068632C">
              <w:rPr>
                <w:rFonts w:ascii="Arial" w:hAnsi="Arial" w:cs="Arial"/>
                <w:sz w:val="20"/>
                <w:szCs w:val="20"/>
                <w:lang w:val="es-ES"/>
              </w:rPr>
              <w:lastRenderedPageBreak/>
              <w:t>suspendiendo el medicamento en la semana 12, presentando una inhibición sustancial de la progresión del daño radiográfico y se mantuvo durante años.</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A220CE">
              <w:rPr>
                <w:rFonts w:ascii="Arial" w:hAnsi="Arial" w:cs="Arial"/>
                <w:color w:val="FF0000"/>
                <w:sz w:val="20"/>
                <w:szCs w:val="20"/>
                <w:vertAlign w:val="superscript"/>
                <w:lang w:val="es-ES"/>
              </w:rPr>
              <w:t>9</w:t>
            </w:r>
          </w:p>
          <w:p w14:paraId="4F6A3601" w14:textId="77777777" w:rsidR="00CF4A0E" w:rsidRPr="0068632C" w:rsidRDefault="00CF4A0E" w:rsidP="007614D7">
            <w:pPr>
              <w:contextualSpacing/>
              <w:jc w:val="both"/>
              <w:rPr>
                <w:rFonts w:ascii="Arial" w:eastAsia="Times-Roman" w:hAnsi="Arial" w:cs="Arial"/>
                <w:b/>
                <w:sz w:val="20"/>
                <w:szCs w:val="20"/>
              </w:rPr>
            </w:pPr>
          </w:p>
          <w:p w14:paraId="38A6A3E6" w14:textId="77777777" w:rsidR="00CF4A0E" w:rsidRPr="0068632C" w:rsidRDefault="00CF4A0E" w:rsidP="007614D7">
            <w:pPr>
              <w:contextualSpacing/>
              <w:jc w:val="both"/>
              <w:rPr>
                <w:rFonts w:ascii="Arial" w:hAnsi="Arial" w:cs="Arial"/>
                <w:color w:val="FF0000"/>
                <w:sz w:val="20"/>
                <w:szCs w:val="20"/>
                <w:lang w:val="es-ES"/>
              </w:rPr>
            </w:pPr>
            <w:r w:rsidRPr="0068632C">
              <w:rPr>
                <w:rFonts w:ascii="Arial" w:hAnsi="Arial" w:cs="Arial"/>
                <w:sz w:val="20"/>
                <w:szCs w:val="20"/>
                <w:lang w:val="es-ES"/>
              </w:rPr>
              <w:t>La vía intramuscular o intraarticular permite un mayor control sobre la dosis total acumulada y se prefiere en ciertas circunstancias. Poner en q</w:t>
            </w:r>
            <w:r w:rsidR="00BA2D3E">
              <w:rPr>
                <w:rFonts w:ascii="Arial" w:hAnsi="Arial" w:cs="Arial"/>
                <w:sz w:val="20"/>
                <w:szCs w:val="20"/>
                <w:lang w:val="es-ES"/>
              </w:rPr>
              <w:t>ué</w:t>
            </w:r>
            <w:r w:rsidRPr="0068632C">
              <w:rPr>
                <w:rFonts w:ascii="Arial" w:hAnsi="Arial" w:cs="Arial"/>
                <w:sz w:val="20"/>
                <w:szCs w:val="20"/>
                <w:lang w:val="es-ES"/>
              </w:rPr>
              <w:t xml:space="preserve"> circunstancias.</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A220CE">
              <w:rPr>
                <w:rFonts w:ascii="Arial" w:hAnsi="Arial" w:cs="Arial"/>
                <w:color w:val="FF0000"/>
                <w:sz w:val="20"/>
                <w:szCs w:val="20"/>
                <w:vertAlign w:val="superscript"/>
                <w:lang w:val="es-ES"/>
              </w:rPr>
              <w:t>6</w:t>
            </w:r>
          </w:p>
          <w:p w14:paraId="6BEA78BB" w14:textId="77777777" w:rsidR="009E31AE" w:rsidRPr="0068632C" w:rsidRDefault="009E31AE" w:rsidP="009E31AE">
            <w:pPr>
              <w:contextualSpacing/>
              <w:jc w:val="both"/>
              <w:rPr>
                <w:rFonts w:ascii="Arial" w:hAnsi="Arial" w:cs="Arial"/>
                <w:sz w:val="20"/>
                <w:szCs w:val="20"/>
                <w:lang w:val="es-ES"/>
              </w:rPr>
            </w:pPr>
          </w:p>
          <w:p w14:paraId="1D269765" w14:textId="77777777" w:rsidR="009E31AE" w:rsidRPr="0068632C" w:rsidRDefault="009E31AE" w:rsidP="009E31AE">
            <w:pPr>
              <w:contextualSpacing/>
              <w:jc w:val="both"/>
              <w:rPr>
                <w:rFonts w:ascii="Arial" w:hAnsi="Arial" w:cs="Arial"/>
                <w:sz w:val="20"/>
                <w:szCs w:val="20"/>
                <w:lang w:val="es-ES"/>
              </w:rPr>
            </w:pPr>
            <w:r w:rsidRPr="0068632C">
              <w:rPr>
                <w:rFonts w:ascii="Arial" w:hAnsi="Arial" w:cs="Arial"/>
                <w:sz w:val="20"/>
                <w:szCs w:val="20"/>
                <w:lang w:val="es-ES"/>
              </w:rPr>
              <w:t>Con este procedimiento, complicaciones tales como la artritis séptica son inusuales. La aspiración del derrame sinovial al momento de l</w:t>
            </w:r>
            <w:r w:rsidR="00A220CE">
              <w:rPr>
                <w:rFonts w:ascii="Arial" w:hAnsi="Arial" w:cs="Arial"/>
                <w:sz w:val="20"/>
                <w:szCs w:val="20"/>
                <w:lang w:val="es-ES"/>
              </w:rPr>
              <w:t>a infiltración reduce recaídas.</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8C0FFD" w:rsidRPr="00BA2D3E">
              <w:rPr>
                <w:rFonts w:ascii="Arial" w:hAnsi="Arial" w:cs="Arial"/>
                <w:color w:val="FF0000"/>
                <w:sz w:val="20"/>
                <w:szCs w:val="20"/>
                <w:vertAlign w:val="superscript"/>
                <w:lang w:val="es-ES"/>
              </w:rPr>
              <w:t>3</w:t>
            </w:r>
          </w:p>
          <w:p w14:paraId="6C8AC219" w14:textId="77777777" w:rsidR="009E31AE" w:rsidRPr="0068632C" w:rsidRDefault="009E31AE" w:rsidP="007614D7">
            <w:pPr>
              <w:contextualSpacing/>
              <w:jc w:val="both"/>
              <w:rPr>
                <w:rFonts w:ascii="Arial" w:eastAsia="Times-Roman" w:hAnsi="Arial" w:cs="Arial"/>
                <w:b/>
                <w:sz w:val="20"/>
                <w:szCs w:val="20"/>
              </w:rPr>
            </w:pPr>
          </w:p>
          <w:p w14:paraId="22453311" w14:textId="77777777" w:rsidR="00CF4A0E" w:rsidRPr="0068632C" w:rsidRDefault="00CF4A0E" w:rsidP="007614D7">
            <w:pPr>
              <w:contextualSpacing/>
              <w:jc w:val="both"/>
              <w:rPr>
                <w:rFonts w:ascii="Arial" w:eastAsia="Times-Roman" w:hAnsi="Arial" w:cs="Arial"/>
                <w:sz w:val="20"/>
                <w:szCs w:val="20"/>
              </w:rPr>
            </w:pPr>
            <w:r w:rsidRPr="0068632C">
              <w:rPr>
                <w:rFonts w:ascii="Arial" w:hAnsi="Arial" w:cs="Arial"/>
                <w:sz w:val="20"/>
                <w:szCs w:val="20"/>
                <w:lang w:val="es-ES"/>
              </w:rPr>
              <w:t xml:space="preserve">La mayoría de los estudios en AR sugieren el uso de dosis bajas por vía oral (≤ 10 mg/día de prednisona o sus equivalentes). La evidencia no muestra superioridad de ningún preparado de glucocorticoides sobre otro, a dosis equivalentes. Los más utilizados son </w:t>
            </w:r>
            <w:r w:rsidRPr="0068632C">
              <w:rPr>
                <w:rFonts w:ascii="Arial" w:eastAsia="Times-Roman" w:hAnsi="Arial" w:cs="Arial"/>
                <w:sz w:val="20"/>
                <w:szCs w:val="20"/>
              </w:rPr>
              <w:t>prednisona y prednisolona (corta acción), y</w:t>
            </w:r>
          </w:p>
          <w:p w14:paraId="53C4E1ED" w14:textId="77777777" w:rsidR="00CF4A0E" w:rsidRPr="0068632C" w:rsidRDefault="00CF4A0E"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metilprednisolona y deflazacort (acción intermedia). </w:t>
            </w:r>
          </w:p>
        </w:tc>
      </w:tr>
      <w:tr w:rsidR="00CF4A0E" w:rsidRPr="0068632C" w14:paraId="05B936BA" w14:textId="77777777" w:rsidTr="007614D7">
        <w:tc>
          <w:tcPr>
            <w:tcW w:w="2660" w:type="dxa"/>
          </w:tcPr>
          <w:p w14:paraId="27B56133" w14:textId="77777777" w:rsidR="00CF4A0E" w:rsidRPr="0068632C" w:rsidRDefault="00CF4A0E" w:rsidP="007614D7">
            <w:pPr>
              <w:contextualSpacing/>
              <w:jc w:val="both"/>
              <w:rPr>
                <w:rFonts w:ascii="Arial" w:hAnsi="Arial" w:cs="Arial"/>
                <w:sz w:val="20"/>
                <w:szCs w:val="20"/>
              </w:rPr>
            </w:pPr>
            <w:r w:rsidRPr="0068632C">
              <w:rPr>
                <w:rFonts w:ascii="Arial" w:hAnsi="Arial" w:cs="Arial"/>
                <w:sz w:val="20"/>
                <w:szCs w:val="20"/>
              </w:rPr>
              <w:lastRenderedPageBreak/>
              <w:t>Contraindicaciones</w:t>
            </w:r>
          </w:p>
        </w:tc>
        <w:tc>
          <w:tcPr>
            <w:tcW w:w="7410" w:type="dxa"/>
          </w:tcPr>
          <w:p w14:paraId="745E9EAA" w14:textId="77777777" w:rsidR="00594670" w:rsidRPr="0068632C" w:rsidRDefault="00594670" w:rsidP="00594670">
            <w:pPr>
              <w:contextualSpacing/>
              <w:jc w:val="both"/>
              <w:rPr>
                <w:rFonts w:ascii="Arial" w:hAnsi="Arial" w:cs="Arial"/>
                <w:color w:val="FF0000"/>
                <w:sz w:val="20"/>
                <w:szCs w:val="20"/>
                <w:lang w:val="es-ES"/>
              </w:rPr>
            </w:pPr>
            <w:r w:rsidRPr="0068632C">
              <w:rPr>
                <w:rFonts w:ascii="Arial" w:hAnsi="Arial" w:cs="Arial"/>
                <w:sz w:val="20"/>
                <w:szCs w:val="20"/>
                <w:lang w:val="es-ES"/>
              </w:rPr>
              <w:t>En caso de utilizar el glucocorticoide ≥ 10 mg/día por &gt; tres meses, se recomienda vigilancia para prevención o diagnóstico de osteoporosis y la suplemen</w:t>
            </w:r>
            <w:r w:rsidR="001155D4">
              <w:rPr>
                <w:rFonts w:ascii="Arial" w:hAnsi="Arial" w:cs="Arial"/>
                <w:sz w:val="20"/>
                <w:szCs w:val="20"/>
                <w:lang w:val="es-ES"/>
              </w:rPr>
              <w:t>tación con calcio y vitamina D.</w:t>
            </w:r>
            <w:r w:rsidR="001E2E55">
              <w:rPr>
                <w:rFonts w:ascii="Arial" w:hAnsi="Arial" w:cs="Arial"/>
                <w:sz w:val="20"/>
                <w:szCs w:val="20"/>
                <w:lang w:val="es-ES"/>
              </w:rPr>
              <w:t xml:space="preserve"> </w:t>
            </w:r>
            <w:r w:rsidR="001E2E55" w:rsidRPr="00577BEB">
              <w:rPr>
                <w:rFonts w:ascii="Arial" w:eastAsia="TrebuchetMS" w:hAnsi="Arial" w:cs="Arial"/>
                <w:b/>
                <w:color w:val="000000"/>
                <w:sz w:val="20"/>
                <w:szCs w:val="20"/>
                <w:lang w:val="es-ES"/>
              </w:rPr>
              <w:t>[</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8C0FFD" w:rsidRPr="00BA2D3E">
              <w:rPr>
                <w:rFonts w:ascii="Arial" w:hAnsi="Arial" w:cs="Arial"/>
                <w:color w:val="FF0000"/>
                <w:sz w:val="20"/>
                <w:szCs w:val="20"/>
                <w:vertAlign w:val="superscript"/>
                <w:lang w:val="es-ES"/>
              </w:rPr>
              <w:t>3</w:t>
            </w:r>
          </w:p>
          <w:p w14:paraId="6CF9E85A" w14:textId="77777777" w:rsidR="00594670" w:rsidRPr="0068632C" w:rsidRDefault="00594670" w:rsidP="007614D7">
            <w:pPr>
              <w:contextualSpacing/>
              <w:jc w:val="both"/>
              <w:rPr>
                <w:rFonts w:ascii="Arial" w:hAnsi="Arial" w:cs="Arial"/>
                <w:sz w:val="20"/>
                <w:szCs w:val="20"/>
                <w:lang w:val="es-ES"/>
              </w:rPr>
            </w:pPr>
          </w:p>
          <w:p w14:paraId="4A53A3A1" w14:textId="77777777" w:rsidR="00CF4A0E" w:rsidRPr="001E2E55" w:rsidRDefault="00CF4A0E" w:rsidP="007614D7">
            <w:pPr>
              <w:contextualSpacing/>
              <w:jc w:val="both"/>
              <w:rPr>
                <w:rFonts w:ascii="Arial" w:hAnsi="Arial" w:cs="Arial"/>
                <w:color w:val="FF0000"/>
                <w:sz w:val="20"/>
                <w:szCs w:val="20"/>
                <w:lang w:val="es-ES"/>
              </w:rPr>
            </w:pPr>
            <w:r w:rsidRPr="0068632C">
              <w:rPr>
                <w:rFonts w:ascii="Arial" w:hAnsi="Arial" w:cs="Arial"/>
                <w:sz w:val="20"/>
                <w:szCs w:val="20"/>
                <w:lang w:val="es-ES"/>
              </w:rPr>
              <w:t xml:space="preserve">Se reporta un incremento en la mortalidad en pacientes con AR y uso de glucocorticoides. Estudios controlados muestran un incremento de cataratas, infecciones, sangrado tubo digestivo, necrosis avascular y fracturas. </w:t>
            </w:r>
            <w:r w:rsidR="001E2E55" w:rsidRPr="00577BEB">
              <w:rPr>
                <w:rFonts w:ascii="Arial" w:eastAsia="TrebuchetMS" w:hAnsi="Arial" w:cs="Arial"/>
                <w:b/>
                <w:color w:val="000000"/>
                <w:sz w:val="20"/>
                <w:szCs w:val="20"/>
                <w:lang w:val="es-ES"/>
              </w:rPr>
              <w:t>[</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8C0FFD" w:rsidRPr="00BA2D3E">
              <w:rPr>
                <w:rFonts w:ascii="Arial" w:hAnsi="Arial" w:cs="Arial"/>
                <w:color w:val="FF0000"/>
                <w:sz w:val="20"/>
                <w:szCs w:val="20"/>
                <w:vertAlign w:val="superscript"/>
                <w:lang w:val="es-ES"/>
              </w:rPr>
              <w:t>3</w:t>
            </w:r>
          </w:p>
        </w:tc>
      </w:tr>
    </w:tbl>
    <w:p w14:paraId="2D752BE1" w14:textId="77777777" w:rsidR="000A1D17" w:rsidRPr="00516653" w:rsidRDefault="000A1D17">
      <w:pPr>
        <w:rPr>
          <w:lang w:val="en-US"/>
        </w:rPr>
      </w:pPr>
    </w:p>
    <w:p w14:paraId="032113F5" w14:textId="77777777" w:rsidR="005A23C0" w:rsidRPr="00D54A7D" w:rsidRDefault="000A1D17">
      <w:pPr>
        <w:rPr>
          <w:b/>
          <w:color w:val="4F81BD" w:themeColor="accent1"/>
          <w:sz w:val="28"/>
        </w:rPr>
      </w:pPr>
      <w:r w:rsidRPr="00D54A7D">
        <w:rPr>
          <w:b/>
          <w:color w:val="4F81BD" w:themeColor="accent1"/>
          <w:sz w:val="28"/>
        </w:rPr>
        <w:t>FARME SINTETICOS</w:t>
      </w:r>
    </w:p>
    <w:p w14:paraId="270760D7" w14:textId="77777777" w:rsidR="000A1D17" w:rsidRPr="0068632C" w:rsidRDefault="000A1D17"/>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410"/>
      </w:tblGrid>
      <w:tr w:rsidR="000A1D17" w:rsidRPr="0068632C" w14:paraId="64E99CDD" w14:textId="77777777" w:rsidTr="007614D7">
        <w:tc>
          <w:tcPr>
            <w:tcW w:w="2660" w:type="dxa"/>
          </w:tcPr>
          <w:p w14:paraId="611AF2D8" w14:textId="77777777" w:rsidR="000A1D17" w:rsidRPr="00AA2750" w:rsidRDefault="00D54A7D" w:rsidP="000A1D17">
            <w:pPr>
              <w:numPr>
                <w:ilvl w:val="0"/>
                <w:numId w:val="1"/>
              </w:numPr>
              <w:ind w:left="0"/>
              <w:contextualSpacing/>
              <w:jc w:val="both"/>
              <w:rPr>
                <w:rFonts w:ascii="Arial" w:hAnsi="Arial" w:cs="Arial"/>
                <w:b/>
                <w:sz w:val="28"/>
                <w:szCs w:val="28"/>
              </w:rPr>
            </w:pPr>
            <w:r w:rsidRPr="00AA2750">
              <w:rPr>
                <w:rFonts w:ascii="Arial" w:hAnsi="Arial" w:cs="Arial"/>
                <w:b/>
                <w:sz w:val="28"/>
                <w:szCs w:val="28"/>
              </w:rPr>
              <w:t>Metotrexate</w:t>
            </w:r>
          </w:p>
        </w:tc>
        <w:tc>
          <w:tcPr>
            <w:tcW w:w="7410" w:type="dxa"/>
          </w:tcPr>
          <w:p w14:paraId="61E33809" w14:textId="77777777" w:rsidR="000A1D17" w:rsidRPr="0068632C" w:rsidRDefault="000A1D17" w:rsidP="001155D4">
            <w:pPr>
              <w:contextualSpacing/>
              <w:jc w:val="both"/>
              <w:rPr>
                <w:rFonts w:ascii="Arial" w:eastAsia="Times-Roman" w:hAnsi="Arial" w:cs="Arial"/>
                <w:sz w:val="20"/>
                <w:szCs w:val="20"/>
              </w:rPr>
            </w:pPr>
            <w:r w:rsidRPr="0068632C">
              <w:rPr>
                <w:rFonts w:ascii="Arial" w:hAnsi="Arial" w:cs="Arial"/>
                <w:sz w:val="20"/>
                <w:szCs w:val="20"/>
              </w:rPr>
              <w:t>Agente farmacológico con acciones antiinflamatorias (mediadas por la modulación del metabolismo de la adenosina) e inmunosupresoras (debido a la inhibición de la enzima dihidrofolato</w:t>
            </w:r>
            <w:r w:rsidR="00AC6D7C">
              <w:rPr>
                <w:rFonts w:ascii="Arial" w:hAnsi="Arial" w:cs="Arial"/>
                <w:sz w:val="20"/>
                <w:szCs w:val="20"/>
              </w:rPr>
              <w:t xml:space="preserve"> </w:t>
            </w:r>
            <w:r w:rsidRPr="0068632C">
              <w:rPr>
                <w:rFonts w:ascii="Arial" w:hAnsi="Arial" w:cs="Arial"/>
                <w:sz w:val="20"/>
                <w:szCs w:val="20"/>
              </w:rPr>
              <w:t>reductasa, crucial para la síntesis de tetrahidrofolato activo, el cual es necesario para la síntesis de DNA y RNA por las células de rápida proliferación, como las del sistema inmunitario).</w:t>
            </w:r>
            <w:r w:rsidR="001155D4">
              <w:rPr>
                <w:rFonts w:ascii="Arial" w:hAnsi="Arial" w:cs="Arial"/>
                <w:color w:val="FF0000"/>
                <w:sz w:val="20"/>
                <w:szCs w:val="20"/>
                <w:vertAlign w:val="superscript"/>
              </w:rPr>
              <w:t>4</w:t>
            </w:r>
          </w:p>
        </w:tc>
      </w:tr>
      <w:tr w:rsidR="000A1D17" w:rsidRPr="0068632C" w14:paraId="47CB0037" w14:textId="77777777" w:rsidTr="007614D7">
        <w:tc>
          <w:tcPr>
            <w:tcW w:w="2660" w:type="dxa"/>
          </w:tcPr>
          <w:p w14:paraId="7133C431" w14:textId="77777777" w:rsidR="000A1D17" w:rsidRPr="0068632C" w:rsidRDefault="000A1D17" w:rsidP="007614D7">
            <w:pPr>
              <w:contextualSpacing/>
              <w:jc w:val="both"/>
              <w:rPr>
                <w:rFonts w:ascii="Arial" w:hAnsi="Arial" w:cs="Arial"/>
                <w:sz w:val="20"/>
                <w:szCs w:val="20"/>
              </w:rPr>
            </w:pPr>
            <w:r w:rsidRPr="0068632C">
              <w:rPr>
                <w:rFonts w:ascii="Arial" w:hAnsi="Arial" w:cs="Arial"/>
                <w:sz w:val="20"/>
                <w:szCs w:val="20"/>
              </w:rPr>
              <w:t>Línea de tratamiento en la que está indicado</w:t>
            </w:r>
          </w:p>
        </w:tc>
        <w:tc>
          <w:tcPr>
            <w:tcW w:w="7410" w:type="dxa"/>
          </w:tcPr>
          <w:p w14:paraId="69FA79F1"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El MTX es el fármaco modificador de la enfermedad que, por su eficacia para reducir los signos y síntomas, mejorar la capacidad funcional y reducir la progresión radiográfica, así como por su perfil de seguridad, debe ser usado como fármaco de primera elección en el tratamiento de la artritis reumatoide</w:t>
            </w:r>
            <w:r w:rsidR="00016796">
              <w:rPr>
                <w:rFonts w:ascii="Arial" w:eastAsia="Times-Roman" w:hAnsi="Arial" w:cs="Arial"/>
                <w:sz w:val="20"/>
                <w:szCs w:val="20"/>
              </w:rPr>
              <w:t>,</w:t>
            </w:r>
            <w:r w:rsidRPr="0068632C">
              <w:rPr>
                <w:rFonts w:ascii="Arial" w:eastAsia="Times-Roman" w:hAnsi="Arial" w:cs="Arial"/>
                <w:sz w:val="20"/>
                <w:szCs w:val="20"/>
              </w:rPr>
              <w:t xml:space="preserve"> a menos que esté contraindicado</w:t>
            </w:r>
            <w:r w:rsidR="00016796">
              <w:rPr>
                <w:rFonts w:ascii="Arial" w:eastAsia="Times-Roman" w:hAnsi="Arial" w:cs="Arial"/>
                <w:sz w:val="20"/>
                <w:szCs w:val="20"/>
              </w:rPr>
              <w:t>.</w:t>
            </w:r>
            <w:r w:rsidR="001E2E55" w:rsidRPr="00577BEB">
              <w:rPr>
                <w:rFonts w:ascii="Arial" w:eastAsia="TrebuchetMS" w:hAnsi="Arial" w:cs="Arial"/>
                <w:b/>
                <w:color w:val="000000"/>
                <w:sz w:val="20"/>
                <w:szCs w:val="20"/>
                <w:lang w:val="es-ES"/>
              </w:rPr>
              <w:t xml:space="preserve"> [</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Pr="0068632C">
              <w:rPr>
                <w:rFonts w:ascii="Arial" w:eastAsia="Times-Roman" w:hAnsi="Arial" w:cs="Arial"/>
                <w:color w:val="FF0000"/>
                <w:sz w:val="20"/>
                <w:szCs w:val="20"/>
                <w:vertAlign w:val="superscript"/>
              </w:rPr>
              <w:t>1</w:t>
            </w:r>
            <w:r w:rsidR="00016796">
              <w:rPr>
                <w:rFonts w:ascii="Arial" w:eastAsia="Times-Roman" w:hAnsi="Arial" w:cs="Arial"/>
                <w:color w:val="FF0000"/>
                <w:sz w:val="20"/>
                <w:szCs w:val="20"/>
                <w:vertAlign w:val="superscript"/>
              </w:rPr>
              <w:t>0</w:t>
            </w:r>
          </w:p>
          <w:p w14:paraId="4925135A" w14:textId="77777777" w:rsidR="007528A6" w:rsidRPr="0068632C" w:rsidRDefault="007528A6" w:rsidP="007528A6">
            <w:pPr>
              <w:autoSpaceDE w:val="0"/>
              <w:autoSpaceDN w:val="0"/>
              <w:adjustRightInd w:val="0"/>
              <w:contextualSpacing/>
              <w:jc w:val="both"/>
              <w:rPr>
                <w:rFonts w:ascii="Arial" w:eastAsia="Times-Roman" w:hAnsi="Arial" w:cs="Arial"/>
                <w:sz w:val="20"/>
                <w:szCs w:val="20"/>
              </w:rPr>
            </w:pPr>
          </w:p>
          <w:p w14:paraId="2E6446C0" w14:textId="77777777" w:rsidR="007528A6" w:rsidRPr="0068632C" w:rsidRDefault="007528A6" w:rsidP="007528A6">
            <w:pPr>
              <w:autoSpaceDE w:val="0"/>
              <w:autoSpaceDN w:val="0"/>
              <w:adjustRightInd w:val="0"/>
              <w:contextualSpacing/>
              <w:jc w:val="both"/>
              <w:rPr>
                <w:rFonts w:ascii="Arial" w:eastAsia="Times-Roman" w:hAnsi="Arial" w:cs="Arial"/>
                <w:sz w:val="20"/>
                <w:szCs w:val="20"/>
              </w:rPr>
            </w:pPr>
            <w:r w:rsidRPr="0068632C">
              <w:rPr>
                <w:rFonts w:ascii="Arial" w:eastAsia="Times-Roman" w:hAnsi="Arial" w:cs="Arial"/>
                <w:sz w:val="20"/>
                <w:szCs w:val="20"/>
              </w:rPr>
              <w:t>La evidencia está basada en una revisión sistemática de estudios aleatorizados controlados que apoyan el alto perfil de seguridad y eficacia</w:t>
            </w:r>
            <w:r w:rsidR="00C2289C">
              <w:rPr>
                <w:rFonts w:ascii="Arial" w:eastAsia="Times-Roman" w:hAnsi="Arial" w:cs="Arial"/>
                <w:sz w:val="20"/>
                <w:szCs w:val="20"/>
              </w:rPr>
              <w:t xml:space="preserve"> clínica a largo plazo del MTX.</w:t>
            </w:r>
            <w:r w:rsidR="00C2289C" w:rsidRPr="00C2289C">
              <w:rPr>
                <w:rFonts w:ascii="Arial" w:eastAsia="Times-Roman" w:hAnsi="Arial" w:cs="Arial"/>
                <w:color w:val="FF0000"/>
                <w:sz w:val="20"/>
                <w:szCs w:val="20"/>
                <w:vertAlign w:val="superscript"/>
                <w:lang w:val="es-MX"/>
              </w:rPr>
              <w:t>11</w:t>
            </w:r>
          </w:p>
          <w:p w14:paraId="57FB1288" w14:textId="77777777" w:rsidR="007528A6" w:rsidRPr="0068632C" w:rsidRDefault="007528A6" w:rsidP="007528A6">
            <w:pPr>
              <w:autoSpaceDE w:val="0"/>
              <w:autoSpaceDN w:val="0"/>
              <w:adjustRightInd w:val="0"/>
              <w:contextualSpacing/>
              <w:jc w:val="both"/>
              <w:rPr>
                <w:rFonts w:ascii="Arial" w:eastAsia="Times-Roman" w:hAnsi="Arial" w:cs="Arial"/>
                <w:sz w:val="20"/>
                <w:szCs w:val="20"/>
              </w:rPr>
            </w:pPr>
          </w:p>
          <w:p w14:paraId="5602E2FE" w14:textId="77777777" w:rsidR="000A1D17" w:rsidRPr="001E2E55" w:rsidRDefault="007528A6" w:rsidP="007528A6">
            <w:pPr>
              <w:autoSpaceDE w:val="0"/>
              <w:autoSpaceDN w:val="0"/>
              <w:adjustRightInd w:val="0"/>
              <w:contextualSpacing/>
              <w:jc w:val="both"/>
              <w:rPr>
                <w:rFonts w:ascii="Arial" w:eastAsia="Times-Roman" w:hAnsi="Arial" w:cs="Arial"/>
                <w:sz w:val="20"/>
                <w:szCs w:val="20"/>
              </w:rPr>
            </w:pPr>
            <w:r w:rsidRPr="0068632C">
              <w:rPr>
                <w:rFonts w:ascii="Arial" w:eastAsia="Times-Roman" w:hAnsi="Arial" w:cs="Arial"/>
                <w:sz w:val="20"/>
                <w:szCs w:val="20"/>
              </w:rPr>
              <w:t xml:space="preserve">En pacientes sin antecedente de tratamiento previo con algún inductor de remisión, el uso de MTX como monoterapia es recomendado. Esta estrategia es preferida a iniciar con terapia </w:t>
            </w:r>
            <w:r w:rsidR="00C2289C">
              <w:rPr>
                <w:rFonts w:ascii="Arial" w:eastAsia="Times-Roman" w:hAnsi="Arial" w:cs="Arial"/>
                <w:sz w:val="20"/>
                <w:szCs w:val="20"/>
              </w:rPr>
              <w:t>combinada con dos o más FARME.</w:t>
            </w:r>
            <w:r w:rsidR="001E2E55">
              <w:rPr>
                <w:rFonts w:ascii="Arial" w:eastAsia="Times-Roman" w:hAnsi="Arial" w:cs="Arial"/>
                <w:sz w:val="20"/>
                <w:szCs w:val="20"/>
              </w:rPr>
              <w:t xml:space="preserve"> </w:t>
            </w:r>
            <w:r w:rsidR="001E2E55" w:rsidRPr="00577BEB">
              <w:rPr>
                <w:rFonts w:ascii="Arial" w:eastAsia="TrebuchetMS" w:hAnsi="Arial" w:cs="Arial"/>
                <w:b/>
                <w:color w:val="000000"/>
                <w:sz w:val="20"/>
                <w:szCs w:val="20"/>
                <w:lang w:val="es-ES"/>
              </w:rPr>
              <w:t>[</w:t>
            </w:r>
            <w:r w:rsidR="001E2E55" w:rsidRPr="002A5EEF">
              <w:rPr>
                <w:rFonts w:ascii="Arial" w:hAnsi="Arial" w:cs="Arial"/>
                <w:b/>
                <w:sz w:val="20"/>
                <w:szCs w:val="20"/>
              </w:rPr>
              <w:t xml:space="preserve">NE: </w:t>
            </w:r>
            <w:r w:rsidR="001E2E55">
              <w:rPr>
                <w:rFonts w:ascii="Arial" w:hAnsi="Arial" w:cs="Arial"/>
                <w:b/>
                <w:sz w:val="20"/>
                <w:szCs w:val="20"/>
              </w:rPr>
              <w:t>I</w:t>
            </w:r>
            <w:r w:rsidR="001E2E55" w:rsidRPr="002A5EEF">
              <w:rPr>
                <w:rFonts w:ascii="Arial" w:hAnsi="Arial" w:cs="Arial"/>
                <w:b/>
                <w:sz w:val="20"/>
                <w:szCs w:val="20"/>
              </w:rPr>
              <w:t xml:space="preserve">, GR: </w:t>
            </w:r>
            <w:r w:rsidR="001E2E55">
              <w:rPr>
                <w:rFonts w:ascii="Arial" w:hAnsi="Arial" w:cs="Arial"/>
                <w:b/>
                <w:sz w:val="20"/>
                <w:szCs w:val="20"/>
              </w:rPr>
              <w:t>A]</w:t>
            </w:r>
            <w:r w:rsidR="00C2289C">
              <w:rPr>
                <w:rFonts w:ascii="Arial" w:eastAsia="Times-Roman" w:hAnsi="Arial" w:cs="Arial"/>
                <w:color w:val="FF0000"/>
                <w:sz w:val="20"/>
                <w:szCs w:val="20"/>
                <w:vertAlign w:val="superscript"/>
              </w:rPr>
              <w:t>12</w:t>
            </w:r>
          </w:p>
        </w:tc>
      </w:tr>
      <w:tr w:rsidR="000A1D17" w:rsidRPr="0068632C" w14:paraId="4673C0AD" w14:textId="77777777" w:rsidTr="007614D7">
        <w:tc>
          <w:tcPr>
            <w:tcW w:w="2660" w:type="dxa"/>
          </w:tcPr>
          <w:p w14:paraId="51D424EE"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Estudios que se requieren antes del tratamiento  y durante el seguimiento</w:t>
            </w:r>
          </w:p>
        </w:tc>
        <w:tc>
          <w:tcPr>
            <w:tcW w:w="7410" w:type="dxa"/>
          </w:tcPr>
          <w:p w14:paraId="5299AE54" w14:textId="22D27355"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Antes del inicio de MTX debería </w:t>
            </w:r>
            <w:r w:rsidRPr="00C2289C">
              <w:rPr>
                <w:rFonts w:ascii="Arial" w:eastAsia="Times-Roman" w:hAnsi="Arial" w:cs="Arial"/>
                <w:sz w:val="20"/>
                <w:szCs w:val="20"/>
              </w:rPr>
              <w:t>realizarse BH, PFH</w:t>
            </w:r>
            <w:r w:rsidR="00947B2E">
              <w:rPr>
                <w:rFonts w:ascii="Arial" w:eastAsia="Times-Roman" w:hAnsi="Arial" w:cs="Arial"/>
                <w:sz w:val="20"/>
                <w:szCs w:val="20"/>
              </w:rPr>
              <w:t>, PFR</w:t>
            </w:r>
            <w:r w:rsidRPr="00C2289C">
              <w:rPr>
                <w:rFonts w:ascii="Arial" w:eastAsia="Times-Roman" w:hAnsi="Arial" w:cs="Arial"/>
                <w:sz w:val="20"/>
                <w:szCs w:val="20"/>
              </w:rPr>
              <w:t xml:space="preserve"> y radiografía</w:t>
            </w:r>
            <w:r w:rsidRPr="0068632C">
              <w:rPr>
                <w:rFonts w:ascii="Arial" w:eastAsia="Times-Roman" w:hAnsi="Arial" w:cs="Arial"/>
                <w:sz w:val="20"/>
                <w:szCs w:val="20"/>
              </w:rPr>
              <w:t xml:space="preserve"> del tórax.</w:t>
            </w:r>
            <w:r w:rsidR="001E2E55">
              <w:rPr>
                <w:rFonts w:ascii="Arial" w:eastAsia="Times-Roman" w:hAnsi="Arial" w:cs="Arial"/>
                <w:sz w:val="20"/>
                <w:szCs w:val="20"/>
              </w:rPr>
              <w:t xml:space="preserve"> </w:t>
            </w:r>
            <w:r w:rsidR="001E2E55" w:rsidRPr="00577BEB">
              <w:rPr>
                <w:rFonts w:ascii="Arial" w:eastAsia="TrebuchetMS" w:hAnsi="Arial" w:cs="Arial"/>
                <w:b/>
                <w:color w:val="000000"/>
                <w:sz w:val="20"/>
                <w:szCs w:val="20"/>
                <w:lang w:val="es-ES"/>
              </w:rPr>
              <w:t>[</w:t>
            </w:r>
            <w:r w:rsidR="001E2E55" w:rsidRPr="002A5EEF">
              <w:rPr>
                <w:rFonts w:ascii="Arial" w:hAnsi="Arial" w:cs="Arial"/>
                <w:b/>
                <w:sz w:val="20"/>
                <w:szCs w:val="20"/>
              </w:rPr>
              <w:t xml:space="preserve">NE: </w:t>
            </w:r>
            <w:r w:rsidR="001E2E55">
              <w:rPr>
                <w:rFonts w:ascii="Arial" w:hAnsi="Arial" w:cs="Arial"/>
                <w:b/>
                <w:sz w:val="20"/>
                <w:szCs w:val="20"/>
              </w:rPr>
              <w:t>II</w:t>
            </w:r>
            <w:r w:rsidR="001E2E55" w:rsidRPr="002A5EEF">
              <w:rPr>
                <w:rFonts w:ascii="Arial" w:hAnsi="Arial" w:cs="Arial"/>
                <w:b/>
                <w:sz w:val="20"/>
                <w:szCs w:val="20"/>
              </w:rPr>
              <w:t xml:space="preserve">, GR: </w:t>
            </w:r>
            <w:r w:rsidR="001E2E55">
              <w:rPr>
                <w:rFonts w:ascii="Arial" w:hAnsi="Arial" w:cs="Arial"/>
                <w:b/>
                <w:sz w:val="20"/>
                <w:szCs w:val="20"/>
              </w:rPr>
              <w:t>B</w:t>
            </w:r>
            <w:proofErr w:type="gramStart"/>
            <w:r w:rsidR="001E2E55">
              <w:rPr>
                <w:rFonts w:ascii="Arial" w:hAnsi="Arial" w:cs="Arial"/>
                <w:b/>
                <w:sz w:val="20"/>
                <w:szCs w:val="20"/>
              </w:rPr>
              <w:t>]</w:t>
            </w:r>
            <w:r w:rsidR="00C2289C">
              <w:rPr>
                <w:rFonts w:ascii="Arial" w:eastAsia="Times-Roman" w:hAnsi="Arial" w:cs="Arial"/>
                <w:color w:val="FF0000"/>
                <w:sz w:val="20"/>
                <w:szCs w:val="20"/>
                <w:vertAlign w:val="superscript"/>
              </w:rPr>
              <w:t>13</w:t>
            </w:r>
            <w:proofErr w:type="gramEnd"/>
            <w:r w:rsidR="00DA1866">
              <w:rPr>
                <w:rFonts w:ascii="Arial" w:eastAsia="Times-Roman" w:hAnsi="Arial" w:cs="Arial"/>
                <w:color w:val="FF0000"/>
                <w:sz w:val="20"/>
                <w:szCs w:val="20"/>
                <w:vertAlign w:val="superscript"/>
              </w:rPr>
              <w:t xml:space="preserve"> </w:t>
            </w:r>
            <w:r w:rsidR="00947B2E">
              <w:rPr>
                <w:rFonts w:ascii="Arial" w:eastAsia="Times-Roman" w:hAnsi="Arial" w:cs="Arial"/>
                <w:sz w:val="20"/>
                <w:szCs w:val="20"/>
              </w:rPr>
              <w:t>Durante el seguimiento, se debe re</w:t>
            </w:r>
            <w:r w:rsidR="008969F9">
              <w:rPr>
                <w:rFonts w:ascii="Arial" w:eastAsia="Times-Roman" w:hAnsi="Arial" w:cs="Arial"/>
                <w:sz w:val="20"/>
                <w:szCs w:val="20"/>
              </w:rPr>
              <w:t>a</w:t>
            </w:r>
            <w:r w:rsidR="00947B2E">
              <w:rPr>
                <w:rFonts w:ascii="Arial" w:eastAsia="Times-Roman" w:hAnsi="Arial" w:cs="Arial"/>
                <w:sz w:val="20"/>
                <w:szCs w:val="20"/>
              </w:rPr>
              <w:t>lizar BH, PFH y PFR cada 4 semanas hasta que se alcance una dosis estable de MTX y posteriormente cada 8 a 12 semanas.</w:t>
            </w:r>
          </w:p>
          <w:p w14:paraId="6CC1AD9F" w14:textId="77777777" w:rsidR="001E2E55" w:rsidRDefault="001E2E55" w:rsidP="007614D7">
            <w:pPr>
              <w:autoSpaceDE w:val="0"/>
              <w:autoSpaceDN w:val="0"/>
              <w:adjustRightInd w:val="0"/>
              <w:contextualSpacing/>
              <w:jc w:val="both"/>
              <w:rPr>
                <w:rFonts w:ascii="Arial" w:eastAsia="Times-Roman" w:hAnsi="Arial" w:cs="Arial"/>
                <w:sz w:val="20"/>
                <w:szCs w:val="20"/>
              </w:rPr>
            </w:pPr>
          </w:p>
          <w:p w14:paraId="5D2E962F" w14:textId="77777777" w:rsidR="000A1D17" w:rsidRPr="00472204" w:rsidRDefault="000A1D17" w:rsidP="007614D7">
            <w:pPr>
              <w:autoSpaceDE w:val="0"/>
              <w:autoSpaceDN w:val="0"/>
              <w:adjustRightInd w:val="0"/>
              <w:contextualSpacing/>
              <w:jc w:val="both"/>
              <w:rPr>
                <w:rFonts w:ascii="Arial" w:eastAsia="Times-Roman" w:hAnsi="Arial" w:cs="Arial"/>
                <w:sz w:val="20"/>
                <w:szCs w:val="20"/>
                <w:lang w:val="es-MX"/>
              </w:rPr>
            </w:pPr>
            <w:r w:rsidRPr="0068632C">
              <w:rPr>
                <w:rFonts w:ascii="Arial" w:eastAsia="Times-Roman" w:hAnsi="Arial" w:cs="Arial"/>
                <w:sz w:val="20"/>
                <w:szCs w:val="20"/>
              </w:rPr>
              <w:t>Algunas guías recomiendan en pacientes con factores de riesgo de infección por virus de la hepatitis o VIH (antecedentes transfusionales, prácticas sexuales de riesgo, uso de drogas intravenosas), realizar pruebas de escrutinio p</w:t>
            </w:r>
            <w:r w:rsidR="00781885">
              <w:rPr>
                <w:rFonts w:ascii="Arial" w:eastAsia="Times-Roman" w:hAnsi="Arial" w:cs="Arial"/>
                <w:sz w:val="20"/>
                <w:szCs w:val="20"/>
              </w:rPr>
              <w:t xml:space="preserve">ara hepatitis </w:t>
            </w:r>
            <w:r w:rsidR="00781885">
              <w:rPr>
                <w:rFonts w:ascii="Arial" w:eastAsia="Times-Roman" w:hAnsi="Arial" w:cs="Arial"/>
                <w:sz w:val="20"/>
                <w:szCs w:val="20"/>
              </w:rPr>
              <w:lastRenderedPageBreak/>
              <w:t>B o C o para VIH.</w:t>
            </w:r>
            <w:r w:rsidR="000C2BE3" w:rsidRPr="00577BEB">
              <w:rPr>
                <w:rFonts w:ascii="Arial" w:eastAsia="TrebuchetMS" w:hAnsi="Arial" w:cs="Arial"/>
                <w:b/>
                <w:color w:val="000000"/>
                <w:sz w:val="20"/>
                <w:szCs w:val="20"/>
                <w:lang w:val="es-ES"/>
              </w:rPr>
              <w:t xml:space="preserve"> [</w:t>
            </w:r>
            <w:r w:rsidR="000C2BE3" w:rsidRPr="002A5EEF">
              <w:rPr>
                <w:rFonts w:ascii="Arial" w:hAnsi="Arial" w:cs="Arial"/>
                <w:b/>
                <w:sz w:val="20"/>
                <w:szCs w:val="20"/>
              </w:rPr>
              <w:t xml:space="preserve">NE: </w:t>
            </w:r>
            <w:r w:rsidR="000C2BE3">
              <w:rPr>
                <w:rFonts w:ascii="Arial" w:hAnsi="Arial" w:cs="Arial"/>
                <w:b/>
                <w:sz w:val="20"/>
                <w:szCs w:val="20"/>
              </w:rPr>
              <w:t>II</w:t>
            </w:r>
            <w:r w:rsidR="000C2BE3" w:rsidRPr="002A5EEF">
              <w:rPr>
                <w:rFonts w:ascii="Arial" w:hAnsi="Arial" w:cs="Arial"/>
                <w:b/>
                <w:sz w:val="20"/>
                <w:szCs w:val="20"/>
              </w:rPr>
              <w:t xml:space="preserve">, GR: </w:t>
            </w:r>
            <w:r w:rsidR="000C2BE3">
              <w:rPr>
                <w:rFonts w:ascii="Arial" w:hAnsi="Arial" w:cs="Arial"/>
                <w:b/>
                <w:sz w:val="20"/>
                <w:szCs w:val="20"/>
              </w:rPr>
              <w:t>B]</w:t>
            </w:r>
            <w:r w:rsidR="00781885">
              <w:rPr>
                <w:rFonts w:ascii="Arial" w:eastAsia="Times-Roman" w:hAnsi="Arial" w:cs="Arial"/>
                <w:b/>
                <w:color w:val="FF0000"/>
                <w:sz w:val="20"/>
                <w:szCs w:val="20"/>
                <w:vertAlign w:val="superscript"/>
                <w:lang w:val="es-MX"/>
              </w:rPr>
              <w:t>6</w:t>
            </w:r>
          </w:p>
          <w:p w14:paraId="5F4478CA" w14:textId="77777777" w:rsidR="000A1D17" w:rsidRPr="0068632C" w:rsidRDefault="000A1D17" w:rsidP="007614D7">
            <w:pPr>
              <w:contextualSpacing/>
              <w:jc w:val="both"/>
              <w:rPr>
                <w:rFonts w:ascii="Arial" w:eastAsia="Times-Roman" w:hAnsi="Arial" w:cs="Arial"/>
                <w:sz w:val="20"/>
                <w:szCs w:val="20"/>
              </w:rPr>
            </w:pPr>
          </w:p>
          <w:p w14:paraId="60DAD6EA" w14:textId="5D58987D" w:rsidR="000A1D17" w:rsidRPr="0068632C" w:rsidRDefault="000A1D17" w:rsidP="000C2BE3">
            <w:pPr>
              <w:contextualSpacing/>
              <w:jc w:val="both"/>
              <w:rPr>
                <w:rFonts w:ascii="Arial" w:eastAsia="Times-Roman" w:hAnsi="Arial" w:cs="Arial"/>
                <w:sz w:val="20"/>
                <w:szCs w:val="20"/>
              </w:rPr>
            </w:pPr>
            <w:r w:rsidRPr="003F2362">
              <w:rPr>
                <w:rFonts w:ascii="Arial" w:eastAsia="Times-Roman" w:hAnsi="Arial" w:cs="Arial"/>
                <w:sz w:val="20"/>
                <w:szCs w:val="20"/>
              </w:rPr>
              <w:t>E</w:t>
            </w:r>
            <w:r w:rsidR="008969F9">
              <w:rPr>
                <w:rFonts w:ascii="Arial" w:eastAsia="Times-Roman" w:hAnsi="Arial" w:cs="Arial"/>
                <w:sz w:val="20"/>
                <w:szCs w:val="20"/>
              </w:rPr>
              <w:t>s importante descartar embarazo antes de iniciar MTX. E</w:t>
            </w:r>
            <w:r w:rsidRPr="003F2362">
              <w:rPr>
                <w:rFonts w:ascii="Arial" w:eastAsia="Times-Roman" w:hAnsi="Arial" w:cs="Arial"/>
                <w:sz w:val="20"/>
                <w:szCs w:val="20"/>
              </w:rPr>
              <w:t>n mujeres en edad gestacional y con vida sexual activa se debe realizar prueba de embarazo antes de iniciar tratamiento con MTX</w:t>
            </w:r>
            <w:r w:rsidR="008969F9">
              <w:rPr>
                <w:rFonts w:ascii="Arial" w:eastAsia="Times-Roman" w:hAnsi="Arial" w:cs="Arial"/>
                <w:sz w:val="20"/>
                <w:szCs w:val="20"/>
              </w:rPr>
              <w:t xml:space="preserve"> y debe informarse a la paciente sobre</w:t>
            </w:r>
            <w:r w:rsidR="00DD70E2">
              <w:rPr>
                <w:rFonts w:ascii="Arial" w:eastAsia="Times-Roman" w:hAnsi="Arial" w:cs="Arial"/>
                <w:sz w:val="20"/>
                <w:szCs w:val="20"/>
              </w:rPr>
              <w:t xml:space="preserve"> los riesgos potenciales de un e</w:t>
            </w:r>
            <w:r w:rsidR="008969F9">
              <w:rPr>
                <w:rFonts w:ascii="Arial" w:eastAsia="Times-Roman" w:hAnsi="Arial" w:cs="Arial"/>
                <w:sz w:val="20"/>
                <w:szCs w:val="20"/>
              </w:rPr>
              <w:t>mbarazo</w:t>
            </w:r>
            <w:r w:rsidRPr="003F2362">
              <w:rPr>
                <w:rFonts w:ascii="Arial" w:eastAsia="Times-Roman" w:hAnsi="Arial" w:cs="Arial"/>
                <w:sz w:val="20"/>
                <w:szCs w:val="20"/>
              </w:rPr>
              <w:t>.</w:t>
            </w:r>
            <w:r w:rsidRPr="0068632C">
              <w:rPr>
                <w:rFonts w:ascii="Arial" w:eastAsia="Times-Roman" w:hAnsi="Arial" w:cs="Arial"/>
                <w:sz w:val="20"/>
                <w:szCs w:val="20"/>
              </w:rPr>
              <w:t xml:space="preserve"> </w:t>
            </w:r>
            <w:r w:rsidR="004D6A3B" w:rsidRPr="00472204">
              <w:rPr>
                <w:rFonts w:ascii="Arial" w:eastAsia="Times-Roman" w:hAnsi="Arial" w:cs="Arial"/>
                <w:b/>
                <w:color w:val="FF0000"/>
                <w:sz w:val="20"/>
                <w:szCs w:val="20"/>
                <w:vertAlign w:val="superscript"/>
              </w:rPr>
              <w:t>11</w:t>
            </w:r>
          </w:p>
        </w:tc>
      </w:tr>
      <w:tr w:rsidR="000A1D17" w:rsidRPr="0068632C" w14:paraId="51F3BE26" w14:textId="77777777" w:rsidTr="007614D7">
        <w:tc>
          <w:tcPr>
            <w:tcW w:w="2660" w:type="dxa"/>
          </w:tcPr>
          <w:p w14:paraId="61B37560"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lastRenderedPageBreak/>
              <w:t>Monoterapia o en combinaciones (¿cuál es la mejor combinación y secuencia?)</w:t>
            </w:r>
          </w:p>
        </w:tc>
        <w:tc>
          <w:tcPr>
            <w:tcW w:w="7410" w:type="dxa"/>
          </w:tcPr>
          <w:p w14:paraId="3CAADD7C"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El MTX es el FARME de anclaje para cualquier tipo de terapia combinada, a menos que esté contraindicado.</w:t>
            </w:r>
            <w:r w:rsidR="003F2362" w:rsidRPr="00577BEB">
              <w:rPr>
                <w:rFonts w:ascii="Arial" w:eastAsia="TrebuchetMS" w:hAnsi="Arial" w:cs="Arial"/>
                <w:b/>
                <w:color w:val="000000"/>
                <w:sz w:val="20"/>
                <w:szCs w:val="20"/>
                <w:lang w:val="es-ES"/>
              </w:rPr>
              <w:t xml:space="preserve"> [</w:t>
            </w:r>
            <w:r w:rsidR="003F2362" w:rsidRPr="002A5EEF">
              <w:rPr>
                <w:rFonts w:ascii="Arial" w:hAnsi="Arial" w:cs="Arial"/>
                <w:b/>
                <w:sz w:val="20"/>
                <w:szCs w:val="20"/>
              </w:rPr>
              <w:t xml:space="preserve">NE: </w:t>
            </w:r>
            <w:r w:rsidR="003F2362">
              <w:rPr>
                <w:rFonts w:ascii="Arial" w:hAnsi="Arial" w:cs="Arial"/>
                <w:b/>
                <w:sz w:val="20"/>
                <w:szCs w:val="20"/>
              </w:rPr>
              <w:t>I</w:t>
            </w:r>
            <w:r w:rsidR="003F2362" w:rsidRPr="002A5EEF">
              <w:rPr>
                <w:rFonts w:ascii="Arial" w:hAnsi="Arial" w:cs="Arial"/>
                <w:b/>
                <w:sz w:val="20"/>
                <w:szCs w:val="20"/>
              </w:rPr>
              <w:t xml:space="preserve">, GR: </w:t>
            </w:r>
            <w:r w:rsidR="003F2362">
              <w:rPr>
                <w:rFonts w:ascii="Arial" w:hAnsi="Arial" w:cs="Arial"/>
                <w:b/>
                <w:sz w:val="20"/>
                <w:szCs w:val="20"/>
              </w:rPr>
              <w:t>A]</w:t>
            </w:r>
            <w:r w:rsidRPr="0068632C">
              <w:rPr>
                <w:rFonts w:ascii="Arial" w:eastAsia="Times-Roman" w:hAnsi="Arial" w:cs="Arial"/>
                <w:color w:val="FF0000"/>
                <w:sz w:val="20"/>
                <w:szCs w:val="20"/>
                <w:vertAlign w:val="superscript"/>
              </w:rPr>
              <w:t>6</w:t>
            </w:r>
          </w:p>
          <w:p w14:paraId="01FFB052" w14:textId="77777777" w:rsidR="000A1D17" w:rsidRPr="0068632C" w:rsidRDefault="000A1D17" w:rsidP="007614D7">
            <w:pPr>
              <w:contextualSpacing/>
              <w:jc w:val="both"/>
              <w:rPr>
                <w:rFonts w:ascii="Arial" w:eastAsia="Times-Roman" w:hAnsi="Arial" w:cs="Arial"/>
                <w:sz w:val="20"/>
                <w:szCs w:val="20"/>
              </w:rPr>
            </w:pPr>
          </w:p>
          <w:p w14:paraId="491BFE33" w14:textId="77777777" w:rsidR="000A1D17" w:rsidRPr="0068632C" w:rsidRDefault="000A1D17" w:rsidP="00D2135E">
            <w:pPr>
              <w:contextualSpacing/>
              <w:jc w:val="both"/>
              <w:rPr>
                <w:rFonts w:ascii="Arial" w:eastAsia="Times-Roman" w:hAnsi="Arial" w:cs="Arial"/>
                <w:sz w:val="20"/>
                <w:szCs w:val="20"/>
              </w:rPr>
            </w:pPr>
            <w:r w:rsidRPr="0068632C">
              <w:rPr>
                <w:rFonts w:ascii="Arial" w:eastAsia="Times-Roman" w:hAnsi="Arial" w:cs="Arial"/>
                <w:sz w:val="20"/>
                <w:szCs w:val="20"/>
              </w:rPr>
              <w:t xml:space="preserve">La </w:t>
            </w:r>
            <w:r w:rsidRPr="003F2362">
              <w:rPr>
                <w:rFonts w:ascii="Arial" w:eastAsia="Times-Roman" w:hAnsi="Arial" w:cs="Arial"/>
                <w:sz w:val="20"/>
                <w:szCs w:val="20"/>
              </w:rPr>
              <w:t>terapia combinada de MTX con C</w:t>
            </w:r>
            <w:r w:rsidR="00D54A7D" w:rsidRPr="003F2362">
              <w:rPr>
                <w:rFonts w:ascii="Arial" w:eastAsia="Times-Roman" w:hAnsi="Arial" w:cs="Arial"/>
                <w:sz w:val="20"/>
                <w:szCs w:val="20"/>
              </w:rPr>
              <w:t>L</w:t>
            </w:r>
            <w:r w:rsidRPr="003F2362">
              <w:rPr>
                <w:rFonts w:ascii="Arial" w:eastAsia="Times-Roman" w:hAnsi="Arial" w:cs="Arial"/>
                <w:sz w:val="20"/>
                <w:szCs w:val="20"/>
              </w:rPr>
              <w:t>Q</w:t>
            </w:r>
            <w:r w:rsidR="003F2362" w:rsidRPr="003F2362">
              <w:rPr>
                <w:rFonts w:ascii="Arial" w:eastAsia="Times-Roman" w:hAnsi="Arial" w:cs="Arial"/>
                <w:sz w:val="20"/>
                <w:szCs w:val="20"/>
              </w:rPr>
              <w:t xml:space="preserve"> o </w:t>
            </w:r>
            <w:r w:rsidRPr="003F2362">
              <w:rPr>
                <w:rFonts w:ascii="Arial" w:eastAsia="Times-Roman" w:hAnsi="Arial" w:cs="Arial"/>
                <w:sz w:val="20"/>
                <w:szCs w:val="20"/>
              </w:rPr>
              <w:t>HCQ</w:t>
            </w:r>
            <w:r w:rsidR="003F2362" w:rsidRPr="003F2362">
              <w:rPr>
                <w:rFonts w:ascii="Arial" w:eastAsia="Times-Roman" w:hAnsi="Arial" w:cs="Arial"/>
                <w:sz w:val="20"/>
                <w:szCs w:val="20"/>
              </w:rPr>
              <w:t xml:space="preserve"> y/o </w:t>
            </w:r>
            <w:r w:rsidRPr="003F2362">
              <w:rPr>
                <w:rFonts w:ascii="Arial" w:eastAsia="Times-Roman" w:hAnsi="Arial" w:cs="Arial"/>
                <w:sz w:val="20"/>
                <w:szCs w:val="20"/>
              </w:rPr>
              <w:t>SSZ</w:t>
            </w:r>
            <w:r w:rsidR="003F2362" w:rsidRPr="003F2362">
              <w:rPr>
                <w:rFonts w:ascii="Arial" w:eastAsia="Times-Roman" w:hAnsi="Arial" w:cs="Arial"/>
                <w:sz w:val="20"/>
                <w:szCs w:val="20"/>
              </w:rPr>
              <w:t xml:space="preserve">; o con </w:t>
            </w:r>
            <w:r w:rsidRPr="003F2362">
              <w:rPr>
                <w:rFonts w:ascii="Arial" w:eastAsia="Times-Roman" w:hAnsi="Arial" w:cs="Arial"/>
                <w:sz w:val="20"/>
                <w:szCs w:val="20"/>
              </w:rPr>
              <w:t>LEF han</w:t>
            </w:r>
            <w:r w:rsidRPr="0068632C">
              <w:rPr>
                <w:rFonts w:ascii="Arial" w:eastAsia="Times-Roman" w:hAnsi="Arial" w:cs="Arial"/>
                <w:sz w:val="20"/>
                <w:szCs w:val="20"/>
              </w:rPr>
              <w:t xml:space="preserve"> probado ser eficaces en la reducción de  los signos o síntomas de enfermedad activa en casos de respue</w:t>
            </w:r>
            <w:r w:rsidR="003F2362">
              <w:rPr>
                <w:rFonts w:ascii="Arial" w:eastAsia="Times-Roman" w:hAnsi="Arial" w:cs="Arial"/>
                <w:sz w:val="20"/>
                <w:szCs w:val="20"/>
              </w:rPr>
              <w:t>sta inadecuada a la monoterapia.</w:t>
            </w:r>
            <w:r w:rsidR="003F2362" w:rsidRPr="00577BEB">
              <w:rPr>
                <w:rFonts w:ascii="Arial" w:eastAsia="TrebuchetMS" w:hAnsi="Arial" w:cs="Arial"/>
                <w:b/>
                <w:color w:val="000000"/>
                <w:sz w:val="20"/>
                <w:szCs w:val="20"/>
                <w:lang w:val="es-ES"/>
              </w:rPr>
              <w:t xml:space="preserve"> [</w:t>
            </w:r>
            <w:r w:rsidR="003F2362" w:rsidRPr="002A5EEF">
              <w:rPr>
                <w:rFonts w:ascii="Arial" w:hAnsi="Arial" w:cs="Arial"/>
                <w:b/>
                <w:sz w:val="20"/>
                <w:szCs w:val="20"/>
              </w:rPr>
              <w:t xml:space="preserve">NE: </w:t>
            </w:r>
            <w:r w:rsidR="003F2362">
              <w:rPr>
                <w:rFonts w:ascii="Arial" w:hAnsi="Arial" w:cs="Arial"/>
                <w:b/>
                <w:sz w:val="20"/>
                <w:szCs w:val="20"/>
              </w:rPr>
              <w:t>I</w:t>
            </w:r>
            <w:r w:rsidR="003F2362" w:rsidRPr="002A5EEF">
              <w:rPr>
                <w:rFonts w:ascii="Arial" w:hAnsi="Arial" w:cs="Arial"/>
                <w:b/>
                <w:sz w:val="20"/>
                <w:szCs w:val="20"/>
              </w:rPr>
              <w:t xml:space="preserve">, GR: </w:t>
            </w:r>
            <w:r w:rsidR="003F2362">
              <w:rPr>
                <w:rFonts w:ascii="Arial" w:hAnsi="Arial" w:cs="Arial"/>
                <w:b/>
                <w:sz w:val="20"/>
                <w:szCs w:val="20"/>
              </w:rPr>
              <w:t>A]</w:t>
            </w:r>
            <w:r w:rsidRPr="0068632C">
              <w:rPr>
                <w:rFonts w:ascii="Arial" w:eastAsia="Times-Roman" w:hAnsi="Arial" w:cs="Arial"/>
                <w:color w:val="FF0000"/>
                <w:sz w:val="20"/>
                <w:szCs w:val="20"/>
                <w:vertAlign w:val="superscript"/>
              </w:rPr>
              <w:t>6</w:t>
            </w:r>
          </w:p>
        </w:tc>
      </w:tr>
      <w:tr w:rsidR="000A1D17" w:rsidRPr="0068632C" w14:paraId="46F1457F" w14:textId="77777777" w:rsidTr="007614D7">
        <w:tc>
          <w:tcPr>
            <w:tcW w:w="2660" w:type="dxa"/>
          </w:tcPr>
          <w:p w14:paraId="0ED29D90"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Tiempo para definir ajuste de dosis  y retiro del medicamento</w:t>
            </w:r>
          </w:p>
        </w:tc>
        <w:tc>
          <w:tcPr>
            <w:tcW w:w="7410" w:type="dxa"/>
          </w:tcPr>
          <w:p w14:paraId="40F3440D" w14:textId="77777777" w:rsidR="000A1D17" w:rsidRPr="0068632C" w:rsidRDefault="000A1D17" w:rsidP="007614D7">
            <w:pPr>
              <w:contextualSpacing/>
              <w:rPr>
                <w:rFonts w:ascii="Arial" w:eastAsia="Times-Roman" w:hAnsi="Arial" w:cs="Arial"/>
                <w:sz w:val="20"/>
                <w:szCs w:val="20"/>
              </w:rPr>
            </w:pPr>
            <w:r w:rsidRPr="0068632C">
              <w:rPr>
                <w:rFonts w:ascii="Arial" w:eastAsia="Times-Roman" w:hAnsi="Arial" w:cs="Arial"/>
                <w:sz w:val="20"/>
                <w:szCs w:val="20"/>
              </w:rPr>
              <w:t>El tiempo recomendado para alcanzar la dosis máxima de MTX es a los tres meses de inicio del tratamiento.</w:t>
            </w:r>
            <w:r w:rsidR="003F2362" w:rsidRPr="00577BEB">
              <w:rPr>
                <w:rFonts w:ascii="Arial" w:eastAsia="TrebuchetMS" w:hAnsi="Arial" w:cs="Arial"/>
                <w:b/>
                <w:color w:val="000000"/>
                <w:sz w:val="20"/>
                <w:szCs w:val="20"/>
                <w:lang w:val="es-ES"/>
              </w:rPr>
              <w:t xml:space="preserve"> [</w:t>
            </w:r>
            <w:r w:rsidR="003F2362" w:rsidRPr="002A5EEF">
              <w:rPr>
                <w:rFonts w:ascii="Arial" w:hAnsi="Arial" w:cs="Arial"/>
                <w:b/>
                <w:sz w:val="20"/>
                <w:szCs w:val="20"/>
              </w:rPr>
              <w:t xml:space="preserve">NE: </w:t>
            </w:r>
            <w:r w:rsidR="003F2362">
              <w:rPr>
                <w:rFonts w:ascii="Arial" w:hAnsi="Arial" w:cs="Arial"/>
                <w:b/>
                <w:sz w:val="20"/>
                <w:szCs w:val="20"/>
              </w:rPr>
              <w:t>I</w:t>
            </w:r>
            <w:r w:rsidR="003F2362" w:rsidRPr="002A5EEF">
              <w:rPr>
                <w:rFonts w:ascii="Arial" w:hAnsi="Arial" w:cs="Arial"/>
                <w:b/>
                <w:sz w:val="20"/>
                <w:szCs w:val="20"/>
              </w:rPr>
              <w:t xml:space="preserve">, GR: </w:t>
            </w:r>
            <w:r w:rsidR="003F2362">
              <w:rPr>
                <w:rFonts w:ascii="Arial" w:hAnsi="Arial" w:cs="Arial"/>
                <w:b/>
                <w:sz w:val="20"/>
                <w:szCs w:val="20"/>
              </w:rPr>
              <w:t>A]</w:t>
            </w:r>
            <w:r w:rsidR="003F2362">
              <w:rPr>
                <w:rFonts w:ascii="Arial" w:eastAsia="Times-Roman" w:hAnsi="Arial" w:cs="Arial"/>
                <w:color w:val="FF0000"/>
                <w:sz w:val="20"/>
                <w:szCs w:val="20"/>
                <w:vertAlign w:val="superscript"/>
              </w:rPr>
              <w:t>2</w:t>
            </w:r>
          </w:p>
          <w:p w14:paraId="4F867D0A" w14:textId="77777777" w:rsidR="000A1D17" w:rsidRPr="0068632C" w:rsidRDefault="000A1D17" w:rsidP="007614D7">
            <w:pPr>
              <w:contextualSpacing/>
              <w:rPr>
                <w:rFonts w:ascii="Arial" w:eastAsia="Times-Roman" w:hAnsi="Arial" w:cs="Arial"/>
                <w:sz w:val="20"/>
                <w:szCs w:val="20"/>
              </w:rPr>
            </w:pPr>
          </w:p>
          <w:p w14:paraId="7577CC0F" w14:textId="77777777" w:rsidR="000A1D17" w:rsidRPr="0068632C" w:rsidRDefault="000A1D17" w:rsidP="007614D7">
            <w:pPr>
              <w:contextualSpacing/>
              <w:rPr>
                <w:rFonts w:ascii="Arial" w:eastAsia="Times-Roman" w:hAnsi="Arial" w:cs="Arial"/>
                <w:sz w:val="20"/>
                <w:szCs w:val="20"/>
              </w:rPr>
            </w:pPr>
            <w:r w:rsidRPr="0068632C">
              <w:rPr>
                <w:rFonts w:ascii="Arial" w:eastAsia="Times-Roman" w:hAnsi="Arial" w:cs="Arial"/>
                <w:sz w:val="20"/>
                <w:szCs w:val="20"/>
              </w:rPr>
              <w:t>En pacientes con aparente respuesta inadecuada a MTX por VO, debe considerarse el cambio a la administración parenteral (IM o SC) antes de dictaminar falla al tratamiento.</w:t>
            </w:r>
            <w:r w:rsidRPr="0068632C">
              <w:rPr>
                <w:rFonts w:ascii="Arial" w:eastAsia="Times-Roman" w:hAnsi="Arial" w:cs="Arial"/>
                <w:color w:val="FF0000"/>
                <w:sz w:val="20"/>
                <w:szCs w:val="20"/>
                <w:vertAlign w:val="superscript"/>
              </w:rPr>
              <w:t>1-3</w:t>
            </w:r>
          </w:p>
          <w:p w14:paraId="0FDC5D14" w14:textId="77777777" w:rsidR="000A1D17" w:rsidRPr="0068632C" w:rsidRDefault="000A1D17" w:rsidP="007614D7">
            <w:pPr>
              <w:contextualSpacing/>
              <w:rPr>
                <w:rFonts w:ascii="Arial" w:eastAsia="Times-Roman" w:hAnsi="Arial" w:cs="Arial"/>
                <w:sz w:val="20"/>
                <w:szCs w:val="20"/>
              </w:rPr>
            </w:pPr>
            <w:r w:rsidRPr="0068632C">
              <w:rPr>
                <w:rFonts w:ascii="Arial" w:eastAsia="Times-Roman" w:hAnsi="Arial" w:cs="Arial"/>
                <w:sz w:val="20"/>
                <w:szCs w:val="20"/>
              </w:rPr>
              <w:t xml:space="preserve">Nivel de evidencia: </w:t>
            </w:r>
            <w:r w:rsidRPr="0068632C">
              <w:rPr>
                <w:rFonts w:ascii="Arial" w:eastAsia="Times-Roman" w:hAnsi="Arial" w:cs="Arial"/>
                <w:b/>
                <w:sz w:val="20"/>
                <w:szCs w:val="20"/>
              </w:rPr>
              <w:t>I</w:t>
            </w:r>
          </w:p>
          <w:p w14:paraId="13EB8509" w14:textId="77777777" w:rsidR="000A1D17" w:rsidRPr="0068632C" w:rsidRDefault="000A1D17" w:rsidP="007614D7">
            <w:pPr>
              <w:contextualSpacing/>
              <w:rPr>
                <w:rFonts w:ascii="Arial" w:eastAsia="Times-Roman" w:hAnsi="Arial" w:cs="Arial"/>
                <w:sz w:val="20"/>
                <w:szCs w:val="20"/>
              </w:rPr>
            </w:pPr>
            <w:r w:rsidRPr="0068632C">
              <w:rPr>
                <w:rFonts w:ascii="Arial" w:eastAsia="Times-Roman" w:hAnsi="Arial" w:cs="Arial"/>
                <w:sz w:val="20"/>
                <w:szCs w:val="20"/>
              </w:rPr>
              <w:t xml:space="preserve">Fuerza de recomendación: </w:t>
            </w:r>
            <w:r w:rsidRPr="0068632C">
              <w:rPr>
                <w:rFonts w:ascii="Arial" w:eastAsia="Times-Roman" w:hAnsi="Arial" w:cs="Arial"/>
                <w:b/>
                <w:sz w:val="20"/>
                <w:szCs w:val="20"/>
              </w:rPr>
              <w:t>A</w:t>
            </w:r>
          </w:p>
          <w:p w14:paraId="4D5B69A9" w14:textId="77777777" w:rsidR="000A1D17" w:rsidRPr="0068632C" w:rsidRDefault="000A1D17" w:rsidP="007614D7">
            <w:pPr>
              <w:contextualSpacing/>
              <w:rPr>
                <w:rFonts w:ascii="Arial" w:eastAsia="Times-Roman" w:hAnsi="Arial" w:cs="Arial"/>
                <w:sz w:val="20"/>
                <w:szCs w:val="20"/>
              </w:rPr>
            </w:pPr>
            <w:r w:rsidRPr="0068632C">
              <w:rPr>
                <w:rFonts w:ascii="Arial" w:eastAsia="Times-Roman" w:hAnsi="Arial" w:cs="Arial"/>
                <w:sz w:val="20"/>
                <w:szCs w:val="20"/>
              </w:rPr>
              <w:t>Barrera de implementación: Ninguna</w:t>
            </w:r>
          </w:p>
        </w:tc>
      </w:tr>
      <w:tr w:rsidR="000A1D17" w:rsidRPr="0068632C" w14:paraId="500E7833" w14:textId="77777777" w:rsidTr="007614D7">
        <w:tc>
          <w:tcPr>
            <w:tcW w:w="2660" w:type="dxa"/>
          </w:tcPr>
          <w:p w14:paraId="3103EF75"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Dosis mínima y máxima</w:t>
            </w:r>
          </w:p>
        </w:tc>
        <w:tc>
          <w:tcPr>
            <w:tcW w:w="7410" w:type="dxa"/>
          </w:tcPr>
          <w:p w14:paraId="7F061891" w14:textId="7E9F425E" w:rsidR="000A1D17" w:rsidRPr="0068632C" w:rsidRDefault="000A1D17" w:rsidP="007614D7">
            <w:pPr>
              <w:contextualSpacing/>
              <w:rPr>
                <w:rFonts w:ascii="Arial" w:eastAsia="Times-Roman" w:hAnsi="Arial" w:cs="Arial"/>
                <w:sz w:val="20"/>
                <w:szCs w:val="20"/>
              </w:rPr>
            </w:pPr>
            <w:r w:rsidRPr="001A5BEB">
              <w:rPr>
                <w:rFonts w:ascii="Arial" w:eastAsia="Times-Roman" w:hAnsi="Arial" w:cs="Arial"/>
                <w:sz w:val="20"/>
                <w:szCs w:val="20"/>
              </w:rPr>
              <w:t xml:space="preserve">La dosis de MTX debe ser individualizada. Se recomienda iniciar con una dosis de </w:t>
            </w:r>
            <w:r w:rsidR="003F2362" w:rsidRPr="001A5BEB">
              <w:rPr>
                <w:rFonts w:ascii="Arial" w:eastAsia="Times-Roman" w:hAnsi="Arial" w:cs="Arial"/>
                <w:sz w:val="20"/>
                <w:szCs w:val="20"/>
              </w:rPr>
              <w:t>1</w:t>
            </w:r>
            <w:r w:rsidR="00B34086" w:rsidRPr="001A5BEB">
              <w:rPr>
                <w:rFonts w:ascii="Arial" w:eastAsia="Times-Roman" w:hAnsi="Arial" w:cs="Arial"/>
                <w:sz w:val="20"/>
                <w:szCs w:val="20"/>
              </w:rPr>
              <w:t>0</w:t>
            </w:r>
            <w:r w:rsidR="003F2362" w:rsidRPr="001A5BEB">
              <w:rPr>
                <w:rFonts w:ascii="Arial" w:eastAsia="Times-Roman" w:hAnsi="Arial" w:cs="Arial"/>
                <w:sz w:val="20"/>
                <w:szCs w:val="20"/>
              </w:rPr>
              <w:t xml:space="preserve"> a 15</w:t>
            </w:r>
            <w:r w:rsidRPr="001A5BEB">
              <w:rPr>
                <w:rFonts w:ascii="Arial" w:eastAsia="Times-Roman" w:hAnsi="Arial" w:cs="Arial"/>
                <w:sz w:val="20"/>
                <w:szCs w:val="20"/>
              </w:rPr>
              <w:t xml:space="preserve"> mg/semana, con un rápido  incremento a una dosis máxima de 25  </w:t>
            </w:r>
            <w:r w:rsidR="00B34086" w:rsidRPr="001A5BEB">
              <w:rPr>
                <w:rFonts w:ascii="Arial" w:eastAsia="Times-Roman" w:hAnsi="Arial" w:cs="Arial"/>
                <w:sz w:val="20"/>
                <w:szCs w:val="20"/>
              </w:rPr>
              <w:t>m</w:t>
            </w:r>
            <w:r w:rsidRPr="001A5BEB">
              <w:rPr>
                <w:rFonts w:ascii="Arial" w:eastAsia="Times-Roman" w:hAnsi="Arial" w:cs="Arial"/>
                <w:sz w:val="20"/>
                <w:szCs w:val="20"/>
              </w:rPr>
              <w:t>g/semana</w:t>
            </w:r>
            <w:r w:rsidR="00B34086" w:rsidRPr="001A5BEB">
              <w:rPr>
                <w:rFonts w:ascii="Arial" w:eastAsia="Times-Roman" w:hAnsi="Arial" w:cs="Arial"/>
                <w:sz w:val="20"/>
                <w:szCs w:val="20"/>
              </w:rPr>
              <w:t>. La dosis debe ser ajustada en base a la función renal.</w:t>
            </w:r>
            <w:r w:rsidR="003F2362" w:rsidRPr="001A5BEB">
              <w:rPr>
                <w:rFonts w:ascii="Arial" w:eastAsia="TrebuchetMS" w:hAnsi="Arial" w:cs="Arial"/>
                <w:b/>
                <w:color w:val="000000"/>
                <w:sz w:val="20"/>
                <w:szCs w:val="20"/>
                <w:lang w:val="es-ES"/>
              </w:rPr>
              <w:t xml:space="preserve"> [</w:t>
            </w:r>
            <w:r w:rsidR="003F2362" w:rsidRPr="001A5BEB">
              <w:rPr>
                <w:rFonts w:ascii="Arial" w:hAnsi="Arial" w:cs="Arial"/>
                <w:b/>
                <w:sz w:val="20"/>
                <w:szCs w:val="20"/>
              </w:rPr>
              <w:t>NE: I, GR: A]</w:t>
            </w:r>
            <w:r w:rsidR="003F2362" w:rsidRPr="001A5BEB">
              <w:rPr>
                <w:rFonts w:ascii="Arial" w:eastAsia="Times-Roman" w:hAnsi="Arial" w:cs="Arial"/>
                <w:color w:val="FF0000"/>
                <w:sz w:val="20"/>
                <w:szCs w:val="20"/>
                <w:vertAlign w:val="superscript"/>
              </w:rPr>
              <w:t>6</w:t>
            </w:r>
          </w:p>
          <w:p w14:paraId="27E9744E" w14:textId="77777777" w:rsidR="000A1D17" w:rsidRPr="0068632C" w:rsidRDefault="000A1D17" w:rsidP="007614D7">
            <w:pPr>
              <w:contextualSpacing/>
              <w:rPr>
                <w:rFonts w:ascii="Arial" w:eastAsia="Times-Roman" w:hAnsi="Arial" w:cs="Arial"/>
                <w:sz w:val="20"/>
                <w:szCs w:val="20"/>
              </w:rPr>
            </w:pPr>
          </w:p>
          <w:p w14:paraId="421F911A" w14:textId="77777777" w:rsidR="000A1D17" w:rsidRPr="0068632C" w:rsidRDefault="000A1D17" w:rsidP="0085779D">
            <w:pPr>
              <w:autoSpaceDE w:val="0"/>
              <w:autoSpaceDN w:val="0"/>
              <w:adjustRightInd w:val="0"/>
              <w:contextualSpacing/>
              <w:jc w:val="both"/>
              <w:rPr>
                <w:rFonts w:ascii="Arial" w:eastAsia="Times-Roman" w:hAnsi="Arial" w:cs="Arial"/>
                <w:sz w:val="20"/>
                <w:szCs w:val="20"/>
              </w:rPr>
            </w:pPr>
            <w:r w:rsidRPr="0068632C">
              <w:rPr>
                <w:rFonts w:ascii="Arial" w:eastAsia="Times-Roman" w:hAnsi="Arial" w:cs="Arial"/>
                <w:sz w:val="20"/>
                <w:szCs w:val="20"/>
              </w:rPr>
              <w:t>El grupo de trabajo recomienda utilizar una dosis semanal de MTX de 10 a 15 mg como inicio en pacientes con enfermedad activa, con incrementos en la dosis de 5 mg por semana, los cuales deben ser evaluados cada 6 a 8 semanas hasta llegar a 25 mg como dosis máxima en cuyo caso, si existe falla al tratamiento, se sugiere considerar la posibilidad de terapia combinada con dos FARME sintéticos o valorar, de acuerdo a las condiciones individuales, el uso concomitante con un FARME biológico. El panel además sugiere considerar en todos los pacientes el uso concomitante de ácido fólico con el objetivo de reducir los efectos secundarios.</w:t>
            </w:r>
            <w:r w:rsidR="0085779D">
              <w:rPr>
                <w:rFonts w:ascii="Arial" w:eastAsia="Times-Roman" w:hAnsi="Arial" w:cs="Arial"/>
                <w:sz w:val="20"/>
                <w:szCs w:val="20"/>
              </w:rPr>
              <w:t xml:space="preserve"> </w:t>
            </w:r>
            <w:r w:rsidR="0085779D" w:rsidRPr="002A5EEF">
              <w:rPr>
                <w:rFonts w:ascii="Arial" w:hAnsi="Arial" w:cs="Arial"/>
                <w:b/>
                <w:sz w:val="20"/>
                <w:szCs w:val="20"/>
              </w:rPr>
              <w:t xml:space="preserve">GR: </w:t>
            </w:r>
            <w:r w:rsidR="0085779D">
              <w:rPr>
                <w:rFonts w:ascii="Arial" w:hAnsi="Arial" w:cs="Arial"/>
                <w:b/>
                <w:sz w:val="20"/>
                <w:szCs w:val="20"/>
              </w:rPr>
              <w:t>D</w:t>
            </w:r>
          </w:p>
        </w:tc>
      </w:tr>
      <w:tr w:rsidR="000A1D17" w:rsidRPr="0068632C" w14:paraId="6D31D8F7" w14:textId="77777777" w:rsidTr="007614D7">
        <w:tc>
          <w:tcPr>
            <w:tcW w:w="2660" w:type="dxa"/>
          </w:tcPr>
          <w:p w14:paraId="562609A1" w14:textId="77777777" w:rsidR="000A1D17" w:rsidRPr="0068632C" w:rsidRDefault="000A1D17" w:rsidP="007614D7">
            <w:pPr>
              <w:contextualSpacing/>
              <w:jc w:val="both"/>
              <w:rPr>
                <w:rFonts w:ascii="Arial" w:hAnsi="Arial" w:cs="Arial"/>
                <w:sz w:val="20"/>
                <w:szCs w:val="20"/>
              </w:rPr>
            </w:pPr>
            <w:r w:rsidRPr="0068632C">
              <w:rPr>
                <w:rFonts w:ascii="Arial" w:hAnsi="Arial" w:cs="Arial"/>
                <w:sz w:val="20"/>
                <w:szCs w:val="20"/>
              </w:rPr>
              <w:t>Contraindicaciones</w:t>
            </w:r>
          </w:p>
        </w:tc>
        <w:tc>
          <w:tcPr>
            <w:tcW w:w="7410" w:type="dxa"/>
          </w:tcPr>
          <w:p w14:paraId="0C4C3BCF"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El MTX está contraindicado en caso de hipersensibilidad, embarazo y lactancia, hepatopatía alcohólica, hepatitis por virus B o C, insuficiencia hepática, síndromes de inmunodeficiencia, insuficiencia renal y citopenias.</w:t>
            </w:r>
          </w:p>
          <w:p w14:paraId="639F3144"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La presencia de neumopatía crónica y la infección activa no asociada al síndrome de Felty son contraindicaciones relativas.</w:t>
            </w:r>
            <w:r w:rsidRPr="0068632C">
              <w:rPr>
                <w:rFonts w:ascii="Arial" w:eastAsia="Times-Roman" w:hAnsi="Arial" w:cs="Arial"/>
                <w:color w:val="FF0000"/>
                <w:sz w:val="20"/>
                <w:szCs w:val="20"/>
                <w:vertAlign w:val="superscript"/>
              </w:rPr>
              <w:t>2,3</w:t>
            </w:r>
          </w:p>
        </w:tc>
      </w:tr>
      <w:tr w:rsidR="000A1D17" w:rsidRPr="0068632C" w14:paraId="36F5B6D5" w14:textId="77777777" w:rsidTr="007614D7">
        <w:tc>
          <w:tcPr>
            <w:tcW w:w="2660" w:type="dxa"/>
          </w:tcPr>
          <w:p w14:paraId="2C5D5EB6" w14:textId="77777777" w:rsidR="000A1D17" w:rsidRPr="0068632C" w:rsidRDefault="000A1D17" w:rsidP="007614D7">
            <w:pPr>
              <w:contextualSpacing/>
              <w:jc w:val="both"/>
              <w:rPr>
                <w:rFonts w:ascii="Arial" w:hAnsi="Arial" w:cs="Arial"/>
                <w:sz w:val="20"/>
                <w:szCs w:val="20"/>
              </w:rPr>
            </w:pPr>
            <w:r w:rsidRPr="0068632C">
              <w:rPr>
                <w:rFonts w:ascii="Arial" w:hAnsi="Arial" w:cs="Arial"/>
                <w:sz w:val="20"/>
                <w:szCs w:val="20"/>
              </w:rPr>
              <w:t>Casos especiales</w:t>
            </w:r>
          </w:p>
        </w:tc>
        <w:tc>
          <w:tcPr>
            <w:tcW w:w="7410" w:type="dxa"/>
          </w:tcPr>
          <w:p w14:paraId="15074403"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Tanto en hombres, como en mujeres, el MTX debe ser suspendido al menos tres meses antes de considerar la concepción.</w:t>
            </w:r>
            <w:r w:rsidR="001A5BEB">
              <w:rPr>
                <w:rFonts w:ascii="Arial" w:eastAsia="Times-Roman" w:hAnsi="Arial" w:cs="Arial"/>
                <w:sz w:val="20"/>
                <w:szCs w:val="20"/>
              </w:rPr>
              <w:t xml:space="preserve"> </w:t>
            </w:r>
            <w:r w:rsidR="001A5BEB" w:rsidRPr="001A5BEB">
              <w:rPr>
                <w:rFonts w:ascii="Arial" w:eastAsia="TrebuchetMS" w:hAnsi="Arial" w:cs="Arial"/>
                <w:b/>
                <w:color w:val="000000"/>
                <w:sz w:val="20"/>
                <w:szCs w:val="20"/>
                <w:lang w:val="es-ES"/>
              </w:rPr>
              <w:t>[</w:t>
            </w:r>
            <w:r w:rsidR="001A5BEB" w:rsidRPr="001A5BEB">
              <w:rPr>
                <w:rFonts w:ascii="Arial" w:hAnsi="Arial" w:cs="Arial"/>
                <w:b/>
                <w:sz w:val="20"/>
                <w:szCs w:val="20"/>
              </w:rPr>
              <w:t>NE: I</w:t>
            </w:r>
            <w:r w:rsidR="001A5BEB">
              <w:rPr>
                <w:rFonts w:ascii="Arial" w:hAnsi="Arial" w:cs="Arial"/>
                <w:b/>
                <w:sz w:val="20"/>
                <w:szCs w:val="20"/>
              </w:rPr>
              <w:t>V</w:t>
            </w:r>
            <w:r w:rsidR="001A5BEB" w:rsidRPr="001A5BEB">
              <w:rPr>
                <w:rFonts w:ascii="Arial" w:hAnsi="Arial" w:cs="Arial"/>
                <w:b/>
                <w:sz w:val="20"/>
                <w:szCs w:val="20"/>
              </w:rPr>
              <w:t xml:space="preserve">, GR: </w:t>
            </w:r>
            <w:r w:rsidR="001A5BEB">
              <w:rPr>
                <w:rFonts w:ascii="Arial" w:hAnsi="Arial" w:cs="Arial"/>
                <w:b/>
                <w:sz w:val="20"/>
                <w:szCs w:val="20"/>
              </w:rPr>
              <w:t>D</w:t>
            </w:r>
            <w:r w:rsidR="001A5BEB" w:rsidRPr="001A5BEB">
              <w:rPr>
                <w:rFonts w:ascii="Arial" w:hAnsi="Arial" w:cs="Arial"/>
                <w:b/>
                <w:sz w:val="20"/>
                <w:szCs w:val="20"/>
              </w:rPr>
              <w:t>]</w:t>
            </w:r>
            <w:r w:rsidR="001A5BEB">
              <w:rPr>
                <w:rFonts w:ascii="Arial" w:eastAsia="Times-Roman" w:hAnsi="Arial" w:cs="Arial"/>
                <w:color w:val="FF0000"/>
                <w:sz w:val="20"/>
                <w:szCs w:val="20"/>
                <w:vertAlign w:val="superscript"/>
              </w:rPr>
              <w:t>1</w:t>
            </w:r>
            <w:r w:rsidR="00E11C9C">
              <w:rPr>
                <w:rFonts w:ascii="Arial" w:eastAsia="Times-Roman" w:hAnsi="Arial" w:cs="Arial"/>
                <w:color w:val="FF0000"/>
                <w:sz w:val="20"/>
                <w:szCs w:val="20"/>
                <w:vertAlign w:val="superscript"/>
              </w:rPr>
              <w:t>0</w:t>
            </w:r>
          </w:p>
          <w:p w14:paraId="52C8DD0A" w14:textId="77777777" w:rsidR="000A1D17" w:rsidRPr="0068632C" w:rsidRDefault="000A1D17" w:rsidP="007614D7">
            <w:pPr>
              <w:contextualSpacing/>
              <w:jc w:val="both"/>
              <w:rPr>
                <w:rFonts w:ascii="Arial" w:eastAsia="Times-Roman" w:hAnsi="Arial" w:cs="Arial"/>
                <w:sz w:val="20"/>
                <w:szCs w:val="20"/>
              </w:rPr>
            </w:pPr>
          </w:p>
          <w:p w14:paraId="7ED49A14"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Las mujeres que reciben MTX en edad gestacional y con vida sexual activa deben recibir un método anticonceptivo.</w:t>
            </w:r>
            <w:r w:rsidR="001A5BEB" w:rsidRPr="001A5BEB">
              <w:rPr>
                <w:rFonts w:ascii="Arial" w:eastAsia="TrebuchetMS" w:hAnsi="Arial" w:cs="Arial"/>
                <w:b/>
                <w:color w:val="000000"/>
                <w:sz w:val="20"/>
                <w:szCs w:val="20"/>
                <w:lang w:val="es-ES"/>
              </w:rPr>
              <w:t xml:space="preserve"> [</w:t>
            </w:r>
            <w:r w:rsidR="001A5BEB" w:rsidRPr="001A5BEB">
              <w:rPr>
                <w:rFonts w:ascii="Arial" w:hAnsi="Arial" w:cs="Arial"/>
                <w:b/>
                <w:sz w:val="20"/>
                <w:szCs w:val="20"/>
              </w:rPr>
              <w:t>NE: I</w:t>
            </w:r>
            <w:r w:rsidR="001A5BEB">
              <w:rPr>
                <w:rFonts w:ascii="Arial" w:hAnsi="Arial" w:cs="Arial"/>
                <w:b/>
                <w:sz w:val="20"/>
                <w:szCs w:val="20"/>
              </w:rPr>
              <w:t>V</w:t>
            </w:r>
            <w:r w:rsidR="001A5BEB" w:rsidRPr="001A5BEB">
              <w:rPr>
                <w:rFonts w:ascii="Arial" w:hAnsi="Arial" w:cs="Arial"/>
                <w:b/>
                <w:sz w:val="20"/>
                <w:szCs w:val="20"/>
              </w:rPr>
              <w:t xml:space="preserve">, GR: </w:t>
            </w:r>
            <w:r w:rsidR="001A5BEB">
              <w:rPr>
                <w:rFonts w:ascii="Arial" w:hAnsi="Arial" w:cs="Arial"/>
                <w:b/>
                <w:sz w:val="20"/>
                <w:szCs w:val="20"/>
              </w:rPr>
              <w:t>D</w:t>
            </w:r>
            <w:r w:rsidR="001A5BEB" w:rsidRPr="001A5BEB">
              <w:rPr>
                <w:rFonts w:ascii="Arial" w:hAnsi="Arial" w:cs="Arial"/>
                <w:b/>
                <w:sz w:val="20"/>
                <w:szCs w:val="20"/>
              </w:rPr>
              <w:t>]</w:t>
            </w:r>
            <w:r w:rsidR="001A5BEB">
              <w:rPr>
                <w:rFonts w:ascii="Arial" w:eastAsia="Times-Roman" w:hAnsi="Arial" w:cs="Arial"/>
                <w:color w:val="FF0000"/>
                <w:sz w:val="20"/>
                <w:szCs w:val="20"/>
                <w:vertAlign w:val="superscript"/>
              </w:rPr>
              <w:t>1</w:t>
            </w:r>
            <w:r w:rsidR="00E11C9C">
              <w:rPr>
                <w:rFonts w:ascii="Arial" w:eastAsia="Times-Roman" w:hAnsi="Arial" w:cs="Arial"/>
                <w:color w:val="FF0000"/>
                <w:sz w:val="20"/>
                <w:szCs w:val="20"/>
                <w:vertAlign w:val="superscript"/>
              </w:rPr>
              <w:t>0</w:t>
            </w:r>
          </w:p>
          <w:p w14:paraId="3D27DC1D" w14:textId="77777777" w:rsidR="000A1D17" w:rsidRPr="0068632C" w:rsidRDefault="000A1D17" w:rsidP="007614D7">
            <w:pPr>
              <w:contextualSpacing/>
              <w:jc w:val="both"/>
              <w:rPr>
                <w:rFonts w:ascii="Arial" w:eastAsia="Times-Roman" w:hAnsi="Arial" w:cs="Arial"/>
                <w:sz w:val="20"/>
                <w:szCs w:val="20"/>
              </w:rPr>
            </w:pPr>
          </w:p>
          <w:p w14:paraId="3D341F46" w14:textId="77777777" w:rsidR="001A5BEB" w:rsidRPr="0068632C" w:rsidRDefault="000A1D17" w:rsidP="001A5BEB">
            <w:pPr>
              <w:contextualSpacing/>
              <w:jc w:val="both"/>
              <w:rPr>
                <w:rFonts w:ascii="Arial" w:eastAsia="Times-Roman" w:hAnsi="Arial" w:cs="Arial"/>
                <w:sz w:val="20"/>
                <w:szCs w:val="20"/>
              </w:rPr>
            </w:pPr>
            <w:r w:rsidRPr="0068632C">
              <w:rPr>
                <w:rFonts w:ascii="Arial" w:eastAsia="Times-Roman" w:hAnsi="Arial" w:cs="Arial"/>
                <w:sz w:val="20"/>
                <w:szCs w:val="20"/>
              </w:rPr>
              <w:t>El MTX puede ser continuado con seguridad en el periodo perioperatorio en pacientes con AR que van a ser sometidos a cirugía ortopédica electiva.</w:t>
            </w:r>
            <w:r w:rsidR="001A5BEB" w:rsidRPr="001A5BEB">
              <w:rPr>
                <w:rFonts w:ascii="Arial" w:eastAsia="TrebuchetMS" w:hAnsi="Arial" w:cs="Arial"/>
                <w:b/>
                <w:color w:val="000000"/>
                <w:sz w:val="20"/>
                <w:szCs w:val="20"/>
                <w:lang w:val="es-ES"/>
              </w:rPr>
              <w:t xml:space="preserve"> [</w:t>
            </w:r>
            <w:r w:rsidR="001A5BEB" w:rsidRPr="001A5BEB">
              <w:rPr>
                <w:rFonts w:ascii="Arial" w:hAnsi="Arial" w:cs="Arial"/>
                <w:b/>
                <w:sz w:val="20"/>
                <w:szCs w:val="20"/>
              </w:rPr>
              <w:t xml:space="preserve">NE: I, GR: </w:t>
            </w:r>
            <w:r w:rsidR="001A5BEB">
              <w:rPr>
                <w:rFonts w:ascii="Arial" w:hAnsi="Arial" w:cs="Arial"/>
                <w:b/>
                <w:sz w:val="20"/>
                <w:szCs w:val="20"/>
              </w:rPr>
              <w:t>A</w:t>
            </w:r>
            <w:r w:rsidR="001A5BEB" w:rsidRPr="001A5BEB">
              <w:rPr>
                <w:rFonts w:ascii="Arial" w:hAnsi="Arial" w:cs="Arial"/>
                <w:b/>
                <w:sz w:val="20"/>
                <w:szCs w:val="20"/>
              </w:rPr>
              <w:t>]</w:t>
            </w:r>
            <w:r w:rsidR="001A5BEB">
              <w:rPr>
                <w:rFonts w:ascii="Arial" w:eastAsia="Times-Roman" w:hAnsi="Arial" w:cs="Arial"/>
                <w:color w:val="FF0000"/>
                <w:sz w:val="20"/>
                <w:szCs w:val="20"/>
                <w:vertAlign w:val="superscript"/>
              </w:rPr>
              <w:t>13</w:t>
            </w:r>
          </w:p>
          <w:p w14:paraId="13A098FF" w14:textId="77777777" w:rsidR="000A1D17" w:rsidRPr="0068632C" w:rsidRDefault="000A1D17" w:rsidP="007614D7">
            <w:pPr>
              <w:contextualSpacing/>
              <w:jc w:val="both"/>
              <w:rPr>
                <w:rFonts w:ascii="Arial" w:eastAsia="Times-Roman" w:hAnsi="Arial" w:cs="Arial"/>
                <w:sz w:val="20"/>
                <w:szCs w:val="20"/>
              </w:rPr>
            </w:pPr>
          </w:p>
          <w:p w14:paraId="131A3CF1"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El uso perioperatorio de MTX en otros tipos de procedimientos quirúrgicos debe ser decidido con base en el contexto individual del caso.</w:t>
            </w:r>
            <w:r w:rsidR="001A5BEB" w:rsidRPr="001A5BEB">
              <w:rPr>
                <w:rFonts w:ascii="Arial" w:eastAsia="TrebuchetMS" w:hAnsi="Arial" w:cs="Arial"/>
                <w:b/>
                <w:color w:val="000000"/>
                <w:sz w:val="20"/>
                <w:szCs w:val="20"/>
                <w:lang w:val="es-ES"/>
              </w:rPr>
              <w:t xml:space="preserve"> [</w:t>
            </w:r>
            <w:r w:rsidR="001A5BEB" w:rsidRPr="001A5BEB">
              <w:rPr>
                <w:rFonts w:ascii="Arial" w:hAnsi="Arial" w:cs="Arial"/>
                <w:b/>
                <w:sz w:val="20"/>
                <w:szCs w:val="20"/>
              </w:rPr>
              <w:t>NE: I</w:t>
            </w:r>
            <w:r w:rsidR="001A5BEB">
              <w:rPr>
                <w:rFonts w:ascii="Arial" w:hAnsi="Arial" w:cs="Arial"/>
                <w:b/>
                <w:sz w:val="20"/>
                <w:szCs w:val="20"/>
              </w:rPr>
              <w:t>V</w:t>
            </w:r>
            <w:r w:rsidR="001A5BEB" w:rsidRPr="001A5BEB">
              <w:rPr>
                <w:rFonts w:ascii="Arial" w:hAnsi="Arial" w:cs="Arial"/>
                <w:b/>
                <w:sz w:val="20"/>
                <w:szCs w:val="20"/>
              </w:rPr>
              <w:t xml:space="preserve">, GR: </w:t>
            </w:r>
            <w:r w:rsidR="001A5BEB">
              <w:rPr>
                <w:rFonts w:ascii="Arial" w:hAnsi="Arial" w:cs="Arial"/>
                <w:b/>
                <w:sz w:val="20"/>
                <w:szCs w:val="20"/>
              </w:rPr>
              <w:t>D</w:t>
            </w:r>
            <w:r w:rsidR="001A5BEB" w:rsidRPr="001A5BEB">
              <w:rPr>
                <w:rFonts w:ascii="Arial" w:hAnsi="Arial" w:cs="Arial"/>
                <w:b/>
                <w:sz w:val="20"/>
                <w:szCs w:val="20"/>
              </w:rPr>
              <w:t>]</w:t>
            </w:r>
            <w:r w:rsidR="001A5BEB">
              <w:rPr>
                <w:rFonts w:ascii="Arial" w:eastAsia="Times-Roman" w:hAnsi="Arial" w:cs="Arial"/>
                <w:color w:val="FF0000"/>
                <w:sz w:val="20"/>
                <w:szCs w:val="20"/>
                <w:vertAlign w:val="superscript"/>
              </w:rPr>
              <w:t>7</w:t>
            </w:r>
          </w:p>
          <w:p w14:paraId="70A095E8" w14:textId="77777777" w:rsidR="000A1D17" w:rsidRPr="0068632C" w:rsidRDefault="000A1D17" w:rsidP="007614D7">
            <w:pPr>
              <w:contextualSpacing/>
              <w:jc w:val="both"/>
              <w:rPr>
                <w:rFonts w:ascii="Arial" w:eastAsia="Times-Roman" w:hAnsi="Arial" w:cs="Arial"/>
                <w:sz w:val="20"/>
                <w:szCs w:val="20"/>
              </w:rPr>
            </w:pPr>
          </w:p>
          <w:p w14:paraId="5BA3D380" w14:textId="77777777" w:rsidR="000A1D17" w:rsidRPr="0068632C" w:rsidRDefault="000A1D17" w:rsidP="00E11C9C">
            <w:pPr>
              <w:contextualSpacing/>
              <w:jc w:val="both"/>
              <w:rPr>
                <w:rFonts w:ascii="Arial" w:eastAsia="Times-Roman" w:hAnsi="Arial" w:cs="Arial"/>
                <w:sz w:val="20"/>
                <w:szCs w:val="20"/>
              </w:rPr>
            </w:pPr>
            <w:r w:rsidRPr="0068632C">
              <w:rPr>
                <w:rFonts w:ascii="Arial" w:eastAsia="Times-Roman" w:hAnsi="Arial" w:cs="Arial"/>
                <w:sz w:val="20"/>
                <w:szCs w:val="20"/>
              </w:rPr>
              <w:t xml:space="preserve">Debido a la posibilidad de una respuesta protectora insuficiente después del inicio del tratamiento con MTX, se recomienda la vacunación para influenza, neumococo y otras vacunas de virus inactivados antes del inicio del tratamiento </w:t>
            </w:r>
            <w:r w:rsidRPr="0068632C">
              <w:rPr>
                <w:rFonts w:ascii="Arial" w:eastAsia="Times-Roman" w:hAnsi="Arial" w:cs="Arial"/>
                <w:sz w:val="20"/>
                <w:szCs w:val="20"/>
              </w:rPr>
              <w:lastRenderedPageBreak/>
              <w:t xml:space="preserve">con MTX. No hay contraindicación para este tipo de inmunizaciones cuando el tratamiento con </w:t>
            </w:r>
            <w:r w:rsidR="001A5BEB">
              <w:rPr>
                <w:rFonts w:ascii="Arial" w:eastAsia="Times-Roman" w:hAnsi="Arial" w:cs="Arial"/>
                <w:sz w:val="20"/>
                <w:szCs w:val="20"/>
              </w:rPr>
              <w:t>MTX</w:t>
            </w:r>
            <w:r w:rsidRPr="0068632C">
              <w:rPr>
                <w:rFonts w:ascii="Arial" w:eastAsia="Times-Roman" w:hAnsi="Arial" w:cs="Arial"/>
                <w:sz w:val="20"/>
                <w:szCs w:val="20"/>
              </w:rPr>
              <w:t xml:space="preserve"> se haya iniciado.</w:t>
            </w:r>
            <w:r w:rsidR="001A5BEB" w:rsidRPr="001A5BEB">
              <w:rPr>
                <w:rFonts w:ascii="Arial" w:eastAsia="TrebuchetMS" w:hAnsi="Arial" w:cs="Arial"/>
                <w:b/>
                <w:color w:val="000000"/>
                <w:sz w:val="20"/>
                <w:szCs w:val="20"/>
                <w:lang w:val="es-ES"/>
              </w:rPr>
              <w:t xml:space="preserve"> [</w:t>
            </w:r>
            <w:r w:rsidR="001A5BEB" w:rsidRPr="001A5BEB">
              <w:rPr>
                <w:rFonts w:ascii="Arial" w:hAnsi="Arial" w:cs="Arial"/>
                <w:b/>
                <w:sz w:val="20"/>
                <w:szCs w:val="20"/>
              </w:rPr>
              <w:t>NE: I</w:t>
            </w:r>
            <w:r w:rsidR="001A5BEB">
              <w:rPr>
                <w:rFonts w:ascii="Arial" w:hAnsi="Arial" w:cs="Arial"/>
                <w:b/>
                <w:sz w:val="20"/>
                <w:szCs w:val="20"/>
              </w:rPr>
              <w:t>I</w:t>
            </w:r>
            <w:r w:rsidR="001A5BEB" w:rsidRPr="001A5BEB">
              <w:rPr>
                <w:rFonts w:ascii="Arial" w:hAnsi="Arial" w:cs="Arial"/>
                <w:b/>
                <w:sz w:val="20"/>
                <w:szCs w:val="20"/>
              </w:rPr>
              <w:t xml:space="preserve">, GR: </w:t>
            </w:r>
            <w:r w:rsidR="001A5BEB">
              <w:rPr>
                <w:rFonts w:ascii="Arial" w:hAnsi="Arial" w:cs="Arial"/>
                <w:b/>
                <w:sz w:val="20"/>
                <w:szCs w:val="20"/>
              </w:rPr>
              <w:t>B</w:t>
            </w:r>
            <w:r w:rsidR="001A5BEB" w:rsidRPr="001A5BEB">
              <w:rPr>
                <w:rFonts w:ascii="Arial" w:hAnsi="Arial" w:cs="Arial"/>
                <w:b/>
                <w:sz w:val="20"/>
                <w:szCs w:val="20"/>
              </w:rPr>
              <w:t>]</w:t>
            </w:r>
            <w:r w:rsidR="001A5BEB">
              <w:rPr>
                <w:rFonts w:ascii="Arial" w:eastAsia="Times-Roman" w:hAnsi="Arial" w:cs="Arial"/>
                <w:color w:val="FF0000"/>
                <w:sz w:val="20"/>
                <w:szCs w:val="20"/>
                <w:vertAlign w:val="superscript"/>
              </w:rPr>
              <w:t>1</w:t>
            </w:r>
            <w:r w:rsidR="00E11C9C">
              <w:rPr>
                <w:rFonts w:ascii="Arial" w:eastAsia="Times-Roman" w:hAnsi="Arial" w:cs="Arial"/>
                <w:color w:val="FF0000"/>
                <w:sz w:val="20"/>
                <w:szCs w:val="20"/>
                <w:vertAlign w:val="superscript"/>
              </w:rPr>
              <w:t>0</w:t>
            </w:r>
          </w:p>
        </w:tc>
      </w:tr>
    </w:tbl>
    <w:p w14:paraId="0B73E159" w14:textId="77777777" w:rsidR="000A1D17" w:rsidRPr="0068632C" w:rsidRDefault="000A1D17"/>
    <w:p w14:paraId="7798D03F" w14:textId="77777777" w:rsidR="000A1D17" w:rsidRPr="0068632C" w:rsidRDefault="000A1D1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43"/>
      </w:tblGrid>
      <w:tr w:rsidR="000A1D17" w:rsidRPr="0068632C" w14:paraId="2895E730" w14:textId="77777777" w:rsidTr="007614D7">
        <w:tc>
          <w:tcPr>
            <w:tcW w:w="2988" w:type="dxa"/>
          </w:tcPr>
          <w:p w14:paraId="3C79F494" w14:textId="77777777" w:rsidR="000A1D17" w:rsidRPr="00AA2750" w:rsidRDefault="00D54A7D" w:rsidP="00D54A7D">
            <w:pPr>
              <w:numPr>
                <w:ilvl w:val="0"/>
                <w:numId w:val="1"/>
              </w:numPr>
              <w:ind w:left="0"/>
              <w:contextualSpacing/>
              <w:rPr>
                <w:rFonts w:ascii="Arial" w:hAnsi="Arial" w:cs="Arial"/>
                <w:sz w:val="28"/>
                <w:szCs w:val="28"/>
              </w:rPr>
            </w:pPr>
            <w:r w:rsidRPr="00AA2750">
              <w:rPr>
                <w:rFonts w:ascii="Arial" w:hAnsi="Arial" w:cs="Arial"/>
                <w:b/>
                <w:sz w:val="28"/>
                <w:szCs w:val="28"/>
              </w:rPr>
              <w:t>Cloroquina e hidroxicloroquina</w:t>
            </w:r>
          </w:p>
        </w:tc>
        <w:tc>
          <w:tcPr>
            <w:tcW w:w="7043" w:type="dxa"/>
          </w:tcPr>
          <w:p w14:paraId="2DA896A0" w14:textId="77777777" w:rsidR="000A1D17" w:rsidRPr="0068632C" w:rsidRDefault="000A1D17" w:rsidP="000A1D17">
            <w:pPr>
              <w:pStyle w:val="Prrafodelista1"/>
              <w:numPr>
                <w:ilvl w:val="0"/>
                <w:numId w:val="1"/>
              </w:numPr>
              <w:spacing w:after="0" w:line="240" w:lineRule="auto"/>
              <w:ind w:left="0"/>
              <w:contextualSpacing/>
              <w:jc w:val="both"/>
              <w:rPr>
                <w:rFonts w:ascii="Arial" w:hAnsi="Arial" w:cs="Arial"/>
                <w:sz w:val="20"/>
                <w:szCs w:val="20"/>
              </w:rPr>
            </w:pPr>
            <w:r w:rsidRPr="0068632C">
              <w:rPr>
                <w:rFonts w:ascii="Arial" w:hAnsi="Arial" w:cs="Arial"/>
                <w:sz w:val="20"/>
                <w:szCs w:val="20"/>
              </w:rPr>
              <w:t>Son FARME que han sido usados en el tratamiento de la AR por más de 50 años. Su mecanismo de acción no es aún bien entendido, pero parece que su acción antiinflamatoria se debe a la inhibición del daño mediado por la ruptura y liberación de enzimas lisosomales, de la función de los fagocitos polimorfonucleares, así como de la interferencia con la síntesis de prostaglandinas proinflamatorias.</w:t>
            </w:r>
            <w:r w:rsidR="00073AEC">
              <w:rPr>
                <w:rFonts w:ascii="Arial" w:hAnsi="Arial" w:cs="Arial"/>
                <w:color w:val="FF0000"/>
                <w:sz w:val="20"/>
                <w:szCs w:val="20"/>
                <w:vertAlign w:val="superscript"/>
              </w:rPr>
              <w:t>4</w:t>
            </w:r>
          </w:p>
          <w:p w14:paraId="37A74F31" w14:textId="77777777" w:rsidR="000A1D17" w:rsidRPr="0068632C" w:rsidRDefault="000A1D17" w:rsidP="007614D7">
            <w:pPr>
              <w:contextualSpacing/>
              <w:jc w:val="both"/>
              <w:rPr>
                <w:rFonts w:ascii="Arial" w:eastAsia="Times-Roman" w:hAnsi="Arial" w:cs="Arial"/>
                <w:sz w:val="20"/>
                <w:szCs w:val="20"/>
              </w:rPr>
            </w:pPr>
            <w:r w:rsidRPr="0068632C">
              <w:rPr>
                <w:rFonts w:ascii="Arial" w:hAnsi="Arial" w:cs="Arial"/>
                <w:sz w:val="20"/>
                <w:szCs w:val="20"/>
              </w:rPr>
              <w:t>Por su perfil de eficacia relativamente bajo han sido relegadas de las recomendaciones en guías de práctica cl</w:t>
            </w:r>
            <w:r w:rsidR="00611138" w:rsidRPr="0068632C">
              <w:rPr>
                <w:rFonts w:ascii="Arial" w:hAnsi="Arial" w:cs="Arial"/>
                <w:sz w:val="20"/>
                <w:szCs w:val="20"/>
              </w:rPr>
              <w:t>ínica en países desarrollados</w:t>
            </w:r>
            <w:r w:rsidRPr="0068632C">
              <w:rPr>
                <w:rFonts w:ascii="Arial" w:hAnsi="Arial" w:cs="Arial"/>
                <w:sz w:val="20"/>
                <w:szCs w:val="20"/>
              </w:rPr>
              <w:t>, pero por su bajo costo y adecuado perfil de seguridad, son aún consideradas como FARME útiles en los consensos generados en países latinoamericanos.</w:t>
            </w:r>
          </w:p>
        </w:tc>
      </w:tr>
      <w:tr w:rsidR="000A1D17" w:rsidRPr="0068632C" w14:paraId="4F0979B2" w14:textId="77777777" w:rsidTr="007614D7">
        <w:tc>
          <w:tcPr>
            <w:tcW w:w="2988" w:type="dxa"/>
          </w:tcPr>
          <w:p w14:paraId="19D2F4DB"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Línea de tratamiento en la que está indicado</w:t>
            </w:r>
          </w:p>
        </w:tc>
        <w:tc>
          <w:tcPr>
            <w:tcW w:w="7043" w:type="dxa"/>
          </w:tcPr>
          <w:p w14:paraId="4D0835EC" w14:textId="77777777" w:rsidR="00811AA2" w:rsidRPr="00040091" w:rsidRDefault="00BF2946" w:rsidP="00E11C9C">
            <w:pPr>
              <w:jc w:val="both"/>
              <w:rPr>
                <w:rFonts w:ascii="Arial" w:eastAsia="Times-Roman" w:hAnsi="Arial" w:cs="Arial"/>
                <w:sz w:val="20"/>
                <w:szCs w:val="20"/>
              </w:rPr>
            </w:pPr>
            <w:r w:rsidRPr="0068632C">
              <w:rPr>
                <w:rFonts w:ascii="Arial" w:eastAsia="Times-Roman" w:hAnsi="Arial" w:cs="Arial"/>
                <w:sz w:val="20"/>
                <w:szCs w:val="20"/>
              </w:rPr>
              <w:t>Son fármacos que deben considerarse como de primera línea en las formas leves de la enfermedad o en la AR de inicio reciente sin factores pronósticos desfavorables (FR, o anti PCC positivos, y presencia de erosiones radiológicas o enfermedad extraarticular).</w:t>
            </w:r>
            <w:r w:rsidR="00040091">
              <w:rPr>
                <w:rFonts w:ascii="Arial" w:eastAsia="Times-Roman" w:hAnsi="Arial" w:cs="Arial"/>
                <w:sz w:val="20"/>
                <w:szCs w:val="20"/>
              </w:rPr>
              <w:t xml:space="preserve"> </w:t>
            </w:r>
            <w:r w:rsidR="00040091" w:rsidRPr="001A5BEB">
              <w:rPr>
                <w:rFonts w:ascii="Arial" w:eastAsia="TrebuchetMS" w:hAnsi="Arial" w:cs="Arial"/>
                <w:b/>
                <w:color w:val="000000"/>
                <w:sz w:val="20"/>
                <w:szCs w:val="20"/>
                <w:lang w:val="es-ES"/>
              </w:rPr>
              <w:t>[</w:t>
            </w:r>
            <w:r w:rsidR="00040091" w:rsidRPr="001A5BEB">
              <w:rPr>
                <w:rFonts w:ascii="Arial" w:hAnsi="Arial" w:cs="Arial"/>
                <w:b/>
                <w:sz w:val="20"/>
                <w:szCs w:val="20"/>
              </w:rPr>
              <w:t>NE: I</w:t>
            </w:r>
            <w:r w:rsidR="00040091">
              <w:rPr>
                <w:rFonts w:ascii="Arial" w:hAnsi="Arial" w:cs="Arial"/>
                <w:b/>
                <w:sz w:val="20"/>
                <w:szCs w:val="20"/>
              </w:rPr>
              <w:t>V</w:t>
            </w:r>
            <w:r w:rsidR="00040091" w:rsidRPr="001A5BEB">
              <w:rPr>
                <w:rFonts w:ascii="Arial" w:hAnsi="Arial" w:cs="Arial"/>
                <w:b/>
                <w:sz w:val="20"/>
                <w:szCs w:val="20"/>
              </w:rPr>
              <w:t xml:space="preserve">, GR: </w:t>
            </w:r>
            <w:r w:rsidR="00040091">
              <w:rPr>
                <w:rFonts w:ascii="Arial" w:hAnsi="Arial" w:cs="Arial"/>
                <w:b/>
                <w:sz w:val="20"/>
                <w:szCs w:val="20"/>
              </w:rPr>
              <w:t>D</w:t>
            </w:r>
            <w:r w:rsidR="00040091" w:rsidRPr="001A5BEB">
              <w:rPr>
                <w:rFonts w:ascii="Arial" w:hAnsi="Arial" w:cs="Arial"/>
                <w:b/>
                <w:sz w:val="20"/>
                <w:szCs w:val="20"/>
              </w:rPr>
              <w:t>]</w:t>
            </w:r>
            <w:r w:rsidR="00040091">
              <w:rPr>
                <w:rFonts w:ascii="Arial" w:eastAsia="Times-Roman" w:hAnsi="Arial" w:cs="Arial"/>
                <w:color w:val="FF0000"/>
                <w:sz w:val="20"/>
                <w:szCs w:val="20"/>
                <w:vertAlign w:val="superscript"/>
              </w:rPr>
              <w:t>1</w:t>
            </w:r>
            <w:r w:rsidR="00E11C9C">
              <w:rPr>
                <w:rFonts w:ascii="Arial" w:eastAsia="Times-Roman" w:hAnsi="Arial" w:cs="Arial"/>
                <w:color w:val="FF0000"/>
                <w:sz w:val="20"/>
                <w:szCs w:val="20"/>
                <w:vertAlign w:val="superscript"/>
              </w:rPr>
              <w:t>4</w:t>
            </w:r>
          </w:p>
        </w:tc>
      </w:tr>
      <w:tr w:rsidR="000A1D17" w:rsidRPr="0068632C" w14:paraId="7DDF823E" w14:textId="77777777" w:rsidTr="007614D7">
        <w:tc>
          <w:tcPr>
            <w:tcW w:w="2988" w:type="dxa"/>
          </w:tcPr>
          <w:p w14:paraId="398E8F23"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Estudios que se requieren antes del tratamiento  y durante el seguimiento</w:t>
            </w:r>
          </w:p>
        </w:tc>
        <w:tc>
          <w:tcPr>
            <w:tcW w:w="7043" w:type="dxa"/>
          </w:tcPr>
          <w:p w14:paraId="2D15F3A7" w14:textId="77777777" w:rsidR="00BF2946" w:rsidRPr="00040091" w:rsidRDefault="00BF2946" w:rsidP="00BF2946">
            <w:pPr>
              <w:jc w:val="both"/>
              <w:rPr>
                <w:rFonts w:ascii="Arial" w:hAnsi="Arial" w:cs="Arial"/>
                <w:sz w:val="20"/>
                <w:szCs w:val="20"/>
              </w:rPr>
            </w:pPr>
            <w:r w:rsidRPr="00040091">
              <w:rPr>
                <w:rFonts w:ascii="Arial" w:hAnsi="Arial" w:cs="Arial"/>
                <w:sz w:val="20"/>
                <w:szCs w:val="20"/>
              </w:rPr>
              <w:t>Se debe realizar una valoración oftalmológica basal de rutina a todos los pacientes antes del inicio del tratamiento, y posteriormente revisión oftalmológica cada año a partir de no más de 5 años del inicio del tratamiento (o cada año desde el inicio del tratamiento en pacientes con maculopatía o factores de riesgo).</w:t>
            </w:r>
            <w:r w:rsidR="00B21EE7" w:rsidRPr="00040091">
              <w:rPr>
                <w:rFonts w:ascii="Arial" w:hAnsi="Arial" w:cs="Arial"/>
                <w:sz w:val="20"/>
                <w:szCs w:val="20"/>
              </w:rPr>
              <w:t xml:space="preserve"> Se debe realizar PFHs y PFR antes de iniciar el tratamiento</w:t>
            </w:r>
          </w:p>
          <w:p w14:paraId="3E312183" w14:textId="77777777" w:rsidR="000A1D17" w:rsidRPr="00472204" w:rsidRDefault="00BF2946" w:rsidP="00BF2946">
            <w:pPr>
              <w:contextualSpacing/>
              <w:jc w:val="both"/>
              <w:rPr>
                <w:rFonts w:ascii="Arial" w:hAnsi="Arial" w:cs="Arial"/>
                <w:color w:val="222222"/>
                <w:sz w:val="20"/>
                <w:szCs w:val="20"/>
              </w:rPr>
            </w:pPr>
            <w:r w:rsidRPr="0068632C">
              <w:rPr>
                <w:rFonts w:ascii="Arial" w:hAnsi="Arial" w:cs="Arial"/>
                <w:sz w:val="20"/>
                <w:szCs w:val="20"/>
              </w:rPr>
              <w:t xml:space="preserve">Se sugiere como pruebas de tamizaje (basal y anual) que además de la campimetría con protocolo 10-2 se suplemente con por lo menos alguna de las técnicas objetivas y sensibles recomendadas: el electrorretinograma multifocal </w:t>
            </w:r>
            <w:r w:rsidRPr="0068632C">
              <w:rPr>
                <w:rStyle w:val="st"/>
                <w:rFonts w:ascii="Arial" w:hAnsi="Arial" w:cs="Arial"/>
                <w:color w:val="222222"/>
                <w:sz w:val="20"/>
                <w:szCs w:val="20"/>
              </w:rPr>
              <w:t>(mfERG), la tomografía de coherencia óptica de dominio espectral (</w:t>
            </w:r>
            <w:r w:rsidRPr="0068632C">
              <w:rPr>
                <w:rStyle w:val="nfasis"/>
                <w:rFonts w:ascii="Arial" w:hAnsi="Arial" w:cs="Arial"/>
                <w:color w:val="222222"/>
                <w:sz w:val="20"/>
                <w:szCs w:val="20"/>
              </w:rPr>
              <w:t>DS</w:t>
            </w:r>
            <w:r w:rsidRPr="0068632C">
              <w:rPr>
                <w:rStyle w:val="st"/>
                <w:rFonts w:ascii="Arial" w:hAnsi="Arial" w:cs="Arial"/>
                <w:color w:val="222222"/>
                <w:sz w:val="20"/>
                <w:szCs w:val="20"/>
              </w:rPr>
              <w:t>-</w:t>
            </w:r>
            <w:r w:rsidRPr="0068632C">
              <w:rPr>
                <w:rStyle w:val="nfasis"/>
                <w:rFonts w:ascii="Arial" w:hAnsi="Arial" w:cs="Arial"/>
                <w:color w:val="222222"/>
                <w:sz w:val="20"/>
                <w:szCs w:val="20"/>
              </w:rPr>
              <w:t>TCO</w:t>
            </w:r>
            <w:r w:rsidRPr="0068632C">
              <w:rPr>
                <w:rStyle w:val="st"/>
                <w:rFonts w:ascii="Arial" w:hAnsi="Arial" w:cs="Arial"/>
                <w:color w:val="222222"/>
                <w:sz w:val="20"/>
                <w:szCs w:val="20"/>
              </w:rPr>
              <w:t>) o la autofluorescencia de fondo (FAF).</w:t>
            </w:r>
            <w:r w:rsidR="00E11C9C">
              <w:rPr>
                <w:rStyle w:val="st"/>
                <w:rFonts w:ascii="Arial" w:hAnsi="Arial" w:cs="Arial"/>
                <w:color w:val="FF0000"/>
                <w:sz w:val="20"/>
                <w:szCs w:val="20"/>
                <w:vertAlign w:val="superscript"/>
                <w:lang w:val="es-MX"/>
              </w:rPr>
              <w:t>15</w:t>
            </w:r>
          </w:p>
        </w:tc>
      </w:tr>
      <w:tr w:rsidR="000A1D17" w:rsidRPr="0068632C" w14:paraId="7C5A702E" w14:textId="77777777" w:rsidTr="007614D7">
        <w:tc>
          <w:tcPr>
            <w:tcW w:w="2988" w:type="dxa"/>
          </w:tcPr>
          <w:p w14:paraId="029474B2"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Monoterapia o en combinaciones (¿cuál es la mejor combinación y secuencia?)</w:t>
            </w:r>
          </w:p>
        </w:tc>
        <w:tc>
          <w:tcPr>
            <w:tcW w:w="7043" w:type="dxa"/>
          </w:tcPr>
          <w:p w14:paraId="144D80FF" w14:textId="77777777" w:rsidR="000A1D17" w:rsidRPr="0068632C" w:rsidRDefault="00D2135E" w:rsidP="00D2135E">
            <w:pPr>
              <w:contextualSpacing/>
              <w:jc w:val="both"/>
              <w:rPr>
                <w:rFonts w:ascii="Arial" w:eastAsia="Times-Roman" w:hAnsi="Arial" w:cs="Arial"/>
                <w:sz w:val="20"/>
                <w:szCs w:val="20"/>
              </w:rPr>
            </w:pPr>
            <w:r>
              <w:rPr>
                <w:rFonts w:ascii="Arial" w:eastAsia="Times-Roman" w:hAnsi="Arial" w:cs="Arial"/>
                <w:sz w:val="20"/>
                <w:szCs w:val="20"/>
              </w:rPr>
              <w:t>La adición de CLQ</w:t>
            </w:r>
            <w:r w:rsidR="000A1D17" w:rsidRPr="0068632C">
              <w:rPr>
                <w:rFonts w:ascii="Arial" w:eastAsia="Times-Roman" w:hAnsi="Arial" w:cs="Arial"/>
                <w:sz w:val="20"/>
                <w:szCs w:val="20"/>
              </w:rPr>
              <w:t xml:space="preserve"> o </w:t>
            </w:r>
            <w:r>
              <w:rPr>
                <w:rFonts w:ascii="Arial" w:eastAsia="Times-Roman" w:hAnsi="Arial" w:cs="Arial"/>
                <w:sz w:val="20"/>
                <w:szCs w:val="20"/>
              </w:rPr>
              <w:t>HCQ</w:t>
            </w:r>
            <w:r w:rsidR="000A1D17" w:rsidRPr="0068632C">
              <w:rPr>
                <w:rFonts w:ascii="Arial" w:eastAsia="Times-Roman" w:hAnsi="Arial" w:cs="Arial"/>
                <w:sz w:val="20"/>
                <w:szCs w:val="20"/>
              </w:rPr>
              <w:t xml:space="preserve"> a la monoterapia con MTX ha probado ser eficaz en la reducción de  los signos o síntomas de enfermedad activa en casos de respuesta inadecuada a la monoterapia con MTX.</w:t>
            </w:r>
            <w:r w:rsidR="00040091" w:rsidRPr="001A5BEB">
              <w:rPr>
                <w:rFonts w:ascii="Arial" w:eastAsia="TrebuchetMS" w:hAnsi="Arial" w:cs="Arial"/>
                <w:b/>
                <w:color w:val="000000"/>
                <w:sz w:val="20"/>
                <w:szCs w:val="20"/>
                <w:lang w:val="es-ES"/>
              </w:rPr>
              <w:t xml:space="preserve"> [</w:t>
            </w:r>
            <w:r w:rsidR="00040091" w:rsidRPr="001A5BEB">
              <w:rPr>
                <w:rFonts w:ascii="Arial" w:hAnsi="Arial" w:cs="Arial"/>
                <w:b/>
                <w:sz w:val="20"/>
                <w:szCs w:val="20"/>
              </w:rPr>
              <w:t xml:space="preserve">NE: I, GR: </w:t>
            </w:r>
            <w:r w:rsidR="00040091">
              <w:rPr>
                <w:rFonts w:ascii="Arial" w:hAnsi="Arial" w:cs="Arial"/>
                <w:b/>
                <w:sz w:val="20"/>
                <w:szCs w:val="20"/>
              </w:rPr>
              <w:t>A</w:t>
            </w:r>
            <w:r w:rsidR="00040091" w:rsidRPr="001A5BEB">
              <w:rPr>
                <w:rFonts w:ascii="Arial" w:hAnsi="Arial" w:cs="Arial"/>
                <w:b/>
                <w:sz w:val="20"/>
                <w:szCs w:val="20"/>
              </w:rPr>
              <w:t>]</w:t>
            </w:r>
            <w:r w:rsidR="00040091">
              <w:rPr>
                <w:rFonts w:ascii="Arial" w:eastAsia="Times-Roman" w:hAnsi="Arial" w:cs="Arial"/>
                <w:color w:val="FF0000"/>
                <w:sz w:val="20"/>
                <w:szCs w:val="20"/>
                <w:vertAlign w:val="superscript"/>
              </w:rPr>
              <w:t>1</w:t>
            </w:r>
            <w:r w:rsidR="00E11C9C">
              <w:rPr>
                <w:rFonts w:ascii="Arial" w:eastAsia="Times-Roman" w:hAnsi="Arial" w:cs="Arial"/>
                <w:color w:val="FF0000"/>
                <w:sz w:val="20"/>
                <w:szCs w:val="20"/>
                <w:vertAlign w:val="superscript"/>
              </w:rPr>
              <w:t>4</w:t>
            </w:r>
          </w:p>
        </w:tc>
      </w:tr>
      <w:tr w:rsidR="000A1D17" w:rsidRPr="0068632C" w14:paraId="025B12C5" w14:textId="77777777" w:rsidTr="007614D7">
        <w:tc>
          <w:tcPr>
            <w:tcW w:w="2988" w:type="dxa"/>
          </w:tcPr>
          <w:p w14:paraId="348E98BC"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Tiempo para definir ajuste de dosis y retiro de medicamento</w:t>
            </w:r>
          </w:p>
        </w:tc>
        <w:tc>
          <w:tcPr>
            <w:tcW w:w="7043" w:type="dxa"/>
          </w:tcPr>
          <w:p w14:paraId="5D86403B" w14:textId="77777777" w:rsidR="000A1D17" w:rsidRPr="0068632C" w:rsidRDefault="000A1D17" w:rsidP="00E11C9C">
            <w:pPr>
              <w:contextualSpacing/>
              <w:jc w:val="both"/>
              <w:rPr>
                <w:rFonts w:ascii="Arial" w:eastAsia="Times-Roman" w:hAnsi="Arial" w:cs="Arial"/>
                <w:sz w:val="20"/>
                <w:szCs w:val="20"/>
              </w:rPr>
            </w:pPr>
            <w:r w:rsidRPr="0068632C">
              <w:rPr>
                <w:rFonts w:ascii="Arial" w:eastAsia="Times-Roman" w:hAnsi="Arial" w:cs="Arial"/>
                <w:sz w:val="20"/>
                <w:szCs w:val="20"/>
              </w:rPr>
              <w:t>Debe mantenerse el manejo al menos por 3 a 6 meses antes de dictaminar falta de eficacia.</w:t>
            </w:r>
            <w:r w:rsidR="00040091">
              <w:rPr>
                <w:rFonts w:ascii="Arial" w:eastAsia="Times-Roman" w:hAnsi="Arial" w:cs="Arial"/>
                <w:color w:val="FF0000"/>
                <w:sz w:val="20"/>
                <w:szCs w:val="20"/>
                <w:vertAlign w:val="superscript"/>
              </w:rPr>
              <w:t xml:space="preserve"> </w:t>
            </w:r>
            <w:r w:rsidR="00040091">
              <w:rPr>
                <w:rFonts w:ascii="Arial" w:hAnsi="Arial" w:cs="Arial"/>
                <w:b/>
                <w:sz w:val="20"/>
                <w:szCs w:val="20"/>
              </w:rPr>
              <w:t>[N</w:t>
            </w:r>
            <w:r w:rsidR="00040091" w:rsidRPr="001A5BEB">
              <w:rPr>
                <w:rFonts w:ascii="Arial" w:hAnsi="Arial" w:cs="Arial"/>
                <w:b/>
                <w:sz w:val="20"/>
                <w:szCs w:val="20"/>
              </w:rPr>
              <w:t>E: I</w:t>
            </w:r>
            <w:r w:rsidR="00040091">
              <w:rPr>
                <w:rFonts w:ascii="Arial" w:hAnsi="Arial" w:cs="Arial"/>
                <w:b/>
                <w:sz w:val="20"/>
                <w:szCs w:val="20"/>
              </w:rPr>
              <w:t>V</w:t>
            </w:r>
            <w:r w:rsidR="00040091" w:rsidRPr="001A5BEB">
              <w:rPr>
                <w:rFonts w:ascii="Arial" w:hAnsi="Arial" w:cs="Arial"/>
                <w:b/>
                <w:sz w:val="20"/>
                <w:szCs w:val="20"/>
              </w:rPr>
              <w:t xml:space="preserve">, GR: </w:t>
            </w:r>
            <w:r w:rsidR="00040091">
              <w:rPr>
                <w:rFonts w:ascii="Arial" w:hAnsi="Arial" w:cs="Arial"/>
                <w:b/>
                <w:sz w:val="20"/>
                <w:szCs w:val="20"/>
              </w:rPr>
              <w:t>D</w:t>
            </w:r>
            <w:r w:rsidR="00040091" w:rsidRPr="001A5BEB">
              <w:rPr>
                <w:rFonts w:ascii="Arial" w:hAnsi="Arial" w:cs="Arial"/>
                <w:b/>
                <w:sz w:val="20"/>
                <w:szCs w:val="20"/>
              </w:rPr>
              <w:t>]</w:t>
            </w:r>
            <w:r w:rsidR="00040091">
              <w:rPr>
                <w:rFonts w:ascii="Arial" w:eastAsia="Times-Roman" w:hAnsi="Arial" w:cs="Arial"/>
                <w:color w:val="FF0000"/>
                <w:sz w:val="20"/>
                <w:szCs w:val="20"/>
                <w:vertAlign w:val="superscript"/>
              </w:rPr>
              <w:t>1</w:t>
            </w:r>
            <w:r w:rsidR="00E11C9C">
              <w:rPr>
                <w:rFonts w:ascii="Arial" w:eastAsia="Times-Roman" w:hAnsi="Arial" w:cs="Arial"/>
                <w:color w:val="FF0000"/>
                <w:sz w:val="20"/>
                <w:szCs w:val="20"/>
                <w:vertAlign w:val="superscript"/>
              </w:rPr>
              <w:t>4</w:t>
            </w:r>
          </w:p>
        </w:tc>
      </w:tr>
      <w:tr w:rsidR="000A1D17" w:rsidRPr="0068632C" w14:paraId="2F96F450" w14:textId="77777777" w:rsidTr="007614D7">
        <w:tc>
          <w:tcPr>
            <w:tcW w:w="2988" w:type="dxa"/>
          </w:tcPr>
          <w:p w14:paraId="7AEBC24A"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Dosis mínima y máxima</w:t>
            </w:r>
          </w:p>
        </w:tc>
        <w:tc>
          <w:tcPr>
            <w:tcW w:w="7043" w:type="dxa"/>
          </w:tcPr>
          <w:p w14:paraId="41898FF7"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Cloroquina: 4 mg/kg/día</w:t>
            </w:r>
          </w:p>
          <w:p w14:paraId="5564C3AE" w14:textId="77777777" w:rsidR="000A1D17" w:rsidRPr="0068632C" w:rsidRDefault="000A1D17" w:rsidP="007614D7">
            <w:pPr>
              <w:contextualSpacing/>
              <w:jc w:val="both"/>
              <w:rPr>
                <w:rFonts w:ascii="Arial" w:eastAsia="Times-Roman" w:hAnsi="Arial" w:cs="Arial"/>
                <w:sz w:val="20"/>
                <w:szCs w:val="20"/>
                <w:vertAlign w:val="superscript"/>
              </w:rPr>
            </w:pPr>
            <w:r w:rsidRPr="0068632C">
              <w:rPr>
                <w:rFonts w:ascii="Arial" w:eastAsia="Times-Roman" w:hAnsi="Arial" w:cs="Arial"/>
                <w:sz w:val="20"/>
                <w:szCs w:val="20"/>
              </w:rPr>
              <w:t>Hidroxicloroquina: 6 mg/kg/día</w:t>
            </w:r>
          </w:p>
          <w:p w14:paraId="15B3D8F5" w14:textId="77777777" w:rsidR="000A1D17" w:rsidRPr="0068632C" w:rsidRDefault="00040091" w:rsidP="00E11C9C">
            <w:pPr>
              <w:contextualSpacing/>
              <w:jc w:val="both"/>
              <w:rPr>
                <w:rFonts w:ascii="Arial" w:eastAsia="Times-Roman" w:hAnsi="Arial" w:cs="Arial"/>
                <w:sz w:val="20"/>
                <w:szCs w:val="20"/>
              </w:rPr>
            </w:pPr>
            <w:r>
              <w:rPr>
                <w:rFonts w:ascii="Arial" w:hAnsi="Arial" w:cs="Arial"/>
                <w:b/>
                <w:sz w:val="20"/>
                <w:szCs w:val="20"/>
              </w:rPr>
              <w:t>[N</w:t>
            </w:r>
            <w:r w:rsidRPr="001A5BEB">
              <w:rPr>
                <w:rFonts w:ascii="Arial" w:hAnsi="Arial" w:cs="Arial"/>
                <w:b/>
                <w:sz w:val="20"/>
                <w:szCs w:val="20"/>
              </w:rPr>
              <w:t>E: I</w:t>
            </w:r>
            <w:r>
              <w:rPr>
                <w:rFonts w:ascii="Arial" w:hAnsi="Arial" w:cs="Arial"/>
                <w:b/>
                <w:sz w:val="20"/>
                <w:szCs w:val="20"/>
              </w:rPr>
              <w:t>V</w:t>
            </w:r>
            <w:r w:rsidRPr="001A5BEB">
              <w:rPr>
                <w:rFonts w:ascii="Arial" w:hAnsi="Arial" w:cs="Arial"/>
                <w:b/>
                <w:sz w:val="20"/>
                <w:szCs w:val="20"/>
              </w:rPr>
              <w:t xml:space="preserve">, GR: </w:t>
            </w:r>
            <w:r>
              <w:rPr>
                <w:rFonts w:ascii="Arial" w:hAnsi="Arial" w:cs="Arial"/>
                <w:b/>
                <w:sz w:val="20"/>
                <w:szCs w:val="20"/>
              </w:rPr>
              <w:t>D</w:t>
            </w:r>
            <w:r w:rsidRPr="001A5BEB">
              <w:rPr>
                <w:rFonts w:ascii="Arial" w:hAnsi="Arial" w:cs="Arial"/>
                <w:b/>
                <w:sz w:val="20"/>
                <w:szCs w:val="20"/>
              </w:rPr>
              <w:t>]</w:t>
            </w:r>
            <w:r>
              <w:rPr>
                <w:rFonts w:ascii="Arial" w:eastAsia="Times-Roman" w:hAnsi="Arial" w:cs="Arial"/>
                <w:color w:val="FF0000"/>
                <w:sz w:val="20"/>
                <w:szCs w:val="20"/>
                <w:vertAlign w:val="superscript"/>
              </w:rPr>
              <w:t>1</w:t>
            </w:r>
            <w:r w:rsidR="00E11C9C">
              <w:rPr>
                <w:rFonts w:ascii="Arial" w:eastAsia="Times-Roman" w:hAnsi="Arial" w:cs="Arial"/>
                <w:color w:val="FF0000"/>
                <w:sz w:val="20"/>
                <w:szCs w:val="20"/>
                <w:vertAlign w:val="superscript"/>
              </w:rPr>
              <w:t>4</w:t>
            </w:r>
          </w:p>
        </w:tc>
      </w:tr>
      <w:tr w:rsidR="000A1D17" w:rsidRPr="0068632C" w14:paraId="25635043" w14:textId="77777777" w:rsidTr="007614D7">
        <w:tc>
          <w:tcPr>
            <w:tcW w:w="2988" w:type="dxa"/>
          </w:tcPr>
          <w:p w14:paraId="4D277B93" w14:textId="77777777" w:rsidR="000A1D17" w:rsidRPr="0068632C" w:rsidRDefault="000A1D17" w:rsidP="007614D7">
            <w:pPr>
              <w:contextualSpacing/>
              <w:jc w:val="both"/>
              <w:rPr>
                <w:rFonts w:ascii="Arial" w:hAnsi="Arial" w:cs="Arial"/>
                <w:sz w:val="20"/>
                <w:szCs w:val="20"/>
              </w:rPr>
            </w:pPr>
            <w:r w:rsidRPr="0068632C">
              <w:rPr>
                <w:rFonts w:ascii="Arial" w:hAnsi="Arial" w:cs="Arial"/>
                <w:sz w:val="20"/>
                <w:szCs w:val="20"/>
              </w:rPr>
              <w:t>Contraindicaciones</w:t>
            </w:r>
          </w:p>
        </w:tc>
        <w:tc>
          <w:tcPr>
            <w:tcW w:w="7043" w:type="dxa"/>
          </w:tcPr>
          <w:p w14:paraId="7EBCA06C" w14:textId="77777777" w:rsidR="000A1D17" w:rsidRPr="0068632C" w:rsidRDefault="000A1D17" w:rsidP="00E11C9C">
            <w:pPr>
              <w:contextualSpacing/>
              <w:jc w:val="both"/>
              <w:rPr>
                <w:rFonts w:ascii="Arial" w:eastAsia="Times-Roman" w:hAnsi="Arial" w:cs="Arial"/>
                <w:sz w:val="20"/>
                <w:szCs w:val="20"/>
              </w:rPr>
            </w:pPr>
            <w:r w:rsidRPr="0068632C">
              <w:rPr>
                <w:rFonts w:ascii="Arial" w:eastAsia="Times-Roman" w:hAnsi="Arial" w:cs="Arial"/>
                <w:sz w:val="20"/>
                <w:szCs w:val="20"/>
              </w:rPr>
              <w:t xml:space="preserve">Alergia a derivados de las 4 aminoquinoleínas, retinopatía o disminución en campos visuales, deficiencia de glucosa 6 fosfato deshidrogenasa, </w:t>
            </w:r>
            <w:r w:rsidRPr="0068632C">
              <w:rPr>
                <w:rFonts w:ascii="Arial" w:eastAsia="Times-Roman" w:hAnsi="Arial" w:cs="Arial"/>
                <w:i/>
                <w:sz w:val="20"/>
                <w:szCs w:val="20"/>
              </w:rPr>
              <w:t>miastenia gravis</w:t>
            </w:r>
            <w:r w:rsidRPr="0068632C">
              <w:rPr>
                <w:rFonts w:ascii="Arial" w:eastAsia="Times-Roman" w:hAnsi="Arial" w:cs="Arial"/>
                <w:sz w:val="20"/>
                <w:szCs w:val="20"/>
              </w:rPr>
              <w:t>, e insuficiencia renal.</w:t>
            </w:r>
            <w:r w:rsidR="00040091">
              <w:rPr>
                <w:rFonts w:ascii="Arial" w:eastAsia="Times-Roman" w:hAnsi="Arial" w:cs="Arial"/>
                <w:color w:val="FF0000"/>
                <w:sz w:val="20"/>
                <w:szCs w:val="20"/>
                <w:vertAlign w:val="superscript"/>
              </w:rPr>
              <w:t xml:space="preserve"> </w:t>
            </w:r>
            <w:r w:rsidR="00040091">
              <w:rPr>
                <w:rFonts w:ascii="Arial" w:hAnsi="Arial" w:cs="Arial"/>
                <w:b/>
                <w:sz w:val="20"/>
                <w:szCs w:val="20"/>
              </w:rPr>
              <w:t>[N</w:t>
            </w:r>
            <w:r w:rsidR="00040091" w:rsidRPr="001A5BEB">
              <w:rPr>
                <w:rFonts w:ascii="Arial" w:hAnsi="Arial" w:cs="Arial"/>
                <w:b/>
                <w:sz w:val="20"/>
                <w:szCs w:val="20"/>
              </w:rPr>
              <w:t>E: I</w:t>
            </w:r>
            <w:r w:rsidR="00040091">
              <w:rPr>
                <w:rFonts w:ascii="Arial" w:hAnsi="Arial" w:cs="Arial"/>
                <w:b/>
                <w:sz w:val="20"/>
                <w:szCs w:val="20"/>
              </w:rPr>
              <w:t>V</w:t>
            </w:r>
            <w:r w:rsidR="00040091" w:rsidRPr="001A5BEB">
              <w:rPr>
                <w:rFonts w:ascii="Arial" w:hAnsi="Arial" w:cs="Arial"/>
                <w:b/>
                <w:sz w:val="20"/>
                <w:szCs w:val="20"/>
              </w:rPr>
              <w:t xml:space="preserve">, GR: </w:t>
            </w:r>
            <w:r w:rsidR="00040091">
              <w:rPr>
                <w:rFonts w:ascii="Arial" w:hAnsi="Arial" w:cs="Arial"/>
                <w:b/>
                <w:sz w:val="20"/>
                <w:szCs w:val="20"/>
              </w:rPr>
              <w:t>D</w:t>
            </w:r>
            <w:r w:rsidR="00040091" w:rsidRPr="001A5BEB">
              <w:rPr>
                <w:rFonts w:ascii="Arial" w:hAnsi="Arial" w:cs="Arial"/>
                <w:b/>
                <w:sz w:val="20"/>
                <w:szCs w:val="20"/>
              </w:rPr>
              <w:t>]</w:t>
            </w:r>
            <w:r w:rsidR="00040091">
              <w:rPr>
                <w:rFonts w:ascii="Arial" w:eastAsia="Times-Roman" w:hAnsi="Arial" w:cs="Arial"/>
                <w:color w:val="FF0000"/>
                <w:sz w:val="20"/>
                <w:szCs w:val="20"/>
                <w:vertAlign w:val="superscript"/>
              </w:rPr>
              <w:t>1</w:t>
            </w:r>
            <w:r w:rsidR="00E11C9C">
              <w:rPr>
                <w:rFonts w:ascii="Arial" w:eastAsia="Times-Roman" w:hAnsi="Arial" w:cs="Arial"/>
                <w:color w:val="FF0000"/>
                <w:sz w:val="20"/>
                <w:szCs w:val="20"/>
                <w:vertAlign w:val="superscript"/>
              </w:rPr>
              <w:t>4</w:t>
            </w:r>
          </w:p>
        </w:tc>
      </w:tr>
      <w:tr w:rsidR="000A1D17" w:rsidRPr="0068632C" w14:paraId="10E5DA58" w14:textId="77777777" w:rsidTr="007614D7">
        <w:tc>
          <w:tcPr>
            <w:tcW w:w="2988" w:type="dxa"/>
          </w:tcPr>
          <w:p w14:paraId="6E0AEC16" w14:textId="77777777" w:rsidR="000A1D17" w:rsidRPr="0068632C" w:rsidRDefault="000A1D17" w:rsidP="007614D7">
            <w:pPr>
              <w:contextualSpacing/>
              <w:jc w:val="both"/>
              <w:rPr>
                <w:rFonts w:ascii="Arial" w:hAnsi="Arial" w:cs="Arial"/>
                <w:sz w:val="20"/>
                <w:szCs w:val="20"/>
              </w:rPr>
            </w:pPr>
            <w:r w:rsidRPr="0068632C">
              <w:rPr>
                <w:rFonts w:ascii="Arial" w:hAnsi="Arial" w:cs="Arial"/>
                <w:sz w:val="20"/>
                <w:szCs w:val="20"/>
              </w:rPr>
              <w:t>Casos especiales</w:t>
            </w:r>
          </w:p>
        </w:tc>
        <w:tc>
          <w:tcPr>
            <w:tcW w:w="7043" w:type="dxa"/>
          </w:tcPr>
          <w:p w14:paraId="340FE85A"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La </w:t>
            </w:r>
            <w:r w:rsidR="00D2135E">
              <w:rPr>
                <w:rFonts w:ascii="Arial" w:eastAsia="Times-Roman" w:hAnsi="Arial" w:cs="Arial"/>
                <w:sz w:val="20"/>
                <w:szCs w:val="20"/>
              </w:rPr>
              <w:t>CLQ</w:t>
            </w:r>
            <w:r w:rsidRPr="0068632C">
              <w:rPr>
                <w:rFonts w:ascii="Arial" w:eastAsia="Times-Roman" w:hAnsi="Arial" w:cs="Arial"/>
                <w:sz w:val="20"/>
                <w:szCs w:val="20"/>
              </w:rPr>
              <w:t xml:space="preserve"> y la </w:t>
            </w:r>
            <w:r w:rsidR="00D2135E">
              <w:rPr>
                <w:rFonts w:ascii="Arial" w:eastAsia="Times-Roman" w:hAnsi="Arial" w:cs="Arial"/>
                <w:sz w:val="20"/>
                <w:szCs w:val="20"/>
              </w:rPr>
              <w:t>HCQ</w:t>
            </w:r>
            <w:r w:rsidRPr="0068632C">
              <w:rPr>
                <w:rFonts w:ascii="Arial" w:eastAsia="Times-Roman" w:hAnsi="Arial" w:cs="Arial"/>
                <w:sz w:val="20"/>
                <w:szCs w:val="20"/>
              </w:rPr>
              <w:t xml:space="preserve"> pueden ser usadas durante el embarazo.</w:t>
            </w:r>
          </w:p>
          <w:p w14:paraId="61518EF3" w14:textId="77777777" w:rsidR="000A1D17" w:rsidRPr="0068632C" w:rsidRDefault="000A1D17" w:rsidP="00E11C9C">
            <w:pPr>
              <w:contextualSpacing/>
              <w:jc w:val="both"/>
              <w:rPr>
                <w:rFonts w:ascii="Arial" w:eastAsia="Times-Roman" w:hAnsi="Arial" w:cs="Arial"/>
                <w:sz w:val="20"/>
                <w:szCs w:val="20"/>
              </w:rPr>
            </w:pPr>
            <w:r w:rsidRPr="0068632C">
              <w:rPr>
                <w:rFonts w:ascii="Arial" w:eastAsia="Times-Roman" w:hAnsi="Arial" w:cs="Arial"/>
                <w:sz w:val="20"/>
                <w:szCs w:val="20"/>
              </w:rPr>
              <w:t>No se recomiendan precauciones especiales en pacientes con neoplasias malignas, infecciones, en el esquema de vacunaciones o en caso de cirugía electiva o de urgencia.</w:t>
            </w:r>
            <w:r w:rsidR="00040091">
              <w:rPr>
                <w:rFonts w:ascii="Arial" w:hAnsi="Arial" w:cs="Arial"/>
                <w:b/>
                <w:sz w:val="20"/>
                <w:szCs w:val="20"/>
              </w:rPr>
              <w:t xml:space="preserve"> [N</w:t>
            </w:r>
            <w:r w:rsidR="00040091" w:rsidRPr="001A5BEB">
              <w:rPr>
                <w:rFonts w:ascii="Arial" w:hAnsi="Arial" w:cs="Arial"/>
                <w:b/>
                <w:sz w:val="20"/>
                <w:szCs w:val="20"/>
              </w:rPr>
              <w:t>E: I</w:t>
            </w:r>
            <w:r w:rsidR="00040091">
              <w:rPr>
                <w:rFonts w:ascii="Arial" w:hAnsi="Arial" w:cs="Arial"/>
                <w:b/>
                <w:sz w:val="20"/>
                <w:szCs w:val="20"/>
              </w:rPr>
              <w:t>V</w:t>
            </w:r>
            <w:r w:rsidR="00040091" w:rsidRPr="001A5BEB">
              <w:rPr>
                <w:rFonts w:ascii="Arial" w:hAnsi="Arial" w:cs="Arial"/>
                <w:b/>
                <w:sz w:val="20"/>
                <w:szCs w:val="20"/>
              </w:rPr>
              <w:t xml:space="preserve">, GR: </w:t>
            </w:r>
            <w:r w:rsidR="00040091">
              <w:rPr>
                <w:rFonts w:ascii="Arial" w:hAnsi="Arial" w:cs="Arial"/>
                <w:b/>
                <w:sz w:val="20"/>
                <w:szCs w:val="20"/>
              </w:rPr>
              <w:t>D</w:t>
            </w:r>
            <w:r w:rsidR="00040091" w:rsidRPr="001A5BEB">
              <w:rPr>
                <w:rFonts w:ascii="Arial" w:hAnsi="Arial" w:cs="Arial"/>
                <w:b/>
                <w:sz w:val="20"/>
                <w:szCs w:val="20"/>
              </w:rPr>
              <w:t>]</w:t>
            </w:r>
            <w:r w:rsidR="00040091">
              <w:rPr>
                <w:rFonts w:ascii="Arial" w:eastAsia="Times-Roman" w:hAnsi="Arial" w:cs="Arial"/>
                <w:color w:val="FF0000"/>
                <w:sz w:val="20"/>
                <w:szCs w:val="20"/>
                <w:vertAlign w:val="superscript"/>
              </w:rPr>
              <w:t>1</w:t>
            </w:r>
            <w:r w:rsidR="00E11C9C">
              <w:rPr>
                <w:rFonts w:ascii="Arial" w:eastAsia="Times-Roman" w:hAnsi="Arial" w:cs="Arial"/>
                <w:color w:val="FF0000"/>
                <w:sz w:val="20"/>
                <w:szCs w:val="20"/>
                <w:vertAlign w:val="superscript"/>
              </w:rPr>
              <w:t>0</w:t>
            </w:r>
            <w:r w:rsidR="008E0CBF">
              <w:rPr>
                <w:rFonts w:ascii="Arial" w:eastAsia="Times-Roman" w:hAnsi="Arial" w:cs="Arial"/>
                <w:color w:val="FF0000"/>
                <w:sz w:val="20"/>
                <w:szCs w:val="20"/>
                <w:vertAlign w:val="superscript"/>
              </w:rPr>
              <w:t>,</w:t>
            </w:r>
            <w:r w:rsidR="00040091">
              <w:rPr>
                <w:rFonts w:ascii="Arial" w:eastAsia="Times-Roman" w:hAnsi="Arial" w:cs="Arial"/>
                <w:color w:val="FF0000"/>
                <w:sz w:val="20"/>
                <w:szCs w:val="20"/>
                <w:vertAlign w:val="superscript"/>
              </w:rPr>
              <w:t>1</w:t>
            </w:r>
            <w:r w:rsidR="00E11C9C">
              <w:rPr>
                <w:rFonts w:ascii="Arial" w:eastAsia="Times-Roman" w:hAnsi="Arial" w:cs="Arial"/>
                <w:color w:val="FF0000"/>
                <w:sz w:val="20"/>
                <w:szCs w:val="20"/>
                <w:vertAlign w:val="superscript"/>
              </w:rPr>
              <w:t>4</w:t>
            </w:r>
          </w:p>
        </w:tc>
      </w:tr>
    </w:tbl>
    <w:p w14:paraId="5CF6222E" w14:textId="77777777" w:rsidR="000A1D17" w:rsidRDefault="000A1D17">
      <w:pPr>
        <w:rPr>
          <w:rFonts w:ascii="Arial" w:hAnsi="Arial" w:cs="Arial"/>
          <w:sz w:val="20"/>
          <w:szCs w:val="20"/>
          <w:lang w:val="en-US"/>
        </w:rPr>
      </w:pPr>
    </w:p>
    <w:p w14:paraId="698A3219" w14:textId="77777777" w:rsidR="00472204" w:rsidRPr="0068632C" w:rsidRDefault="00472204">
      <w:pPr>
        <w:rPr>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43"/>
      </w:tblGrid>
      <w:tr w:rsidR="000A1D17" w:rsidRPr="0068632C" w14:paraId="05EBB3A7" w14:textId="77777777" w:rsidTr="00F0314D">
        <w:tc>
          <w:tcPr>
            <w:tcW w:w="2988" w:type="dxa"/>
            <w:shd w:val="clear" w:color="auto" w:fill="auto"/>
          </w:tcPr>
          <w:p w14:paraId="75B0DECB" w14:textId="77777777" w:rsidR="000A1D17" w:rsidRPr="00B7686B" w:rsidRDefault="00D54A7D" w:rsidP="000A1D17">
            <w:pPr>
              <w:pStyle w:val="Prrafodelista1"/>
              <w:numPr>
                <w:ilvl w:val="0"/>
                <w:numId w:val="1"/>
              </w:numPr>
              <w:spacing w:after="0" w:line="240" w:lineRule="auto"/>
              <w:ind w:left="0"/>
              <w:contextualSpacing/>
              <w:jc w:val="both"/>
              <w:rPr>
                <w:rFonts w:ascii="Arial" w:hAnsi="Arial" w:cs="Arial"/>
                <w:b/>
                <w:sz w:val="28"/>
                <w:szCs w:val="28"/>
              </w:rPr>
            </w:pPr>
            <w:r w:rsidRPr="00B7686B">
              <w:rPr>
                <w:rFonts w:ascii="Arial" w:hAnsi="Arial" w:cs="Arial"/>
                <w:b/>
                <w:sz w:val="28"/>
                <w:szCs w:val="28"/>
              </w:rPr>
              <w:t>Leflunomida</w:t>
            </w:r>
          </w:p>
        </w:tc>
        <w:tc>
          <w:tcPr>
            <w:tcW w:w="7043" w:type="dxa"/>
            <w:shd w:val="clear" w:color="auto" w:fill="auto"/>
          </w:tcPr>
          <w:p w14:paraId="1D5FF94D"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Agente inmunomodulador con actividad antiproliferativa; inhibe la enzima dihidroorotato deshidrogenasa involucrada en la síntesis de pirimidina.</w:t>
            </w:r>
            <w:r w:rsidR="00E11C9C">
              <w:rPr>
                <w:rFonts w:ascii="Arial" w:eastAsia="Times-Roman" w:hAnsi="Arial" w:cs="Arial"/>
                <w:color w:val="FF0000"/>
                <w:sz w:val="20"/>
                <w:szCs w:val="20"/>
                <w:vertAlign w:val="superscript"/>
              </w:rPr>
              <w:t>16</w:t>
            </w:r>
          </w:p>
        </w:tc>
      </w:tr>
      <w:tr w:rsidR="000A1D17" w:rsidRPr="0068632C" w14:paraId="67D21CAF" w14:textId="77777777" w:rsidTr="00F0314D">
        <w:tc>
          <w:tcPr>
            <w:tcW w:w="2988" w:type="dxa"/>
            <w:shd w:val="clear" w:color="auto" w:fill="auto"/>
          </w:tcPr>
          <w:p w14:paraId="3E57B561" w14:textId="77777777" w:rsidR="000A1D17" w:rsidRPr="0068632C" w:rsidRDefault="000A1D17" w:rsidP="000A1D17">
            <w:pPr>
              <w:numPr>
                <w:ilvl w:val="0"/>
                <w:numId w:val="1"/>
              </w:numPr>
              <w:ind w:left="0"/>
              <w:contextualSpacing/>
              <w:jc w:val="both"/>
              <w:rPr>
                <w:rFonts w:ascii="Arial" w:hAnsi="Arial" w:cs="Arial"/>
                <w:sz w:val="20"/>
                <w:szCs w:val="20"/>
              </w:rPr>
            </w:pPr>
            <w:r w:rsidRPr="0068632C">
              <w:rPr>
                <w:rFonts w:ascii="Arial" w:hAnsi="Arial" w:cs="Arial"/>
                <w:sz w:val="20"/>
                <w:szCs w:val="20"/>
              </w:rPr>
              <w:t xml:space="preserve">¿En qué línea de tratamiento está indicado?  </w:t>
            </w:r>
          </w:p>
          <w:p w14:paraId="45D62E6B" w14:textId="77777777" w:rsidR="000A1D17" w:rsidRPr="0068632C" w:rsidRDefault="000A1D17" w:rsidP="000A1D17">
            <w:pPr>
              <w:numPr>
                <w:ilvl w:val="0"/>
                <w:numId w:val="1"/>
              </w:numPr>
              <w:ind w:left="0"/>
              <w:contextualSpacing/>
              <w:jc w:val="both"/>
              <w:rPr>
                <w:rFonts w:ascii="Arial" w:hAnsi="Arial" w:cs="Arial"/>
                <w:sz w:val="20"/>
                <w:szCs w:val="20"/>
              </w:rPr>
            </w:pPr>
          </w:p>
          <w:p w14:paraId="44BF9317" w14:textId="77777777" w:rsidR="000A1D17" w:rsidRPr="0068632C" w:rsidRDefault="000A1D17" w:rsidP="007614D7">
            <w:pPr>
              <w:jc w:val="both"/>
              <w:rPr>
                <w:rFonts w:ascii="Arial" w:eastAsia="Times-Roman" w:hAnsi="Arial" w:cs="Arial"/>
                <w:sz w:val="20"/>
                <w:szCs w:val="20"/>
              </w:rPr>
            </w:pPr>
          </w:p>
        </w:tc>
        <w:tc>
          <w:tcPr>
            <w:tcW w:w="7043" w:type="dxa"/>
            <w:shd w:val="clear" w:color="auto" w:fill="auto"/>
          </w:tcPr>
          <w:p w14:paraId="047AB97E"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La LEF en estudios comparados con placebo ha demostrado reducir la actividad de la enfermedad y retardar la progresión radiológica. Su eficacia fue observada al ser comparable a MTX en un metaanálisis.</w:t>
            </w:r>
            <w:r w:rsidR="008E0CBF">
              <w:rPr>
                <w:rFonts w:ascii="Arial" w:hAnsi="Arial" w:cs="Arial"/>
                <w:b/>
                <w:sz w:val="20"/>
                <w:szCs w:val="20"/>
              </w:rPr>
              <w:t xml:space="preserve"> [N</w:t>
            </w:r>
            <w:r w:rsidR="008E0CBF" w:rsidRPr="001A5BEB">
              <w:rPr>
                <w:rFonts w:ascii="Arial" w:hAnsi="Arial" w:cs="Arial"/>
                <w:b/>
                <w:sz w:val="20"/>
                <w:szCs w:val="20"/>
              </w:rPr>
              <w:t xml:space="preserve">E: I, GR: </w:t>
            </w:r>
            <w:r w:rsidR="008E0CBF">
              <w:rPr>
                <w:rFonts w:ascii="Arial" w:hAnsi="Arial" w:cs="Arial"/>
                <w:b/>
                <w:sz w:val="20"/>
                <w:szCs w:val="20"/>
              </w:rPr>
              <w:t>A</w:t>
            </w:r>
            <w:r w:rsidR="008E0CBF" w:rsidRPr="001A5BEB">
              <w:rPr>
                <w:rFonts w:ascii="Arial" w:hAnsi="Arial" w:cs="Arial"/>
                <w:b/>
                <w:sz w:val="20"/>
                <w:szCs w:val="20"/>
              </w:rPr>
              <w:t>]</w:t>
            </w:r>
            <w:r w:rsidR="00AC6D7C">
              <w:rPr>
                <w:rFonts w:ascii="Arial" w:eastAsia="Times-Roman" w:hAnsi="Arial" w:cs="Arial"/>
                <w:color w:val="FF0000"/>
                <w:sz w:val="20"/>
                <w:szCs w:val="20"/>
                <w:vertAlign w:val="superscript"/>
              </w:rPr>
              <w:t>1</w:t>
            </w:r>
            <w:r w:rsidR="00E11C9C">
              <w:rPr>
                <w:rFonts w:ascii="Arial" w:eastAsia="Times-Roman" w:hAnsi="Arial" w:cs="Arial"/>
                <w:color w:val="FF0000"/>
                <w:sz w:val="20"/>
                <w:szCs w:val="20"/>
                <w:vertAlign w:val="superscript"/>
              </w:rPr>
              <w:t>7</w:t>
            </w:r>
          </w:p>
          <w:p w14:paraId="732ACBF8" w14:textId="77777777" w:rsidR="008E0CBF" w:rsidRDefault="008E0CBF" w:rsidP="007614D7">
            <w:pPr>
              <w:contextualSpacing/>
              <w:jc w:val="both"/>
              <w:rPr>
                <w:rFonts w:ascii="Arial" w:hAnsi="Arial" w:cs="Arial"/>
                <w:sz w:val="20"/>
                <w:szCs w:val="20"/>
              </w:rPr>
            </w:pPr>
          </w:p>
          <w:p w14:paraId="4BDFE7F2" w14:textId="77777777" w:rsidR="000A1D17" w:rsidRPr="0068632C" w:rsidRDefault="000A1D17" w:rsidP="00E11C9C">
            <w:pPr>
              <w:contextualSpacing/>
              <w:jc w:val="both"/>
              <w:rPr>
                <w:rFonts w:ascii="Arial" w:eastAsia="Times-Roman" w:hAnsi="Arial" w:cs="Arial"/>
                <w:sz w:val="20"/>
                <w:szCs w:val="20"/>
              </w:rPr>
            </w:pPr>
            <w:r w:rsidRPr="0068632C">
              <w:rPr>
                <w:rFonts w:ascii="Arial" w:eastAsia="Times-Roman" w:hAnsi="Arial" w:cs="Arial"/>
                <w:sz w:val="20"/>
                <w:szCs w:val="20"/>
              </w:rPr>
              <w:t xml:space="preserve">Puede ser usada como primera línea de tratamiento en lugar de MTX en </w:t>
            </w:r>
            <w:r w:rsidRPr="0068632C">
              <w:rPr>
                <w:rFonts w:ascii="Arial" w:eastAsia="Times-Roman" w:hAnsi="Arial" w:cs="Arial"/>
                <w:sz w:val="20"/>
                <w:szCs w:val="20"/>
              </w:rPr>
              <w:lastRenderedPageBreak/>
              <w:t>pacientes con contraindicaciones para su uso, o en segunda línea de tratamiento en caso de falla de respuesta a MTX o en terapia combinada con este inductor de remisión.</w:t>
            </w:r>
            <w:r w:rsidR="00DE7CBC">
              <w:rPr>
                <w:rFonts w:ascii="Arial" w:eastAsia="Times-Roman" w:hAnsi="Arial" w:cs="Arial"/>
                <w:sz w:val="20"/>
                <w:szCs w:val="20"/>
              </w:rPr>
              <w:t xml:space="preserve"> </w:t>
            </w:r>
            <w:r w:rsidR="00DE7CBC" w:rsidRPr="00DE7CBC">
              <w:rPr>
                <w:rFonts w:ascii="Arial" w:eastAsia="TrebuchetMS" w:hAnsi="Arial" w:cs="Arial"/>
                <w:b/>
                <w:color w:val="000000"/>
                <w:sz w:val="20"/>
                <w:szCs w:val="20"/>
                <w:lang w:val="es-ES"/>
              </w:rPr>
              <w:t>[</w:t>
            </w:r>
            <w:r w:rsidR="00DE7CBC" w:rsidRPr="00DE7CBC">
              <w:rPr>
                <w:rFonts w:ascii="Arial" w:hAnsi="Arial" w:cs="Arial"/>
                <w:b/>
                <w:sz w:val="20"/>
                <w:szCs w:val="20"/>
              </w:rPr>
              <w:t>NE: 1a, GR: A</w:t>
            </w:r>
            <w:r w:rsidR="00DE7CBC">
              <w:rPr>
                <w:rFonts w:ascii="Arial" w:hAnsi="Arial" w:cs="Arial"/>
                <w:b/>
                <w:sz w:val="20"/>
                <w:szCs w:val="20"/>
              </w:rPr>
              <w:t>]</w:t>
            </w:r>
            <w:r w:rsidR="00DE7CBC">
              <w:rPr>
                <w:rFonts w:ascii="Arial" w:eastAsia="Times-Roman" w:hAnsi="Arial" w:cs="Arial"/>
                <w:color w:val="FF0000"/>
                <w:sz w:val="20"/>
                <w:szCs w:val="20"/>
                <w:vertAlign w:val="superscript"/>
              </w:rPr>
              <w:t>1</w:t>
            </w:r>
            <w:r w:rsidR="00E11C9C">
              <w:rPr>
                <w:rFonts w:ascii="Arial" w:eastAsia="Times-Roman" w:hAnsi="Arial" w:cs="Arial"/>
                <w:color w:val="FF0000"/>
                <w:sz w:val="20"/>
                <w:szCs w:val="20"/>
                <w:vertAlign w:val="superscript"/>
              </w:rPr>
              <w:t>4</w:t>
            </w:r>
          </w:p>
        </w:tc>
      </w:tr>
      <w:tr w:rsidR="000A1D17" w:rsidRPr="0068632C" w14:paraId="247C854F" w14:textId="77777777" w:rsidTr="00F0314D">
        <w:tc>
          <w:tcPr>
            <w:tcW w:w="2988" w:type="dxa"/>
            <w:shd w:val="clear" w:color="auto" w:fill="auto"/>
          </w:tcPr>
          <w:p w14:paraId="02A34363" w14:textId="77777777" w:rsidR="000A1D17" w:rsidRPr="0068632C" w:rsidRDefault="000A1D17" w:rsidP="007614D7">
            <w:pPr>
              <w:contextualSpacing/>
              <w:jc w:val="both"/>
              <w:rPr>
                <w:rFonts w:ascii="Arial" w:eastAsia="Times-Roman" w:hAnsi="Arial" w:cs="Arial"/>
                <w:sz w:val="20"/>
                <w:szCs w:val="20"/>
              </w:rPr>
            </w:pPr>
            <w:r w:rsidRPr="0068632C">
              <w:rPr>
                <w:rFonts w:ascii="Arial" w:hAnsi="Arial" w:cs="Arial"/>
                <w:sz w:val="20"/>
                <w:szCs w:val="20"/>
              </w:rPr>
              <w:lastRenderedPageBreak/>
              <w:t>Estudios que se requieren antes del tratamiento  y durante el seguimiento</w:t>
            </w:r>
          </w:p>
        </w:tc>
        <w:tc>
          <w:tcPr>
            <w:tcW w:w="7043" w:type="dxa"/>
            <w:shd w:val="clear" w:color="auto" w:fill="auto"/>
          </w:tcPr>
          <w:p w14:paraId="4C5CF053" w14:textId="792426F2" w:rsidR="000A1D17" w:rsidRPr="0068632C" w:rsidRDefault="000A1D17" w:rsidP="008E0CBF">
            <w:pPr>
              <w:contextualSpacing/>
              <w:jc w:val="both"/>
              <w:rPr>
                <w:rFonts w:ascii="Arial" w:eastAsia="Times-Roman" w:hAnsi="Arial" w:cs="Arial"/>
                <w:sz w:val="20"/>
                <w:szCs w:val="20"/>
              </w:rPr>
            </w:pPr>
            <w:r w:rsidRPr="0068632C">
              <w:rPr>
                <w:rFonts w:ascii="Arial" w:eastAsia="Times-Roman" w:hAnsi="Arial" w:cs="Arial"/>
                <w:sz w:val="20"/>
                <w:szCs w:val="20"/>
              </w:rPr>
              <w:t xml:space="preserve">Previo al tratamiento y durante el seguimiento es recomendable solicitar </w:t>
            </w:r>
            <w:r w:rsidR="008E0CBF">
              <w:rPr>
                <w:rFonts w:ascii="Arial" w:eastAsia="Times-Roman" w:hAnsi="Arial" w:cs="Arial"/>
                <w:sz w:val="20"/>
                <w:szCs w:val="20"/>
              </w:rPr>
              <w:t>BH</w:t>
            </w:r>
            <w:r w:rsidRPr="0068632C">
              <w:rPr>
                <w:rFonts w:ascii="Arial" w:eastAsia="Times-Roman" w:hAnsi="Arial" w:cs="Arial"/>
                <w:sz w:val="20"/>
                <w:szCs w:val="20"/>
              </w:rPr>
              <w:t>, creatinina sérica, serología para hepatitis B</w:t>
            </w:r>
            <w:r w:rsidR="00AC6D7C">
              <w:rPr>
                <w:rFonts w:ascii="Arial" w:eastAsia="Times-Roman" w:hAnsi="Arial" w:cs="Arial"/>
                <w:sz w:val="20"/>
                <w:szCs w:val="20"/>
              </w:rPr>
              <w:t xml:space="preserve"> </w:t>
            </w:r>
            <w:r w:rsidRPr="0068632C">
              <w:rPr>
                <w:rFonts w:ascii="Arial" w:eastAsia="Times-Roman" w:hAnsi="Arial" w:cs="Arial"/>
                <w:sz w:val="20"/>
                <w:szCs w:val="20"/>
              </w:rPr>
              <w:t>y C y transaminasas.</w:t>
            </w:r>
            <w:r w:rsidR="008E0CBF">
              <w:rPr>
                <w:rFonts w:ascii="Arial" w:eastAsia="Times-Roman" w:hAnsi="Arial" w:cs="Arial"/>
                <w:sz w:val="20"/>
                <w:szCs w:val="20"/>
              </w:rPr>
              <w:t xml:space="preserve"> Repetir BH, PFH</w:t>
            </w:r>
            <w:r w:rsidR="00DC146E">
              <w:rPr>
                <w:rFonts w:ascii="Arial" w:eastAsia="Times-Roman" w:hAnsi="Arial" w:cs="Arial"/>
                <w:sz w:val="20"/>
                <w:szCs w:val="20"/>
              </w:rPr>
              <w:t>,</w:t>
            </w:r>
            <w:r w:rsidR="00B21EE7">
              <w:rPr>
                <w:rFonts w:ascii="Arial" w:eastAsia="Times-Roman" w:hAnsi="Arial" w:cs="Arial"/>
                <w:sz w:val="20"/>
                <w:szCs w:val="20"/>
              </w:rPr>
              <w:t xml:space="preserve"> PFR cada 4</w:t>
            </w:r>
            <w:r w:rsidR="008E0CBF">
              <w:rPr>
                <w:rFonts w:ascii="Arial" w:eastAsia="Times-Roman" w:hAnsi="Arial" w:cs="Arial"/>
                <w:sz w:val="20"/>
                <w:szCs w:val="20"/>
              </w:rPr>
              <w:t xml:space="preserve"> a</w:t>
            </w:r>
            <w:r w:rsidR="00B21EE7">
              <w:rPr>
                <w:rFonts w:ascii="Arial" w:eastAsia="Times-Roman" w:hAnsi="Arial" w:cs="Arial"/>
                <w:sz w:val="20"/>
                <w:szCs w:val="20"/>
              </w:rPr>
              <w:t>12 semanas durante el tratamiento.</w:t>
            </w:r>
            <w:r w:rsidR="00904C53">
              <w:rPr>
                <w:rFonts w:ascii="Arial" w:eastAsia="Times-Roman" w:hAnsi="Arial" w:cs="Arial"/>
                <w:sz w:val="20"/>
                <w:szCs w:val="20"/>
              </w:rPr>
              <w:t xml:space="preserve"> Es importante descartar embarazo y debe informarse al paciente con vida sexual activa los riesgos potenciales de un embarazo</w:t>
            </w:r>
            <w:r w:rsidR="008F1263">
              <w:rPr>
                <w:rFonts w:ascii="Arial" w:eastAsia="Times-Roman" w:hAnsi="Arial" w:cs="Arial"/>
                <w:sz w:val="20"/>
                <w:szCs w:val="20"/>
              </w:rPr>
              <w:t>. Se debe considerar la prueba de embarazo antes de iniciar LEF en estos pacientes.</w:t>
            </w:r>
          </w:p>
        </w:tc>
      </w:tr>
      <w:tr w:rsidR="000A1D17" w:rsidRPr="0068632C" w14:paraId="598CC1E6" w14:textId="77777777" w:rsidTr="00F0314D">
        <w:tc>
          <w:tcPr>
            <w:tcW w:w="2988" w:type="dxa"/>
            <w:shd w:val="clear" w:color="auto" w:fill="auto"/>
          </w:tcPr>
          <w:p w14:paraId="5812FA6B" w14:textId="77777777" w:rsidR="000A1D17" w:rsidRPr="0068632C" w:rsidRDefault="000A1D17" w:rsidP="007614D7">
            <w:pPr>
              <w:contextualSpacing/>
              <w:jc w:val="both"/>
              <w:rPr>
                <w:rFonts w:ascii="Arial" w:eastAsia="Times-Roman" w:hAnsi="Arial" w:cs="Arial"/>
                <w:sz w:val="20"/>
                <w:szCs w:val="20"/>
              </w:rPr>
            </w:pPr>
            <w:r w:rsidRPr="0068632C">
              <w:rPr>
                <w:rFonts w:ascii="Arial" w:hAnsi="Arial" w:cs="Arial"/>
                <w:sz w:val="20"/>
                <w:szCs w:val="20"/>
              </w:rPr>
              <w:t>Monoterapia o en combinaciones (¿cuál es la mejor combinación y secuencia?)</w:t>
            </w:r>
          </w:p>
        </w:tc>
        <w:tc>
          <w:tcPr>
            <w:tcW w:w="7043" w:type="dxa"/>
            <w:shd w:val="clear" w:color="auto" w:fill="auto"/>
          </w:tcPr>
          <w:p w14:paraId="6B1DC917"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La LEF puede ser usada tanto como monoterapia o combinada con otro FARME sintético. En caso de monoterapia, este FARME sintético deberá ser considerado como una alternativa en falla de tratamiento a MTX y después de al menos tres meses de su uso. La terapia combinada con LEF+MTX puede ser una opción terapéutica en pacientes con actividad articular persistente a pesar del uso de MTX como monoterapia. Existe evidencia que muestra superioridad en eficacia de LEF+MTX comparado con MTX+ placebo.</w:t>
            </w:r>
            <w:r w:rsidR="008E0CBF">
              <w:rPr>
                <w:rFonts w:ascii="Arial" w:hAnsi="Arial" w:cs="Arial"/>
                <w:b/>
                <w:sz w:val="20"/>
                <w:szCs w:val="20"/>
              </w:rPr>
              <w:t xml:space="preserve"> [N</w:t>
            </w:r>
            <w:r w:rsidR="008E0CBF" w:rsidRPr="001A5BEB">
              <w:rPr>
                <w:rFonts w:ascii="Arial" w:hAnsi="Arial" w:cs="Arial"/>
                <w:b/>
                <w:sz w:val="20"/>
                <w:szCs w:val="20"/>
              </w:rPr>
              <w:t>E: I</w:t>
            </w:r>
            <w:r w:rsidR="00635C44">
              <w:rPr>
                <w:rFonts w:ascii="Arial" w:hAnsi="Arial" w:cs="Arial"/>
                <w:b/>
                <w:sz w:val="20"/>
                <w:szCs w:val="20"/>
              </w:rPr>
              <w:t>++</w:t>
            </w:r>
            <w:r w:rsidR="008E0CBF" w:rsidRPr="001A5BEB">
              <w:rPr>
                <w:rFonts w:ascii="Arial" w:hAnsi="Arial" w:cs="Arial"/>
                <w:b/>
                <w:sz w:val="20"/>
                <w:szCs w:val="20"/>
              </w:rPr>
              <w:t xml:space="preserve">, GR: </w:t>
            </w:r>
            <w:r w:rsidR="008E0CBF">
              <w:rPr>
                <w:rFonts w:ascii="Arial" w:hAnsi="Arial" w:cs="Arial"/>
                <w:b/>
                <w:sz w:val="20"/>
                <w:szCs w:val="20"/>
              </w:rPr>
              <w:t>A</w:t>
            </w:r>
            <w:r w:rsidR="008E0CBF" w:rsidRPr="001A5BEB">
              <w:rPr>
                <w:rFonts w:ascii="Arial" w:hAnsi="Arial" w:cs="Arial"/>
                <w:b/>
                <w:sz w:val="20"/>
                <w:szCs w:val="20"/>
              </w:rPr>
              <w:t>]</w:t>
            </w:r>
            <w:r w:rsidR="00635C44">
              <w:rPr>
                <w:rFonts w:ascii="Arial" w:eastAsia="Times-Roman" w:hAnsi="Arial" w:cs="Arial"/>
                <w:color w:val="FF0000"/>
                <w:sz w:val="20"/>
                <w:szCs w:val="20"/>
                <w:vertAlign w:val="superscript"/>
              </w:rPr>
              <w:t>10</w:t>
            </w:r>
          </w:p>
          <w:p w14:paraId="70B8589C" w14:textId="77777777" w:rsidR="000A1D17" w:rsidRPr="0068632C" w:rsidRDefault="000A1D17" w:rsidP="007614D7">
            <w:pPr>
              <w:contextualSpacing/>
              <w:jc w:val="both"/>
              <w:rPr>
                <w:rFonts w:ascii="Arial" w:hAnsi="Arial" w:cs="Arial"/>
                <w:sz w:val="20"/>
                <w:szCs w:val="20"/>
              </w:rPr>
            </w:pPr>
          </w:p>
          <w:p w14:paraId="6B2C502E" w14:textId="77777777" w:rsidR="008E0CBF" w:rsidRPr="0068632C" w:rsidRDefault="000A1D17" w:rsidP="008E0CBF">
            <w:pPr>
              <w:contextualSpacing/>
              <w:jc w:val="both"/>
              <w:rPr>
                <w:rFonts w:ascii="Arial" w:eastAsia="Times-Roman" w:hAnsi="Arial" w:cs="Arial"/>
                <w:sz w:val="20"/>
                <w:szCs w:val="20"/>
              </w:rPr>
            </w:pPr>
            <w:r w:rsidRPr="0068632C">
              <w:rPr>
                <w:rFonts w:ascii="Arial" w:hAnsi="Arial" w:cs="Arial"/>
                <w:sz w:val="20"/>
                <w:szCs w:val="20"/>
              </w:rPr>
              <w:t>Sin embargo, la combinación LEF+MTX incrementa el riesgo de efectos secundarios gastrointestinales particularmente toxicidad hepática.</w:t>
            </w:r>
            <w:r w:rsidR="008E0CBF">
              <w:rPr>
                <w:rFonts w:ascii="Arial" w:hAnsi="Arial" w:cs="Arial"/>
                <w:b/>
                <w:sz w:val="20"/>
                <w:szCs w:val="20"/>
              </w:rPr>
              <w:t xml:space="preserve"> [N</w:t>
            </w:r>
            <w:r w:rsidR="008E0CBF" w:rsidRPr="001A5BEB">
              <w:rPr>
                <w:rFonts w:ascii="Arial" w:hAnsi="Arial" w:cs="Arial"/>
                <w:b/>
                <w:sz w:val="20"/>
                <w:szCs w:val="20"/>
              </w:rPr>
              <w:t xml:space="preserve">E: I, GR: </w:t>
            </w:r>
            <w:r w:rsidR="008E0CBF">
              <w:rPr>
                <w:rFonts w:ascii="Arial" w:hAnsi="Arial" w:cs="Arial"/>
                <w:b/>
                <w:sz w:val="20"/>
                <w:szCs w:val="20"/>
              </w:rPr>
              <w:t>A</w:t>
            </w:r>
            <w:r w:rsidR="008E0CBF" w:rsidRPr="001A5BEB">
              <w:rPr>
                <w:rFonts w:ascii="Arial" w:hAnsi="Arial" w:cs="Arial"/>
                <w:b/>
                <w:sz w:val="20"/>
                <w:szCs w:val="20"/>
              </w:rPr>
              <w:t>]</w:t>
            </w:r>
            <w:r w:rsidR="00E11C9C">
              <w:rPr>
                <w:rFonts w:ascii="Arial" w:eastAsia="Times-Roman" w:hAnsi="Arial" w:cs="Arial"/>
                <w:color w:val="FF0000"/>
                <w:sz w:val="20"/>
                <w:szCs w:val="20"/>
                <w:vertAlign w:val="superscript"/>
              </w:rPr>
              <w:t>19</w:t>
            </w:r>
          </w:p>
          <w:p w14:paraId="1E0CEA20" w14:textId="77777777" w:rsidR="000A1D17" w:rsidRPr="0068632C" w:rsidRDefault="000A1D17" w:rsidP="007614D7">
            <w:pPr>
              <w:contextualSpacing/>
              <w:jc w:val="both"/>
              <w:rPr>
                <w:rFonts w:ascii="Arial" w:hAnsi="Arial" w:cs="Arial"/>
                <w:b/>
                <w:sz w:val="20"/>
                <w:szCs w:val="20"/>
              </w:rPr>
            </w:pPr>
          </w:p>
          <w:p w14:paraId="707E9960" w14:textId="77777777" w:rsidR="008E0CBF" w:rsidRPr="0068632C" w:rsidRDefault="000A1D17" w:rsidP="008E0CBF">
            <w:pPr>
              <w:contextualSpacing/>
              <w:jc w:val="both"/>
              <w:rPr>
                <w:rFonts w:ascii="Arial" w:eastAsia="Times-Roman" w:hAnsi="Arial" w:cs="Arial"/>
                <w:sz w:val="20"/>
                <w:szCs w:val="20"/>
              </w:rPr>
            </w:pPr>
            <w:r w:rsidRPr="0068632C">
              <w:rPr>
                <w:rFonts w:ascii="Arial" w:eastAsia="Times-Roman" w:hAnsi="Arial" w:cs="Arial"/>
                <w:sz w:val="20"/>
                <w:szCs w:val="20"/>
              </w:rPr>
              <w:t xml:space="preserve">La evidencia que apoya la eficacia de la combinación MTX+ LEF fue observada tempranamente en un ensayo clínico controlado aleatorizado. </w:t>
            </w:r>
            <w:r w:rsidR="008E0CBF">
              <w:rPr>
                <w:rFonts w:ascii="Arial" w:hAnsi="Arial" w:cs="Arial"/>
                <w:b/>
                <w:sz w:val="20"/>
                <w:szCs w:val="20"/>
              </w:rPr>
              <w:t>[N</w:t>
            </w:r>
            <w:r w:rsidR="008E0CBF" w:rsidRPr="001A5BEB">
              <w:rPr>
                <w:rFonts w:ascii="Arial" w:hAnsi="Arial" w:cs="Arial"/>
                <w:b/>
                <w:sz w:val="20"/>
                <w:szCs w:val="20"/>
              </w:rPr>
              <w:t xml:space="preserve">E: I, GR: </w:t>
            </w:r>
            <w:r w:rsidR="008E0CBF">
              <w:rPr>
                <w:rFonts w:ascii="Arial" w:hAnsi="Arial" w:cs="Arial"/>
                <w:b/>
                <w:sz w:val="20"/>
                <w:szCs w:val="20"/>
              </w:rPr>
              <w:t>A</w:t>
            </w:r>
            <w:r w:rsidR="008E0CBF" w:rsidRPr="001A5BEB">
              <w:rPr>
                <w:rFonts w:ascii="Arial" w:hAnsi="Arial" w:cs="Arial"/>
                <w:b/>
                <w:sz w:val="20"/>
                <w:szCs w:val="20"/>
              </w:rPr>
              <w:t>]</w:t>
            </w:r>
            <w:r w:rsidR="00E11C9C">
              <w:rPr>
                <w:rFonts w:ascii="Arial" w:eastAsia="Times-Roman" w:hAnsi="Arial" w:cs="Arial"/>
                <w:color w:val="FF0000"/>
                <w:sz w:val="20"/>
                <w:szCs w:val="20"/>
                <w:vertAlign w:val="superscript"/>
              </w:rPr>
              <w:t>18</w:t>
            </w:r>
          </w:p>
          <w:p w14:paraId="43CEEA37" w14:textId="77777777" w:rsidR="008E0CBF" w:rsidRDefault="008E0CBF" w:rsidP="007614D7">
            <w:pPr>
              <w:autoSpaceDE w:val="0"/>
              <w:autoSpaceDN w:val="0"/>
              <w:adjustRightInd w:val="0"/>
              <w:contextualSpacing/>
              <w:jc w:val="both"/>
              <w:rPr>
                <w:rFonts w:ascii="Arial" w:eastAsia="Times-Roman" w:hAnsi="Arial" w:cs="Arial"/>
                <w:sz w:val="20"/>
                <w:szCs w:val="20"/>
              </w:rPr>
            </w:pPr>
          </w:p>
          <w:p w14:paraId="73FC2102" w14:textId="77777777" w:rsidR="000A1D17" w:rsidRPr="0068632C" w:rsidRDefault="000A1D17" w:rsidP="007614D7">
            <w:pPr>
              <w:autoSpaceDE w:val="0"/>
              <w:autoSpaceDN w:val="0"/>
              <w:adjustRightInd w:val="0"/>
              <w:contextualSpacing/>
              <w:jc w:val="both"/>
              <w:rPr>
                <w:rFonts w:ascii="Arial" w:eastAsia="Times-Roman" w:hAnsi="Arial" w:cs="Arial"/>
                <w:sz w:val="20"/>
                <w:szCs w:val="20"/>
              </w:rPr>
            </w:pPr>
            <w:r w:rsidRPr="0068632C">
              <w:rPr>
                <w:rFonts w:ascii="Arial" w:eastAsia="Times-Roman" w:hAnsi="Arial" w:cs="Arial"/>
                <w:sz w:val="20"/>
                <w:szCs w:val="20"/>
              </w:rPr>
              <w:t>Varias guías recomiendan esta combinación</w:t>
            </w:r>
            <w:r w:rsidR="008E0CBF">
              <w:rPr>
                <w:rFonts w:ascii="Arial" w:eastAsia="Times-Roman" w:hAnsi="Arial" w:cs="Arial"/>
                <w:sz w:val="20"/>
                <w:szCs w:val="20"/>
              </w:rPr>
              <w:t>,</w:t>
            </w:r>
            <w:r w:rsidR="00E11C9C">
              <w:rPr>
                <w:rFonts w:ascii="Arial" w:eastAsia="Times-Roman" w:hAnsi="Arial" w:cs="Arial"/>
                <w:color w:val="FF0000"/>
                <w:sz w:val="20"/>
                <w:szCs w:val="20"/>
                <w:vertAlign w:val="superscript"/>
              </w:rPr>
              <w:t>19,20</w:t>
            </w:r>
            <w:r w:rsidRPr="0068632C">
              <w:rPr>
                <w:rFonts w:ascii="Arial" w:eastAsia="Times-Roman" w:hAnsi="Arial" w:cs="Arial"/>
                <w:sz w:val="20"/>
                <w:szCs w:val="20"/>
              </w:rPr>
              <w:t xml:space="preserve"> aunque las guías Canadienses consideran que no añade ventaja a otras combinaciones y si</w:t>
            </w:r>
            <w:r w:rsidR="008E0CBF">
              <w:rPr>
                <w:rFonts w:ascii="Arial" w:eastAsia="Times-Roman" w:hAnsi="Arial" w:cs="Arial"/>
                <w:sz w:val="20"/>
                <w:szCs w:val="20"/>
              </w:rPr>
              <w:t xml:space="preserve"> favorecen una mayor toxicidad.</w:t>
            </w:r>
            <w:r w:rsidR="008E0CBF">
              <w:rPr>
                <w:rFonts w:ascii="Arial" w:eastAsia="Times-Roman" w:hAnsi="Arial" w:cs="Arial"/>
                <w:color w:val="FF0000"/>
                <w:sz w:val="20"/>
                <w:szCs w:val="20"/>
                <w:vertAlign w:val="superscript"/>
                <w:lang w:val="es-MX"/>
              </w:rPr>
              <w:t>13</w:t>
            </w:r>
          </w:p>
          <w:p w14:paraId="2A8B528C" w14:textId="77777777" w:rsidR="000A1D17" w:rsidRPr="0068632C" w:rsidRDefault="000A1D17" w:rsidP="007614D7">
            <w:pPr>
              <w:autoSpaceDE w:val="0"/>
              <w:autoSpaceDN w:val="0"/>
              <w:adjustRightInd w:val="0"/>
              <w:contextualSpacing/>
              <w:jc w:val="both"/>
              <w:rPr>
                <w:rFonts w:ascii="Arial" w:eastAsia="Times-Roman" w:hAnsi="Arial" w:cs="Arial"/>
                <w:sz w:val="20"/>
                <w:szCs w:val="20"/>
              </w:rPr>
            </w:pPr>
          </w:p>
          <w:p w14:paraId="3DEA9269" w14:textId="77777777" w:rsidR="000A1D17" w:rsidRPr="0068632C" w:rsidRDefault="000A1D17" w:rsidP="008E0CBF">
            <w:pPr>
              <w:contextualSpacing/>
              <w:jc w:val="both"/>
              <w:rPr>
                <w:rFonts w:ascii="Arial" w:eastAsia="Times-Roman" w:hAnsi="Arial" w:cs="Arial"/>
                <w:b/>
                <w:sz w:val="20"/>
                <w:szCs w:val="20"/>
              </w:rPr>
            </w:pPr>
            <w:r w:rsidRPr="0068632C">
              <w:rPr>
                <w:rFonts w:ascii="Arial" w:eastAsia="Times-Roman" w:hAnsi="Arial" w:cs="Arial"/>
                <w:sz w:val="20"/>
                <w:szCs w:val="20"/>
              </w:rPr>
              <w:t xml:space="preserve">El grupo de trabajo recomienda que aunque hay evidencia que apoya la eficacia de la combinación MTX+LEF en pacientes con inadecuada respuesta a MTX, se recomienda que esta combinación sea considerada principalmente en aquellos pacientes con actividad moderada a grave que han tenido falla a MTX. Cuando se da esta terapia combinada se debe considerar la reducción de la dosis de uno de los dos FARME así como la administración concomitante de ácido fólico. </w:t>
            </w:r>
            <w:r w:rsidR="008E0CBF">
              <w:rPr>
                <w:rFonts w:ascii="Arial" w:hAnsi="Arial" w:cs="Arial"/>
                <w:b/>
                <w:sz w:val="20"/>
                <w:szCs w:val="20"/>
              </w:rPr>
              <w:t>[G</w:t>
            </w:r>
            <w:r w:rsidR="008E0CBF" w:rsidRPr="001A5BEB">
              <w:rPr>
                <w:rFonts w:ascii="Arial" w:hAnsi="Arial" w:cs="Arial"/>
                <w:b/>
                <w:sz w:val="20"/>
                <w:szCs w:val="20"/>
              </w:rPr>
              <w:t xml:space="preserve">R: </w:t>
            </w:r>
            <w:r w:rsidR="008E0CBF">
              <w:rPr>
                <w:rFonts w:ascii="Arial" w:hAnsi="Arial" w:cs="Arial"/>
                <w:b/>
                <w:sz w:val="20"/>
                <w:szCs w:val="20"/>
              </w:rPr>
              <w:t>D</w:t>
            </w:r>
            <w:r w:rsidR="008E0CBF" w:rsidRPr="001A5BEB">
              <w:rPr>
                <w:rFonts w:ascii="Arial" w:hAnsi="Arial" w:cs="Arial"/>
                <w:b/>
                <w:sz w:val="20"/>
                <w:szCs w:val="20"/>
              </w:rPr>
              <w:t>]</w:t>
            </w:r>
          </w:p>
          <w:p w14:paraId="6AFF9FE8" w14:textId="77777777" w:rsidR="000A1D17" w:rsidRPr="0068632C" w:rsidRDefault="000A1D17" w:rsidP="007614D7">
            <w:pPr>
              <w:contextualSpacing/>
              <w:jc w:val="both"/>
              <w:rPr>
                <w:rFonts w:ascii="Arial" w:eastAsia="Times-Roman" w:hAnsi="Arial" w:cs="Arial"/>
                <w:sz w:val="20"/>
                <w:szCs w:val="20"/>
              </w:rPr>
            </w:pPr>
          </w:p>
          <w:p w14:paraId="6BA67859" w14:textId="77777777" w:rsidR="000A1D17" w:rsidRDefault="000A1D17" w:rsidP="007614D7">
            <w:pPr>
              <w:contextualSpacing/>
              <w:jc w:val="both"/>
              <w:rPr>
                <w:rFonts w:ascii="Arial" w:eastAsia="Times-Roman" w:hAnsi="Arial" w:cs="Arial"/>
                <w:color w:val="FF0000"/>
                <w:sz w:val="20"/>
                <w:szCs w:val="20"/>
                <w:vertAlign w:val="superscript"/>
              </w:rPr>
            </w:pPr>
            <w:r w:rsidRPr="0068632C">
              <w:rPr>
                <w:rFonts w:ascii="Arial" w:eastAsia="Times-Roman" w:hAnsi="Arial" w:cs="Arial"/>
                <w:sz w:val="20"/>
                <w:szCs w:val="20"/>
              </w:rPr>
              <w:t xml:space="preserve">La evidencia en la práctica clínica de la permanencia de la combinación LEF+MTX ha sido comparada con el uso de LEF como monoterapia, y se ha observado que alrededor de 65% de los pacientes permanecen con la combinación LEF + MTX a 30 meses de su uso de manera similar con LEF como monoterapia, donde 55% continuaron tratamiento en este lapso. En este mismo estudio el abandono por efectos adversos fueron alrededor de 15%, lo que representa una tasa relevante pero no mayor a la esperada con monoterapia. </w:t>
            </w:r>
            <w:r w:rsidR="008E0CBF">
              <w:rPr>
                <w:rFonts w:ascii="Arial" w:hAnsi="Arial" w:cs="Arial"/>
                <w:b/>
                <w:sz w:val="20"/>
                <w:szCs w:val="20"/>
              </w:rPr>
              <w:t>[N</w:t>
            </w:r>
            <w:r w:rsidR="008E0CBF" w:rsidRPr="001A5BEB">
              <w:rPr>
                <w:rFonts w:ascii="Arial" w:hAnsi="Arial" w:cs="Arial"/>
                <w:b/>
                <w:sz w:val="20"/>
                <w:szCs w:val="20"/>
              </w:rPr>
              <w:t xml:space="preserve">E: I, GR: </w:t>
            </w:r>
            <w:r w:rsidR="008E0CBF">
              <w:rPr>
                <w:rFonts w:ascii="Arial" w:hAnsi="Arial" w:cs="Arial"/>
                <w:b/>
                <w:sz w:val="20"/>
                <w:szCs w:val="20"/>
              </w:rPr>
              <w:t>A</w:t>
            </w:r>
            <w:r w:rsidR="008E0CBF" w:rsidRPr="001A5BEB">
              <w:rPr>
                <w:rFonts w:ascii="Arial" w:hAnsi="Arial" w:cs="Arial"/>
                <w:b/>
                <w:sz w:val="20"/>
                <w:szCs w:val="20"/>
              </w:rPr>
              <w:t>]</w:t>
            </w:r>
            <w:r w:rsidR="00E11C9C">
              <w:rPr>
                <w:rFonts w:ascii="Arial" w:eastAsia="Times-Roman" w:hAnsi="Arial" w:cs="Arial"/>
                <w:color w:val="FF0000"/>
                <w:sz w:val="20"/>
                <w:szCs w:val="20"/>
                <w:vertAlign w:val="superscript"/>
              </w:rPr>
              <w:t>21</w:t>
            </w:r>
          </w:p>
          <w:p w14:paraId="6C63CBEA" w14:textId="77777777" w:rsidR="008E0CBF" w:rsidRPr="0068632C" w:rsidRDefault="008E0CBF" w:rsidP="007614D7">
            <w:pPr>
              <w:contextualSpacing/>
              <w:jc w:val="both"/>
              <w:rPr>
                <w:rFonts w:ascii="Arial" w:eastAsia="Times-Roman" w:hAnsi="Arial" w:cs="Arial"/>
                <w:sz w:val="20"/>
                <w:szCs w:val="20"/>
              </w:rPr>
            </w:pPr>
          </w:p>
          <w:p w14:paraId="4B92CB44"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Barrera de implementación: la combinación LEF+MTX puede ser implementada en un gran sector de la población, sin embargo, en algunos hospitales la LEF no es un fármaco disponible y en su indicación deberá considerarse el mayor costo que otros FARME.</w:t>
            </w:r>
          </w:p>
        </w:tc>
      </w:tr>
      <w:tr w:rsidR="000A1D17" w:rsidRPr="0068632C" w14:paraId="648ACEA2" w14:textId="77777777" w:rsidTr="00F0314D">
        <w:tc>
          <w:tcPr>
            <w:tcW w:w="2988" w:type="dxa"/>
            <w:shd w:val="clear" w:color="auto" w:fill="auto"/>
          </w:tcPr>
          <w:p w14:paraId="07F7785D" w14:textId="77777777" w:rsidR="000A1D17" w:rsidRPr="0068632C" w:rsidRDefault="000A1D17" w:rsidP="007614D7">
            <w:pPr>
              <w:contextualSpacing/>
              <w:jc w:val="both"/>
              <w:rPr>
                <w:rFonts w:ascii="Arial" w:eastAsia="Times-Roman" w:hAnsi="Arial" w:cs="Arial"/>
                <w:sz w:val="20"/>
                <w:szCs w:val="20"/>
              </w:rPr>
            </w:pPr>
            <w:r w:rsidRPr="0068632C">
              <w:rPr>
                <w:rFonts w:ascii="Arial" w:hAnsi="Arial" w:cs="Arial"/>
                <w:sz w:val="20"/>
                <w:szCs w:val="20"/>
              </w:rPr>
              <w:t>Tiempo para definir ajuste de dosis  y retiro de medicamento</w:t>
            </w:r>
          </w:p>
        </w:tc>
        <w:tc>
          <w:tcPr>
            <w:tcW w:w="7043" w:type="dxa"/>
            <w:shd w:val="clear" w:color="auto" w:fill="auto"/>
          </w:tcPr>
          <w:p w14:paraId="3BD1392A"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La dosis utilizada en ensayos clínicos fase III fue 100 mg diarios durante tres días, seguidos de 20 mg/día VO. El tiempo para evaluar la respuesta o falla de tratamiento es de tres meses. </w:t>
            </w:r>
          </w:p>
        </w:tc>
      </w:tr>
      <w:tr w:rsidR="000A1D17" w:rsidRPr="0068632C" w14:paraId="3D461711" w14:textId="77777777" w:rsidTr="00F0314D">
        <w:tc>
          <w:tcPr>
            <w:tcW w:w="2988" w:type="dxa"/>
            <w:shd w:val="clear" w:color="auto" w:fill="auto"/>
          </w:tcPr>
          <w:p w14:paraId="3C25F68B" w14:textId="77777777" w:rsidR="000A1D17" w:rsidRPr="0068632C" w:rsidRDefault="000A1D17" w:rsidP="007614D7">
            <w:pPr>
              <w:contextualSpacing/>
              <w:jc w:val="both"/>
              <w:rPr>
                <w:rFonts w:ascii="Arial" w:eastAsia="Times-Roman" w:hAnsi="Arial" w:cs="Arial"/>
                <w:sz w:val="20"/>
                <w:szCs w:val="20"/>
              </w:rPr>
            </w:pPr>
            <w:r w:rsidRPr="0068632C">
              <w:rPr>
                <w:rFonts w:ascii="Arial" w:hAnsi="Arial" w:cs="Arial"/>
                <w:sz w:val="20"/>
                <w:szCs w:val="20"/>
              </w:rPr>
              <w:t>Dosis mínima y máxima</w:t>
            </w:r>
          </w:p>
        </w:tc>
        <w:tc>
          <w:tcPr>
            <w:tcW w:w="7043" w:type="dxa"/>
            <w:shd w:val="clear" w:color="auto" w:fill="auto"/>
          </w:tcPr>
          <w:p w14:paraId="176FF63C" w14:textId="77777777" w:rsidR="000A1D17" w:rsidRPr="0068632C" w:rsidRDefault="000A1D17" w:rsidP="008E0CBF">
            <w:pPr>
              <w:contextualSpacing/>
              <w:jc w:val="both"/>
              <w:rPr>
                <w:rFonts w:ascii="Arial" w:eastAsia="Times-Roman" w:hAnsi="Arial" w:cs="Arial"/>
                <w:sz w:val="20"/>
                <w:szCs w:val="20"/>
              </w:rPr>
            </w:pPr>
            <w:r w:rsidRPr="0068632C">
              <w:rPr>
                <w:rFonts w:ascii="Arial" w:eastAsia="Times-Roman" w:hAnsi="Arial" w:cs="Arial"/>
                <w:sz w:val="20"/>
                <w:szCs w:val="20"/>
              </w:rPr>
              <w:t xml:space="preserve">La dosis recomendada es de 20 mg/día VO, pero esta puede ser disminuida a 10 mg día </w:t>
            </w:r>
            <w:r w:rsidR="008E0CBF">
              <w:rPr>
                <w:rFonts w:ascii="Arial" w:eastAsia="Times-Roman" w:hAnsi="Arial" w:cs="Arial"/>
                <w:sz w:val="20"/>
                <w:szCs w:val="20"/>
              </w:rPr>
              <w:t>o usarse 20 mg en días alternos</w:t>
            </w:r>
            <w:r w:rsidR="008E0CBF">
              <w:rPr>
                <w:rFonts w:ascii="Arial" w:eastAsia="Times-Roman" w:hAnsi="Arial" w:cs="Arial"/>
                <w:color w:val="FF0000"/>
                <w:sz w:val="20"/>
                <w:szCs w:val="20"/>
                <w:vertAlign w:val="superscript"/>
              </w:rPr>
              <w:t>4</w:t>
            </w:r>
          </w:p>
        </w:tc>
      </w:tr>
      <w:tr w:rsidR="000A1D17" w:rsidRPr="0068632C" w14:paraId="7A2CCD0D" w14:textId="77777777" w:rsidTr="00F0314D">
        <w:tc>
          <w:tcPr>
            <w:tcW w:w="2988" w:type="dxa"/>
            <w:shd w:val="clear" w:color="auto" w:fill="auto"/>
          </w:tcPr>
          <w:p w14:paraId="44EFB4A7" w14:textId="77777777" w:rsidR="000A1D17" w:rsidRPr="0068632C" w:rsidRDefault="000A1D17" w:rsidP="000A1D17">
            <w:pPr>
              <w:numPr>
                <w:ilvl w:val="0"/>
                <w:numId w:val="2"/>
              </w:numPr>
              <w:ind w:left="0"/>
              <w:contextualSpacing/>
              <w:jc w:val="both"/>
              <w:rPr>
                <w:rFonts w:ascii="Arial" w:hAnsi="Arial" w:cs="Arial"/>
                <w:sz w:val="20"/>
                <w:szCs w:val="20"/>
              </w:rPr>
            </w:pPr>
            <w:r w:rsidRPr="0068632C">
              <w:rPr>
                <w:rFonts w:ascii="Arial" w:hAnsi="Arial" w:cs="Arial"/>
                <w:sz w:val="20"/>
                <w:szCs w:val="20"/>
              </w:rPr>
              <w:lastRenderedPageBreak/>
              <w:t>Contraindicaciones</w:t>
            </w:r>
          </w:p>
        </w:tc>
        <w:tc>
          <w:tcPr>
            <w:tcW w:w="7043" w:type="dxa"/>
            <w:shd w:val="clear" w:color="auto" w:fill="auto"/>
          </w:tcPr>
          <w:p w14:paraId="3AF23D77"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Embarazo y lactancia, hepatopatía, insuficiencia renal, infección por VIH o virus de hepatitis B y C.</w:t>
            </w:r>
          </w:p>
        </w:tc>
      </w:tr>
      <w:tr w:rsidR="000A1D17" w:rsidRPr="0068632C" w14:paraId="7CD342AA" w14:textId="77777777" w:rsidTr="00F0314D">
        <w:tc>
          <w:tcPr>
            <w:tcW w:w="2988" w:type="dxa"/>
            <w:shd w:val="clear" w:color="auto" w:fill="auto"/>
          </w:tcPr>
          <w:p w14:paraId="23C36F39" w14:textId="77777777" w:rsidR="000A1D17" w:rsidRPr="0068632C" w:rsidRDefault="000A1D17" w:rsidP="000A1D17">
            <w:pPr>
              <w:numPr>
                <w:ilvl w:val="0"/>
                <w:numId w:val="2"/>
              </w:numPr>
              <w:ind w:left="0"/>
              <w:contextualSpacing/>
              <w:jc w:val="both"/>
              <w:rPr>
                <w:rFonts w:ascii="Arial" w:hAnsi="Arial" w:cs="Arial"/>
                <w:sz w:val="20"/>
                <w:szCs w:val="20"/>
              </w:rPr>
            </w:pPr>
            <w:r w:rsidRPr="0068632C">
              <w:rPr>
                <w:rFonts w:ascii="Arial" w:hAnsi="Arial" w:cs="Arial"/>
                <w:sz w:val="20"/>
                <w:szCs w:val="20"/>
              </w:rPr>
              <w:t>Casos especiales</w:t>
            </w:r>
          </w:p>
          <w:p w14:paraId="1B8EAF28" w14:textId="77777777" w:rsidR="000A1D17" w:rsidRPr="0068632C" w:rsidRDefault="000A1D17" w:rsidP="000A1D17">
            <w:pPr>
              <w:numPr>
                <w:ilvl w:val="0"/>
                <w:numId w:val="2"/>
              </w:numPr>
              <w:ind w:left="0"/>
              <w:contextualSpacing/>
              <w:jc w:val="both"/>
              <w:rPr>
                <w:rFonts w:ascii="Arial" w:hAnsi="Arial" w:cs="Arial"/>
                <w:sz w:val="20"/>
                <w:szCs w:val="20"/>
              </w:rPr>
            </w:pPr>
          </w:p>
        </w:tc>
        <w:tc>
          <w:tcPr>
            <w:tcW w:w="7043" w:type="dxa"/>
            <w:shd w:val="clear" w:color="auto" w:fill="auto"/>
          </w:tcPr>
          <w:p w14:paraId="4BE25604"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LEF está contraindicada en embarazo (categoría X) y en lactancia; asimismo se recomienda la suspensión de LEF hasta dos años previos al embarazo.</w:t>
            </w:r>
            <w:r w:rsidR="004D6A3B">
              <w:rPr>
                <w:rFonts w:ascii="Arial" w:eastAsia="Times-Roman" w:hAnsi="Arial" w:cs="Arial"/>
                <w:color w:val="FF0000"/>
                <w:sz w:val="20"/>
                <w:szCs w:val="20"/>
                <w:vertAlign w:val="superscript"/>
              </w:rPr>
              <w:t>2</w:t>
            </w:r>
            <w:r w:rsidR="00E11C9C">
              <w:rPr>
                <w:rFonts w:ascii="Arial" w:eastAsia="Times-Roman" w:hAnsi="Arial" w:cs="Arial"/>
                <w:color w:val="FF0000"/>
                <w:sz w:val="20"/>
                <w:szCs w:val="20"/>
                <w:vertAlign w:val="superscript"/>
              </w:rPr>
              <w:t>2</w:t>
            </w:r>
            <w:r w:rsidRPr="0068632C">
              <w:rPr>
                <w:rFonts w:ascii="Arial" w:eastAsia="Times-Roman" w:hAnsi="Arial" w:cs="Arial"/>
                <w:sz w:val="20"/>
                <w:szCs w:val="20"/>
              </w:rPr>
              <w:t xml:space="preserve"> Se puede usar colestiramina 8 g tres veces al día por 11 días para reducir niveles plasmáticos a cifras consideradas como seguras (por debajo de 0.02</w:t>
            </w:r>
            <w:r w:rsidR="00CE511E">
              <w:rPr>
                <w:rFonts w:ascii="Arial" w:eastAsia="Times-Roman" w:hAnsi="Arial" w:cs="Arial"/>
                <w:sz w:val="20"/>
                <w:szCs w:val="20"/>
              </w:rPr>
              <w:t xml:space="preserve"> </w:t>
            </w:r>
            <w:r w:rsidRPr="0068632C">
              <w:rPr>
                <w:rFonts w:ascii="Arial" w:hAnsi="Arial" w:cs="Arial"/>
                <w:sz w:val="20"/>
                <w:szCs w:val="20"/>
              </w:rPr>
              <w:t xml:space="preserve">µg/mL, determinadas en al menos dos mediciones separadas con al menos dos semanas de intervalo entre cada medición). </w:t>
            </w:r>
          </w:p>
          <w:p w14:paraId="450AB20B" w14:textId="77777777" w:rsidR="000A1D17" w:rsidRPr="0068632C" w:rsidRDefault="000A1D17" w:rsidP="007614D7">
            <w:pPr>
              <w:contextualSpacing/>
              <w:jc w:val="both"/>
              <w:rPr>
                <w:rFonts w:ascii="Arial" w:eastAsia="Times-Roman" w:hAnsi="Arial" w:cs="Arial"/>
                <w:color w:val="FF0000"/>
                <w:sz w:val="20"/>
                <w:szCs w:val="20"/>
              </w:rPr>
            </w:pPr>
            <w:r w:rsidRPr="0068632C">
              <w:rPr>
                <w:rFonts w:ascii="Arial" w:eastAsia="Times-Roman" w:hAnsi="Arial" w:cs="Arial"/>
                <w:sz w:val="20"/>
                <w:szCs w:val="20"/>
              </w:rPr>
              <w:t xml:space="preserve">En infecciones graves no es recomendable su uso, no está claramente identificado si incrementa el riesgo de infecciones en cirugía o colocación de prótesis, aunque un estudio de cohorte observó un incremento en la tasa de complicaciones de la cicatrización de la herida quirúrgica significativamente superior con </w:t>
            </w:r>
            <w:r w:rsidR="00D2135E">
              <w:rPr>
                <w:rFonts w:ascii="Arial" w:eastAsia="Times-Roman" w:hAnsi="Arial" w:cs="Arial"/>
                <w:sz w:val="20"/>
                <w:szCs w:val="20"/>
              </w:rPr>
              <w:t>LEF</w:t>
            </w:r>
            <w:r w:rsidRPr="0068632C">
              <w:rPr>
                <w:rFonts w:ascii="Arial" w:eastAsia="Times-Roman" w:hAnsi="Arial" w:cs="Arial"/>
                <w:sz w:val="20"/>
                <w:szCs w:val="20"/>
              </w:rPr>
              <w:t xml:space="preserve"> que con MTX.</w:t>
            </w:r>
            <w:r w:rsidR="008E0CBF">
              <w:rPr>
                <w:rFonts w:ascii="Arial" w:eastAsia="Times-Roman" w:hAnsi="Arial" w:cs="Arial"/>
                <w:color w:val="FF0000"/>
                <w:sz w:val="20"/>
                <w:szCs w:val="20"/>
                <w:vertAlign w:val="superscript"/>
              </w:rPr>
              <w:t>2</w:t>
            </w:r>
            <w:r w:rsidR="00E11C9C">
              <w:rPr>
                <w:rFonts w:ascii="Arial" w:eastAsia="Times-Roman" w:hAnsi="Arial" w:cs="Arial"/>
                <w:color w:val="FF0000"/>
                <w:sz w:val="20"/>
                <w:szCs w:val="20"/>
                <w:vertAlign w:val="superscript"/>
              </w:rPr>
              <w:t>3</w:t>
            </w:r>
            <w:r w:rsidRPr="0068632C">
              <w:rPr>
                <w:rFonts w:ascii="Arial" w:eastAsia="Times-Roman" w:hAnsi="Arial" w:cs="Arial"/>
                <w:sz w:val="20"/>
                <w:szCs w:val="20"/>
              </w:rPr>
              <w:t xml:space="preserve"> Debido a la larga vida media, la suspensión de LEF previa a una cirugía programada requeriría al menos dos meses, por lo que esta conducta no parece ser muy práctica.</w:t>
            </w:r>
            <w:r w:rsidR="008E0CBF">
              <w:rPr>
                <w:rFonts w:ascii="Arial" w:eastAsia="Times-Roman" w:hAnsi="Arial" w:cs="Arial"/>
                <w:color w:val="FF0000"/>
                <w:sz w:val="20"/>
                <w:szCs w:val="20"/>
                <w:vertAlign w:val="superscript"/>
              </w:rPr>
              <w:t>2</w:t>
            </w:r>
            <w:r w:rsidR="00E11C9C">
              <w:rPr>
                <w:rFonts w:ascii="Arial" w:eastAsia="Times-Roman" w:hAnsi="Arial" w:cs="Arial"/>
                <w:color w:val="FF0000"/>
                <w:sz w:val="20"/>
                <w:szCs w:val="20"/>
                <w:vertAlign w:val="superscript"/>
              </w:rPr>
              <w:t>4</w:t>
            </w:r>
          </w:p>
          <w:p w14:paraId="465D1AA0"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La aplicación de vacunas con virus vivos atenuados están contraindicadas durante la terapia con MTX y LEF.</w:t>
            </w:r>
          </w:p>
        </w:tc>
      </w:tr>
    </w:tbl>
    <w:p w14:paraId="4FB16C18" w14:textId="77777777" w:rsidR="000A1D17" w:rsidRPr="0068632C" w:rsidRDefault="000A1D17"/>
    <w:p w14:paraId="648CA3C4" w14:textId="77777777" w:rsidR="000A1D17" w:rsidRPr="0068632C" w:rsidRDefault="000A1D17"/>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192"/>
      </w:tblGrid>
      <w:tr w:rsidR="000A1D17" w:rsidRPr="0068632C" w14:paraId="6E3C3F32" w14:textId="77777777" w:rsidTr="007614D7">
        <w:tc>
          <w:tcPr>
            <w:tcW w:w="2988" w:type="dxa"/>
            <w:shd w:val="clear" w:color="auto" w:fill="auto"/>
          </w:tcPr>
          <w:p w14:paraId="02738840" w14:textId="77777777" w:rsidR="000A1D17" w:rsidRPr="00AA2750" w:rsidRDefault="000A1D17" w:rsidP="00D54A7D">
            <w:pPr>
              <w:pStyle w:val="Prrafodelista1"/>
              <w:numPr>
                <w:ilvl w:val="0"/>
                <w:numId w:val="1"/>
              </w:numPr>
              <w:spacing w:after="0" w:line="240" w:lineRule="auto"/>
              <w:ind w:left="0"/>
              <w:contextualSpacing/>
              <w:jc w:val="both"/>
              <w:rPr>
                <w:rFonts w:ascii="Arial" w:hAnsi="Arial" w:cs="Arial"/>
                <w:b/>
                <w:sz w:val="28"/>
                <w:szCs w:val="28"/>
              </w:rPr>
            </w:pPr>
            <w:r w:rsidRPr="0068632C">
              <w:rPr>
                <w:rFonts w:ascii="Arial" w:hAnsi="Arial" w:cs="Arial"/>
                <w:sz w:val="20"/>
                <w:szCs w:val="20"/>
              </w:rPr>
              <w:br w:type="page"/>
            </w:r>
            <w:r w:rsidR="00D54A7D" w:rsidRPr="00AA2750">
              <w:rPr>
                <w:rFonts w:ascii="Arial" w:hAnsi="Arial" w:cs="Arial"/>
                <w:b/>
                <w:sz w:val="28"/>
                <w:szCs w:val="28"/>
              </w:rPr>
              <w:t>Ciclofosfamida</w:t>
            </w:r>
          </w:p>
        </w:tc>
        <w:tc>
          <w:tcPr>
            <w:tcW w:w="6192" w:type="dxa"/>
            <w:shd w:val="clear" w:color="auto" w:fill="auto"/>
          </w:tcPr>
          <w:p w14:paraId="253E9DE6" w14:textId="77777777" w:rsidR="000A1D17" w:rsidRPr="0068632C" w:rsidRDefault="000A1D17" w:rsidP="00E11C9C">
            <w:pPr>
              <w:contextualSpacing/>
              <w:jc w:val="both"/>
              <w:rPr>
                <w:rFonts w:ascii="Arial" w:eastAsia="Times-Roman" w:hAnsi="Arial" w:cs="Arial"/>
                <w:sz w:val="20"/>
                <w:szCs w:val="20"/>
              </w:rPr>
            </w:pPr>
            <w:r w:rsidRPr="0068632C">
              <w:rPr>
                <w:rFonts w:ascii="Arial" w:eastAsia="Times-Roman" w:hAnsi="Arial" w:cs="Arial"/>
                <w:sz w:val="20"/>
                <w:szCs w:val="20"/>
              </w:rPr>
              <w:t>Agente alquilante de la clase de la mostaza nitrogenada. Su metabolito activo es la fosforamida con alto perfil de toxicidad.</w:t>
            </w:r>
            <w:r w:rsidR="004D6A3B">
              <w:rPr>
                <w:rFonts w:ascii="Arial" w:eastAsia="Times-Roman" w:hAnsi="Arial" w:cs="Arial"/>
                <w:color w:val="FF0000"/>
                <w:sz w:val="20"/>
                <w:szCs w:val="20"/>
                <w:vertAlign w:val="superscript"/>
              </w:rPr>
              <w:t>2</w:t>
            </w:r>
            <w:r w:rsidR="00E11C9C">
              <w:rPr>
                <w:rFonts w:ascii="Arial" w:eastAsia="Times-Roman" w:hAnsi="Arial" w:cs="Arial"/>
                <w:color w:val="FF0000"/>
                <w:sz w:val="20"/>
                <w:szCs w:val="20"/>
                <w:vertAlign w:val="superscript"/>
              </w:rPr>
              <w:t>5</w:t>
            </w:r>
          </w:p>
        </w:tc>
      </w:tr>
      <w:tr w:rsidR="000A1D17" w:rsidRPr="0068632C" w14:paraId="39220B49" w14:textId="77777777" w:rsidTr="007614D7">
        <w:tc>
          <w:tcPr>
            <w:tcW w:w="2988" w:type="dxa"/>
            <w:shd w:val="clear" w:color="auto" w:fill="auto"/>
          </w:tcPr>
          <w:p w14:paraId="18514C50" w14:textId="77777777" w:rsidR="000A1D17" w:rsidRPr="0068632C" w:rsidRDefault="000A1D17" w:rsidP="000A1D17">
            <w:pPr>
              <w:numPr>
                <w:ilvl w:val="0"/>
                <w:numId w:val="1"/>
              </w:numPr>
              <w:ind w:left="0"/>
              <w:contextualSpacing/>
              <w:jc w:val="both"/>
              <w:rPr>
                <w:rFonts w:ascii="Arial" w:eastAsia="Times-Roman" w:hAnsi="Arial" w:cs="Arial"/>
                <w:sz w:val="20"/>
                <w:szCs w:val="20"/>
              </w:rPr>
            </w:pPr>
            <w:r w:rsidRPr="0068632C">
              <w:rPr>
                <w:rFonts w:ascii="Arial" w:hAnsi="Arial" w:cs="Arial"/>
                <w:sz w:val="20"/>
                <w:szCs w:val="20"/>
              </w:rPr>
              <w:t xml:space="preserve">¿En qué línea de tratamiento está indicado? </w:t>
            </w:r>
          </w:p>
        </w:tc>
        <w:tc>
          <w:tcPr>
            <w:tcW w:w="6192" w:type="dxa"/>
            <w:shd w:val="clear" w:color="auto" w:fill="auto"/>
          </w:tcPr>
          <w:p w14:paraId="01E96951" w14:textId="77777777" w:rsidR="000A1D17" w:rsidRPr="0068632C" w:rsidRDefault="000A1D17" w:rsidP="007614D7">
            <w:pPr>
              <w:contextualSpacing/>
              <w:jc w:val="both"/>
              <w:rPr>
                <w:rFonts w:ascii="Arial" w:hAnsi="Arial" w:cs="Arial"/>
                <w:sz w:val="20"/>
                <w:szCs w:val="20"/>
              </w:rPr>
            </w:pPr>
            <w:r w:rsidRPr="0068632C">
              <w:rPr>
                <w:rFonts w:ascii="Arial" w:hAnsi="Arial" w:cs="Arial"/>
                <w:sz w:val="20"/>
                <w:szCs w:val="20"/>
              </w:rPr>
              <w:t>La información de la eficacia de ciclofosfamida en AR está basada principalmente en ensayos clínicos de baja calidad y en administración oral. Un metaanálisis que incluyó sólo dos ensayos clínicos observó una mejoría estadística en la disminución del número de articulaciones dolorosas e inflamadas en favor de la CFA en comparación a placebo, aunque no hubo una mejoría significativa en la velocidad de sedimentación globular.</w:t>
            </w:r>
            <w:r w:rsidR="009649CF">
              <w:rPr>
                <w:rFonts w:ascii="Arial" w:hAnsi="Arial" w:cs="Arial"/>
                <w:sz w:val="20"/>
                <w:szCs w:val="20"/>
              </w:rPr>
              <w:t xml:space="preserve"> </w:t>
            </w:r>
            <w:r w:rsidR="009649CF">
              <w:rPr>
                <w:rFonts w:ascii="Arial" w:hAnsi="Arial" w:cs="Arial"/>
                <w:b/>
                <w:sz w:val="20"/>
                <w:szCs w:val="20"/>
              </w:rPr>
              <w:t>[N</w:t>
            </w:r>
            <w:r w:rsidR="009649CF" w:rsidRPr="001A5BEB">
              <w:rPr>
                <w:rFonts w:ascii="Arial" w:hAnsi="Arial" w:cs="Arial"/>
                <w:b/>
                <w:sz w:val="20"/>
                <w:szCs w:val="20"/>
              </w:rPr>
              <w:t>E: I</w:t>
            </w:r>
            <w:r w:rsidR="009649CF">
              <w:rPr>
                <w:rFonts w:ascii="Arial" w:hAnsi="Arial" w:cs="Arial"/>
                <w:b/>
                <w:sz w:val="20"/>
                <w:szCs w:val="20"/>
              </w:rPr>
              <w:t>I</w:t>
            </w:r>
            <w:r w:rsidR="009649CF" w:rsidRPr="001A5BEB">
              <w:rPr>
                <w:rFonts w:ascii="Arial" w:hAnsi="Arial" w:cs="Arial"/>
                <w:b/>
                <w:sz w:val="20"/>
                <w:szCs w:val="20"/>
              </w:rPr>
              <w:t xml:space="preserve">, GR: </w:t>
            </w:r>
            <w:r w:rsidR="009649CF">
              <w:rPr>
                <w:rFonts w:ascii="Arial" w:hAnsi="Arial" w:cs="Arial"/>
                <w:b/>
                <w:sz w:val="20"/>
                <w:szCs w:val="20"/>
              </w:rPr>
              <w:t>A</w:t>
            </w:r>
            <w:r w:rsidR="009649CF" w:rsidRPr="001A5BEB">
              <w:rPr>
                <w:rFonts w:ascii="Arial" w:hAnsi="Arial" w:cs="Arial"/>
                <w:b/>
                <w:sz w:val="20"/>
                <w:szCs w:val="20"/>
              </w:rPr>
              <w:t>]</w:t>
            </w:r>
            <w:r w:rsidR="009649CF">
              <w:rPr>
                <w:rFonts w:ascii="Arial" w:hAnsi="Arial" w:cs="Arial"/>
                <w:color w:val="FF0000"/>
                <w:sz w:val="20"/>
                <w:szCs w:val="20"/>
                <w:vertAlign w:val="superscript"/>
              </w:rPr>
              <w:t>2</w:t>
            </w:r>
            <w:r w:rsidR="00E11C9C">
              <w:rPr>
                <w:rFonts w:ascii="Arial" w:hAnsi="Arial" w:cs="Arial"/>
                <w:color w:val="FF0000"/>
                <w:sz w:val="20"/>
                <w:szCs w:val="20"/>
                <w:vertAlign w:val="superscript"/>
              </w:rPr>
              <w:t>6</w:t>
            </w:r>
          </w:p>
          <w:p w14:paraId="7279EA24" w14:textId="77777777" w:rsidR="000A1D17" w:rsidRPr="0068632C" w:rsidRDefault="000A1D17" w:rsidP="007614D7">
            <w:pPr>
              <w:contextualSpacing/>
              <w:jc w:val="both"/>
              <w:rPr>
                <w:rFonts w:ascii="Arial" w:hAnsi="Arial" w:cs="Arial"/>
                <w:sz w:val="20"/>
                <w:szCs w:val="20"/>
              </w:rPr>
            </w:pPr>
            <w:r w:rsidRPr="0068632C">
              <w:rPr>
                <w:rFonts w:ascii="Arial" w:hAnsi="Arial" w:cs="Arial"/>
                <w:sz w:val="20"/>
                <w:szCs w:val="20"/>
              </w:rPr>
              <w:t>A la vez, reportó un número menor del desarrollo de nuevas erosiones.</w:t>
            </w:r>
            <w:r w:rsidRPr="0068632C">
              <w:rPr>
                <w:rFonts w:ascii="Arial" w:hAnsi="Arial" w:cs="Arial"/>
                <w:color w:val="FF0000"/>
                <w:sz w:val="20"/>
                <w:szCs w:val="20"/>
                <w:vertAlign w:val="superscript"/>
              </w:rPr>
              <w:t>2</w:t>
            </w:r>
            <w:r w:rsidR="00E11C9C">
              <w:rPr>
                <w:rFonts w:ascii="Arial" w:hAnsi="Arial" w:cs="Arial"/>
                <w:color w:val="FF0000"/>
                <w:sz w:val="20"/>
                <w:szCs w:val="20"/>
                <w:vertAlign w:val="superscript"/>
              </w:rPr>
              <w:t>6</w:t>
            </w:r>
          </w:p>
          <w:p w14:paraId="4A185D3E" w14:textId="77777777" w:rsidR="009649CF" w:rsidRDefault="009649CF" w:rsidP="007614D7">
            <w:pPr>
              <w:contextualSpacing/>
              <w:jc w:val="both"/>
              <w:rPr>
                <w:rFonts w:ascii="Arial" w:hAnsi="Arial" w:cs="Arial"/>
                <w:sz w:val="20"/>
                <w:szCs w:val="20"/>
              </w:rPr>
            </w:pPr>
          </w:p>
          <w:p w14:paraId="23BDEF2A" w14:textId="77777777" w:rsidR="000A1D17" w:rsidRDefault="000A1D17" w:rsidP="007614D7">
            <w:pPr>
              <w:contextualSpacing/>
              <w:jc w:val="both"/>
              <w:rPr>
                <w:rFonts w:ascii="Arial" w:hAnsi="Arial" w:cs="Arial"/>
                <w:color w:val="FF0000"/>
                <w:sz w:val="20"/>
                <w:szCs w:val="20"/>
                <w:vertAlign w:val="superscript"/>
              </w:rPr>
            </w:pPr>
            <w:r w:rsidRPr="0068632C">
              <w:rPr>
                <w:rFonts w:ascii="Arial" w:hAnsi="Arial" w:cs="Arial"/>
                <w:sz w:val="20"/>
                <w:szCs w:val="20"/>
              </w:rPr>
              <w:t>Sin embargo, la tasa de reacciones adversas y discontinuación del fármaco por toxicidad es más alta en los pacientes con ciclofosfamida.</w:t>
            </w:r>
            <w:r w:rsidR="009649CF">
              <w:rPr>
                <w:rFonts w:ascii="Arial" w:hAnsi="Arial" w:cs="Arial"/>
                <w:b/>
                <w:sz w:val="20"/>
                <w:szCs w:val="20"/>
              </w:rPr>
              <w:t xml:space="preserve"> [N</w:t>
            </w:r>
            <w:r w:rsidR="009649CF" w:rsidRPr="001A5BEB">
              <w:rPr>
                <w:rFonts w:ascii="Arial" w:hAnsi="Arial" w:cs="Arial"/>
                <w:b/>
                <w:sz w:val="20"/>
                <w:szCs w:val="20"/>
              </w:rPr>
              <w:t>E: I</w:t>
            </w:r>
            <w:r w:rsidR="009649CF">
              <w:rPr>
                <w:rFonts w:ascii="Arial" w:hAnsi="Arial" w:cs="Arial"/>
                <w:b/>
                <w:sz w:val="20"/>
                <w:szCs w:val="20"/>
              </w:rPr>
              <w:t>I</w:t>
            </w:r>
            <w:r w:rsidR="009649CF" w:rsidRPr="001A5BEB">
              <w:rPr>
                <w:rFonts w:ascii="Arial" w:hAnsi="Arial" w:cs="Arial"/>
                <w:b/>
                <w:sz w:val="20"/>
                <w:szCs w:val="20"/>
              </w:rPr>
              <w:t xml:space="preserve">, GR: </w:t>
            </w:r>
            <w:r w:rsidR="009649CF">
              <w:rPr>
                <w:rFonts w:ascii="Arial" w:hAnsi="Arial" w:cs="Arial"/>
                <w:b/>
                <w:sz w:val="20"/>
                <w:szCs w:val="20"/>
              </w:rPr>
              <w:t>A</w:t>
            </w:r>
            <w:r w:rsidR="009649CF" w:rsidRPr="001A5BEB">
              <w:rPr>
                <w:rFonts w:ascii="Arial" w:hAnsi="Arial" w:cs="Arial"/>
                <w:b/>
                <w:sz w:val="20"/>
                <w:szCs w:val="20"/>
              </w:rPr>
              <w:t>]</w:t>
            </w:r>
            <w:r w:rsidR="009649CF">
              <w:rPr>
                <w:rFonts w:ascii="Arial" w:hAnsi="Arial" w:cs="Arial"/>
                <w:color w:val="FF0000"/>
                <w:sz w:val="20"/>
                <w:szCs w:val="20"/>
                <w:vertAlign w:val="superscript"/>
              </w:rPr>
              <w:t>2</w:t>
            </w:r>
            <w:r w:rsidR="00E11C9C">
              <w:rPr>
                <w:rFonts w:ascii="Arial" w:hAnsi="Arial" w:cs="Arial"/>
                <w:color w:val="FF0000"/>
                <w:sz w:val="20"/>
                <w:szCs w:val="20"/>
                <w:vertAlign w:val="superscript"/>
              </w:rPr>
              <w:t>6</w:t>
            </w:r>
          </w:p>
          <w:p w14:paraId="488CD75A" w14:textId="77777777" w:rsidR="009649CF" w:rsidRPr="0068632C" w:rsidRDefault="009649CF" w:rsidP="007614D7">
            <w:pPr>
              <w:contextualSpacing/>
              <w:jc w:val="both"/>
              <w:rPr>
                <w:rFonts w:ascii="Arial" w:hAnsi="Arial" w:cs="Arial"/>
                <w:sz w:val="20"/>
                <w:szCs w:val="20"/>
              </w:rPr>
            </w:pPr>
          </w:p>
          <w:p w14:paraId="5E2E8145" w14:textId="77777777" w:rsidR="000A1D17" w:rsidRPr="0068632C" w:rsidRDefault="000A1D17" w:rsidP="009649CF">
            <w:pPr>
              <w:contextualSpacing/>
              <w:jc w:val="both"/>
              <w:rPr>
                <w:rFonts w:ascii="Arial" w:eastAsia="Times-Roman" w:hAnsi="Arial" w:cs="Arial"/>
                <w:sz w:val="20"/>
                <w:szCs w:val="20"/>
              </w:rPr>
            </w:pPr>
            <w:r w:rsidRPr="0068632C">
              <w:rPr>
                <w:rFonts w:ascii="Arial" w:hAnsi="Arial" w:cs="Arial"/>
                <w:sz w:val="20"/>
                <w:szCs w:val="20"/>
              </w:rPr>
              <w:t>Por lo tanto, este grupo de trabajo considera que el tratamiento con ciclofosfamida n</w:t>
            </w:r>
            <w:r w:rsidRPr="0068632C">
              <w:rPr>
                <w:rFonts w:ascii="Arial" w:eastAsia="Times-Roman" w:hAnsi="Arial" w:cs="Arial"/>
                <w:sz w:val="20"/>
                <w:szCs w:val="20"/>
              </w:rPr>
              <w:t xml:space="preserve">o es recomendable para tratar actividad articular o sinovitis debido a su alto perfil de toxicidad y dado que existen mejores opciones de tratamiento para sinovitis. La CFA está justificada como línea de tratamiento en manifestaciones extraarticulares graves tales como neumonitis intersticial o vasculitis reumatoide. </w:t>
            </w:r>
            <w:r w:rsidR="009649CF">
              <w:rPr>
                <w:rFonts w:ascii="Arial" w:hAnsi="Arial" w:cs="Arial"/>
                <w:b/>
                <w:sz w:val="20"/>
                <w:szCs w:val="20"/>
              </w:rPr>
              <w:t>[</w:t>
            </w:r>
            <w:r w:rsidR="009649CF" w:rsidRPr="001A5BEB">
              <w:rPr>
                <w:rFonts w:ascii="Arial" w:hAnsi="Arial" w:cs="Arial"/>
                <w:b/>
                <w:sz w:val="20"/>
                <w:szCs w:val="20"/>
              </w:rPr>
              <w:t xml:space="preserve">GR: </w:t>
            </w:r>
            <w:r w:rsidR="009649CF">
              <w:rPr>
                <w:rFonts w:ascii="Arial" w:hAnsi="Arial" w:cs="Arial"/>
                <w:b/>
                <w:sz w:val="20"/>
                <w:szCs w:val="20"/>
              </w:rPr>
              <w:t>D</w:t>
            </w:r>
            <w:r w:rsidR="009649CF" w:rsidRPr="001A5BEB">
              <w:rPr>
                <w:rFonts w:ascii="Arial" w:hAnsi="Arial" w:cs="Arial"/>
                <w:b/>
                <w:sz w:val="20"/>
                <w:szCs w:val="20"/>
              </w:rPr>
              <w:t>]</w:t>
            </w:r>
          </w:p>
        </w:tc>
      </w:tr>
      <w:tr w:rsidR="000A1D17" w:rsidRPr="0068632C" w14:paraId="717DCA08" w14:textId="77777777" w:rsidTr="007614D7">
        <w:tc>
          <w:tcPr>
            <w:tcW w:w="2988" w:type="dxa"/>
            <w:shd w:val="clear" w:color="auto" w:fill="auto"/>
          </w:tcPr>
          <w:p w14:paraId="6A17B37A" w14:textId="77777777" w:rsidR="000A1D17" w:rsidRPr="0068632C" w:rsidRDefault="000A1D17" w:rsidP="007614D7">
            <w:pPr>
              <w:contextualSpacing/>
              <w:jc w:val="both"/>
              <w:rPr>
                <w:rFonts w:ascii="Arial" w:eastAsia="Times-Roman" w:hAnsi="Arial" w:cs="Arial"/>
                <w:sz w:val="20"/>
                <w:szCs w:val="20"/>
              </w:rPr>
            </w:pPr>
            <w:r w:rsidRPr="0068632C">
              <w:rPr>
                <w:rFonts w:ascii="Arial" w:hAnsi="Arial" w:cs="Arial"/>
                <w:sz w:val="20"/>
                <w:szCs w:val="20"/>
              </w:rPr>
              <w:t>Estudios que se requieren antes del tratamiento  y durante el seguimiento</w:t>
            </w:r>
          </w:p>
        </w:tc>
        <w:tc>
          <w:tcPr>
            <w:tcW w:w="6192" w:type="dxa"/>
            <w:shd w:val="clear" w:color="auto" w:fill="auto"/>
          </w:tcPr>
          <w:p w14:paraId="2A4D45DC" w14:textId="7851B08F" w:rsidR="000A1D17" w:rsidRPr="0068632C" w:rsidRDefault="009649CF" w:rsidP="00D2135E">
            <w:pPr>
              <w:contextualSpacing/>
              <w:jc w:val="both"/>
              <w:rPr>
                <w:rFonts w:ascii="Arial" w:eastAsia="Times-Roman" w:hAnsi="Arial" w:cs="Arial"/>
                <w:sz w:val="20"/>
                <w:szCs w:val="20"/>
              </w:rPr>
            </w:pPr>
            <w:r>
              <w:rPr>
                <w:rFonts w:ascii="Arial" w:eastAsia="Times-Roman" w:hAnsi="Arial" w:cs="Arial"/>
                <w:sz w:val="20"/>
                <w:szCs w:val="20"/>
              </w:rPr>
              <w:t>BH</w:t>
            </w:r>
            <w:r w:rsidR="000A1D17" w:rsidRPr="0068632C">
              <w:rPr>
                <w:rFonts w:ascii="Arial" w:eastAsia="Times-Roman" w:hAnsi="Arial" w:cs="Arial"/>
                <w:sz w:val="20"/>
                <w:szCs w:val="20"/>
              </w:rPr>
              <w:t xml:space="preserve">, creatinina sérica, </w:t>
            </w:r>
            <w:r w:rsidR="00D2135E">
              <w:rPr>
                <w:rFonts w:ascii="Arial" w:eastAsia="Times-Roman" w:hAnsi="Arial" w:cs="Arial"/>
                <w:sz w:val="20"/>
                <w:szCs w:val="20"/>
              </w:rPr>
              <w:t>EGO</w:t>
            </w:r>
            <w:r w:rsidR="000A1D17" w:rsidRPr="0068632C">
              <w:rPr>
                <w:rFonts w:ascii="Arial" w:eastAsia="Times-Roman" w:hAnsi="Arial" w:cs="Arial"/>
                <w:sz w:val="20"/>
                <w:szCs w:val="20"/>
              </w:rPr>
              <w:t xml:space="preserve">, evaluación dirigida para la detección de posibles infecciones (como urocultivo). La mayor toxicidad de ciclofosfamida es con la presentación oral, la cistitis hemorrágica está dada por la acroleína, por lo que se requiere valoración con </w:t>
            </w:r>
            <w:r w:rsidR="00D2135E">
              <w:rPr>
                <w:rFonts w:ascii="Arial" w:eastAsia="Times-Roman" w:hAnsi="Arial" w:cs="Arial"/>
                <w:sz w:val="20"/>
                <w:szCs w:val="20"/>
              </w:rPr>
              <w:t>EGO</w:t>
            </w:r>
            <w:r w:rsidR="000A1D17" w:rsidRPr="0068632C">
              <w:rPr>
                <w:rFonts w:ascii="Arial" w:eastAsia="Times-Roman" w:hAnsi="Arial" w:cs="Arial"/>
                <w:sz w:val="20"/>
                <w:szCs w:val="20"/>
              </w:rPr>
              <w:t xml:space="preserve"> en forma mensual durante su uso. La toxicidad hematológica es más frecuente que la vesical con leucopenia, por lo que deberá realizarse </w:t>
            </w:r>
            <w:r w:rsidR="005C5AB8">
              <w:rPr>
                <w:rFonts w:ascii="Arial" w:eastAsia="Times-Roman" w:hAnsi="Arial" w:cs="Arial"/>
                <w:sz w:val="20"/>
                <w:szCs w:val="20"/>
              </w:rPr>
              <w:t xml:space="preserve">BH </w:t>
            </w:r>
            <w:r w:rsidR="000A1D17" w:rsidRPr="0068632C">
              <w:rPr>
                <w:rFonts w:ascii="Arial" w:eastAsia="Times-Roman" w:hAnsi="Arial" w:cs="Arial"/>
                <w:sz w:val="20"/>
                <w:szCs w:val="20"/>
              </w:rPr>
              <w:t xml:space="preserve">mensual. Otra toxicidad relevante es la azoospermia en hombres o falla ovárica en mujeres. Incrementa el riesgo de infecciones bacterianas, aunque la ciclofosfamida intravenosa es usualmente bien tolerada.  </w:t>
            </w:r>
            <w:r w:rsidR="00275DB2">
              <w:rPr>
                <w:rFonts w:ascii="Arial" w:eastAsia="Times-Roman" w:hAnsi="Arial" w:cs="Arial"/>
                <w:sz w:val="20"/>
                <w:szCs w:val="20"/>
              </w:rPr>
              <w:t>Debe descartarse embarazo antes de su inicio e informar riesgos potenciales del mismo.</w:t>
            </w:r>
          </w:p>
        </w:tc>
      </w:tr>
      <w:tr w:rsidR="000A1D17" w:rsidRPr="0068632C" w14:paraId="349850B4" w14:textId="77777777" w:rsidTr="007614D7">
        <w:tc>
          <w:tcPr>
            <w:tcW w:w="2988" w:type="dxa"/>
            <w:shd w:val="clear" w:color="auto" w:fill="auto"/>
          </w:tcPr>
          <w:p w14:paraId="01BC8F31" w14:textId="77777777" w:rsidR="000A1D17" w:rsidRPr="0068632C" w:rsidRDefault="000A1D17" w:rsidP="007614D7">
            <w:pPr>
              <w:contextualSpacing/>
              <w:jc w:val="both"/>
              <w:rPr>
                <w:rFonts w:ascii="Arial" w:eastAsia="Times-Roman" w:hAnsi="Arial" w:cs="Arial"/>
                <w:sz w:val="20"/>
                <w:szCs w:val="20"/>
              </w:rPr>
            </w:pPr>
            <w:r w:rsidRPr="0068632C">
              <w:rPr>
                <w:rFonts w:ascii="Arial" w:hAnsi="Arial" w:cs="Arial"/>
                <w:sz w:val="20"/>
                <w:szCs w:val="20"/>
              </w:rPr>
              <w:t xml:space="preserve">Monoterapia o en </w:t>
            </w:r>
            <w:r w:rsidRPr="0068632C">
              <w:rPr>
                <w:rFonts w:ascii="Arial" w:hAnsi="Arial" w:cs="Arial"/>
                <w:sz w:val="20"/>
                <w:szCs w:val="20"/>
              </w:rPr>
              <w:lastRenderedPageBreak/>
              <w:t>combinaciones (¿cuál es la mejor combinación y secuencia?)</w:t>
            </w:r>
          </w:p>
        </w:tc>
        <w:tc>
          <w:tcPr>
            <w:tcW w:w="6192" w:type="dxa"/>
            <w:shd w:val="clear" w:color="auto" w:fill="auto"/>
          </w:tcPr>
          <w:p w14:paraId="39CE0F10"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lastRenderedPageBreak/>
              <w:t xml:space="preserve">La ciclofosfamida intravenosa puede ser usada como monoterapia </w:t>
            </w:r>
            <w:r w:rsidRPr="0068632C">
              <w:rPr>
                <w:rFonts w:ascii="Arial" w:eastAsia="Times-Roman" w:hAnsi="Arial" w:cs="Arial"/>
                <w:sz w:val="20"/>
                <w:szCs w:val="20"/>
              </w:rPr>
              <w:lastRenderedPageBreak/>
              <w:t>o en combinación con corticoesteroides, la dosis usual administrada es de 0.5 a 1 g/m</w:t>
            </w:r>
            <w:r w:rsidRPr="0068632C">
              <w:rPr>
                <w:rFonts w:ascii="Arial" w:eastAsia="Times-Roman" w:hAnsi="Arial" w:cs="Arial"/>
                <w:sz w:val="20"/>
                <w:szCs w:val="20"/>
                <w:vertAlign w:val="superscript"/>
              </w:rPr>
              <w:t>2</w:t>
            </w:r>
            <w:r w:rsidRPr="0068632C">
              <w:rPr>
                <w:rFonts w:ascii="Arial" w:eastAsia="Times-Roman" w:hAnsi="Arial" w:cs="Arial"/>
                <w:sz w:val="20"/>
                <w:szCs w:val="20"/>
              </w:rPr>
              <w:t xml:space="preserve"> de superficie corporal en forma intravenosa, 0.5 a 1.5 mg por kg por día.</w:t>
            </w:r>
            <w:r w:rsidR="009649CF">
              <w:rPr>
                <w:rFonts w:ascii="Arial" w:eastAsia="Times-Roman" w:hAnsi="Arial" w:cs="Arial"/>
                <w:color w:val="FF0000"/>
                <w:sz w:val="20"/>
                <w:szCs w:val="20"/>
                <w:vertAlign w:val="superscript"/>
              </w:rPr>
              <w:t>2</w:t>
            </w:r>
            <w:r w:rsidR="00E11C9C">
              <w:rPr>
                <w:rFonts w:ascii="Arial" w:eastAsia="Times-Roman" w:hAnsi="Arial" w:cs="Arial"/>
                <w:color w:val="FF0000"/>
                <w:sz w:val="20"/>
                <w:szCs w:val="20"/>
                <w:vertAlign w:val="superscript"/>
              </w:rPr>
              <w:t>5</w:t>
            </w:r>
          </w:p>
          <w:p w14:paraId="31249E80" w14:textId="77777777" w:rsidR="000A1D17" w:rsidRPr="0068632C" w:rsidRDefault="000A1D17" w:rsidP="007614D7">
            <w:pPr>
              <w:contextualSpacing/>
              <w:jc w:val="both"/>
              <w:rPr>
                <w:rFonts w:ascii="Arial" w:eastAsia="Times-Roman" w:hAnsi="Arial" w:cs="Arial"/>
                <w:sz w:val="20"/>
                <w:szCs w:val="20"/>
              </w:rPr>
            </w:pPr>
          </w:p>
          <w:p w14:paraId="64E15C21"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La forma oral no es recomendada por el panel excepto en condiciones muy especiales.</w:t>
            </w:r>
            <w:r w:rsidR="009649CF">
              <w:rPr>
                <w:rFonts w:ascii="Arial" w:hAnsi="Arial" w:cs="Arial"/>
                <w:b/>
                <w:sz w:val="20"/>
                <w:szCs w:val="20"/>
              </w:rPr>
              <w:t xml:space="preserve"> [</w:t>
            </w:r>
            <w:r w:rsidR="009649CF" w:rsidRPr="001A5BEB">
              <w:rPr>
                <w:rFonts w:ascii="Arial" w:hAnsi="Arial" w:cs="Arial"/>
                <w:b/>
                <w:sz w:val="20"/>
                <w:szCs w:val="20"/>
              </w:rPr>
              <w:t xml:space="preserve">GR: </w:t>
            </w:r>
            <w:r w:rsidR="009649CF">
              <w:rPr>
                <w:rFonts w:ascii="Arial" w:hAnsi="Arial" w:cs="Arial"/>
                <w:b/>
                <w:sz w:val="20"/>
                <w:szCs w:val="20"/>
              </w:rPr>
              <w:t>D</w:t>
            </w:r>
            <w:r w:rsidR="009649CF" w:rsidRPr="001A5BEB">
              <w:rPr>
                <w:rFonts w:ascii="Arial" w:hAnsi="Arial" w:cs="Arial"/>
                <w:b/>
                <w:sz w:val="20"/>
                <w:szCs w:val="20"/>
              </w:rPr>
              <w:t>]</w:t>
            </w:r>
          </w:p>
        </w:tc>
      </w:tr>
      <w:tr w:rsidR="000A1D17" w:rsidRPr="0068632C" w14:paraId="0377F610" w14:textId="77777777" w:rsidTr="007614D7">
        <w:tc>
          <w:tcPr>
            <w:tcW w:w="2988" w:type="dxa"/>
            <w:shd w:val="clear" w:color="auto" w:fill="auto"/>
          </w:tcPr>
          <w:p w14:paraId="525CE6C0" w14:textId="77777777" w:rsidR="000A1D17" w:rsidRPr="0068632C" w:rsidRDefault="000A1D17" w:rsidP="007614D7">
            <w:pPr>
              <w:contextualSpacing/>
              <w:jc w:val="both"/>
              <w:rPr>
                <w:rFonts w:ascii="Arial" w:eastAsia="Times-Roman" w:hAnsi="Arial" w:cs="Arial"/>
                <w:sz w:val="20"/>
                <w:szCs w:val="20"/>
              </w:rPr>
            </w:pPr>
            <w:r w:rsidRPr="0068632C">
              <w:rPr>
                <w:rFonts w:ascii="Arial" w:hAnsi="Arial" w:cs="Arial"/>
                <w:sz w:val="20"/>
                <w:szCs w:val="20"/>
              </w:rPr>
              <w:lastRenderedPageBreak/>
              <w:t>Tiempo para definir ajuste de dosis  y retiro de medicamento</w:t>
            </w:r>
          </w:p>
        </w:tc>
        <w:tc>
          <w:tcPr>
            <w:tcW w:w="6192" w:type="dxa"/>
            <w:shd w:val="clear" w:color="auto" w:fill="auto"/>
          </w:tcPr>
          <w:p w14:paraId="510D3A07" w14:textId="77777777" w:rsidR="000A1D17" w:rsidRPr="0068632C" w:rsidRDefault="000A1D17" w:rsidP="00E11C9C">
            <w:pPr>
              <w:contextualSpacing/>
              <w:jc w:val="both"/>
              <w:rPr>
                <w:rFonts w:ascii="Arial" w:eastAsia="Times-Roman" w:hAnsi="Arial" w:cs="Arial"/>
                <w:sz w:val="20"/>
                <w:szCs w:val="20"/>
              </w:rPr>
            </w:pPr>
            <w:r w:rsidRPr="0068632C">
              <w:rPr>
                <w:rFonts w:ascii="Arial" w:eastAsia="Times-Roman" w:hAnsi="Arial" w:cs="Arial"/>
                <w:sz w:val="20"/>
                <w:szCs w:val="20"/>
              </w:rPr>
              <w:t>El inicio a 0.5 g/m</w:t>
            </w:r>
            <w:r w:rsidRPr="0068632C">
              <w:rPr>
                <w:rFonts w:ascii="Arial" w:eastAsia="Times-Roman" w:hAnsi="Arial" w:cs="Arial"/>
                <w:sz w:val="20"/>
                <w:szCs w:val="20"/>
                <w:vertAlign w:val="superscript"/>
              </w:rPr>
              <w:t>2</w:t>
            </w:r>
            <w:r w:rsidRPr="0068632C">
              <w:rPr>
                <w:rFonts w:ascii="Arial" w:eastAsia="Times-Roman" w:hAnsi="Arial" w:cs="Arial"/>
                <w:sz w:val="20"/>
                <w:szCs w:val="20"/>
              </w:rPr>
              <w:t xml:space="preserve"> de superficie corporal puede ser incrementado en un 10 a 20% de la dosis inicial en forma mensual o trimestral hasta alcanzar respuesta o alcanzar la dosis de 1 g/m</w:t>
            </w:r>
            <w:r w:rsidRPr="0068632C">
              <w:rPr>
                <w:rFonts w:ascii="Arial" w:eastAsia="Times-Roman" w:hAnsi="Arial" w:cs="Arial"/>
                <w:sz w:val="20"/>
                <w:szCs w:val="20"/>
                <w:vertAlign w:val="superscript"/>
              </w:rPr>
              <w:t>2</w:t>
            </w:r>
            <w:r w:rsidRPr="0068632C">
              <w:rPr>
                <w:rFonts w:ascii="Arial" w:eastAsia="Times-Roman" w:hAnsi="Arial" w:cs="Arial"/>
                <w:sz w:val="20"/>
                <w:szCs w:val="20"/>
              </w:rPr>
              <w:t xml:space="preserve"> de superficie corporal. Se considera que el efecto benéfico es observado con la administración oral a los 3 a 4 meses.</w:t>
            </w:r>
            <w:r w:rsidR="009649CF">
              <w:rPr>
                <w:rFonts w:ascii="Arial" w:eastAsia="Times-Roman" w:hAnsi="Arial" w:cs="Arial"/>
                <w:color w:val="FF0000"/>
                <w:sz w:val="20"/>
                <w:szCs w:val="20"/>
                <w:vertAlign w:val="superscript"/>
              </w:rPr>
              <w:t>2</w:t>
            </w:r>
            <w:r w:rsidR="00E11C9C">
              <w:rPr>
                <w:rFonts w:ascii="Arial" w:eastAsia="Times-Roman" w:hAnsi="Arial" w:cs="Arial"/>
                <w:color w:val="FF0000"/>
                <w:sz w:val="20"/>
                <w:szCs w:val="20"/>
                <w:vertAlign w:val="superscript"/>
              </w:rPr>
              <w:t>5</w:t>
            </w:r>
          </w:p>
        </w:tc>
      </w:tr>
      <w:tr w:rsidR="000A1D17" w:rsidRPr="0068632C" w14:paraId="0C19EF3B" w14:textId="77777777" w:rsidTr="007614D7">
        <w:tc>
          <w:tcPr>
            <w:tcW w:w="2988" w:type="dxa"/>
            <w:shd w:val="clear" w:color="auto" w:fill="auto"/>
          </w:tcPr>
          <w:p w14:paraId="2C277D49" w14:textId="77777777" w:rsidR="000A1D17" w:rsidRPr="0068632C" w:rsidRDefault="000A1D17" w:rsidP="007614D7">
            <w:pPr>
              <w:contextualSpacing/>
              <w:jc w:val="both"/>
              <w:rPr>
                <w:rFonts w:ascii="Arial" w:eastAsia="Times-Roman" w:hAnsi="Arial" w:cs="Arial"/>
                <w:sz w:val="20"/>
                <w:szCs w:val="20"/>
              </w:rPr>
            </w:pPr>
            <w:r w:rsidRPr="0068632C">
              <w:rPr>
                <w:rFonts w:ascii="Arial" w:hAnsi="Arial" w:cs="Arial"/>
                <w:sz w:val="20"/>
                <w:szCs w:val="20"/>
              </w:rPr>
              <w:t>Dosis mínima y máxima</w:t>
            </w:r>
          </w:p>
        </w:tc>
        <w:tc>
          <w:tcPr>
            <w:tcW w:w="6192" w:type="dxa"/>
            <w:shd w:val="clear" w:color="auto" w:fill="auto"/>
          </w:tcPr>
          <w:p w14:paraId="01FE1936"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La dosis intravenosa recomendada es de 0.5 a 1 g/m</w:t>
            </w:r>
            <w:r w:rsidRPr="0068632C">
              <w:rPr>
                <w:rFonts w:ascii="Arial" w:eastAsia="Times-Roman" w:hAnsi="Arial" w:cs="Arial"/>
                <w:sz w:val="20"/>
                <w:szCs w:val="20"/>
                <w:vertAlign w:val="superscript"/>
              </w:rPr>
              <w:t>2</w:t>
            </w:r>
            <w:r w:rsidRPr="0068632C">
              <w:rPr>
                <w:rFonts w:ascii="Arial" w:eastAsia="Times-Roman" w:hAnsi="Arial" w:cs="Arial"/>
                <w:sz w:val="20"/>
                <w:szCs w:val="20"/>
              </w:rPr>
              <w:t xml:space="preserve"> de superficie corporal y el esquema usual de aplicación es mensual, aunque puede</w:t>
            </w:r>
            <w:r w:rsidR="00AD1073" w:rsidRPr="0068632C">
              <w:rPr>
                <w:rFonts w:ascii="Arial" w:eastAsia="Times-Roman" w:hAnsi="Arial" w:cs="Arial"/>
                <w:sz w:val="20"/>
                <w:szCs w:val="20"/>
              </w:rPr>
              <w:t xml:space="preserve"> haber variaciones con duracion</w:t>
            </w:r>
            <w:r w:rsidRPr="0068632C">
              <w:rPr>
                <w:rFonts w:ascii="Arial" w:eastAsia="Times-Roman" w:hAnsi="Arial" w:cs="Arial"/>
                <w:sz w:val="20"/>
                <w:szCs w:val="20"/>
              </w:rPr>
              <w:t>es de 6 meses a un año.</w:t>
            </w:r>
          </w:p>
        </w:tc>
      </w:tr>
      <w:tr w:rsidR="000A1D17" w:rsidRPr="0068632C" w14:paraId="15A312D8" w14:textId="77777777" w:rsidTr="007614D7">
        <w:tc>
          <w:tcPr>
            <w:tcW w:w="2988" w:type="dxa"/>
            <w:shd w:val="clear" w:color="auto" w:fill="auto"/>
          </w:tcPr>
          <w:p w14:paraId="59FB7045" w14:textId="77777777" w:rsidR="000A1D17" w:rsidRPr="0068632C" w:rsidRDefault="000A1D17" w:rsidP="000A1D17">
            <w:pPr>
              <w:numPr>
                <w:ilvl w:val="0"/>
                <w:numId w:val="2"/>
              </w:numPr>
              <w:ind w:left="0"/>
              <w:contextualSpacing/>
              <w:jc w:val="both"/>
              <w:rPr>
                <w:rFonts w:ascii="Arial" w:hAnsi="Arial" w:cs="Arial"/>
                <w:sz w:val="20"/>
                <w:szCs w:val="20"/>
              </w:rPr>
            </w:pPr>
            <w:r w:rsidRPr="0068632C">
              <w:rPr>
                <w:rFonts w:ascii="Arial" w:hAnsi="Arial" w:cs="Arial"/>
                <w:sz w:val="20"/>
                <w:szCs w:val="20"/>
              </w:rPr>
              <w:t>Contraindicaciones</w:t>
            </w:r>
          </w:p>
        </w:tc>
        <w:tc>
          <w:tcPr>
            <w:tcW w:w="6192" w:type="dxa"/>
            <w:shd w:val="clear" w:color="auto" w:fill="auto"/>
          </w:tcPr>
          <w:p w14:paraId="1E0EDCA1"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El uso de CFA debe ir acompañado de un esquema de anticoncepción efectivo en las mujeres en etapa reproductiva que tengan actividad sexual debido a que CFA está contraindicada en el embarazo (categoría D).</w:t>
            </w:r>
            <w:r w:rsidR="004D6A3B">
              <w:rPr>
                <w:rFonts w:ascii="Arial" w:eastAsia="Times-Roman" w:hAnsi="Arial" w:cs="Arial"/>
                <w:color w:val="FF0000"/>
                <w:sz w:val="20"/>
                <w:szCs w:val="20"/>
                <w:vertAlign w:val="superscript"/>
              </w:rPr>
              <w:t>2</w:t>
            </w:r>
            <w:r w:rsidR="00E11C9C">
              <w:rPr>
                <w:rFonts w:ascii="Arial" w:eastAsia="Times-Roman" w:hAnsi="Arial" w:cs="Arial"/>
                <w:color w:val="FF0000"/>
                <w:sz w:val="20"/>
                <w:szCs w:val="20"/>
                <w:vertAlign w:val="superscript"/>
              </w:rPr>
              <w:t>7</w:t>
            </w:r>
            <w:r w:rsidRPr="0068632C">
              <w:rPr>
                <w:rFonts w:ascii="Arial" w:eastAsia="Times-Roman" w:hAnsi="Arial" w:cs="Arial"/>
                <w:color w:val="FF0000"/>
                <w:sz w:val="20"/>
                <w:szCs w:val="20"/>
                <w:vertAlign w:val="superscript"/>
              </w:rPr>
              <w:t xml:space="preserve"> </w:t>
            </w:r>
            <w:r w:rsidRPr="0068632C">
              <w:rPr>
                <w:rFonts w:ascii="Arial" w:eastAsia="Times-Roman" w:hAnsi="Arial" w:cs="Arial"/>
                <w:sz w:val="20"/>
                <w:szCs w:val="20"/>
              </w:rPr>
              <w:t xml:space="preserve">Si la paciente programa el embarazo la CFA deberá suspenderse al menos 3 meses antes de la concepción. </w:t>
            </w:r>
          </w:p>
          <w:p w14:paraId="3B32C150"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También está contraindicada durante la lactancia, así como en pacientes que cursen con infecciones moderadas a graves, y con leucopenia moderada a grave. </w:t>
            </w:r>
          </w:p>
          <w:p w14:paraId="252EF614" w14:textId="77777777" w:rsidR="000A1D17" w:rsidRPr="0068632C" w:rsidRDefault="000A1D17" w:rsidP="00E11C9C">
            <w:pPr>
              <w:contextualSpacing/>
              <w:jc w:val="both"/>
              <w:rPr>
                <w:rFonts w:ascii="Arial" w:hAnsi="Arial" w:cs="Arial"/>
                <w:sz w:val="20"/>
                <w:szCs w:val="20"/>
              </w:rPr>
            </w:pPr>
            <w:r w:rsidRPr="0068632C">
              <w:rPr>
                <w:rFonts w:ascii="Arial" w:eastAsia="Times-Roman" w:hAnsi="Arial" w:cs="Arial"/>
                <w:sz w:val="20"/>
                <w:szCs w:val="20"/>
              </w:rPr>
              <w:t>La CFA se asocia con múltiples efectos secundarios (</w:t>
            </w:r>
            <w:r w:rsidRPr="0068632C">
              <w:rPr>
                <w:rFonts w:ascii="Arial" w:hAnsi="Arial" w:cs="Arial"/>
                <w:sz w:val="20"/>
                <w:szCs w:val="20"/>
              </w:rPr>
              <w:t>cistitis hemorrágica, náusea, vómito, leucopenia, trombocitopenia, alopecia, amenorrea, may</w:t>
            </w:r>
            <w:r w:rsidR="00CE511E">
              <w:rPr>
                <w:rFonts w:ascii="Arial" w:hAnsi="Arial" w:cs="Arial"/>
                <w:sz w:val="20"/>
                <w:szCs w:val="20"/>
              </w:rPr>
              <w:t>or riesgo de infecciones -inclui</w:t>
            </w:r>
            <w:r w:rsidRPr="0068632C">
              <w:rPr>
                <w:rFonts w:ascii="Arial" w:hAnsi="Arial" w:cs="Arial"/>
                <w:sz w:val="20"/>
                <w:szCs w:val="20"/>
              </w:rPr>
              <w:t>do herpes zoster-)</w:t>
            </w:r>
            <w:r w:rsidRPr="0068632C">
              <w:rPr>
                <w:rFonts w:ascii="Arial" w:eastAsia="Times-Roman" w:hAnsi="Arial" w:cs="Arial"/>
                <w:sz w:val="20"/>
                <w:szCs w:val="20"/>
              </w:rPr>
              <w:t xml:space="preserve">; se ha demostrado tiene una alta tasa de abandono comparada con placebo </w:t>
            </w:r>
            <w:r w:rsidRPr="0068632C">
              <w:rPr>
                <w:rFonts w:ascii="Arial" w:hAnsi="Arial" w:cs="Arial"/>
                <w:sz w:val="20"/>
                <w:szCs w:val="20"/>
              </w:rPr>
              <w:t>(OR 2.9).</w:t>
            </w:r>
            <w:r w:rsidR="009649CF">
              <w:rPr>
                <w:rFonts w:ascii="Arial" w:hAnsi="Arial" w:cs="Arial"/>
                <w:b/>
                <w:sz w:val="20"/>
                <w:szCs w:val="20"/>
              </w:rPr>
              <w:t xml:space="preserve"> [N</w:t>
            </w:r>
            <w:r w:rsidR="009649CF" w:rsidRPr="001A5BEB">
              <w:rPr>
                <w:rFonts w:ascii="Arial" w:hAnsi="Arial" w:cs="Arial"/>
                <w:b/>
                <w:sz w:val="20"/>
                <w:szCs w:val="20"/>
              </w:rPr>
              <w:t xml:space="preserve">E: </w:t>
            </w:r>
            <w:r w:rsidR="009649CF">
              <w:rPr>
                <w:rFonts w:ascii="Arial" w:hAnsi="Arial" w:cs="Arial"/>
                <w:b/>
                <w:sz w:val="20"/>
                <w:szCs w:val="20"/>
              </w:rPr>
              <w:t>I</w:t>
            </w:r>
            <w:r w:rsidR="009649CF" w:rsidRPr="001A5BEB">
              <w:rPr>
                <w:rFonts w:ascii="Arial" w:hAnsi="Arial" w:cs="Arial"/>
                <w:b/>
                <w:sz w:val="20"/>
                <w:szCs w:val="20"/>
              </w:rPr>
              <w:t xml:space="preserve">I, GR: </w:t>
            </w:r>
            <w:r w:rsidR="009649CF">
              <w:rPr>
                <w:rFonts w:ascii="Arial" w:hAnsi="Arial" w:cs="Arial"/>
                <w:b/>
                <w:sz w:val="20"/>
                <w:szCs w:val="20"/>
              </w:rPr>
              <w:t>A</w:t>
            </w:r>
            <w:r w:rsidR="009649CF" w:rsidRPr="001A5BEB">
              <w:rPr>
                <w:rFonts w:ascii="Arial" w:hAnsi="Arial" w:cs="Arial"/>
                <w:b/>
                <w:sz w:val="20"/>
                <w:szCs w:val="20"/>
              </w:rPr>
              <w:t>]</w:t>
            </w:r>
            <w:r w:rsidR="009649CF">
              <w:rPr>
                <w:rFonts w:ascii="Arial" w:hAnsi="Arial" w:cs="Arial"/>
                <w:color w:val="FF0000"/>
                <w:sz w:val="20"/>
                <w:szCs w:val="20"/>
                <w:vertAlign w:val="superscript"/>
              </w:rPr>
              <w:t>2</w:t>
            </w:r>
            <w:r w:rsidR="00E11C9C">
              <w:rPr>
                <w:rFonts w:ascii="Arial" w:hAnsi="Arial" w:cs="Arial"/>
                <w:color w:val="FF0000"/>
                <w:sz w:val="20"/>
                <w:szCs w:val="20"/>
                <w:vertAlign w:val="superscript"/>
              </w:rPr>
              <w:t>6</w:t>
            </w:r>
          </w:p>
        </w:tc>
      </w:tr>
      <w:tr w:rsidR="000A1D17" w:rsidRPr="0068632C" w14:paraId="57550F20" w14:textId="77777777" w:rsidTr="007614D7">
        <w:tc>
          <w:tcPr>
            <w:tcW w:w="2988" w:type="dxa"/>
            <w:shd w:val="clear" w:color="auto" w:fill="auto"/>
          </w:tcPr>
          <w:p w14:paraId="2C169713" w14:textId="77777777" w:rsidR="000A1D17" w:rsidRPr="0068632C" w:rsidRDefault="000A1D17" w:rsidP="000A1D17">
            <w:pPr>
              <w:numPr>
                <w:ilvl w:val="0"/>
                <w:numId w:val="2"/>
              </w:numPr>
              <w:ind w:left="0"/>
              <w:contextualSpacing/>
              <w:jc w:val="both"/>
              <w:rPr>
                <w:rFonts w:ascii="Arial" w:hAnsi="Arial" w:cs="Arial"/>
                <w:sz w:val="20"/>
                <w:szCs w:val="20"/>
              </w:rPr>
            </w:pPr>
            <w:r w:rsidRPr="0068632C">
              <w:rPr>
                <w:rFonts w:ascii="Arial" w:hAnsi="Arial" w:cs="Arial"/>
                <w:sz w:val="20"/>
                <w:szCs w:val="20"/>
              </w:rPr>
              <w:t xml:space="preserve">Casos especiales </w:t>
            </w:r>
          </w:p>
          <w:p w14:paraId="79AE8CFD" w14:textId="77777777" w:rsidR="000A1D17" w:rsidRPr="0068632C" w:rsidRDefault="000A1D17" w:rsidP="000A1D17">
            <w:pPr>
              <w:numPr>
                <w:ilvl w:val="0"/>
                <w:numId w:val="2"/>
              </w:numPr>
              <w:ind w:left="0"/>
              <w:contextualSpacing/>
              <w:jc w:val="both"/>
              <w:rPr>
                <w:rFonts w:ascii="Arial" w:hAnsi="Arial" w:cs="Arial"/>
                <w:sz w:val="20"/>
                <w:szCs w:val="20"/>
              </w:rPr>
            </w:pPr>
          </w:p>
        </w:tc>
        <w:tc>
          <w:tcPr>
            <w:tcW w:w="6192" w:type="dxa"/>
            <w:shd w:val="clear" w:color="auto" w:fill="auto"/>
          </w:tcPr>
          <w:p w14:paraId="3863C4FD" w14:textId="77777777" w:rsidR="000A1D17" w:rsidRPr="0068632C" w:rsidRDefault="000A1D17" w:rsidP="007614D7">
            <w:pPr>
              <w:shd w:val="clear" w:color="auto" w:fill="FFFFFF"/>
              <w:spacing w:before="192" w:after="192"/>
              <w:contextualSpacing/>
              <w:jc w:val="both"/>
              <w:rPr>
                <w:rFonts w:ascii="Arial" w:eastAsia="Times-Roman" w:hAnsi="Arial" w:cs="Arial"/>
                <w:sz w:val="20"/>
                <w:szCs w:val="20"/>
              </w:rPr>
            </w:pPr>
            <w:r w:rsidRPr="0068632C">
              <w:rPr>
                <w:rFonts w:ascii="Arial" w:eastAsia="Times-Roman" w:hAnsi="Arial" w:cs="Arial"/>
                <w:sz w:val="20"/>
                <w:szCs w:val="20"/>
              </w:rPr>
              <w:t xml:space="preserve">La CFA puede provocar atrofia ovárica cuando su uso es por más de seis meses, o incluso antes en algunos pacientes. </w:t>
            </w:r>
          </w:p>
          <w:p w14:paraId="6688FA25" w14:textId="77777777" w:rsidR="000A1D17" w:rsidRPr="0068632C" w:rsidRDefault="000A1D17" w:rsidP="007614D7">
            <w:pPr>
              <w:shd w:val="clear" w:color="auto" w:fill="FFFFFF"/>
              <w:spacing w:before="192" w:after="192"/>
              <w:contextualSpacing/>
              <w:jc w:val="both"/>
              <w:rPr>
                <w:rFonts w:ascii="Arial" w:hAnsi="Arial" w:cs="Arial"/>
                <w:sz w:val="20"/>
                <w:szCs w:val="20"/>
              </w:rPr>
            </w:pPr>
            <w:r w:rsidRPr="0068632C">
              <w:rPr>
                <w:rFonts w:ascii="Arial" w:eastAsia="Times-Roman" w:hAnsi="Arial" w:cs="Arial"/>
                <w:sz w:val="20"/>
                <w:szCs w:val="20"/>
              </w:rPr>
              <w:t>La CFA está contraindicada durante el embarazo debido a su</w:t>
            </w:r>
            <w:r w:rsidR="00CE511E">
              <w:rPr>
                <w:rFonts w:ascii="Arial" w:eastAsia="Times-Roman" w:hAnsi="Arial" w:cs="Arial"/>
                <w:sz w:val="20"/>
                <w:szCs w:val="20"/>
              </w:rPr>
              <w:t xml:space="preserve"> </w:t>
            </w:r>
            <w:r w:rsidRPr="0068632C">
              <w:rPr>
                <w:rFonts w:ascii="Arial" w:hAnsi="Arial" w:cs="Arial"/>
                <w:sz w:val="20"/>
                <w:szCs w:val="20"/>
              </w:rPr>
              <w:t>embriotoxicidad (genera defectos faciales y del paladar, aplasia/hipoplasia de los dedos de manos y pies, ano imperforado, defectos oculares, microcefalia, hipotonía y pancitopenia). El uso del fármaco en el segundo o tercer trimestres no parece incrementar el riesgo de anormalidades congénitas, aunque su uso está contraindicado.</w:t>
            </w:r>
          </w:p>
          <w:p w14:paraId="2FF14E49" w14:textId="77777777" w:rsidR="000A1D17" w:rsidRPr="0068632C" w:rsidRDefault="000A1D17" w:rsidP="007614D7">
            <w:pPr>
              <w:shd w:val="clear" w:color="auto" w:fill="FFFFFF"/>
              <w:spacing w:before="192" w:after="192"/>
              <w:contextualSpacing/>
              <w:jc w:val="both"/>
              <w:rPr>
                <w:rFonts w:ascii="Arial" w:hAnsi="Arial" w:cs="Arial"/>
                <w:sz w:val="20"/>
                <w:szCs w:val="20"/>
              </w:rPr>
            </w:pPr>
            <w:r w:rsidRPr="0068632C">
              <w:rPr>
                <w:rFonts w:ascii="Arial" w:hAnsi="Arial" w:cs="Arial"/>
                <w:sz w:val="20"/>
                <w:szCs w:val="20"/>
              </w:rPr>
              <w:t xml:space="preserve">En cirugía no hay información suficiente para identificar el riesgo de complicaciones, sin embargo, es razonable considerar que los pacientes que son sometidos a un procedimiento quirúrgico que reciben terapia con este inmunosupresor deberán ser apropiadamente vigilados para evaluar el desarrollo de infecciones que requieran tratamiento oportuno. </w:t>
            </w:r>
            <w:r w:rsidR="009649CF" w:rsidRPr="007F3AC4">
              <w:rPr>
                <w:rFonts w:ascii="Arial" w:hAnsi="Arial" w:cs="Arial"/>
                <w:b/>
                <w:sz w:val="20"/>
                <w:szCs w:val="20"/>
              </w:rPr>
              <w:t>[GR: D]</w:t>
            </w:r>
          </w:p>
        </w:tc>
      </w:tr>
    </w:tbl>
    <w:p w14:paraId="753218D6" w14:textId="77777777" w:rsidR="000A1D17" w:rsidRPr="0068632C" w:rsidRDefault="000A1D17"/>
    <w:p w14:paraId="1DEFBE42" w14:textId="77777777" w:rsidR="000A1D17" w:rsidRPr="0068632C" w:rsidRDefault="000A1D17"/>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12"/>
      </w:tblGrid>
      <w:tr w:rsidR="000A1D17" w:rsidRPr="0068632C" w14:paraId="77DCC795" w14:textId="77777777" w:rsidTr="007614D7">
        <w:tc>
          <w:tcPr>
            <w:tcW w:w="3168" w:type="dxa"/>
            <w:shd w:val="clear" w:color="auto" w:fill="auto"/>
          </w:tcPr>
          <w:p w14:paraId="1162AED7" w14:textId="77777777" w:rsidR="000A1D17" w:rsidRPr="00AA2750" w:rsidRDefault="00D54A7D" w:rsidP="000A1D17">
            <w:pPr>
              <w:pStyle w:val="Prrafodelista1"/>
              <w:numPr>
                <w:ilvl w:val="0"/>
                <w:numId w:val="1"/>
              </w:numPr>
              <w:spacing w:after="0" w:line="240" w:lineRule="auto"/>
              <w:ind w:left="0"/>
              <w:contextualSpacing/>
              <w:jc w:val="both"/>
              <w:rPr>
                <w:rFonts w:ascii="Arial" w:hAnsi="Arial" w:cs="Arial"/>
                <w:b/>
                <w:sz w:val="28"/>
                <w:szCs w:val="28"/>
              </w:rPr>
            </w:pPr>
            <w:r w:rsidRPr="00AA2750">
              <w:rPr>
                <w:rFonts w:ascii="Arial" w:hAnsi="Arial" w:cs="Arial"/>
                <w:b/>
                <w:sz w:val="28"/>
                <w:szCs w:val="28"/>
              </w:rPr>
              <w:t>Azatioprina</w:t>
            </w:r>
          </w:p>
        </w:tc>
        <w:tc>
          <w:tcPr>
            <w:tcW w:w="6012" w:type="dxa"/>
            <w:shd w:val="clear" w:color="auto" w:fill="auto"/>
          </w:tcPr>
          <w:p w14:paraId="11DA1ED0" w14:textId="77777777" w:rsidR="000A1D17" w:rsidRPr="008B6BCD" w:rsidRDefault="000A1D17" w:rsidP="008B6BCD">
            <w:pPr>
              <w:contextualSpacing/>
              <w:jc w:val="both"/>
              <w:rPr>
                <w:rFonts w:ascii="Arial" w:hAnsi="Arial" w:cs="Arial"/>
                <w:sz w:val="20"/>
                <w:szCs w:val="20"/>
              </w:rPr>
            </w:pPr>
            <w:r w:rsidRPr="0068632C">
              <w:rPr>
                <w:rFonts w:ascii="Arial" w:eastAsia="Times-Roman" w:hAnsi="Arial" w:cs="Arial"/>
                <w:sz w:val="20"/>
                <w:szCs w:val="20"/>
              </w:rPr>
              <w:t>Agente inmunosupresor, análogo de las purinas, es un antimetabolito cíclico específico que es efectivo a través de su metabolito 6-mercaptopurina</w:t>
            </w:r>
            <w:r w:rsidRPr="0068632C">
              <w:rPr>
                <w:rFonts w:ascii="Arial" w:hAnsi="Arial" w:cs="Arial"/>
                <w:sz w:val="20"/>
                <w:szCs w:val="20"/>
              </w:rPr>
              <w:t>.</w:t>
            </w:r>
            <w:r w:rsidR="008B6BCD">
              <w:rPr>
                <w:rFonts w:ascii="Arial" w:hAnsi="Arial" w:cs="Arial"/>
                <w:color w:val="FF0000"/>
                <w:sz w:val="20"/>
                <w:szCs w:val="20"/>
                <w:vertAlign w:val="superscript"/>
              </w:rPr>
              <w:t>26</w:t>
            </w:r>
          </w:p>
        </w:tc>
      </w:tr>
      <w:tr w:rsidR="000A1D17" w:rsidRPr="0068632C" w14:paraId="6AEDC544" w14:textId="77777777" w:rsidTr="007614D7">
        <w:tc>
          <w:tcPr>
            <w:tcW w:w="3168" w:type="dxa"/>
            <w:shd w:val="clear" w:color="auto" w:fill="auto"/>
          </w:tcPr>
          <w:p w14:paraId="6BE19DE8" w14:textId="77777777" w:rsidR="000A1D17" w:rsidRPr="0068632C" w:rsidRDefault="000A1D17" w:rsidP="000A1D17">
            <w:pPr>
              <w:numPr>
                <w:ilvl w:val="0"/>
                <w:numId w:val="1"/>
              </w:numPr>
              <w:ind w:left="0"/>
              <w:contextualSpacing/>
              <w:jc w:val="both"/>
              <w:rPr>
                <w:rFonts w:ascii="Arial" w:hAnsi="Arial" w:cs="Arial"/>
                <w:sz w:val="20"/>
                <w:szCs w:val="20"/>
              </w:rPr>
            </w:pPr>
            <w:r w:rsidRPr="0068632C">
              <w:rPr>
                <w:rFonts w:ascii="Arial" w:hAnsi="Arial" w:cs="Arial"/>
                <w:sz w:val="20"/>
                <w:szCs w:val="20"/>
              </w:rPr>
              <w:t>¿En qué línea de tratamiento está indicado?</w:t>
            </w:r>
          </w:p>
          <w:p w14:paraId="4973B402" w14:textId="77777777" w:rsidR="000A1D17" w:rsidRPr="0068632C" w:rsidRDefault="000A1D17" w:rsidP="007614D7">
            <w:pPr>
              <w:jc w:val="both"/>
              <w:rPr>
                <w:rFonts w:ascii="Arial" w:eastAsia="Times-Roman" w:hAnsi="Arial" w:cs="Arial"/>
                <w:sz w:val="20"/>
                <w:szCs w:val="20"/>
              </w:rPr>
            </w:pPr>
          </w:p>
        </w:tc>
        <w:tc>
          <w:tcPr>
            <w:tcW w:w="6012" w:type="dxa"/>
            <w:shd w:val="clear" w:color="auto" w:fill="auto"/>
          </w:tcPr>
          <w:p w14:paraId="76CD8BC3" w14:textId="77777777" w:rsidR="000A1D17" w:rsidRDefault="000A1D17" w:rsidP="007614D7">
            <w:pPr>
              <w:contextualSpacing/>
              <w:jc w:val="both"/>
              <w:rPr>
                <w:rFonts w:ascii="Arial" w:hAnsi="Arial" w:cs="Arial"/>
                <w:color w:val="FF0000"/>
                <w:sz w:val="20"/>
                <w:szCs w:val="20"/>
                <w:vertAlign w:val="superscript"/>
              </w:rPr>
            </w:pPr>
            <w:r w:rsidRPr="0068632C">
              <w:rPr>
                <w:rFonts w:ascii="Arial" w:eastAsia="Times-Roman" w:hAnsi="Arial" w:cs="Arial"/>
                <w:sz w:val="20"/>
                <w:szCs w:val="20"/>
              </w:rPr>
              <w:t>Se considera de segunda línea de tratamiento ya que no se recomienda su uso como tratamiento inicial para control de actividad articular. Tiene una eficacia superior a placebo en reducir el número de articulaciones dolorosas.</w:t>
            </w:r>
            <w:r w:rsidR="008B6BCD">
              <w:rPr>
                <w:rFonts w:ascii="Arial" w:hAnsi="Arial" w:cs="Arial"/>
                <w:b/>
                <w:sz w:val="20"/>
                <w:szCs w:val="20"/>
              </w:rPr>
              <w:t xml:space="preserve"> [N</w:t>
            </w:r>
            <w:r w:rsidR="008B6BCD" w:rsidRPr="001A5BEB">
              <w:rPr>
                <w:rFonts w:ascii="Arial" w:hAnsi="Arial" w:cs="Arial"/>
                <w:b/>
                <w:sz w:val="20"/>
                <w:szCs w:val="20"/>
              </w:rPr>
              <w:t xml:space="preserve">E: </w:t>
            </w:r>
            <w:r w:rsidR="008B6BCD">
              <w:rPr>
                <w:rFonts w:ascii="Arial" w:hAnsi="Arial" w:cs="Arial"/>
                <w:b/>
                <w:sz w:val="20"/>
                <w:szCs w:val="20"/>
              </w:rPr>
              <w:t>2++</w:t>
            </w:r>
            <w:r w:rsidR="008B6BCD" w:rsidRPr="001A5BEB">
              <w:rPr>
                <w:rFonts w:ascii="Arial" w:hAnsi="Arial" w:cs="Arial"/>
                <w:b/>
                <w:sz w:val="20"/>
                <w:szCs w:val="20"/>
              </w:rPr>
              <w:t xml:space="preserve">, GR: </w:t>
            </w:r>
            <w:r w:rsidR="008B6BCD">
              <w:rPr>
                <w:rFonts w:ascii="Arial" w:hAnsi="Arial" w:cs="Arial"/>
                <w:b/>
                <w:sz w:val="20"/>
                <w:szCs w:val="20"/>
              </w:rPr>
              <w:t>B</w:t>
            </w:r>
            <w:r w:rsidR="008B6BCD" w:rsidRPr="001A5BEB">
              <w:rPr>
                <w:rFonts w:ascii="Arial" w:hAnsi="Arial" w:cs="Arial"/>
                <w:b/>
                <w:sz w:val="20"/>
                <w:szCs w:val="20"/>
              </w:rPr>
              <w:t>]</w:t>
            </w:r>
            <w:r w:rsidR="008B6BCD">
              <w:rPr>
                <w:rFonts w:ascii="Arial" w:hAnsi="Arial" w:cs="Arial"/>
                <w:color w:val="FF0000"/>
                <w:sz w:val="20"/>
                <w:szCs w:val="20"/>
                <w:vertAlign w:val="superscript"/>
              </w:rPr>
              <w:t>26</w:t>
            </w:r>
          </w:p>
          <w:p w14:paraId="4677AC47" w14:textId="77777777" w:rsidR="000A1D17" w:rsidRPr="0068632C" w:rsidRDefault="007F3AC4" w:rsidP="007614D7">
            <w:pPr>
              <w:contextualSpacing/>
              <w:jc w:val="both"/>
              <w:rPr>
                <w:rFonts w:ascii="Arial" w:eastAsia="Times-Roman" w:hAnsi="Arial" w:cs="Arial"/>
                <w:sz w:val="20"/>
                <w:szCs w:val="20"/>
              </w:rPr>
            </w:pPr>
            <w:r>
              <w:rPr>
                <w:rFonts w:ascii="Arial" w:eastAsia="Times-Roman" w:hAnsi="Arial" w:cs="Arial"/>
                <w:sz w:val="20"/>
                <w:szCs w:val="20"/>
              </w:rPr>
              <w:t>E</w:t>
            </w:r>
            <w:r w:rsidR="000A1D17" w:rsidRPr="0068632C">
              <w:rPr>
                <w:rFonts w:ascii="Arial" w:eastAsia="Times-Roman" w:hAnsi="Arial" w:cs="Arial"/>
                <w:sz w:val="20"/>
                <w:szCs w:val="20"/>
              </w:rPr>
              <w:t xml:space="preserve">l grupo de trabajo sugiere que este FARME puede ser recomendado en casos específicos como en pacientes con </w:t>
            </w:r>
            <w:r w:rsidR="000A1D17" w:rsidRPr="0068632C">
              <w:rPr>
                <w:rFonts w:ascii="Arial" w:eastAsia="Times-Roman" w:hAnsi="Arial" w:cs="Arial"/>
                <w:sz w:val="20"/>
                <w:szCs w:val="20"/>
              </w:rPr>
              <w:lastRenderedPageBreak/>
              <w:t>contraindicación a MTX, falla a MTX o a otro FARME, especialmente en pacientes con manifestaciones extraarticulares graves. No hay evidencia de que previene progresión de la enfermed</w:t>
            </w:r>
            <w:r>
              <w:rPr>
                <w:rFonts w:ascii="Arial" w:eastAsia="Times-Roman" w:hAnsi="Arial" w:cs="Arial"/>
                <w:sz w:val="20"/>
                <w:szCs w:val="20"/>
              </w:rPr>
              <w:t>ad por hallazgos radiográficos.</w:t>
            </w:r>
            <w:r w:rsidRPr="007F3AC4">
              <w:rPr>
                <w:rFonts w:ascii="Arial" w:hAnsi="Arial" w:cs="Arial"/>
                <w:b/>
                <w:sz w:val="20"/>
                <w:szCs w:val="20"/>
              </w:rPr>
              <w:t>[GR: D]</w:t>
            </w:r>
          </w:p>
          <w:p w14:paraId="7819041E" w14:textId="77777777" w:rsidR="000A1D17" w:rsidRPr="0068632C" w:rsidRDefault="000A1D17" w:rsidP="007614D7">
            <w:pPr>
              <w:contextualSpacing/>
              <w:jc w:val="both"/>
              <w:rPr>
                <w:rFonts w:ascii="Arial" w:eastAsia="Times-Roman" w:hAnsi="Arial" w:cs="Arial"/>
                <w:sz w:val="20"/>
                <w:szCs w:val="20"/>
              </w:rPr>
            </w:pPr>
          </w:p>
          <w:p w14:paraId="72BFFB6A" w14:textId="77777777" w:rsidR="000A1D17" w:rsidRPr="0068632C" w:rsidRDefault="000A1D17" w:rsidP="007614D7">
            <w:pPr>
              <w:contextualSpacing/>
              <w:jc w:val="both"/>
              <w:rPr>
                <w:rFonts w:ascii="Arial" w:hAnsi="Arial" w:cs="Arial"/>
                <w:sz w:val="20"/>
                <w:szCs w:val="20"/>
                <w:lang w:val="es-MX"/>
              </w:rPr>
            </w:pPr>
            <w:r w:rsidRPr="0068632C">
              <w:rPr>
                <w:rFonts w:ascii="Arial" w:hAnsi="Arial" w:cs="Arial"/>
                <w:sz w:val="20"/>
                <w:szCs w:val="20"/>
              </w:rPr>
              <w:t xml:space="preserve">No existen estudios que indiquen retarda la progresión radiológica o mejora el estado funcional a largo plazo. </w:t>
            </w:r>
          </w:p>
          <w:p w14:paraId="4A1D0FE9" w14:textId="77777777" w:rsidR="000A1D17" w:rsidRPr="0068632C" w:rsidRDefault="000A1D17" w:rsidP="007614D7">
            <w:pPr>
              <w:contextualSpacing/>
              <w:jc w:val="both"/>
              <w:rPr>
                <w:rFonts w:ascii="Arial" w:eastAsia="Times-Roman" w:hAnsi="Arial" w:cs="Arial"/>
                <w:sz w:val="20"/>
                <w:szCs w:val="20"/>
                <w:lang w:val="es-MX"/>
              </w:rPr>
            </w:pPr>
          </w:p>
          <w:p w14:paraId="57F847F7" w14:textId="77777777" w:rsidR="000A1D17" w:rsidRPr="00076C71" w:rsidRDefault="000A1D17" w:rsidP="00076C71">
            <w:pPr>
              <w:contextualSpacing/>
              <w:jc w:val="both"/>
              <w:rPr>
                <w:rFonts w:ascii="Arial" w:hAnsi="Arial" w:cs="Arial"/>
                <w:color w:val="FF0000"/>
                <w:sz w:val="20"/>
                <w:szCs w:val="20"/>
                <w:vertAlign w:val="superscript"/>
              </w:rPr>
            </w:pPr>
            <w:r w:rsidRPr="0068632C">
              <w:rPr>
                <w:rFonts w:ascii="Arial" w:eastAsia="Times-Roman" w:hAnsi="Arial" w:cs="Arial"/>
                <w:sz w:val="20"/>
                <w:szCs w:val="20"/>
              </w:rPr>
              <w:t xml:space="preserve">Es una posible opción terapéutica durante el embarazo en pacientes con AR activa. </w:t>
            </w:r>
            <w:r w:rsidR="00076C71">
              <w:rPr>
                <w:rFonts w:ascii="Arial" w:hAnsi="Arial" w:cs="Arial"/>
                <w:b/>
                <w:sz w:val="20"/>
                <w:szCs w:val="20"/>
              </w:rPr>
              <w:t>[N</w:t>
            </w:r>
            <w:r w:rsidR="00076C71" w:rsidRPr="001A5BEB">
              <w:rPr>
                <w:rFonts w:ascii="Arial" w:hAnsi="Arial" w:cs="Arial"/>
                <w:b/>
                <w:sz w:val="20"/>
                <w:szCs w:val="20"/>
              </w:rPr>
              <w:t xml:space="preserve">E: </w:t>
            </w:r>
            <w:r w:rsidR="00076C71">
              <w:rPr>
                <w:rFonts w:ascii="Arial" w:hAnsi="Arial" w:cs="Arial"/>
                <w:b/>
                <w:sz w:val="20"/>
                <w:szCs w:val="20"/>
              </w:rPr>
              <w:t>3</w:t>
            </w:r>
            <w:r w:rsidR="00076C71" w:rsidRPr="001A5BEB">
              <w:rPr>
                <w:rFonts w:ascii="Arial" w:hAnsi="Arial" w:cs="Arial"/>
                <w:b/>
                <w:sz w:val="20"/>
                <w:szCs w:val="20"/>
              </w:rPr>
              <w:t xml:space="preserve">, GR: </w:t>
            </w:r>
            <w:r w:rsidR="00076C71">
              <w:rPr>
                <w:rFonts w:ascii="Arial" w:hAnsi="Arial" w:cs="Arial"/>
                <w:b/>
                <w:sz w:val="20"/>
                <w:szCs w:val="20"/>
              </w:rPr>
              <w:t>D</w:t>
            </w:r>
            <w:r w:rsidR="00076C71" w:rsidRPr="001A5BEB">
              <w:rPr>
                <w:rFonts w:ascii="Arial" w:hAnsi="Arial" w:cs="Arial"/>
                <w:b/>
                <w:sz w:val="20"/>
                <w:szCs w:val="20"/>
              </w:rPr>
              <w:t>]</w:t>
            </w:r>
            <w:r w:rsidR="00076C71">
              <w:rPr>
                <w:rFonts w:ascii="Arial" w:hAnsi="Arial" w:cs="Arial"/>
                <w:color w:val="FF0000"/>
                <w:sz w:val="20"/>
                <w:szCs w:val="20"/>
                <w:vertAlign w:val="superscript"/>
              </w:rPr>
              <w:t>27</w:t>
            </w:r>
          </w:p>
        </w:tc>
      </w:tr>
      <w:tr w:rsidR="000A1D17" w:rsidRPr="0068632C" w14:paraId="500873FB" w14:textId="77777777" w:rsidTr="007614D7">
        <w:tc>
          <w:tcPr>
            <w:tcW w:w="3168" w:type="dxa"/>
            <w:shd w:val="clear" w:color="auto" w:fill="auto"/>
          </w:tcPr>
          <w:p w14:paraId="3EB5A92E" w14:textId="77777777" w:rsidR="000A1D17" w:rsidRPr="0068632C" w:rsidRDefault="000A1D17" w:rsidP="007614D7">
            <w:pPr>
              <w:contextualSpacing/>
              <w:jc w:val="both"/>
              <w:rPr>
                <w:rFonts w:ascii="Arial" w:eastAsia="Times-Roman" w:hAnsi="Arial" w:cs="Arial"/>
                <w:sz w:val="20"/>
                <w:szCs w:val="20"/>
              </w:rPr>
            </w:pPr>
            <w:r w:rsidRPr="0068632C">
              <w:rPr>
                <w:rFonts w:ascii="Arial" w:hAnsi="Arial" w:cs="Arial"/>
                <w:sz w:val="20"/>
                <w:szCs w:val="20"/>
              </w:rPr>
              <w:lastRenderedPageBreak/>
              <w:t>Estudios que se requieren antes del tratamiento y durante el seguimiento</w:t>
            </w:r>
          </w:p>
        </w:tc>
        <w:tc>
          <w:tcPr>
            <w:tcW w:w="6012" w:type="dxa"/>
            <w:shd w:val="clear" w:color="auto" w:fill="auto"/>
          </w:tcPr>
          <w:p w14:paraId="5A281DB4" w14:textId="77777777" w:rsidR="000A1D17" w:rsidRPr="0068632C" w:rsidRDefault="005C5AB8" w:rsidP="005C5AB8">
            <w:pPr>
              <w:contextualSpacing/>
              <w:jc w:val="both"/>
              <w:rPr>
                <w:rFonts w:ascii="Arial" w:eastAsia="Times-Roman" w:hAnsi="Arial" w:cs="Arial"/>
                <w:sz w:val="20"/>
                <w:szCs w:val="20"/>
              </w:rPr>
            </w:pPr>
            <w:r>
              <w:rPr>
                <w:rFonts w:ascii="Arial" w:eastAsia="Times-Roman" w:hAnsi="Arial" w:cs="Arial"/>
                <w:sz w:val="20"/>
                <w:szCs w:val="20"/>
              </w:rPr>
              <w:t>BH</w:t>
            </w:r>
            <w:r w:rsidR="000A1D17" w:rsidRPr="0068632C">
              <w:rPr>
                <w:rFonts w:ascii="Arial" w:eastAsia="Times-Roman" w:hAnsi="Arial" w:cs="Arial"/>
                <w:sz w:val="20"/>
                <w:szCs w:val="20"/>
              </w:rPr>
              <w:t xml:space="preserve"> completa, transaminasas, creatinina sérica (la </w:t>
            </w:r>
            <w:r>
              <w:rPr>
                <w:rFonts w:ascii="Arial" w:eastAsia="Times-Roman" w:hAnsi="Arial" w:cs="Arial"/>
                <w:sz w:val="20"/>
                <w:szCs w:val="20"/>
              </w:rPr>
              <w:t>BH</w:t>
            </w:r>
            <w:r w:rsidR="000A1D17" w:rsidRPr="0068632C">
              <w:rPr>
                <w:rFonts w:ascii="Arial" w:eastAsia="Times-Roman" w:hAnsi="Arial" w:cs="Arial"/>
                <w:sz w:val="20"/>
                <w:szCs w:val="20"/>
              </w:rPr>
              <w:t xml:space="preserve"> y las transaminasas deben ser evaluadas al completar el primer mes de tratamiento).  </w:t>
            </w:r>
          </w:p>
        </w:tc>
      </w:tr>
      <w:tr w:rsidR="000A1D17" w:rsidRPr="0068632C" w14:paraId="471C58C0" w14:textId="77777777" w:rsidTr="007614D7">
        <w:tc>
          <w:tcPr>
            <w:tcW w:w="3168" w:type="dxa"/>
            <w:shd w:val="clear" w:color="auto" w:fill="auto"/>
          </w:tcPr>
          <w:p w14:paraId="6F564C1B" w14:textId="77777777" w:rsidR="000A1D17" w:rsidRPr="0068632C" w:rsidRDefault="000A1D17" w:rsidP="007614D7">
            <w:pPr>
              <w:contextualSpacing/>
              <w:jc w:val="both"/>
              <w:rPr>
                <w:rFonts w:ascii="Arial" w:eastAsia="Times-Roman" w:hAnsi="Arial" w:cs="Arial"/>
                <w:sz w:val="20"/>
                <w:szCs w:val="20"/>
              </w:rPr>
            </w:pPr>
            <w:r w:rsidRPr="0068632C">
              <w:rPr>
                <w:rFonts w:ascii="Arial" w:hAnsi="Arial" w:cs="Arial"/>
                <w:sz w:val="20"/>
                <w:szCs w:val="20"/>
              </w:rPr>
              <w:t>Monoterapia o en combinaciones (¿cuál es la mejor combinación y secuencia?)</w:t>
            </w:r>
          </w:p>
        </w:tc>
        <w:tc>
          <w:tcPr>
            <w:tcW w:w="6012" w:type="dxa"/>
            <w:shd w:val="clear" w:color="auto" w:fill="auto"/>
          </w:tcPr>
          <w:p w14:paraId="5CB2A589"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Puede ser usada como mono o terapia combinada con otros FARME. </w:t>
            </w:r>
            <w:r w:rsidR="00076C71">
              <w:rPr>
                <w:rFonts w:ascii="Arial" w:hAnsi="Arial" w:cs="Arial"/>
                <w:b/>
                <w:sz w:val="20"/>
                <w:szCs w:val="20"/>
              </w:rPr>
              <w:t>[N</w:t>
            </w:r>
            <w:r w:rsidR="00076C71" w:rsidRPr="001A5BEB">
              <w:rPr>
                <w:rFonts w:ascii="Arial" w:hAnsi="Arial" w:cs="Arial"/>
                <w:b/>
                <w:sz w:val="20"/>
                <w:szCs w:val="20"/>
              </w:rPr>
              <w:t xml:space="preserve">E: </w:t>
            </w:r>
            <w:r w:rsidR="00076C71">
              <w:rPr>
                <w:rFonts w:ascii="Arial" w:hAnsi="Arial" w:cs="Arial"/>
                <w:b/>
                <w:sz w:val="20"/>
                <w:szCs w:val="20"/>
              </w:rPr>
              <w:t>I</w:t>
            </w:r>
            <w:r w:rsidR="00076C71" w:rsidRPr="001A5BEB">
              <w:rPr>
                <w:rFonts w:ascii="Arial" w:hAnsi="Arial" w:cs="Arial"/>
                <w:b/>
                <w:sz w:val="20"/>
                <w:szCs w:val="20"/>
              </w:rPr>
              <w:t xml:space="preserve">, GR: </w:t>
            </w:r>
            <w:r w:rsidR="00076C71">
              <w:rPr>
                <w:rFonts w:ascii="Arial" w:hAnsi="Arial" w:cs="Arial"/>
                <w:b/>
                <w:sz w:val="20"/>
                <w:szCs w:val="20"/>
              </w:rPr>
              <w:t>A</w:t>
            </w:r>
            <w:r w:rsidR="00076C71" w:rsidRPr="001A5BEB">
              <w:rPr>
                <w:rFonts w:ascii="Arial" w:hAnsi="Arial" w:cs="Arial"/>
                <w:b/>
                <w:sz w:val="20"/>
                <w:szCs w:val="20"/>
              </w:rPr>
              <w:t>]</w:t>
            </w:r>
            <w:r w:rsidR="00076C71">
              <w:rPr>
                <w:rFonts w:ascii="Arial" w:hAnsi="Arial" w:cs="Arial"/>
                <w:color w:val="FF0000"/>
                <w:sz w:val="20"/>
                <w:szCs w:val="20"/>
                <w:vertAlign w:val="superscript"/>
              </w:rPr>
              <w:t>13</w:t>
            </w:r>
          </w:p>
          <w:p w14:paraId="4C85712E" w14:textId="77777777" w:rsidR="000A1D17" w:rsidRPr="0068632C" w:rsidRDefault="000A1D17" w:rsidP="007614D7">
            <w:pPr>
              <w:contextualSpacing/>
              <w:jc w:val="both"/>
              <w:rPr>
                <w:rFonts w:ascii="Arial" w:hAnsi="Arial" w:cs="Arial"/>
                <w:sz w:val="20"/>
                <w:szCs w:val="20"/>
              </w:rPr>
            </w:pPr>
          </w:p>
          <w:p w14:paraId="3653C794" w14:textId="77777777" w:rsidR="000A1D17" w:rsidRPr="0068632C" w:rsidRDefault="000A1D17" w:rsidP="00076C71">
            <w:pPr>
              <w:contextualSpacing/>
              <w:jc w:val="both"/>
              <w:rPr>
                <w:rFonts w:ascii="Arial" w:eastAsia="Times-Roman" w:hAnsi="Arial" w:cs="Arial"/>
                <w:sz w:val="20"/>
                <w:szCs w:val="20"/>
              </w:rPr>
            </w:pPr>
            <w:r w:rsidRPr="0068632C">
              <w:rPr>
                <w:rFonts w:ascii="Arial" w:eastAsia="Times-Roman" w:hAnsi="Arial" w:cs="Arial"/>
                <w:sz w:val="20"/>
                <w:szCs w:val="20"/>
              </w:rPr>
              <w:t>Se ha utilizado en terapias combinadas. Las combinaciones usadas reportadas incluyen AZA + MTX,</w:t>
            </w:r>
            <w:r w:rsidR="00076C71">
              <w:rPr>
                <w:rFonts w:ascii="Arial" w:eastAsia="Times-Roman" w:hAnsi="Arial" w:cs="Arial"/>
                <w:sz w:val="20"/>
                <w:szCs w:val="20"/>
              </w:rPr>
              <w:t xml:space="preserve"> </w:t>
            </w:r>
            <w:r w:rsidRPr="0068632C">
              <w:rPr>
                <w:rFonts w:ascii="Arial" w:eastAsia="Times-Roman" w:hAnsi="Arial" w:cs="Arial"/>
                <w:sz w:val="20"/>
                <w:szCs w:val="20"/>
              </w:rPr>
              <w:t>o AZA + HCQ + MTX.</w:t>
            </w:r>
            <w:r w:rsidR="00076C71">
              <w:rPr>
                <w:rFonts w:ascii="Arial" w:eastAsia="Times-Roman" w:hAnsi="Arial" w:cs="Arial"/>
                <w:color w:val="FF0000"/>
                <w:sz w:val="20"/>
                <w:szCs w:val="20"/>
                <w:vertAlign w:val="superscript"/>
              </w:rPr>
              <w:t>13</w:t>
            </w:r>
          </w:p>
        </w:tc>
      </w:tr>
      <w:tr w:rsidR="000A1D17" w:rsidRPr="0068632C" w14:paraId="4276A141" w14:textId="77777777" w:rsidTr="007614D7">
        <w:tc>
          <w:tcPr>
            <w:tcW w:w="3168" w:type="dxa"/>
            <w:shd w:val="clear" w:color="auto" w:fill="auto"/>
          </w:tcPr>
          <w:p w14:paraId="25858B61" w14:textId="77777777" w:rsidR="000A1D17" w:rsidRPr="0068632C" w:rsidRDefault="000A1D17" w:rsidP="007614D7">
            <w:pPr>
              <w:contextualSpacing/>
              <w:jc w:val="both"/>
              <w:rPr>
                <w:rFonts w:ascii="Arial" w:eastAsia="Times-Roman" w:hAnsi="Arial" w:cs="Arial"/>
                <w:sz w:val="20"/>
                <w:szCs w:val="20"/>
              </w:rPr>
            </w:pPr>
            <w:r w:rsidRPr="0068632C">
              <w:rPr>
                <w:rFonts w:ascii="Arial" w:hAnsi="Arial" w:cs="Arial"/>
                <w:sz w:val="20"/>
                <w:szCs w:val="20"/>
              </w:rPr>
              <w:t>Tiempo para definir ajuste de dosis  y retiro de medicamento</w:t>
            </w:r>
          </w:p>
        </w:tc>
        <w:tc>
          <w:tcPr>
            <w:tcW w:w="6012" w:type="dxa"/>
            <w:shd w:val="clear" w:color="auto" w:fill="auto"/>
          </w:tcPr>
          <w:p w14:paraId="0F40C29C" w14:textId="77777777" w:rsidR="000A1D17" w:rsidRPr="0068632C" w:rsidRDefault="000A1D17" w:rsidP="00076C71">
            <w:pPr>
              <w:contextualSpacing/>
              <w:jc w:val="both"/>
              <w:rPr>
                <w:rFonts w:ascii="Arial" w:eastAsia="Times-Roman" w:hAnsi="Arial" w:cs="Arial"/>
                <w:sz w:val="20"/>
                <w:szCs w:val="20"/>
              </w:rPr>
            </w:pPr>
            <w:r w:rsidRPr="0068632C">
              <w:rPr>
                <w:rFonts w:ascii="Arial" w:hAnsi="Arial" w:cs="Arial"/>
                <w:sz w:val="20"/>
                <w:szCs w:val="20"/>
              </w:rPr>
              <w:t>La dosis inicial es de 1 mg/kg o de 50 a 100 mg por día (administrada en una sola dosis o dividida en dos). La dosis se puede incrementar a las 6 a 8 semanas a 1.5 mg/kg/día en periodos de cuatro semanas, sólo en caso de no existir toxicidad y si la respuesta es insatisfactoria. Los incrementos de dosis deben ser 0.5 mg/kg/día, hasta una dosis máxima de 2.5 mg/kg/día.</w:t>
            </w:r>
            <w:r w:rsidR="00472204">
              <w:rPr>
                <w:rFonts w:ascii="Arial" w:hAnsi="Arial" w:cs="Arial"/>
                <w:color w:val="FF0000"/>
                <w:sz w:val="20"/>
                <w:szCs w:val="20"/>
                <w:vertAlign w:val="superscript"/>
              </w:rPr>
              <w:t>2</w:t>
            </w:r>
            <w:r w:rsidR="00076C71">
              <w:rPr>
                <w:rFonts w:ascii="Arial" w:hAnsi="Arial" w:cs="Arial"/>
                <w:color w:val="FF0000"/>
                <w:sz w:val="20"/>
                <w:szCs w:val="20"/>
                <w:vertAlign w:val="superscript"/>
              </w:rPr>
              <w:t>5</w:t>
            </w:r>
            <w:r w:rsidRPr="0068632C">
              <w:rPr>
                <w:rFonts w:ascii="Arial" w:hAnsi="Arial" w:cs="Arial"/>
                <w:sz w:val="20"/>
                <w:szCs w:val="20"/>
              </w:rPr>
              <w:t xml:space="preserve"> La respuesta terapéutica aparece de 6 a 8 semanas; tiene un inicio de acción lenta, alcanzando el pico máximo alrededor de 4 a 6 meses del inicio de tratamiento.</w:t>
            </w:r>
            <w:r w:rsidR="00472204">
              <w:rPr>
                <w:rFonts w:ascii="Arial" w:hAnsi="Arial" w:cs="Arial"/>
                <w:color w:val="FF0000"/>
                <w:sz w:val="20"/>
                <w:szCs w:val="20"/>
                <w:vertAlign w:val="superscript"/>
              </w:rPr>
              <w:t>2</w:t>
            </w:r>
            <w:r w:rsidR="00076C71">
              <w:rPr>
                <w:rFonts w:ascii="Arial" w:hAnsi="Arial" w:cs="Arial"/>
                <w:color w:val="FF0000"/>
                <w:sz w:val="20"/>
                <w:szCs w:val="20"/>
                <w:vertAlign w:val="superscript"/>
              </w:rPr>
              <w:t>5</w:t>
            </w:r>
          </w:p>
        </w:tc>
      </w:tr>
      <w:tr w:rsidR="000A1D17" w:rsidRPr="0068632C" w14:paraId="7BE1960B" w14:textId="77777777" w:rsidTr="007614D7">
        <w:tc>
          <w:tcPr>
            <w:tcW w:w="3168" w:type="dxa"/>
            <w:shd w:val="clear" w:color="auto" w:fill="auto"/>
          </w:tcPr>
          <w:p w14:paraId="5C15187F" w14:textId="77777777" w:rsidR="000A1D17" w:rsidRPr="0068632C" w:rsidRDefault="000A1D17" w:rsidP="007614D7">
            <w:pPr>
              <w:contextualSpacing/>
              <w:jc w:val="both"/>
              <w:rPr>
                <w:rFonts w:ascii="Arial" w:eastAsia="Times-Roman" w:hAnsi="Arial" w:cs="Arial"/>
                <w:sz w:val="20"/>
                <w:szCs w:val="20"/>
              </w:rPr>
            </w:pPr>
            <w:r w:rsidRPr="0068632C">
              <w:rPr>
                <w:rFonts w:ascii="Arial" w:hAnsi="Arial" w:cs="Arial"/>
                <w:sz w:val="20"/>
                <w:szCs w:val="20"/>
              </w:rPr>
              <w:t>Dosis mínima y máxima</w:t>
            </w:r>
          </w:p>
        </w:tc>
        <w:tc>
          <w:tcPr>
            <w:tcW w:w="6012" w:type="dxa"/>
            <w:shd w:val="clear" w:color="auto" w:fill="auto"/>
          </w:tcPr>
          <w:p w14:paraId="3059B0D5"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La dosis es de 1 a 3 mg/kg/día VO.</w:t>
            </w:r>
          </w:p>
        </w:tc>
      </w:tr>
      <w:tr w:rsidR="000A1D17" w:rsidRPr="0068632C" w14:paraId="3854F116" w14:textId="77777777" w:rsidTr="007614D7">
        <w:tc>
          <w:tcPr>
            <w:tcW w:w="3168" w:type="dxa"/>
            <w:shd w:val="clear" w:color="auto" w:fill="auto"/>
          </w:tcPr>
          <w:p w14:paraId="18462CD1" w14:textId="77777777" w:rsidR="000A1D17" w:rsidRPr="0068632C" w:rsidRDefault="000A1D17" w:rsidP="000A1D17">
            <w:pPr>
              <w:numPr>
                <w:ilvl w:val="0"/>
                <w:numId w:val="2"/>
              </w:numPr>
              <w:ind w:left="0"/>
              <w:contextualSpacing/>
              <w:jc w:val="both"/>
              <w:rPr>
                <w:rFonts w:ascii="Arial" w:hAnsi="Arial" w:cs="Arial"/>
                <w:sz w:val="20"/>
                <w:szCs w:val="20"/>
              </w:rPr>
            </w:pPr>
            <w:r w:rsidRPr="0068632C">
              <w:rPr>
                <w:rFonts w:ascii="Arial" w:hAnsi="Arial" w:cs="Arial"/>
                <w:sz w:val="20"/>
                <w:szCs w:val="20"/>
              </w:rPr>
              <w:t>Contraindicaciones</w:t>
            </w:r>
          </w:p>
        </w:tc>
        <w:tc>
          <w:tcPr>
            <w:tcW w:w="6012" w:type="dxa"/>
            <w:shd w:val="clear" w:color="auto" w:fill="auto"/>
          </w:tcPr>
          <w:p w14:paraId="57321B7A" w14:textId="77777777" w:rsidR="000A1D17" w:rsidRPr="0068632C" w:rsidRDefault="000A1D17" w:rsidP="007614D7">
            <w:pPr>
              <w:contextualSpacing/>
              <w:jc w:val="both"/>
              <w:rPr>
                <w:rFonts w:ascii="Arial" w:eastAsia="Times-Roman" w:hAnsi="Arial" w:cs="Arial"/>
                <w:sz w:val="20"/>
                <w:szCs w:val="20"/>
              </w:rPr>
            </w:pPr>
            <w:r w:rsidRPr="0068632C">
              <w:rPr>
                <w:rFonts w:ascii="Arial" w:hAnsi="Arial" w:cs="Arial"/>
                <w:sz w:val="20"/>
                <w:szCs w:val="20"/>
              </w:rPr>
              <w:t>La AZA está contraindicada en infecciones por virus de hepatitis B o C, en caso de hepatopatías o elevación de transaminasas, pancreatitis, anemia aplásica, leucopenia, linfoma, infecciones moderadas o graves por bacterias u hongos o en pacientes con deficiencia de tiopurina S-metiltransferasa.</w:t>
            </w:r>
          </w:p>
        </w:tc>
      </w:tr>
      <w:tr w:rsidR="000A1D17" w:rsidRPr="0068632C" w14:paraId="2B4DE4D7" w14:textId="77777777" w:rsidTr="007614D7">
        <w:tc>
          <w:tcPr>
            <w:tcW w:w="3168" w:type="dxa"/>
            <w:shd w:val="clear" w:color="auto" w:fill="auto"/>
          </w:tcPr>
          <w:p w14:paraId="2DB1A3B2" w14:textId="77777777" w:rsidR="000A1D17" w:rsidRPr="0068632C" w:rsidRDefault="000A1D17" w:rsidP="000A1D17">
            <w:pPr>
              <w:numPr>
                <w:ilvl w:val="0"/>
                <w:numId w:val="2"/>
              </w:numPr>
              <w:ind w:left="0"/>
              <w:contextualSpacing/>
              <w:jc w:val="both"/>
              <w:rPr>
                <w:rFonts w:ascii="Arial" w:hAnsi="Arial" w:cs="Arial"/>
                <w:sz w:val="20"/>
                <w:szCs w:val="20"/>
              </w:rPr>
            </w:pPr>
            <w:r w:rsidRPr="0068632C">
              <w:rPr>
                <w:rFonts w:ascii="Arial" w:hAnsi="Arial" w:cs="Arial"/>
                <w:sz w:val="20"/>
                <w:szCs w:val="20"/>
              </w:rPr>
              <w:t>Casos especiales</w:t>
            </w:r>
          </w:p>
        </w:tc>
        <w:tc>
          <w:tcPr>
            <w:tcW w:w="6012" w:type="dxa"/>
            <w:shd w:val="clear" w:color="auto" w:fill="auto"/>
          </w:tcPr>
          <w:p w14:paraId="12E1C12D"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Se puede usar durante el embarazo (se considera fármaco categoría D por la FDA), no afecta la fertilidad, puede ser usada en caso de manifestaciones extraarticulares como vasculitis o neumopatía intersticial o en AR moderada a grave. </w:t>
            </w:r>
          </w:p>
          <w:p w14:paraId="79BCA932"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Se recomienda la suspensión de la AZA en caso de infecciones. </w:t>
            </w:r>
          </w:p>
          <w:p w14:paraId="55B3D8CD"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La cantidad de 6-mercaptopurina encontrada en leche materna es muy baja (&lt; 0.008 mg/kg/día) por lo que se considera un fármaco seguro en el periodo de lactancia.</w:t>
            </w:r>
            <w:r w:rsidR="00076C71">
              <w:rPr>
                <w:rFonts w:ascii="Arial" w:eastAsia="Times-Roman" w:hAnsi="Arial" w:cs="Arial"/>
                <w:color w:val="FF0000"/>
                <w:sz w:val="20"/>
                <w:szCs w:val="20"/>
                <w:vertAlign w:val="superscript"/>
              </w:rPr>
              <w:t>25</w:t>
            </w:r>
          </w:p>
          <w:p w14:paraId="6F911134" w14:textId="77777777" w:rsidR="000A1D17" w:rsidRPr="0068632C" w:rsidRDefault="000A1D17" w:rsidP="00371C42">
            <w:pPr>
              <w:contextualSpacing/>
              <w:jc w:val="both"/>
              <w:rPr>
                <w:rFonts w:ascii="Arial" w:eastAsia="Times-Roman" w:hAnsi="Arial" w:cs="Arial"/>
                <w:sz w:val="20"/>
                <w:szCs w:val="20"/>
              </w:rPr>
            </w:pPr>
            <w:r w:rsidRPr="0068632C">
              <w:rPr>
                <w:rFonts w:ascii="Arial" w:eastAsia="Times-Roman" w:hAnsi="Arial" w:cs="Arial"/>
                <w:sz w:val="20"/>
                <w:szCs w:val="20"/>
              </w:rPr>
              <w:t>Se recomienda suspender la administración de AZA en el periodo posoperatorio de la colocación de prótesis de reemplazo</w:t>
            </w:r>
            <w:r w:rsidR="00CE511E">
              <w:rPr>
                <w:rFonts w:ascii="Arial" w:eastAsia="Times-Roman" w:hAnsi="Arial" w:cs="Arial"/>
                <w:sz w:val="20"/>
                <w:szCs w:val="20"/>
              </w:rPr>
              <w:t xml:space="preserve"> </w:t>
            </w:r>
            <w:r w:rsidRPr="0068632C">
              <w:rPr>
                <w:rFonts w:ascii="Arial" w:eastAsia="Times-Roman" w:hAnsi="Arial" w:cs="Arial"/>
                <w:sz w:val="20"/>
                <w:szCs w:val="20"/>
              </w:rPr>
              <w:t>articular al menos hasta que se normalice la función intestinal y renal de los pacientes.</w:t>
            </w:r>
          </w:p>
        </w:tc>
      </w:tr>
    </w:tbl>
    <w:p w14:paraId="6650C3C6" w14:textId="77777777" w:rsidR="00A7555D" w:rsidRPr="00CE511E" w:rsidRDefault="00A7555D" w:rsidP="00472204">
      <w:pPr>
        <w:spacing w:after="200"/>
        <w:contextualSpacing/>
        <w:jc w:val="both"/>
        <w:rPr>
          <w:rFonts w:ascii="Arial" w:hAnsi="Arial" w:cs="Arial"/>
          <w:sz w:val="20"/>
          <w:szCs w:val="20"/>
          <w:lang w:val="es-MX"/>
        </w:rPr>
      </w:pPr>
    </w:p>
    <w:p w14:paraId="4373818F" w14:textId="77777777" w:rsidR="00A7555D" w:rsidRPr="0068632C" w:rsidRDefault="00A7555D"/>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38"/>
      </w:tblGrid>
      <w:tr w:rsidR="000A1D17" w:rsidRPr="0068632C" w14:paraId="4DA4C701" w14:textId="77777777" w:rsidTr="007614D7">
        <w:tc>
          <w:tcPr>
            <w:tcW w:w="3168" w:type="dxa"/>
            <w:tcBorders>
              <w:top w:val="single" w:sz="4" w:space="0" w:color="auto"/>
              <w:left w:val="single" w:sz="4" w:space="0" w:color="auto"/>
              <w:bottom w:val="single" w:sz="4" w:space="0" w:color="auto"/>
              <w:right w:val="single" w:sz="4" w:space="0" w:color="auto"/>
            </w:tcBorders>
          </w:tcPr>
          <w:p w14:paraId="413E23BD" w14:textId="77777777" w:rsidR="000A1D17" w:rsidRPr="00AA2750" w:rsidRDefault="000A1D17" w:rsidP="00D54A7D">
            <w:pPr>
              <w:pStyle w:val="Prrafodelista1"/>
              <w:numPr>
                <w:ilvl w:val="0"/>
                <w:numId w:val="3"/>
              </w:numPr>
              <w:spacing w:after="0" w:line="240" w:lineRule="auto"/>
              <w:ind w:left="0"/>
              <w:contextualSpacing/>
              <w:jc w:val="both"/>
              <w:rPr>
                <w:rFonts w:ascii="Arial" w:hAnsi="Arial" w:cs="Arial"/>
                <w:b/>
                <w:sz w:val="28"/>
                <w:szCs w:val="28"/>
              </w:rPr>
            </w:pPr>
            <w:r w:rsidRPr="0068632C">
              <w:rPr>
                <w:rFonts w:ascii="Arial" w:eastAsia="Times-Roman" w:hAnsi="Arial" w:cs="Arial"/>
                <w:b/>
                <w:sz w:val="20"/>
                <w:szCs w:val="20"/>
              </w:rPr>
              <w:br w:type="page"/>
            </w:r>
            <w:r w:rsidR="00D54A7D" w:rsidRPr="00AA2750">
              <w:rPr>
                <w:rFonts w:ascii="Arial" w:hAnsi="Arial" w:cs="Arial"/>
                <w:b/>
                <w:sz w:val="28"/>
                <w:szCs w:val="28"/>
              </w:rPr>
              <w:t>Sulfasalazina</w:t>
            </w:r>
          </w:p>
        </w:tc>
        <w:tc>
          <w:tcPr>
            <w:tcW w:w="6438" w:type="dxa"/>
            <w:tcBorders>
              <w:top w:val="single" w:sz="4" w:space="0" w:color="auto"/>
              <w:left w:val="single" w:sz="4" w:space="0" w:color="auto"/>
              <w:bottom w:val="single" w:sz="4" w:space="0" w:color="auto"/>
              <w:right w:val="single" w:sz="4" w:space="0" w:color="auto"/>
            </w:tcBorders>
          </w:tcPr>
          <w:p w14:paraId="07EDECDE" w14:textId="77777777" w:rsidR="000A1D17" w:rsidRPr="0068632C" w:rsidRDefault="000A1D17" w:rsidP="007218F5">
            <w:pPr>
              <w:contextualSpacing/>
              <w:jc w:val="both"/>
              <w:rPr>
                <w:rFonts w:ascii="Arial" w:eastAsia="Times-Roman" w:hAnsi="Arial" w:cs="Arial"/>
                <w:sz w:val="20"/>
                <w:szCs w:val="20"/>
              </w:rPr>
            </w:pPr>
            <w:r w:rsidRPr="0068632C">
              <w:rPr>
                <w:rFonts w:ascii="Arial" w:eastAsia="Times-Roman" w:hAnsi="Arial" w:cs="Arial"/>
                <w:sz w:val="20"/>
                <w:szCs w:val="20"/>
              </w:rPr>
              <w:t>Pertenece al grupo de salicilatos y sulfonamidas, es metabolizada por las bacterias intestinales a sulfapiridina y ácido aminosalicílico. El metabolito sulfapiridina posee efectos inmunomoduladores sobre los linfocitos y neutrófilos, así como propiedades de quimiotaxis, además de la síntesis de prostaglandinas. Tiene vida media de 5 a 10 horas</w:t>
            </w:r>
            <w:r w:rsidR="007218F5">
              <w:rPr>
                <w:rFonts w:ascii="Arial" w:eastAsia="Times-Roman" w:hAnsi="Arial" w:cs="Arial"/>
                <w:sz w:val="20"/>
                <w:szCs w:val="20"/>
              </w:rPr>
              <w:t>; su metabolismo es intestinal.</w:t>
            </w:r>
            <w:r w:rsidR="007218F5">
              <w:rPr>
                <w:rFonts w:ascii="Arial" w:hAnsi="Arial" w:cs="Arial"/>
                <w:color w:val="FF0000"/>
                <w:sz w:val="20"/>
                <w:szCs w:val="20"/>
                <w:vertAlign w:val="superscript"/>
              </w:rPr>
              <w:t>4</w:t>
            </w:r>
          </w:p>
        </w:tc>
      </w:tr>
      <w:tr w:rsidR="000A1D17" w:rsidRPr="0068632C" w14:paraId="3C9CB353" w14:textId="77777777" w:rsidTr="007614D7">
        <w:tc>
          <w:tcPr>
            <w:tcW w:w="3168" w:type="dxa"/>
            <w:tcBorders>
              <w:top w:val="single" w:sz="4" w:space="0" w:color="auto"/>
              <w:left w:val="single" w:sz="4" w:space="0" w:color="auto"/>
              <w:bottom w:val="single" w:sz="4" w:space="0" w:color="auto"/>
              <w:right w:val="single" w:sz="4" w:space="0" w:color="auto"/>
            </w:tcBorders>
          </w:tcPr>
          <w:p w14:paraId="457360B5" w14:textId="77777777" w:rsidR="000A1D17" w:rsidRPr="0068632C" w:rsidRDefault="000A1D17" w:rsidP="007614D7">
            <w:pPr>
              <w:contextualSpacing/>
              <w:jc w:val="both"/>
              <w:rPr>
                <w:rFonts w:ascii="Arial" w:hAnsi="Arial" w:cs="Arial"/>
                <w:sz w:val="20"/>
                <w:szCs w:val="20"/>
              </w:rPr>
            </w:pPr>
            <w:r w:rsidRPr="0068632C">
              <w:rPr>
                <w:rFonts w:ascii="Arial" w:hAnsi="Arial" w:cs="Arial"/>
                <w:sz w:val="20"/>
                <w:szCs w:val="20"/>
              </w:rPr>
              <w:t xml:space="preserve">Línea de tratamiento en la que está indicado </w:t>
            </w:r>
          </w:p>
        </w:tc>
        <w:tc>
          <w:tcPr>
            <w:tcW w:w="6438" w:type="dxa"/>
            <w:tcBorders>
              <w:top w:val="single" w:sz="4" w:space="0" w:color="auto"/>
              <w:left w:val="single" w:sz="4" w:space="0" w:color="auto"/>
              <w:bottom w:val="single" w:sz="4" w:space="0" w:color="auto"/>
              <w:right w:val="single" w:sz="4" w:space="0" w:color="auto"/>
            </w:tcBorders>
          </w:tcPr>
          <w:p w14:paraId="7651D671" w14:textId="77777777" w:rsidR="000A1D17" w:rsidRPr="007218F5" w:rsidRDefault="000A1D17" w:rsidP="007614D7">
            <w:pPr>
              <w:contextualSpacing/>
              <w:jc w:val="both"/>
              <w:rPr>
                <w:rFonts w:ascii="Arial" w:hAnsi="Arial" w:cs="Arial"/>
                <w:bCs/>
                <w:color w:val="FF0000"/>
                <w:sz w:val="20"/>
                <w:szCs w:val="20"/>
                <w:lang w:val="es-MX"/>
              </w:rPr>
            </w:pPr>
            <w:r w:rsidRPr="0068632C">
              <w:rPr>
                <w:rFonts w:ascii="Arial" w:eastAsia="Times-Roman" w:hAnsi="Arial" w:cs="Arial"/>
                <w:sz w:val="20"/>
                <w:szCs w:val="20"/>
              </w:rPr>
              <w:t xml:space="preserve">Cuando se contraindica MTX, puede utilizarse SSZ, y deberá ser considerada en la primera línea de tratamiento. Tiene una eficacia </w:t>
            </w:r>
            <w:r w:rsidRPr="0068632C">
              <w:rPr>
                <w:rFonts w:ascii="Arial" w:eastAsia="Times-Roman" w:hAnsi="Arial" w:cs="Arial"/>
                <w:sz w:val="20"/>
                <w:szCs w:val="20"/>
              </w:rPr>
              <w:lastRenderedPageBreak/>
              <w:t>mayor que placebo y buena tolerabilidad</w:t>
            </w:r>
            <w:r w:rsidRPr="007218F5">
              <w:rPr>
                <w:rFonts w:ascii="Arial" w:eastAsia="Times-Roman" w:hAnsi="Arial" w:cs="Arial"/>
                <w:sz w:val="20"/>
                <w:szCs w:val="20"/>
              </w:rPr>
              <w:t xml:space="preserve">. </w:t>
            </w:r>
            <w:r w:rsidR="007218F5" w:rsidRPr="007218F5">
              <w:rPr>
                <w:rFonts w:ascii="Arial" w:eastAsia="TrebuchetMS" w:hAnsi="Arial" w:cs="Arial"/>
                <w:b/>
                <w:color w:val="000000"/>
                <w:sz w:val="20"/>
                <w:szCs w:val="20"/>
                <w:lang w:val="es-ES"/>
              </w:rPr>
              <w:t>[</w:t>
            </w:r>
            <w:r w:rsidR="007218F5" w:rsidRPr="007218F5">
              <w:rPr>
                <w:rFonts w:ascii="Arial" w:hAnsi="Arial" w:cs="Arial"/>
                <w:b/>
                <w:sz w:val="20"/>
                <w:szCs w:val="20"/>
              </w:rPr>
              <w:t>NE: 1a, GR: A]</w:t>
            </w:r>
            <w:r w:rsidR="007218F5" w:rsidRPr="000D68DB">
              <w:rPr>
                <w:rFonts w:ascii="Arial" w:hAnsi="Arial" w:cs="Arial"/>
                <w:color w:val="FF0000"/>
                <w:sz w:val="10"/>
                <w:szCs w:val="10"/>
                <w:vertAlign w:val="superscript"/>
              </w:rPr>
              <w:t xml:space="preserve"> </w:t>
            </w:r>
            <w:r w:rsidR="007218F5">
              <w:rPr>
                <w:rFonts w:ascii="Arial" w:hAnsi="Arial" w:cs="Arial"/>
                <w:color w:val="FF0000"/>
                <w:sz w:val="20"/>
                <w:szCs w:val="20"/>
                <w:vertAlign w:val="superscript"/>
                <w:lang w:val="es-MX"/>
              </w:rPr>
              <w:t>4</w:t>
            </w:r>
          </w:p>
        </w:tc>
      </w:tr>
      <w:tr w:rsidR="000A1D17" w:rsidRPr="0068632C" w14:paraId="1F770CA8" w14:textId="77777777" w:rsidTr="007614D7">
        <w:tc>
          <w:tcPr>
            <w:tcW w:w="3168" w:type="dxa"/>
            <w:tcBorders>
              <w:top w:val="single" w:sz="4" w:space="0" w:color="auto"/>
              <w:left w:val="single" w:sz="4" w:space="0" w:color="auto"/>
              <w:bottom w:val="single" w:sz="4" w:space="0" w:color="auto"/>
              <w:right w:val="single" w:sz="4" w:space="0" w:color="auto"/>
            </w:tcBorders>
          </w:tcPr>
          <w:p w14:paraId="62983DCF"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lastRenderedPageBreak/>
              <w:t>Estudios que se requieren antes del tratamiento y durante el seguimiento</w:t>
            </w:r>
          </w:p>
        </w:tc>
        <w:tc>
          <w:tcPr>
            <w:tcW w:w="6438" w:type="dxa"/>
            <w:tcBorders>
              <w:top w:val="single" w:sz="4" w:space="0" w:color="auto"/>
              <w:left w:val="single" w:sz="4" w:space="0" w:color="auto"/>
              <w:bottom w:val="single" w:sz="4" w:space="0" w:color="auto"/>
              <w:right w:val="single" w:sz="4" w:space="0" w:color="auto"/>
            </w:tcBorders>
          </w:tcPr>
          <w:p w14:paraId="0588130E"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Antes de usar SSZ deberá de realizarse </w:t>
            </w:r>
            <w:r w:rsidR="005C5AB8">
              <w:rPr>
                <w:rFonts w:ascii="Arial" w:eastAsia="Times-Roman" w:hAnsi="Arial" w:cs="Arial"/>
                <w:sz w:val="20"/>
                <w:szCs w:val="20"/>
              </w:rPr>
              <w:t>BH</w:t>
            </w:r>
            <w:r w:rsidRPr="0068632C">
              <w:rPr>
                <w:rFonts w:ascii="Arial" w:eastAsia="Times-Roman" w:hAnsi="Arial" w:cs="Arial"/>
                <w:sz w:val="20"/>
                <w:szCs w:val="20"/>
              </w:rPr>
              <w:t xml:space="preserve">, </w:t>
            </w:r>
            <w:r w:rsidR="005C5AB8">
              <w:rPr>
                <w:rFonts w:ascii="Arial" w:eastAsia="Times-Roman" w:hAnsi="Arial" w:cs="Arial"/>
                <w:sz w:val="20"/>
                <w:szCs w:val="20"/>
              </w:rPr>
              <w:t>PFH</w:t>
            </w:r>
            <w:r w:rsidRPr="0068632C">
              <w:rPr>
                <w:rFonts w:ascii="Arial" w:eastAsia="Times-Roman" w:hAnsi="Arial" w:cs="Arial"/>
                <w:sz w:val="20"/>
                <w:szCs w:val="20"/>
              </w:rPr>
              <w:t xml:space="preserve"> y </w:t>
            </w:r>
            <w:r w:rsidR="00D2135E">
              <w:rPr>
                <w:rFonts w:ascii="Arial" w:eastAsia="Times-Roman" w:hAnsi="Arial" w:cs="Arial"/>
                <w:sz w:val="20"/>
                <w:szCs w:val="20"/>
              </w:rPr>
              <w:t>EGO</w:t>
            </w:r>
            <w:r w:rsidRPr="0068632C">
              <w:rPr>
                <w:rFonts w:ascii="Arial" w:eastAsia="Times-Roman" w:hAnsi="Arial" w:cs="Arial"/>
                <w:sz w:val="20"/>
                <w:szCs w:val="20"/>
              </w:rPr>
              <w:t xml:space="preserve">, independientes a la determinación de reactantes de fase aguda. </w:t>
            </w:r>
          </w:p>
          <w:p w14:paraId="504FC64B" w14:textId="77777777" w:rsidR="000A1D17" w:rsidRPr="0068632C" w:rsidRDefault="000A1D17" w:rsidP="005C5AB8">
            <w:pPr>
              <w:contextualSpacing/>
              <w:jc w:val="both"/>
              <w:rPr>
                <w:rFonts w:ascii="Arial" w:eastAsia="Times-Roman" w:hAnsi="Arial" w:cs="Arial"/>
                <w:sz w:val="20"/>
                <w:szCs w:val="20"/>
              </w:rPr>
            </w:pPr>
            <w:r w:rsidRPr="0068632C">
              <w:rPr>
                <w:rFonts w:ascii="Arial" w:eastAsia="Times-Roman" w:hAnsi="Arial" w:cs="Arial"/>
                <w:sz w:val="20"/>
                <w:szCs w:val="20"/>
              </w:rPr>
              <w:t xml:space="preserve">En el seguimiento se recomienda </w:t>
            </w:r>
            <w:r w:rsidR="005C5AB8">
              <w:rPr>
                <w:rFonts w:ascii="Arial" w:eastAsia="Times-Roman" w:hAnsi="Arial" w:cs="Arial"/>
                <w:sz w:val="20"/>
                <w:szCs w:val="20"/>
              </w:rPr>
              <w:t>BH</w:t>
            </w:r>
            <w:r w:rsidRPr="0068632C">
              <w:rPr>
                <w:rFonts w:ascii="Arial" w:eastAsia="Times-Roman" w:hAnsi="Arial" w:cs="Arial"/>
                <w:sz w:val="20"/>
                <w:szCs w:val="20"/>
              </w:rPr>
              <w:t xml:space="preserve"> y </w:t>
            </w:r>
            <w:r w:rsidR="005C5AB8">
              <w:rPr>
                <w:rFonts w:ascii="Arial" w:eastAsia="Times-Roman" w:hAnsi="Arial" w:cs="Arial"/>
                <w:sz w:val="20"/>
                <w:szCs w:val="20"/>
              </w:rPr>
              <w:t>PFH</w:t>
            </w:r>
            <w:r w:rsidRPr="0068632C">
              <w:rPr>
                <w:rFonts w:ascii="Arial" w:eastAsia="Times-Roman" w:hAnsi="Arial" w:cs="Arial"/>
                <w:sz w:val="20"/>
                <w:szCs w:val="20"/>
              </w:rPr>
              <w:t xml:space="preserve"> cada cuatro semanas en el primer trimestre de tratamiento y posteriormente cada tres meses. </w:t>
            </w:r>
          </w:p>
        </w:tc>
      </w:tr>
      <w:tr w:rsidR="000A1D17" w:rsidRPr="0068632C" w14:paraId="019437ED" w14:textId="77777777" w:rsidTr="007614D7">
        <w:tc>
          <w:tcPr>
            <w:tcW w:w="3168" w:type="dxa"/>
            <w:tcBorders>
              <w:top w:val="single" w:sz="4" w:space="0" w:color="auto"/>
              <w:left w:val="single" w:sz="4" w:space="0" w:color="auto"/>
              <w:bottom w:val="single" w:sz="4" w:space="0" w:color="auto"/>
              <w:right w:val="single" w:sz="4" w:space="0" w:color="auto"/>
            </w:tcBorders>
          </w:tcPr>
          <w:p w14:paraId="352D419A"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Monoterapia o en combinaciones (¿cuál es la mejor combinación y secuencia?)</w:t>
            </w:r>
          </w:p>
        </w:tc>
        <w:tc>
          <w:tcPr>
            <w:tcW w:w="6438" w:type="dxa"/>
            <w:tcBorders>
              <w:top w:val="single" w:sz="4" w:space="0" w:color="auto"/>
              <w:left w:val="single" w:sz="4" w:space="0" w:color="auto"/>
              <w:bottom w:val="single" w:sz="4" w:space="0" w:color="auto"/>
              <w:right w:val="single" w:sz="4" w:space="0" w:color="auto"/>
            </w:tcBorders>
          </w:tcPr>
          <w:p w14:paraId="243A901B" w14:textId="77777777" w:rsidR="000A1D17" w:rsidRPr="0068632C" w:rsidRDefault="000A1D17" w:rsidP="007614D7">
            <w:pPr>
              <w:contextualSpacing/>
              <w:jc w:val="both"/>
              <w:rPr>
                <w:rFonts w:ascii="Arial" w:eastAsia="Times-Roman" w:hAnsi="Arial" w:cs="Arial"/>
                <w:color w:val="FF0000"/>
                <w:sz w:val="20"/>
                <w:szCs w:val="20"/>
              </w:rPr>
            </w:pPr>
            <w:r w:rsidRPr="0068632C">
              <w:rPr>
                <w:rFonts w:ascii="Arial" w:eastAsia="Times-Roman" w:hAnsi="Arial" w:cs="Arial"/>
                <w:sz w:val="20"/>
                <w:szCs w:val="20"/>
              </w:rPr>
              <w:t xml:space="preserve">Cuando el objetivo es alcanzar la remisión de la enfermedad o reducir su actividad y no se logra con el MTX, el uso combinado de FARME sintéticos es recomendado. </w:t>
            </w:r>
            <w:r w:rsidR="007218F5" w:rsidRPr="007218F5">
              <w:rPr>
                <w:rFonts w:ascii="Arial" w:eastAsia="TrebuchetMS" w:hAnsi="Arial" w:cs="Arial"/>
                <w:b/>
                <w:color w:val="000000"/>
                <w:sz w:val="20"/>
                <w:szCs w:val="20"/>
                <w:lang w:val="es-ES"/>
              </w:rPr>
              <w:t>[</w:t>
            </w:r>
            <w:r w:rsidR="007218F5" w:rsidRPr="007218F5">
              <w:rPr>
                <w:rFonts w:ascii="Arial" w:hAnsi="Arial" w:cs="Arial"/>
                <w:b/>
                <w:sz w:val="20"/>
                <w:szCs w:val="20"/>
              </w:rPr>
              <w:t>NE: 1, GR: A]</w:t>
            </w:r>
            <w:r w:rsidR="007218F5" w:rsidRPr="000D68DB">
              <w:rPr>
                <w:rFonts w:ascii="Arial" w:hAnsi="Arial" w:cs="Arial"/>
                <w:color w:val="FF0000"/>
                <w:sz w:val="10"/>
                <w:szCs w:val="10"/>
                <w:vertAlign w:val="superscript"/>
              </w:rPr>
              <w:t xml:space="preserve"> </w:t>
            </w:r>
            <w:r w:rsidR="007218F5">
              <w:rPr>
                <w:rFonts w:ascii="Arial" w:hAnsi="Arial" w:cs="Arial"/>
                <w:color w:val="FF0000"/>
                <w:sz w:val="20"/>
                <w:szCs w:val="20"/>
                <w:vertAlign w:val="superscript"/>
                <w:lang w:val="es-MX"/>
              </w:rPr>
              <w:t>6</w:t>
            </w:r>
          </w:p>
          <w:p w14:paraId="75B72982" w14:textId="77777777" w:rsidR="000A1D17" w:rsidRPr="0068632C" w:rsidRDefault="000A1D17" w:rsidP="007614D7">
            <w:pPr>
              <w:contextualSpacing/>
              <w:jc w:val="both"/>
              <w:rPr>
                <w:rFonts w:ascii="Arial" w:eastAsia="Times-Roman" w:hAnsi="Arial" w:cs="Arial"/>
                <w:sz w:val="20"/>
                <w:szCs w:val="20"/>
              </w:rPr>
            </w:pPr>
          </w:p>
          <w:p w14:paraId="0EC047EE"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La SSZ puede ser utilizada en la combinación MTX/HCQ/SSZ. Otras combinaciones incluyen LEF+SSZ o SSZ+HCQ.</w:t>
            </w:r>
          </w:p>
        </w:tc>
      </w:tr>
      <w:tr w:rsidR="000A1D17" w:rsidRPr="0068632C" w14:paraId="2F7C3C58" w14:textId="77777777" w:rsidTr="007614D7">
        <w:tc>
          <w:tcPr>
            <w:tcW w:w="3168" w:type="dxa"/>
            <w:tcBorders>
              <w:top w:val="single" w:sz="4" w:space="0" w:color="auto"/>
              <w:left w:val="single" w:sz="4" w:space="0" w:color="auto"/>
              <w:bottom w:val="single" w:sz="4" w:space="0" w:color="auto"/>
              <w:right w:val="single" w:sz="4" w:space="0" w:color="auto"/>
            </w:tcBorders>
          </w:tcPr>
          <w:p w14:paraId="2E3236FF"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Tiempo para definir ajuste de dosis y retiro de medicamento</w:t>
            </w:r>
          </w:p>
        </w:tc>
        <w:tc>
          <w:tcPr>
            <w:tcW w:w="6438" w:type="dxa"/>
            <w:tcBorders>
              <w:top w:val="single" w:sz="4" w:space="0" w:color="auto"/>
              <w:left w:val="single" w:sz="4" w:space="0" w:color="auto"/>
              <w:bottom w:val="single" w:sz="4" w:space="0" w:color="auto"/>
              <w:right w:val="single" w:sz="4" w:space="0" w:color="auto"/>
            </w:tcBorders>
          </w:tcPr>
          <w:p w14:paraId="57749B72" w14:textId="77777777" w:rsidR="000A1D17" w:rsidRPr="0068632C" w:rsidRDefault="000A1D17" w:rsidP="007218F5">
            <w:pPr>
              <w:contextualSpacing/>
              <w:jc w:val="both"/>
              <w:rPr>
                <w:rFonts w:ascii="Arial" w:hAnsi="Arial" w:cs="Arial"/>
                <w:bCs/>
                <w:color w:val="FF0000"/>
                <w:sz w:val="20"/>
                <w:szCs w:val="20"/>
              </w:rPr>
            </w:pPr>
            <w:r w:rsidRPr="0068632C">
              <w:rPr>
                <w:rFonts w:ascii="Arial" w:eastAsia="Times-Roman" w:hAnsi="Arial" w:cs="Arial"/>
                <w:sz w:val="20"/>
                <w:szCs w:val="20"/>
              </w:rPr>
              <w:t xml:space="preserve">Iniciar con dosis de 500 mg a 1g/día VO e ir ascendiendo cada dos semanas hasta alcanzar la </w:t>
            </w:r>
            <w:r w:rsidR="007218F5">
              <w:rPr>
                <w:rFonts w:ascii="Arial" w:eastAsia="Times-Roman" w:hAnsi="Arial" w:cs="Arial"/>
                <w:sz w:val="20"/>
                <w:szCs w:val="20"/>
              </w:rPr>
              <w:t>dosis máxima de 3 g/día por VO.</w:t>
            </w:r>
            <w:r w:rsidR="007218F5">
              <w:rPr>
                <w:rFonts w:ascii="Arial" w:hAnsi="Arial" w:cs="Arial"/>
                <w:color w:val="FF0000"/>
                <w:sz w:val="20"/>
                <w:szCs w:val="20"/>
                <w:vertAlign w:val="superscript"/>
              </w:rPr>
              <w:t>4</w:t>
            </w:r>
          </w:p>
        </w:tc>
      </w:tr>
      <w:tr w:rsidR="000A1D17" w:rsidRPr="0068632C" w14:paraId="649308C0" w14:textId="77777777" w:rsidTr="007614D7">
        <w:tc>
          <w:tcPr>
            <w:tcW w:w="3168" w:type="dxa"/>
            <w:tcBorders>
              <w:top w:val="single" w:sz="4" w:space="0" w:color="auto"/>
              <w:left w:val="single" w:sz="4" w:space="0" w:color="auto"/>
              <w:bottom w:val="single" w:sz="4" w:space="0" w:color="auto"/>
              <w:right w:val="single" w:sz="4" w:space="0" w:color="auto"/>
            </w:tcBorders>
          </w:tcPr>
          <w:p w14:paraId="4C23C88C"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Dosis mínima y máxima</w:t>
            </w:r>
          </w:p>
        </w:tc>
        <w:tc>
          <w:tcPr>
            <w:tcW w:w="6438" w:type="dxa"/>
            <w:tcBorders>
              <w:top w:val="single" w:sz="4" w:space="0" w:color="auto"/>
              <w:left w:val="single" w:sz="4" w:space="0" w:color="auto"/>
              <w:bottom w:val="single" w:sz="4" w:space="0" w:color="auto"/>
              <w:right w:val="single" w:sz="4" w:space="0" w:color="auto"/>
            </w:tcBorders>
          </w:tcPr>
          <w:p w14:paraId="13D16EC4"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Rango dosis de 1 a 3 g/día VO.</w:t>
            </w:r>
          </w:p>
        </w:tc>
      </w:tr>
      <w:tr w:rsidR="000A1D17" w:rsidRPr="0068632C" w14:paraId="7E8AA759" w14:textId="77777777" w:rsidTr="007614D7">
        <w:tc>
          <w:tcPr>
            <w:tcW w:w="3168" w:type="dxa"/>
            <w:tcBorders>
              <w:top w:val="single" w:sz="4" w:space="0" w:color="auto"/>
              <w:left w:val="single" w:sz="4" w:space="0" w:color="auto"/>
              <w:bottom w:val="single" w:sz="4" w:space="0" w:color="auto"/>
              <w:right w:val="single" w:sz="4" w:space="0" w:color="auto"/>
            </w:tcBorders>
          </w:tcPr>
          <w:p w14:paraId="77C3ACC0" w14:textId="77777777" w:rsidR="000A1D17" w:rsidRPr="0068632C" w:rsidRDefault="000A1D17" w:rsidP="000A1D17">
            <w:pPr>
              <w:numPr>
                <w:ilvl w:val="0"/>
                <w:numId w:val="2"/>
              </w:numPr>
              <w:ind w:left="0"/>
              <w:contextualSpacing/>
              <w:jc w:val="both"/>
              <w:rPr>
                <w:rFonts w:ascii="Arial" w:hAnsi="Arial" w:cs="Arial"/>
                <w:sz w:val="20"/>
                <w:szCs w:val="20"/>
              </w:rPr>
            </w:pPr>
            <w:r w:rsidRPr="0068632C">
              <w:rPr>
                <w:rFonts w:ascii="Arial" w:hAnsi="Arial" w:cs="Arial"/>
                <w:sz w:val="20"/>
                <w:szCs w:val="20"/>
              </w:rPr>
              <w:t>Contraindicaciones</w:t>
            </w:r>
          </w:p>
        </w:tc>
        <w:tc>
          <w:tcPr>
            <w:tcW w:w="6438" w:type="dxa"/>
            <w:tcBorders>
              <w:top w:val="single" w:sz="4" w:space="0" w:color="auto"/>
              <w:left w:val="single" w:sz="4" w:space="0" w:color="auto"/>
              <w:bottom w:val="single" w:sz="4" w:space="0" w:color="auto"/>
              <w:right w:val="single" w:sz="4" w:space="0" w:color="auto"/>
            </w:tcBorders>
          </w:tcPr>
          <w:p w14:paraId="28C73D62"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Hipersensibilidad a la formulación o a los metabolitos activos. Deberán evitarse en caso de obstrucción intestinal o urinaria.</w:t>
            </w:r>
          </w:p>
        </w:tc>
      </w:tr>
      <w:tr w:rsidR="000A1D17" w:rsidRPr="0068632C" w14:paraId="2155618B" w14:textId="77777777" w:rsidTr="007614D7">
        <w:tc>
          <w:tcPr>
            <w:tcW w:w="3168" w:type="dxa"/>
            <w:tcBorders>
              <w:top w:val="single" w:sz="4" w:space="0" w:color="auto"/>
              <w:left w:val="single" w:sz="4" w:space="0" w:color="auto"/>
              <w:bottom w:val="single" w:sz="4" w:space="0" w:color="auto"/>
              <w:right w:val="single" w:sz="4" w:space="0" w:color="auto"/>
            </w:tcBorders>
          </w:tcPr>
          <w:p w14:paraId="2842FDDD" w14:textId="77777777" w:rsidR="000A1D17" w:rsidRPr="0068632C" w:rsidRDefault="000A1D17" w:rsidP="000A1D17">
            <w:pPr>
              <w:numPr>
                <w:ilvl w:val="0"/>
                <w:numId w:val="2"/>
              </w:numPr>
              <w:ind w:left="0"/>
              <w:contextualSpacing/>
              <w:jc w:val="both"/>
              <w:rPr>
                <w:rFonts w:ascii="Arial" w:hAnsi="Arial" w:cs="Arial"/>
                <w:sz w:val="20"/>
                <w:szCs w:val="20"/>
              </w:rPr>
            </w:pPr>
            <w:r w:rsidRPr="0068632C">
              <w:rPr>
                <w:rFonts w:ascii="Arial" w:hAnsi="Arial" w:cs="Arial"/>
                <w:sz w:val="20"/>
                <w:szCs w:val="20"/>
              </w:rPr>
              <w:t>Casos especiales</w:t>
            </w:r>
          </w:p>
        </w:tc>
        <w:tc>
          <w:tcPr>
            <w:tcW w:w="6438" w:type="dxa"/>
            <w:tcBorders>
              <w:top w:val="single" w:sz="4" w:space="0" w:color="auto"/>
              <w:left w:val="single" w:sz="4" w:space="0" w:color="auto"/>
              <w:bottom w:val="single" w:sz="4" w:space="0" w:color="auto"/>
              <w:right w:val="single" w:sz="4" w:space="0" w:color="auto"/>
            </w:tcBorders>
          </w:tcPr>
          <w:p w14:paraId="2D11DCEE"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Efectos sobre el feto probablemente ninguno, puede ser utilizado en la lactancia con precaución, puede ser usado durante el embarazo (clasificación de la FDA B y D). Las reacciones adversas con el uso de SSZ son en general leves y no requieren suspensión de tratamiento. </w:t>
            </w:r>
          </w:p>
        </w:tc>
      </w:tr>
    </w:tbl>
    <w:p w14:paraId="638BC51F" w14:textId="77777777" w:rsidR="000A1D17" w:rsidRPr="0068632C" w:rsidRDefault="000A1D17"/>
    <w:p w14:paraId="041615E0" w14:textId="77777777" w:rsidR="000A1D17" w:rsidRPr="0068632C" w:rsidRDefault="000A1D17"/>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438"/>
      </w:tblGrid>
      <w:tr w:rsidR="000A1D17" w:rsidRPr="0068632C" w14:paraId="2291FBB9" w14:textId="77777777" w:rsidTr="007614D7">
        <w:tc>
          <w:tcPr>
            <w:tcW w:w="3168" w:type="dxa"/>
            <w:tcBorders>
              <w:top w:val="single" w:sz="4" w:space="0" w:color="auto"/>
              <w:left w:val="single" w:sz="4" w:space="0" w:color="auto"/>
              <w:bottom w:val="single" w:sz="4" w:space="0" w:color="auto"/>
              <w:right w:val="single" w:sz="4" w:space="0" w:color="auto"/>
            </w:tcBorders>
          </w:tcPr>
          <w:p w14:paraId="5E51DD28" w14:textId="77777777" w:rsidR="000A1D17" w:rsidRPr="00AA2750" w:rsidRDefault="00D54A7D" w:rsidP="007614D7">
            <w:pPr>
              <w:contextualSpacing/>
              <w:jc w:val="both"/>
              <w:rPr>
                <w:rFonts w:ascii="Arial" w:hAnsi="Arial" w:cs="Arial"/>
                <w:b/>
                <w:sz w:val="28"/>
                <w:szCs w:val="28"/>
              </w:rPr>
            </w:pPr>
            <w:r w:rsidRPr="00AA2750">
              <w:rPr>
                <w:rFonts w:ascii="Arial" w:hAnsi="Arial" w:cs="Arial"/>
                <w:b/>
                <w:sz w:val="28"/>
                <w:szCs w:val="28"/>
              </w:rPr>
              <w:t>D-penicilamina</w:t>
            </w:r>
          </w:p>
        </w:tc>
        <w:tc>
          <w:tcPr>
            <w:tcW w:w="6438" w:type="dxa"/>
            <w:tcBorders>
              <w:top w:val="single" w:sz="4" w:space="0" w:color="auto"/>
              <w:left w:val="single" w:sz="4" w:space="0" w:color="auto"/>
              <w:bottom w:val="single" w:sz="4" w:space="0" w:color="auto"/>
              <w:right w:val="single" w:sz="4" w:space="0" w:color="auto"/>
            </w:tcBorders>
          </w:tcPr>
          <w:p w14:paraId="059E3CDF" w14:textId="77777777" w:rsidR="000A1D17" w:rsidRPr="0068632C" w:rsidRDefault="000A1D17" w:rsidP="00576A62">
            <w:pPr>
              <w:contextualSpacing/>
              <w:jc w:val="both"/>
              <w:rPr>
                <w:rFonts w:ascii="Arial" w:eastAsia="Times-Roman" w:hAnsi="Arial" w:cs="Arial"/>
                <w:sz w:val="20"/>
                <w:szCs w:val="20"/>
              </w:rPr>
            </w:pPr>
            <w:r w:rsidRPr="0068632C">
              <w:rPr>
                <w:rFonts w:ascii="Arial" w:eastAsia="Times-Roman" w:hAnsi="Arial" w:cs="Arial"/>
                <w:sz w:val="20"/>
                <w:szCs w:val="20"/>
              </w:rPr>
              <w:t>Sustancia quelante que ayuda en la eliminación de cobre, plomo y mercurio, formando complejos eliminados por vía renal. En AR diversos estudios demostraron que podía disociar macromoléculas como el factor reumatoide. Se le atribuye</w:t>
            </w:r>
            <w:r w:rsidR="00CE511E">
              <w:rPr>
                <w:rFonts w:ascii="Arial" w:eastAsia="Times-Roman" w:hAnsi="Arial" w:cs="Arial"/>
                <w:sz w:val="20"/>
                <w:szCs w:val="20"/>
              </w:rPr>
              <w:t>n propiedades de agente inmunomo</w:t>
            </w:r>
            <w:r w:rsidR="00576A62">
              <w:rPr>
                <w:rFonts w:ascii="Arial" w:eastAsia="Times-Roman" w:hAnsi="Arial" w:cs="Arial"/>
                <w:sz w:val="20"/>
                <w:szCs w:val="20"/>
              </w:rPr>
              <w:t>dulador.</w:t>
            </w:r>
            <w:r w:rsidR="00576A62">
              <w:rPr>
                <w:rFonts w:ascii="Arial" w:eastAsia="Times-Roman" w:hAnsi="Arial" w:cs="Arial"/>
                <w:color w:val="FF0000"/>
                <w:sz w:val="20"/>
                <w:szCs w:val="20"/>
                <w:vertAlign w:val="superscript"/>
              </w:rPr>
              <w:t>28</w:t>
            </w:r>
            <w:r w:rsidR="00472204">
              <w:rPr>
                <w:rFonts w:ascii="Arial" w:eastAsia="Times-Roman" w:hAnsi="Arial" w:cs="Arial"/>
                <w:sz w:val="20"/>
                <w:szCs w:val="20"/>
              </w:rPr>
              <w:t xml:space="preserve"> </w:t>
            </w:r>
          </w:p>
        </w:tc>
      </w:tr>
      <w:tr w:rsidR="000A1D17" w:rsidRPr="0068632C" w14:paraId="307BF336" w14:textId="77777777" w:rsidTr="007614D7">
        <w:tc>
          <w:tcPr>
            <w:tcW w:w="3168" w:type="dxa"/>
            <w:tcBorders>
              <w:top w:val="single" w:sz="4" w:space="0" w:color="auto"/>
              <w:left w:val="single" w:sz="4" w:space="0" w:color="auto"/>
              <w:bottom w:val="single" w:sz="4" w:space="0" w:color="auto"/>
              <w:right w:val="single" w:sz="4" w:space="0" w:color="auto"/>
            </w:tcBorders>
          </w:tcPr>
          <w:p w14:paraId="5572B156" w14:textId="77777777" w:rsidR="000A1D17" w:rsidRPr="0068632C" w:rsidRDefault="000A1D17" w:rsidP="007614D7">
            <w:pPr>
              <w:contextualSpacing/>
              <w:jc w:val="both"/>
              <w:rPr>
                <w:rFonts w:ascii="Arial" w:hAnsi="Arial" w:cs="Arial"/>
                <w:sz w:val="20"/>
                <w:szCs w:val="20"/>
              </w:rPr>
            </w:pPr>
            <w:r w:rsidRPr="0068632C">
              <w:rPr>
                <w:rFonts w:ascii="Arial" w:hAnsi="Arial" w:cs="Arial"/>
                <w:sz w:val="20"/>
                <w:szCs w:val="20"/>
              </w:rPr>
              <w:t xml:space="preserve">Línea de tratamiento en la que está indicado </w:t>
            </w:r>
          </w:p>
        </w:tc>
        <w:tc>
          <w:tcPr>
            <w:tcW w:w="6438" w:type="dxa"/>
            <w:tcBorders>
              <w:top w:val="single" w:sz="4" w:space="0" w:color="auto"/>
              <w:left w:val="single" w:sz="4" w:space="0" w:color="auto"/>
              <w:bottom w:val="single" w:sz="4" w:space="0" w:color="auto"/>
              <w:right w:val="single" w:sz="4" w:space="0" w:color="auto"/>
            </w:tcBorders>
          </w:tcPr>
          <w:p w14:paraId="2C0A14DF" w14:textId="77777777" w:rsidR="000A1D17" w:rsidRPr="0068632C" w:rsidRDefault="000A1D17" w:rsidP="007614D7">
            <w:pPr>
              <w:jc w:val="both"/>
              <w:rPr>
                <w:rFonts w:ascii="Arial" w:eastAsia="Times-Roman" w:hAnsi="Arial" w:cs="Arial"/>
                <w:color w:val="FF0000"/>
                <w:sz w:val="20"/>
                <w:szCs w:val="20"/>
                <w:lang w:val="es-MX"/>
              </w:rPr>
            </w:pPr>
            <w:r w:rsidRPr="0068632C">
              <w:rPr>
                <w:rFonts w:ascii="Arial" w:eastAsia="Times-Roman" w:hAnsi="Arial" w:cs="Arial"/>
                <w:sz w:val="20"/>
                <w:szCs w:val="20"/>
              </w:rPr>
              <w:t>FARME sintético para ser considerado en AR leve como monoterapia o en combinación con MTX. Un metaanálisis demu</w:t>
            </w:r>
            <w:r w:rsidR="005D5FAC" w:rsidRPr="0068632C">
              <w:rPr>
                <w:rFonts w:ascii="Arial" w:eastAsia="Times-Roman" w:hAnsi="Arial" w:cs="Arial"/>
                <w:sz w:val="20"/>
                <w:szCs w:val="20"/>
              </w:rPr>
              <w:t>e</w:t>
            </w:r>
            <w:r w:rsidRPr="0068632C">
              <w:rPr>
                <w:rFonts w:ascii="Arial" w:eastAsia="Times-Roman" w:hAnsi="Arial" w:cs="Arial"/>
                <w:sz w:val="20"/>
                <w:szCs w:val="20"/>
              </w:rPr>
              <w:t xml:space="preserve">stra su superioridad sobre placebo. </w:t>
            </w:r>
            <w:r w:rsidR="00576A62" w:rsidRPr="007218F5">
              <w:rPr>
                <w:rFonts w:ascii="Arial" w:eastAsia="TrebuchetMS" w:hAnsi="Arial" w:cs="Arial"/>
                <w:b/>
                <w:color w:val="000000"/>
                <w:sz w:val="20"/>
                <w:szCs w:val="20"/>
                <w:lang w:val="es-ES"/>
              </w:rPr>
              <w:t>[</w:t>
            </w:r>
            <w:r w:rsidR="00576A62" w:rsidRPr="007218F5">
              <w:rPr>
                <w:rFonts w:ascii="Arial" w:hAnsi="Arial" w:cs="Arial"/>
                <w:b/>
                <w:sz w:val="20"/>
                <w:szCs w:val="20"/>
              </w:rPr>
              <w:t xml:space="preserve">NE: </w:t>
            </w:r>
            <w:r w:rsidR="00576A62">
              <w:rPr>
                <w:rFonts w:ascii="Arial" w:hAnsi="Arial" w:cs="Arial"/>
                <w:b/>
                <w:sz w:val="20"/>
                <w:szCs w:val="20"/>
              </w:rPr>
              <w:t>2++</w:t>
            </w:r>
            <w:r w:rsidR="00576A62" w:rsidRPr="007218F5">
              <w:rPr>
                <w:rFonts w:ascii="Arial" w:hAnsi="Arial" w:cs="Arial"/>
                <w:b/>
                <w:sz w:val="20"/>
                <w:szCs w:val="20"/>
              </w:rPr>
              <w:t>, GR: A]</w:t>
            </w:r>
            <w:r w:rsidR="00576A62" w:rsidRPr="000D68DB">
              <w:rPr>
                <w:rFonts w:ascii="Arial" w:hAnsi="Arial" w:cs="Arial"/>
                <w:color w:val="FF0000"/>
                <w:sz w:val="10"/>
                <w:szCs w:val="10"/>
                <w:vertAlign w:val="superscript"/>
              </w:rPr>
              <w:t xml:space="preserve"> </w:t>
            </w:r>
            <w:r w:rsidR="00576A62">
              <w:rPr>
                <w:rFonts w:ascii="Arial" w:eastAsia="Times-Roman" w:hAnsi="Arial" w:cs="Arial"/>
                <w:color w:val="FF0000"/>
                <w:sz w:val="20"/>
                <w:szCs w:val="20"/>
                <w:vertAlign w:val="superscript"/>
              </w:rPr>
              <w:t>29</w:t>
            </w:r>
          </w:p>
          <w:p w14:paraId="19CF86AE" w14:textId="77777777" w:rsidR="00576A62" w:rsidRDefault="00576A62" w:rsidP="007614D7">
            <w:pPr>
              <w:contextualSpacing/>
              <w:jc w:val="both"/>
              <w:rPr>
                <w:rFonts w:ascii="Arial" w:eastAsia="Times-Roman" w:hAnsi="Arial" w:cs="Arial"/>
                <w:sz w:val="20"/>
                <w:szCs w:val="20"/>
              </w:rPr>
            </w:pPr>
          </w:p>
          <w:p w14:paraId="496E889E"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Parece tener un efecto benéfico clínico y estadísticamente significativo en el control de la AR, pero con toxicidad mayor.</w:t>
            </w:r>
          </w:p>
        </w:tc>
      </w:tr>
      <w:tr w:rsidR="000A1D17" w:rsidRPr="0068632C" w14:paraId="55942A8A" w14:textId="77777777" w:rsidTr="007614D7">
        <w:tc>
          <w:tcPr>
            <w:tcW w:w="3168" w:type="dxa"/>
            <w:tcBorders>
              <w:top w:val="single" w:sz="4" w:space="0" w:color="auto"/>
              <w:left w:val="single" w:sz="4" w:space="0" w:color="auto"/>
              <w:bottom w:val="single" w:sz="4" w:space="0" w:color="auto"/>
              <w:right w:val="single" w:sz="4" w:space="0" w:color="auto"/>
            </w:tcBorders>
          </w:tcPr>
          <w:p w14:paraId="1E2E21FB"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Estudios que se requieren antes del tratamiento y durante el seguimiento</w:t>
            </w:r>
          </w:p>
        </w:tc>
        <w:tc>
          <w:tcPr>
            <w:tcW w:w="6438" w:type="dxa"/>
            <w:tcBorders>
              <w:top w:val="single" w:sz="4" w:space="0" w:color="auto"/>
              <w:left w:val="single" w:sz="4" w:space="0" w:color="auto"/>
              <w:bottom w:val="single" w:sz="4" w:space="0" w:color="auto"/>
              <w:right w:val="single" w:sz="4" w:space="0" w:color="auto"/>
            </w:tcBorders>
          </w:tcPr>
          <w:p w14:paraId="6ADA58F9" w14:textId="77777777" w:rsidR="000A1D17" w:rsidRPr="0068632C" w:rsidRDefault="000A1D17" w:rsidP="00D2135E">
            <w:pPr>
              <w:contextualSpacing/>
              <w:jc w:val="both"/>
              <w:rPr>
                <w:rFonts w:ascii="Arial" w:eastAsia="Times-Roman" w:hAnsi="Arial" w:cs="Arial"/>
                <w:sz w:val="20"/>
                <w:szCs w:val="20"/>
              </w:rPr>
            </w:pPr>
            <w:r w:rsidRPr="0068632C">
              <w:rPr>
                <w:rFonts w:ascii="Arial" w:eastAsia="Times-Roman" w:hAnsi="Arial" w:cs="Arial"/>
                <w:sz w:val="20"/>
                <w:szCs w:val="20"/>
              </w:rPr>
              <w:t xml:space="preserve">Se recomienda </w:t>
            </w:r>
            <w:r w:rsidR="005C5AB8">
              <w:rPr>
                <w:rFonts w:ascii="Arial" w:eastAsia="Times-Roman" w:hAnsi="Arial" w:cs="Arial"/>
                <w:sz w:val="20"/>
                <w:szCs w:val="20"/>
              </w:rPr>
              <w:t xml:space="preserve">BH </w:t>
            </w:r>
            <w:r w:rsidRPr="0068632C">
              <w:rPr>
                <w:rFonts w:ascii="Arial" w:eastAsia="Times-Roman" w:hAnsi="Arial" w:cs="Arial"/>
                <w:sz w:val="20"/>
                <w:szCs w:val="20"/>
              </w:rPr>
              <w:t xml:space="preserve">completa, creatinina y </w:t>
            </w:r>
            <w:r w:rsidR="00D2135E">
              <w:rPr>
                <w:rFonts w:ascii="Arial" w:eastAsia="Times-Roman" w:hAnsi="Arial" w:cs="Arial"/>
                <w:sz w:val="20"/>
                <w:szCs w:val="20"/>
              </w:rPr>
              <w:t>EGO</w:t>
            </w:r>
            <w:r w:rsidRPr="0068632C">
              <w:rPr>
                <w:rFonts w:ascii="Arial" w:eastAsia="Times-Roman" w:hAnsi="Arial" w:cs="Arial"/>
                <w:sz w:val="20"/>
                <w:szCs w:val="20"/>
              </w:rPr>
              <w:t>. Los estudios se deben repetir cada dos semanas una vez se alcanza la dosis estable y posteriormente se da el seguimiento con estos estudios paraclínicos cada dos a tres meses.</w:t>
            </w:r>
          </w:p>
        </w:tc>
      </w:tr>
      <w:tr w:rsidR="000A1D17" w:rsidRPr="0068632C" w14:paraId="6A922747" w14:textId="77777777" w:rsidTr="007614D7">
        <w:tc>
          <w:tcPr>
            <w:tcW w:w="3168" w:type="dxa"/>
            <w:tcBorders>
              <w:top w:val="single" w:sz="4" w:space="0" w:color="auto"/>
              <w:left w:val="single" w:sz="4" w:space="0" w:color="auto"/>
              <w:bottom w:val="single" w:sz="4" w:space="0" w:color="auto"/>
              <w:right w:val="single" w:sz="4" w:space="0" w:color="auto"/>
            </w:tcBorders>
          </w:tcPr>
          <w:p w14:paraId="3030C122"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Monoterapia o en combinaciones (¿cuál es la mejor combinación y secuencia?)</w:t>
            </w:r>
          </w:p>
        </w:tc>
        <w:tc>
          <w:tcPr>
            <w:tcW w:w="6438" w:type="dxa"/>
            <w:tcBorders>
              <w:top w:val="single" w:sz="4" w:space="0" w:color="auto"/>
              <w:left w:val="single" w:sz="4" w:space="0" w:color="auto"/>
              <w:bottom w:val="single" w:sz="4" w:space="0" w:color="auto"/>
              <w:right w:val="single" w:sz="4" w:space="0" w:color="auto"/>
            </w:tcBorders>
          </w:tcPr>
          <w:p w14:paraId="596DF663"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Ha sido utilizada en combinación con MTX y otros FARME cuando ha habido una respuesta parcial a la monoterapia, sin embargo, la evidencia es limitada para establecer conclusiones definitivas.</w:t>
            </w:r>
            <w:r w:rsidR="00472204">
              <w:rPr>
                <w:rFonts w:ascii="Arial" w:eastAsia="Times-Roman" w:hAnsi="Arial" w:cs="Arial"/>
                <w:sz w:val="20"/>
                <w:szCs w:val="20"/>
              </w:rPr>
              <w:t xml:space="preserve"> </w:t>
            </w:r>
            <w:r w:rsidR="00576A62" w:rsidRPr="007218F5">
              <w:rPr>
                <w:rFonts w:ascii="Arial" w:eastAsia="TrebuchetMS" w:hAnsi="Arial" w:cs="Arial"/>
                <w:b/>
                <w:color w:val="000000"/>
                <w:sz w:val="20"/>
                <w:szCs w:val="20"/>
                <w:lang w:val="es-ES"/>
              </w:rPr>
              <w:t>[</w:t>
            </w:r>
            <w:r w:rsidR="00576A62" w:rsidRPr="007218F5">
              <w:rPr>
                <w:rFonts w:ascii="Arial" w:hAnsi="Arial" w:cs="Arial"/>
                <w:b/>
                <w:sz w:val="20"/>
                <w:szCs w:val="20"/>
              </w:rPr>
              <w:t xml:space="preserve">NE: </w:t>
            </w:r>
            <w:r w:rsidR="00576A62">
              <w:rPr>
                <w:rFonts w:ascii="Arial" w:hAnsi="Arial" w:cs="Arial"/>
                <w:b/>
                <w:sz w:val="20"/>
                <w:szCs w:val="20"/>
              </w:rPr>
              <w:t>2++</w:t>
            </w:r>
            <w:r w:rsidR="00576A62" w:rsidRPr="007218F5">
              <w:rPr>
                <w:rFonts w:ascii="Arial" w:hAnsi="Arial" w:cs="Arial"/>
                <w:b/>
                <w:sz w:val="20"/>
                <w:szCs w:val="20"/>
              </w:rPr>
              <w:t>, GR: A]</w:t>
            </w:r>
            <w:r w:rsidR="00576A62" w:rsidRPr="000D68DB">
              <w:rPr>
                <w:rFonts w:ascii="Arial" w:hAnsi="Arial" w:cs="Arial"/>
                <w:color w:val="FF0000"/>
                <w:sz w:val="10"/>
                <w:szCs w:val="10"/>
                <w:vertAlign w:val="superscript"/>
              </w:rPr>
              <w:t xml:space="preserve"> </w:t>
            </w:r>
            <w:r w:rsidR="00576A62">
              <w:rPr>
                <w:rFonts w:ascii="Arial" w:eastAsia="Times-Roman" w:hAnsi="Arial" w:cs="Arial"/>
                <w:color w:val="FF0000"/>
                <w:sz w:val="20"/>
                <w:szCs w:val="20"/>
                <w:vertAlign w:val="superscript"/>
              </w:rPr>
              <w:t>29</w:t>
            </w:r>
          </w:p>
        </w:tc>
      </w:tr>
      <w:tr w:rsidR="000A1D17" w:rsidRPr="0068632C" w14:paraId="208AE0FC" w14:textId="77777777" w:rsidTr="007614D7">
        <w:tc>
          <w:tcPr>
            <w:tcW w:w="3168" w:type="dxa"/>
            <w:tcBorders>
              <w:top w:val="single" w:sz="4" w:space="0" w:color="auto"/>
              <w:left w:val="single" w:sz="4" w:space="0" w:color="auto"/>
              <w:bottom w:val="single" w:sz="4" w:space="0" w:color="auto"/>
              <w:right w:val="single" w:sz="4" w:space="0" w:color="auto"/>
            </w:tcBorders>
          </w:tcPr>
          <w:p w14:paraId="03F9BD8A"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Tiempo para definir ajuste de dosis y retiro de medicamento</w:t>
            </w:r>
          </w:p>
        </w:tc>
        <w:tc>
          <w:tcPr>
            <w:tcW w:w="6438" w:type="dxa"/>
            <w:tcBorders>
              <w:top w:val="single" w:sz="4" w:space="0" w:color="auto"/>
              <w:left w:val="single" w:sz="4" w:space="0" w:color="auto"/>
              <w:bottom w:val="single" w:sz="4" w:space="0" w:color="auto"/>
              <w:right w:val="single" w:sz="4" w:space="0" w:color="auto"/>
            </w:tcBorders>
          </w:tcPr>
          <w:p w14:paraId="1EE91C72" w14:textId="77777777" w:rsidR="000A1D17" w:rsidRPr="0068632C" w:rsidRDefault="000A1D17" w:rsidP="00576A62">
            <w:pPr>
              <w:rPr>
                <w:rFonts w:ascii="Arial" w:eastAsia="Times-Roman" w:hAnsi="Arial"/>
                <w:sz w:val="20"/>
                <w:szCs w:val="20"/>
              </w:rPr>
            </w:pPr>
            <w:r w:rsidRPr="0068632C">
              <w:rPr>
                <w:rFonts w:ascii="Arial" w:eastAsia="Times-Roman" w:hAnsi="Arial" w:cs="Arial"/>
                <w:sz w:val="20"/>
                <w:szCs w:val="20"/>
              </w:rPr>
              <w:t>Se recomienda iniciar con dosis de 125 a 250 mg/día VO y aumentar la dosis cada ocho semanas hasta alcanzar 750 mg/día, en caso de no obtener respuesta a los 3 a 4 meses con dosis de 1.5 g/día, se debe considerar retirar el fármaco</w:t>
            </w:r>
            <w:r w:rsidR="00576A62" w:rsidRPr="0068632C">
              <w:rPr>
                <w:rFonts w:ascii="Arial" w:eastAsia="Times-Roman" w:hAnsi="Arial" w:cs="Arial"/>
                <w:sz w:val="20"/>
                <w:szCs w:val="20"/>
              </w:rPr>
              <w:t>.</w:t>
            </w:r>
            <w:r w:rsidR="00576A62">
              <w:rPr>
                <w:rFonts w:ascii="Arial" w:eastAsia="Times-Roman" w:hAnsi="Arial" w:cs="Arial"/>
                <w:sz w:val="20"/>
                <w:szCs w:val="20"/>
              </w:rPr>
              <w:t xml:space="preserve"> </w:t>
            </w:r>
            <w:r w:rsidR="00576A62" w:rsidRPr="007218F5">
              <w:rPr>
                <w:rFonts w:ascii="Arial" w:eastAsia="TrebuchetMS" w:hAnsi="Arial" w:cs="Arial"/>
                <w:b/>
                <w:color w:val="000000"/>
                <w:sz w:val="20"/>
                <w:szCs w:val="20"/>
                <w:lang w:val="es-ES"/>
              </w:rPr>
              <w:t>[</w:t>
            </w:r>
            <w:r w:rsidR="00576A62" w:rsidRPr="007218F5">
              <w:rPr>
                <w:rFonts w:ascii="Arial" w:hAnsi="Arial" w:cs="Arial"/>
                <w:b/>
                <w:sz w:val="20"/>
                <w:szCs w:val="20"/>
              </w:rPr>
              <w:t xml:space="preserve">NE: </w:t>
            </w:r>
            <w:r w:rsidR="00576A62">
              <w:rPr>
                <w:rFonts w:ascii="Arial" w:hAnsi="Arial" w:cs="Arial"/>
                <w:b/>
                <w:sz w:val="20"/>
                <w:szCs w:val="20"/>
              </w:rPr>
              <w:t>2++</w:t>
            </w:r>
            <w:r w:rsidR="00576A62" w:rsidRPr="007218F5">
              <w:rPr>
                <w:rFonts w:ascii="Arial" w:hAnsi="Arial" w:cs="Arial"/>
                <w:b/>
                <w:sz w:val="20"/>
                <w:szCs w:val="20"/>
              </w:rPr>
              <w:t>, GR: A]</w:t>
            </w:r>
            <w:r w:rsidR="00576A62" w:rsidRPr="000D68DB">
              <w:rPr>
                <w:rFonts w:ascii="Arial" w:hAnsi="Arial" w:cs="Arial"/>
                <w:color w:val="FF0000"/>
                <w:sz w:val="10"/>
                <w:szCs w:val="10"/>
                <w:vertAlign w:val="superscript"/>
              </w:rPr>
              <w:t xml:space="preserve"> </w:t>
            </w:r>
            <w:r w:rsidR="00576A62">
              <w:rPr>
                <w:rFonts w:ascii="Arial" w:eastAsia="Times-Roman" w:hAnsi="Arial" w:cs="Arial"/>
                <w:color w:val="FF0000"/>
                <w:sz w:val="20"/>
                <w:szCs w:val="20"/>
                <w:vertAlign w:val="superscript"/>
              </w:rPr>
              <w:t>29</w:t>
            </w:r>
            <w:r w:rsidRPr="0068632C">
              <w:rPr>
                <w:rFonts w:ascii="Arial" w:eastAsia="Times-Roman" w:hAnsi="Arial" w:cs="Arial"/>
                <w:sz w:val="20"/>
                <w:szCs w:val="20"/>
              </w:rPr>
              <w:t xml:space="preserve"> </w:t>
            </w:r>
          </w:p>
          <w:p w14:paraId="6FF4F590" w14:textId="77777777" w:rsidR="000A1D17" w:rsidRPr="0068632C" w:rsidRDefault="000A1D17" w:rsidP="007614D7">
            <w:pPr>
              <w:contextualSpacing/>
              <w:jc w:val="both"/>
              <w:rPr>
                <w:rFonts w:ascii="Arial" w:eastAsia="Times-Roman" w:hAnsi="Arial" w:cs="Arial"/>
                <w:sz w:val="20"/>
                <w:szCs w:val="20"/>
              </w:rPr>
            </w:pPr>
          </w:p>
          <w:p w14:paraId="237D7F57"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El medicamento se administra dos horas antes del alimento principal. </w:t>
            </w:r>
          </w:p>
        </w:tc>
      </w:tr>
      <w:tr w:rsidR="000A1D17" w:rsidRPr="0068632C" w14:paraId="4CD6C671" w14:textId="77777777" w:rsidTr="007614D7">
        <w:tc>
          <w:tcPr>
            <w:tcW w:w="3168" w:type="dxa"/>
            <w:tcBorders>
              <w:top w:val="single" w:sz="4" w:space="0" w:color="auto"/>
              <w:left w:val="single" w:sz="4" w:space="0" w:color="auto"/>
              <w:bottom w:val="single" w:sz="4" w:space="0" w:color="auto"/>
              <w:right w:val="single" w:sz="4" w:space="0" w:color="auto"/>
            </w:tcBorders>
          </w:tcPr>
          <w:p w14:paraId="0AE5D5C1" w14:textId="77777777" w:rsidR="000A1D17" w:rsidRPr="0068632C" w:rsidRDefault="000A1D17" w:rsidP="007614D7">
            <w:pPr>
              <w:contextualSpacing/>
              <w:jc w:val="both"/>
              <w:rPr>
                <w:rFonts w:ascii="Arial" w:eastAsia="Times-Roman" w:hAnsi="Arial" w:cs="Arial"/>
                <w:b/>
                <w:sz w:val="20"/>
                <w:szCs w:val="20"/>
              </w:rPr>
            </w:pPr>
            <w:r w:rsidRPr="0068632C">
              <w:rPr>
                <w:rFonts w:ascii="Arial" w:hAnsi="Arial" w:cs="Arial"/>
                <w:sz w:val="20"/>
                <w:szCs w:val="20"/>
              </w:rPr>
              <w:t>Dosis mínima y máxima</w:t>
            </w:r>
          </w:p>
        </w:tc>
        <w:tc>
          <w:tcPr>
            <w:tcW w:w="6438" w:type="dxa"/>
            <w:tcBorders>
              <w:top w:val="single" w:sz="4" w:space="0" w:color="auto"/>
              <w:left w:val="single" w:sz="4" w:space="0" w:color="auto"/>
              <w:bottom w:val="single" w:sz="4" w:space="0" w:color="auto"/>
              <w:right w:val="single" w:sz="4" w:space="0" w:color="auto"/>
            </w:tcBorders>
          </w:tcPr>
          <w:p w14:paraId="2E45F50D"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Rango de dosis 125 mg a 1.5 g/día VO.</w:t>
            </w:r>
          </w:p>
        </w:tc>
      </w:tr>
      <w:tr w:rsidR="000A1D17" w:rsidRPr="0068632C" w14:paraId="1B55FC27" w14:textId="77777777" w:rsidTr="007614D7">
        <w:tc>
          <w:tcPr>
            <w:tcW w:w="3168" w:type="dxa"/>
            <w:tcBorders>
              <w:top w:val="single" w:sz="4" w:space="0" w:color="auto"/>
              <w:left w:val="single" w:sz="4" w:space="0" w:color="auto"/>
              <w:bottom w:val="single" w:sz="4" w:space="0" w:color="auto"/>
              <w:right w:val="single" w:sz="4" w:space="0" w:color="auto"/>
            </w:tcBorders>
          </w:tcPr>
          <w:p w14:paraId="6687CB45" w14:textId="77777777" w:rsidR="000A1D17" w:rsidRPr="0068632C" w:rsidRDefault="000A1D17" w:rsidP="000A1D17">
            <w:pPr>
              <w:numPr>
                <w:ilvl w:val="0"/>
                <w:numId w:val="2"/>
              </w:numPr>
              <w:ind w:left="0"/>
              <w:contextualSpacing/>
              <w:jc w:val="both"/>
              <w:rPr>
                <w:rFonts w:ascii="Arial" w:hAnsi="Arial" w:cs="Arial"/>
                <w:sz w:val="20"/>
                <w:szCs w:val="20"/>
              </w:rPr>
            </w:pPr>
            <w:r w:rsidRPr="0068632C">
              <w:rPr>
                <w:rFonts w:ascii="Arial" w:hAnsi="Arial" w:cs="Arial"/>
                <w:sz w:val="20"/>
                <w:szCs w:val="20"/>
              </w:rPr>
              <w:t>Contraindicaciones</w:t>
            </w:r>
          </w:p>
        </w:tc>
        <w:tc>
          <w:tcPr>
            <w:tcW w:w="6438" w:type="dxa"/>
            <w:tcBorders>
              <w:top w:val="single" w:sz="4" w:space="0" w:color="auto"/>
              <w:left w:val="single" w:sz="4" w:space="0" w:color="auto"/>
              <w:bottom w:val="single" w:sz="4" w:space="0" w:color="auto"/>
              <w:right w:val="single" w:sz="4" w:space="0" w:color="auto"/>
            </w:tcBorders>
          </w:tcPr>
          <w:p w14:paraId="028DF754"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Nefropatías, discrasias sanguíneas (leucopenia, trombocitopenia).</w:t>
            </w:r>
          </w:p>
        </w:tc>
      </w:tr>
      <w:tr w:rsidR="000A1D17" w:rsidRPr="0068632C" w14:paraId="2C9E4AF5" w14:textId="77777777" w:rsidTr="007614D7">
        <w:tc>
          <w:tcPr>
            <w:tcW w:w="3168" w:type="dxa"/>
            <w:tcBorders>
              <w:top w:val="single" w:sz="4" w:space="0" w:color="auto"/>
              <w:left w:val="single" w:sz="4" w:space="0" w:color="auto"/>
              <w:bottom w:val="single" w:sz="4" w:space="0" w:color="auto"/>
              <w:right w:val="single" w:sz="4" w:space="0" w:color="auto"/>
            </w:tcBorders>
          </w:tcPr>
          <w:p w14:paraId="4CB72535" w14:textId="77777777" w:rsidR="000A1D17" w:rsidRPr="0068632C" w:rsidRDefault="000A1D17" w:rsidP="000A1D17">
            <w:pPr>
              <w:numPr>
                <w:ilvl w:val="0"/>
                <w:numId w:val="2"/>
              </w:numPr>
              <w:ind w:left="0"/>
              <w:contextualSpacing/>
              <w:jc w:val="both"/>
              <w:rPr>
                <w:rFonts w:ascii="Arial" w:hAnsi="Arial" w:cs="Arial"/>
                <w:sz w:val="20"/>
                <w:szCs w:val="20"/>
              </w:rPr>
            </w:pPr>
            <w:r w:rsidRPr="0068632C">
              <w:rPr>
                <w:rFonts w:ascii="Arial" w:hAnsi="Arial" w:cs="Arial"/>
                <w:sz w:val="20"/>
                <w:szCs w:val="20"/>
              </w:rPr>
              <w:t xml:space="preserve">Casos especiales </w:t>
            </w:r>
          </w:p>
          <w:p w14:paraId="291B4636" w14:textId="77777777" w:rsidR="000A1D17" w:rsidRPr="0068632C" w:rsidRDefault="000A1D17" w:rsidP="000A1D17">
            <w:pPr>
              <w:numPr>
                <w:ilvl w:val="0"/>
                <w:numId w:val="2"/>
              </w:numPr>
              <w:ind w:left="0"/>
              <w:contextualSpacing/>
              <w:jc w:val="both"/>
              <w:rPr>
                <w:rFonts w:ascii="Arial" w:hAnsi="Arial" w:cs="Arial"/>
                <w:sz w:val="20"/>
                <w:szCs w:val="20"/>
              </w:rPr>
            </w:pPr>
          </w:p>
        </w:tc>
        <w:tc>
          <w:tcPr>
            <w:tcW w:w="6438" w:type="dxa"/>
            <w:tcBorders>
              <w:top w:val="single" w:sz="4" w:space="0" w:color="auto"/>
              <w:left w:val="single" w:sz="4" w:space="0" w:color="auto"/>
              <w:bottom w:val="single" w:sz="4" w:space="0" w:color="auto"/>
              <w:right w:val="single" w:sz="4" w:space="0" w:color="auto"/>
            </w:tcBorders>
          </w:tcPr>
          <w:p w14:paraId="166144EF"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t>Se recomienda no usar durante el embarazo y la lactancia ya que puede causar alteraciones del tejido conjuntivo en el feto (clasificación D en la FDA).</w:t>
            </w:r>
          </w:p>
        </w:tc>
      </w:tr>
      <w:tr w:rsidR="000A1D17" w:rsidRPr="0068632C" w14:paraId="19FE93DE" w14:textId="77777777" w:rsidTr="000A1D17">
        <w:tc>
          <w:tcPr>
            <w:tcW w:w="3168" w:type="dxa"/>
            <w:tcBorders>
              <w:top w:val="single" w:sz="4" w:space="0" w:color="auto"/>
              <w:left w:val="single" w:sz="4" w:space="0" w:color="auto"/>
              <w:bottom w:val="single" w:sz="4" w:space="0" w:color="auto"/>
              <w:right w:val="single" w:sz="4" w:space="0" w:color="auto"/>
            </w:tcBorders>
          </w:tcPr>
          <w:p w14:paraId="4FAE7371" w14:textId="77777777" w:rsidR="000A1D17" w:rsidRPr="0068632C" w:rsidRDefault="000A1D17" w:rsidP="000A1D17">
            <w:pPr>
              <w:tabs>
                <w:tab w:val="num" w:pos="720"/>
              </w:tabs>
              <w:ind w:hanging="360"/>
              <w:contextualSpacing/>
              <w:jc w:val="both"/>
              <w:rPr>
                <w:rFonts w:ascii="Arial" w:hAnsi="Arial" w:cs="Arial"/>
                <w:sz w:val="20"/>
                <w:szCs w:val="20"/>
              </w:rPr>
            </w:pPr>
            <w:r w:rsidRPr="0068632C">
              <w:rPr>
                <w:rFonts w:ascii="Arial" w:hAnsi="Arial" w:cs="Arial"/>
                <w:sz w:val="20"/>
                <w:szCs w:val="20"/>
              </w:rPr>
              <w:t xml:space="preserve">  ¿Se pueden suspender y cómo? </w:t>
            </w:r>
          </w:p>
          <w:p w14:paraId="728F991A" w14:textId="77777777" w:rsidR="000A1D17" w:rsidRPr="0068632C" w:rsidRDefault="000A1D17" w:rsidP="000A1D17">
            <w:pPr>
              <w:tabs>
                <w:tab w:val="num" w:pos="720"/>
              </w:tabs>
              <w:ind w:hanging="360"/>
              <w:contextualSpacing/>
              <w:jc w:val="both"/>
              <w:rPr>
                <w:rFonts w:ascii="Arial" w:hAnsi="Arial" w:cs="Arial"/>
                <w:sz w:val="20"/>
                <w:szCs w:val="20"/>
              </w:rPr>
            </w:pPr>
            <w:r w:rsidRPr="0068632C">
              <w:rPr>
                <w:rFonts w:ascii="Arial" w:hAnsi="Arial" w:cs="Arial"/>
                <w:sz w:val="20"/>
                <w:szCs w:val="20"/>
              </w:rPr>
              <w:t xml:space="preserve">En caso de suspensión (que no sea </w:t>
            </w:r>
            <w:r w:rsidRPr="0068632C">
              <w:rPr>
                <w:rFonts w:ascii="Arial" w:hAnsi="Arial" w:cs="Arial"/>
                <w:sz w:val="20"/>
                <w:szCs w:val="20"/>
              </w:rPr>
              <w:lastRenderedPageBreak/>
              <w:t>por toxicidad), ¿cuál es la estrategia de tratamiento?</w:t>
            </w:r>
          </w:p>
        </w:tc>
        <w:tc>
          <w:tcPr>
            <w:tcW w:w="6438" w:type="dxa"/>
            <w:tcBorders>
              <w:top w:val="single" w:sz="4" w:space="0" w:color="auto"/>
              <w:left w:val="single" w:sz="4" w:space="0" w:color="auto"/>
              <w:bottom w:val="single" w:sz="4" w:space="0" w:color="auto"/>
              <w:right w:val="single" w:sz="4" w:space="0" w:color="auto"/>
            </w:tcBorders>
          </w:tcPr>
          <w:p w14:paraId="09F17F99" w14:textId="77777777" w:rsidR="000A1D17" w:rsidRPr="0068632C" w:rsidRDefault="000A1D17" w:rsidP="007614D7">
            <w:pPr>
              <w:contextualSpacing/>
              <w:jc w:val="both"/>
              <w:rPr>
                <w:rFonts w:ascii="Arial" w:eastAsia="Times-Roman" w:hAnsi="Arial" w:cs="Arial"/>
                <w:sz w:val="20"/>
                <w:szCs w:val="20"/>
              </w:rPr>
            </w:pPr>
            <w:r w:rsidRPr="0068632C">
              <w:rPr>
                <w:rFonts w:ascii="Arial" w:eastAsia="Times-Roman" w:hAnsi="Arial" w:cs="Arial"/>
                <w:sz w:val="20"/>
                <w:szCs w:val="20"/>
              </w:rPr>
              <w:lastRenderedPageBreak/>
              <w:t xml:space="preserve">Debe considerarse la suspensión de los FARME sintéticos, incluido el MTX, </w:t>
            </w:r>
            <w:r w:rsidR="00D2135E">
              <w:rPr>
                <w:rFonts w:ascii="Arial" w:eastAsia="Times-Roman" w:hAnsi="Arial" w:cs="Arial"/>
                <w:sz w:val="20"/>
                <w:szCs w:val="20"/>
              </w:rPr>
              <w:t>CLQ</w:t>
            </w:r>
            <w:r w:rsidRPr="0068632C">
              <w:rPr>
                <w:rFonts w:ascii="Arial" w:eastAsia="Times-Roman" w:hAnsi="Arial" w:cs="Arial"/>
                <w:sz w:val="20"/>
                <w:szCs w:val="20"/>
              </w:rPr>
              <w:t xml:space="preserve"> y la </w:t>
            </w:r>
            <w:r w:rsidR="00D2135E">
              <w:rPr>
                <w:rFonts w:ascii="Arial" w:eastAsia="Times-Roman" w:hAnsi="Arial" w:cs="Arial"/>
                <w:sz w:val="20"/>
                <w:szCs w:val="20"/>
              </w:rPr>
              <w:t>HCQ</w:t>
            </w:r>
            <w:r w:rsidRPr="0068632C">
              <w:rPr>
                <w:rFonts w:ascii="Arial" w:eastAsia="Times-Roman" w:hAnsi="Arial" w:cs="Arial"/>
                <w:sz w:val="20"/>
                <w:szCs w:val="20"/>
              </w:rPr>
              <w:t xml:space="preserve"> en caso de remisión prolongada, siempre y </w:t>
            </w:r>
            <w:r w:rsidRPr="0068632C">
              <w:rPr>
                <w:rFonts w:ascii="Arial" w:eastAsia="Times-Roman" w:hAnsi="Arial" w:cs="Arial"/>
                <w:sz w:val="20"/>
                <w:szCs w:val="20"/>
              </w:rPr>
              <w:lastRenderedPageBreak/>
              <w:t>cuando los glucocorticoides y los agentes biológicos hayan sido suspendidos previamente.</w:t>
            </w:r>
          </w:p>
          <w:p w14:paraId="10B8BB85" w14:textId="77777777" w:rsidR="000A1D17" w:rsidRPr="00576A62" w:rsidRDefault="000A1D17" w:rsidP="007614D7">
            <w:pPr>
              <w:contextualSpacing/>
              <w:jc w:val="both"/>
              <w:rPr>
                <w:rFonts w:ascii="Arial" w:eastAsia="Times-Roman" w:hAnsi="Arial" w:cs="Arial"/>
                <w:color w:val="FF0000"/>
                <w:sz w:val="20"/>
                <w:szCs w:val="20"/>
              </w:rPr>
            </w:pPr>
            <w:r w:rsidRPr="0068632C">
              <w:rPr>
                <w:rFonts w:ascii="Arial" w:eastAsia="Times-Roman" w:hAnsi="Arial" w:cs="Arial"/>
                <w:sz w:val="20"/>
                <w:szCs w:val="20"/>
              </w:rPr>
              <w:t>Sin embargo, no hay evidencias donde se haya evaluado el tiempo de lo que se considera remisión prolongada, ni la pauta temporal de suspensión del FARME, por lo que este evento y el manejo posterior deben ser dejados a la consideración del médico tratante en ese momento.</w:t>
            </w:r>
            <w:r w:rsidR="00576A62" w:rsidRPr="001A5BEB">
              <w:rPr>
                <w:rFonts w:ascii="Arial" w:eastAsia="TrebuchetMS" w:hAnsi="Arial" w:cs="Arial"/>
                <w:b/>
                <w:color w:val="000000"/>
                <w:sz w:val="20"/>
                <w:szCs w:val="20"/>
                <w:lang w:val="es-ES"/>
              </w:rPr>
              <w:t xml:space="preserve"> [</w:t>
            </w:r>
            <w:r w:rsidR="00576A62" w:rsidRPr="001A5BEB">
              <w:rPr>
                <w:rFonts w:ascii="Arial" w:hAnsi="Arial" w:cs="Arial"/>
                <w:b/>
                <w:sz w:val="20"/>
                <w:szCs w:val="20"/>
              </w:rPr>
              <w:t>NE: I</w:t>
            </w:r>
            <w:r w:rsidR="00576A62">
              <w:rPr>
                <w:rFonts w:ascii="Arial" w:hAnsi="Arial" w:cs="Arial"/>
                <w:b/>
                <w:sz w:val="20"/>
                <w:szCs w:val="20"/>
              </w:rPr>
              <w:t>V</w:t>
            </w:r>
            <w:r w:rsidR="00576A62" w:rsidRPr="001A5BEB">
              <w:rPr>
                <w:rFonts w:ascii="Arial" w:hAnsi="Arial" w:cs="Arial"/>
                <w:b/>
                <w:sz w:val="20"/>
                <w:szCs w:val="20"/>
              </w:rPr>
              <w:t xml:space="preserve">, GR: </w:t>
            </w:r>
            <w:r w:rsidR="00576A62">
              <w:rPr>
                <w:rFonts w:ascii="Arial" w:hAnsi="Arial" w:cs="Arial"/>
                <w:b/>
                <w:sz w:val="20"/>
                <w:szCs w:val="20"/>
              </w:rPr>
              <w:t>D</w:t>
            </w:r>
            <w:r w:rsidR="00576A62" w:rsidRPr="001A5BEB">
              <w:rPr>
                <w:rFonts w:ascii="Arial" w:hAnsi="Arial" w:cs="Arial"/>
                <w:b/>
                <w:sz w:val="20"/>
                <w:szCs w:val="20"/>
              </w:rPr>
              <w:t>]</w:t>
            </w:r>
            <w:r w:rsidR="00576A62">
              <w:rPr>
                <w:rFonts w:ascii="Arial" w:eastAsia="Times-Roman" w:hAnsi="Arial" w:cs="Arial"/>
                <w:color w:val="FF0000"/>
                <w:sz w:val="20"/>
                <w:szCs w:val="20"/>
                <w:vertAlign w:val="superscript"/>
              </w:rPr>
              <w:t>10</w:t>
            </w:r>
          </w:p>
        </w:tc>
      </w:tr>
    </w:tbl>
    <w:p w14:paraId="567B681D" w14:textId="77777777" w:rsidR="000A1D17" w:rsidRDefault="000A1D17"/>
    <w:p w14:paraId="575610C7" w14:textId="77777777" w:rsidR="00E51D8E" w:rsidRDefault="00E51D8E">
      <w:pPr>
        <w:rPr>
          <w:b/>
          <w:color w:val="4F81BD" w:themeColor="accent1"/>
          <w:sz w:val="28"/>
        </w:rPr>
      </w:pPr>
      <w:r w:rsidRPr="00D54A7D">
        <w:rPr>
          <w:b/>
          <w:color w:val="4F81BD" w:themeColor="accent1"/>
          <w:sz w:val="28"/>
        </w:rPr>
        <w:t xml:space="preserve">ANTI TNF </w:t>
      </w:r>
    </w:p>
    <w:p w14:paraId="1BCE7FE2" w14:textId="77777777" w:rsidR="006D68EC" w:rsidRPr="0068632C" w:rsidRDefault="006D68EC"/>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438"/>
      </w:tblGrid>
      <w:tr w:rsidR="00E51D8E" w:rsidRPr="0068632C" w14:paraId="3F1DE267" w14:textId="77777777" w:rsidTr="007614D7">
        <w:tc>
          <w:tcPr>
            <w:tcW w:w="3168" w:type="dxa"/>
            <w:tcBorders>
              <w:top w:val="single" w:sz="4" w:space="0" w:color="auto"/>
              <w:left w:val="single" w:sz="4" w:space="0" w:color="auto"/>
              <w:bottom w:val="single" w:sz="4" w:space="0" w:color="auto"/>
              <w:right w:val="single" w:sz="4" w:space="0" w:color="auto"/>
            </w:tcBorders>
          </w:tcPr>
          <w:p w14:paraId="5C0CAF8E" w14:textId="77777777" w:rsidR="00E51D8E" w:rsidRPr="00AA2750" w:rsidRDefault="00AA2750" w:rsidP="007614D7">
            <w:pPr>
              <w:contextualSpacing/>
              <w:jc w:val="both"/>
              <w:rPr>
                <w:rFonts w:ascii="Arial" w:hAnsi="Arial" w:cs="Arial"/>
                <w:b/>
                <w:sz w:val="28"/>
                <w:szCs w:val="28"/>
              </w:rPr>
            </w:pPr>
            <w:r w:rsidRPr="00AA2750">
              <w:rPr>
                <w:rFonts w:ascii="Arial" w:hAnsi="Arial" w:cs="Arial"/>
                <w:b/>
                <w:sz w:val="28"/>
                <w:szCs w:val="28"/>
              </w:rPr>
              <w:t>Adalimumab</w:t>
            </w:r>
          </w:p>
        </w:tc>
        <w:tc>
          <w:tcPr>
            <w:tcW w:w="6438" w:type="dxa"/>
            <w:tcBorders>
              <w:top w:val="single" w:sz="4" w:space="0" w:color="auto"/>
              <w:left w:val="single" w:sz="4" w:space="0" w:color="auto"/>
              <w:bottom w:val="single" w:sz="4" w:space="0" w:color="auto"/>
              <w:right w:val="single" w:sz="4" w:space="0" w:color="auto"/>
            </w:tcBorders>
          </w:tcPr>
          <w:p w14:paraId="6DB7CC1A" w14:textId="77777777" w:rsidR="00E51D8E" w:rsidRPr="0068632C" w:rsidRDefault="00E51D8E" w:rsidP="007614D7">
            <w:pPr>
              <w:contextualSpacing/>
              <w:jc w:val="both"/>
              <w:rPr>
                <w:rFonts w:ascii="Arial" w:eastAsia="Times-Roman" w:hAnsi="Arial" w:cs="Arial"/>
                <w:sz w:val="20"/>
                <w:szCs w:val="20"/>
              </w:rPr>
            </w:pPr>
            <w:r w:rsidRPr="0068632C">
              <w:rPr>
                <w:rFonts w:ascii="Arial" w:eastAsia="Times-Roman" w:hAnsi="Arial" w:cs="Arial"/>
                <w:sz w:val="20"/>
                <w:szCs w:val="20"/>
              </w:rPr>
              <w:t>Anticuerpo humano monoclonal específico contra TNF humano.</w:t>
            </w:r>
          </w:p>
        </w:tc>
      </w:tr>
      <w:tr w:rsidR="00E51D8E" w:rsidRPr="0068632C" w14:paraId="533FCC55" w14:textId="77777777" w:rsidTr="007614D7">
        <w:tc>
          <w:tcPr>
            <w:tcW w:w="3168" w:type="dxa"/>
            <w:tcBorders>
              <w:top w:val="single" w:sz="4" w:space="0" w:color="auto"/>
              <w:left w:val="single" w:sz="4" w:space="0" w:color="auto"/>
              <w:bottom w:val="single" w:sz="4" w:space="0" w:color="auto"/>
              <w:right w:val="single" w:sz="4" w:space="0" w:color="auto"/>
            </w:tcBorders>
          </w:tcPr>
          <w:p w14:paraId="7883650D" w14:textId="77777777" w:rsidR="00E51D8E" w:rsidRPr="0068632C" w:rsidRDefault="00E51D8E" w:rsidP="007614D7">
            <w:pPr>
              <w:contextualSpacing/>
              <w:jc w:val="both"/>
              <w:rPr>
                <w:rFonts w:ascii="Arial" w:hAnsi="Arial" w:cs="Arial"/>
                <w:sz w:val="20"/>
                <w:szCs w:val="20"/>
              </w:rPr>
            </w:pPr>
            <w:r w:rsidRPr="0068632C">
              <w:rPr>
                <w:rFonts w:ascii="Arial" w:hAnsi="Arial" w:cs="Arial"/>
                <w:sz w:val="20"/>
                <w:szCs w:val="20"/>
              </w:rPr>
              <w:t xml:space="preserve">Línea de tratamiento en la que está indicado </w:t>
            </w:r>
          </w:p>
        </w:tc>
        <w:tc>
          <w:tcPr>
            <w:tcW w:w="6438" w:type="dxa"/>
            <w:tcBorders>
              <w:top w:val="single" w:sz="4" w:space="0" w:color="auto"/>
              <w:left w:val="single" w:sz="4" w:space="0" w:color="auto"/>
              <w:bottom w:val="single" w:sz="4" w:space="0" w:color="auto"/>
              <w:right w:val="single" w:sz="4" w:space="0" w:color="auto"/>
            </w:tcBorders>
          </w:tcPr>
          <w:p w14:paraId="63C8A98B" w14:textId="77777777" w:rsidR="00E51D8E" w:rsidRDefault="00E51D8E" w:rsidP="007614D7">
            <w:pPr>
              <w:suppressAutoHyphens/>
              <w:spacing w:after="100" w:afterAutospacing="1"/>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Adalimumab está indicado cuando hay una respuesta inadecuada a FARME (incluyendo el MTX), también indicado cuando hay una AR grave, activa y progresiva, en adultos que previamente no han sido tratados con MTX. </w:t>
            </w:r>
            <w:r w:rsidR="000C6C3A" w:rsidRPr="001A5BEB">
              <w:rPr>
                <w:rFonts w:ascii="Arial" w:eastAsia="TrebuchetMS" w:hAnsi="Arial" w:cs="Arial"/>
                <w:b/>
                <w:color w:val="000000"/>
                <w:sz w:val="20"/>
                <w:szCs w:val="20"/>
                <w:lang w:val="es-ES"/>
              </w:rPr>
              <w:t>[</w:t>
            </w:r>
            <w:r w:rsidR="000C6C3A" w:rsidRPr="001A5BEB">
              <w:rPr>
                <w:rFonts w:ascii="Arial" w:hAnsi="Arial" w:cs="Arial"/>
                <w:b/>
                <w:sz w:val="20"/>
                <w:szCs w:val="20"/>
              </w:rPr>
              <w:t xml:space="preserve">NE: I, GR: </w:t>
            </w:r>
            <w:r w:rsidR="000C6C3A">
              <w:rPr>
                <w:rFonts w:ascii="Arial" w:hAnsi="Arial" w:cs="Arial"/>
                <w:b/>
                <w:sz w:val="20"/>
                <w:szCs w:val="20"/>
              </w:rPr>
              <w:t>A</w:t>
            </w:r>
            <w:r w:rsidR="000C6C3A" w:rsidRPr="001A5BEB">
              <w:rPr>
                <w:rFonts w:ascii="Arial" w:hAnsi="Arial" w:cs="Arial"/>
                <w:b/>
                <w:sz w:val="20"/>
                <w:szCs w:val="20"/>
              </w:rPr>
              <w:t>]</w:t>
            </w:r>
            <w:r w:rsidR="000C6C3A">
              <w:rPr>
                <w:rFonts w:ascii="Arial" w:eastAsia="Times-Roman" w:hAnsi="Arial" w:cs="Arial"/>
                <w:color w:val="FF0000"/>
                <w:sz w:val="20"/>
                <w:szCs w:val="20"/>
                <w:vertAlign w:val="superscript"/>
              </w:rPr>
              <w:t>30</w:t>
            </w:r>
          </w:p>
          <w:p w14:paraId="241D2339" w14:textId="77777777" w:rsidR="000C6C3A" w:rsidRPr="0068632C" w:rsidRDefault="000C6C3A" w:rsidP="007614D7">
            <w:pPr>
              <w:suppressAutoHyphens/>
              <w:spacing w:after="100" w:afterAutospacing="1"/>
              <w:contextualSpacing/>
              <w:jc w:val="both"/>
              <w:rPr>
                <w:rFonts w:ascii="Arial" w:hAnsi="Arial" w:cs="Arial"/>
                <w:sz w:val="20"/>
                <w:szCs w:val="20"/>
              </w:rPr>
            </w:pPr>
          </w:p>
          <w:p w14:paraId="0CDD0080" w14:textId="77777777" w:rsidR="00E51D8E" w:rsidRPr="0068632C" w:rsidRDefault="00E51D8E" w:rsidP="007614D7">
            <w:pPr>
              <w:suppressAutoHyphens/>
              <w:spacing w:after="100" w:afterAutospacing="1"/>
              <w:contextualSpacing/>
              <w:jc w:val="both"/>
              <w:rPr>
                <w:rFonts w:ascii="Arial" w:hAnsi="Arial" w:cs="Arial"/>
                <w:sz w:val="20"/>
                <w:szCs w:val="20"/>
              </w:rPr>
            </w:pPr>
            <w:r w:rsidRPr="0068632C">
              <w:rPr>
                <w:rFonts w:ascii="Arial" w:hAnsi="Arial" w:cs="Arial"/>
                <w:sz w:val="20"/>
                <w:szCs w:val="20"/>
              </w:rPr>
              <w:t xml:space="preserve">El </w:t>
            </w:r>
            <w:r w:rsidR="000C6C3A">
              <w:rPr>
                <w:rFonts w:ascii="Arial" w:hAnsi="Arial" w:cs="Arial"/>
                <w:sz w:val="20"/>
                <w:szCs w:val="20"/>
              </w:rPr>
              <w:t>a</w:t>
            </w:r>
            <w:r w:rsidRPr="0068632C">
              <w:rPr>
                <w:rFonts w:ascii="Arial" w:hAnsi="Arial" w:cs="Arial"/>
                <w:sz w:val="20"/>
                <w:szCs w:val="20"/>
              </w:rPr>
              <w:t xml:space="preserve">dalimumab puede ser dado en combinación con MTX para el manejo de AR activa grave con falla a por lo menos dos FARME no biológicos (incluyendo al menos un anti TNF, y quienes no pueden recibir </w:t>
            </w:r>
            <w:r w:rsidR="00D2135E">
              <w:rPr>
                <w:rFonts w:ascii="Arial" w:hAnsi="Arial" w:cs="Arial"/>
                <w:sz w:val="20"/>
                <w:szCs w:val="20"/>
              </w:rPr>
              <w:t>RTX</w:t>
            </w:r>
            <w:r w:rsidRPr="0068632C">
              <w:rPr>
                <w:rFonts w:ascii="Arial" w:hAnsi="Arial" w:cs="Arial"/>
                <w:sz w:val="20"/>
                <w:szCs w:val="20"/>
              </w:rPr>
              <w:t xml:space="preserve"> o tienen contraindicación por efectos adversos), excepto en los casos en los que el MTX esté contraindicado por poca tolerancia o se considere inapropiado</w:t>
            </w:r>
            <w:r w:rsidR="000C6C3A">
              <w:rPr>
                <w:rFonts w:ascii="Arial" w:hAnsi="Arial" w:cs="Arial"/>
                <w:sz w:val="20"/>
                <w:szCs w:val="20"/>
              </w:rPr>
              <w:t>.</w:t>
            </w:r>
            <w:r w:rsidR="000C6C3A" w:rsidRPr="0068632C">
              <w:rPr>
                <w:rFonts w:ascii="Arial" w:hAnsi="Arial" w:cs="Arial"/>
                <w:sz w:val="20"/>
                <w:szCs w:val="20"/>
              </w:rPr>
              <w:t xml:space="preserve"> </w:t>
            </w:r>
            <w:r w:rsidR="000C6C3A" w:rsidRPr="001A5BEB">
              <w:rPr>
                <w:rFonts w:ascii="Arial" w:eastAsia="TrebuchetMS" w:hAnsi="Arial" w:cs="Arial"/>
                <w:b/>
                <w:color w:val="000000"/>
                <w:sz w:val="20"/>
                <w:szCs w:val="20"/>
                <w:lang w:val="es-ES"/>
              </w:rPr>
              <w:t>[</w:t>
            </w:r>
            <w:r w:rsidR="000C6C3A" w:rsidRPr="001A5BEB">
              <w:rPr>
                <w:rFonts w:ascii="Arial" w:hAnsi="Arial" w:cs="Arial"/>
                <w:b/>
                <w:sz w:val="20"/>
                <w:szCs w:val="20"/>
              </w:rPr>
              <w:t xml:space="preserve">NE: I, GR: </w:t>
            </w:r>
            <w:r w:rsidR="000C6C3A">
              <w:rPr>
                <w:rFonts w:ascii="Arial" w:hAnsi="Arial" w:cs="Arial"/>
                <w:b/>
                <w:sz w:val="20"/>
                <w:szCs w:val="20"/>
              </w:rPr>
              <w:t>A</w:t>
            </w:r>
            <w:r w:rsidR="000C6C3A" w:rsidRPr="001A5BEB">
              <w:rPr>
                <w:rFonts w:ascii="Arial" w:hAnsi="Arial" w:cs="Arial"/>
                <w:b/>
                <w:sz w:val="20"/>
                <w:szCs w:val="20"/>
              </w:rPr>
              <w:t>]</w:t>
            </w:r>
            <w:r w:rsidR="000C6C3A">
              <w:rPr>
                <w:rFonts w:ascii="Arial" w:eastAsia="Times-Roman" w:hAnsi="Arial" w:cs="Arial"/>
                <w:color w:val="FF0000"/>
                <w:sz w:val="20"/>
                <w:szCs w:val="20"/>
                <w:vertAlign w:val="superscript"/>
              </w:rPr>
              <w:t>30</w:t>
            </w:r>
          </w:p>
          <w:p w14:paraId="1568EA39" w14:textId="77777777" w:rsidR="000C6C3A" w:rsidRDefault="000C6C3A" w:rsidP="007614D7">
            <w:pPr>
              <w:suppressAutoHyphens/>
              <w:spacing w:after="100" w:afterAutospacing="1"/>
              <w:contextualSpacing/>
              <w:jc w:val="both"/>
              <w:rPr>
                <w:rFonts w:ascii="Arial" w:hAnsi="Arial" w:cs="Arial"/>
                <w:sz w:val="20"/>
                <w:szCs w:val="20"/>
              </w:rPr>
            </w:pPr>
          </w:p>
          <w:p w14:paraId="74EE3743" w14:textId="77777777" w:rsidR="00E51D8E" w:rsidRDefault="00E51D8E" w:rsidP="007614D7">
            <w:pPr>
              <w:suppressAutoHyphens/>
              <w:spacing w:after="100" w:afterAutospacing="1"/>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Se puede considerar como alternativa cuando el primer anti TNF se retiró por efectos adversos. </w:t>
            </w:r>
            <w:r w:rsidR="000C6C3A" w:rsidRPr="001A5BEB">
              <w:rPr>
                <w:rFonts w:ascii="Arial" w:eastAsia="TrebuchetMS" w:hAnsi="Arial" w:cs="Arial"/>
                <w:b/>
                <w:color w:val="000000"/>
                <w:sz w:val="20"/>
                <w:szCs w:val="20"/>
                <w:lang w:val="es-ES"/>
              </w:rPr>
              <w:t>[</w:t>
            </w:r>
            <w:r w:rsidR="000C6C3A" w:rsidRPr="001A5BEB">
              <w:rPr>
                <w:rFonts w:ascii="Arial" w:hAnsi="Arial" w:cs="Arial"/>
                <w:b/>
                <w:sz w:val="20"/>
                <w:szCs w:val="20"/>
              </w:rPr>
              <w:t xml:space="preserve">NE: I, GR: </w:t>
            </w:r>
            <w:r w:rsidR="000C6C3A">
              <w:rPr>
                <w:rFonts w:ascii="Arial" w:hAnsi="Arial" w:cs="Arial"/>
                <w:b/>
                <w:sz w:val="20"/>
                <w:szCs w:val="20"/>
              </w:rPr>
              <w:t>A</w:t>
            </w:r>
            <w:r w:rsidR="000C6C3A" w:rsidRPr="001A5BEB">
              <w:rPr>
                <w:rFonts w:ascii="Arial" w:hAnsi="Arial" w:cs="Arial"/>
                <w:b/>
                <w:sz w:val="20"/>
                <w:szCs w:val="20"/>
              </w:rPr>
              <w:t>]</w:t>
            </w:r>
            <w:r w:rsidR="000C6C3A">
              <w:rPr>
                <w:rFonts w:ascii="Arial" w:eastAsia="Times-Roman" w:hAnsi="Arial" w:cs="Arial"/>
                <w:color w:val="FF0000"/>
                <w:sz w:val="20"/>
                <w:szCs w:val="20"/>
                <w:vertAlign w:val="superscript"/>
              </w:rPr>
              <w:t>30</w:t>
            </w:r>
          </w:p>
          <w:p w14:paraId="71CB0C22" w14:textId="77777777" w:rsidR="000C6C3A" w:rsidRPr="0068632C" w:rsidRDefault="000C6C3A" w:rsidP="007614D7">
            <w:pPr>
              <w:suppressAutoHyphens/>
              <w:spacing w:after="100" w:afterAutospacing="1"/>
              <w:contextualSpacing/>
              <w:jc w:val="both"/>
              <w:rPr>
                <w:rFonts w:ascii="Arial" w:hAnsi="Arial" w:cs="Arial"/>
                <w:sz w:val="20"/>
                <w:szCs w:val="20"/>
              </w:rPr>
            </w:pPr>
          </w:p>
          <w:p w14:paraId="159D6BDD" w14:textId="77777777" w:rsidR="00E51D8E" w:rsidRPr="0068632C" w:rsidRDefault="00E51D8E" w:rsidP="007614D7">
            <w:pPr>
              <w:contextualSpacing/>
              <w:jc w:val="both"/>
              <w:rPr>
                <w:rFonts w:ascii="Arial" w:eastAsia="Times-Roman" w:hAnsi="Arial" w:cs="Arial"/>
                <w:sz w:val="20"/>
                <w:szCs w:val="20"/>
              </w:rPr>
            </w:pPr>
            <w:r w:rsidRPr="0068632C">
              <w:rPr>
                <w:rFonts w:ascii="Arial" w:hAnsi="Arial" w:cs="Arial"/>
                <w:sz w:val="20"/>
                <w:szCs w:val="20"/>
              </w:rPr>
              <w:t>Barrera de implementación: costo y disponibilidad a nivel institucional</w:t>
            </w:r>
          </w:p>
        </w:tc>
      </w:tr>
      <w:tr w:rsidR="00E51D8E" w:rsidRPr="0068632C" w14:paraId="0087AAB1" w14:textId="77777777" w:rsidTr="007614D7">
        <w:tc>
          <w:tcPr>
            <w:tcW w:w="3168" w:type="dxa"/>
            <w:tcBorders>
              <w:top w:val="single" w:sz="4" w:space="0" w:color="auto"/>
              <w:left w:val="single" w:sz="4" w:space="0" w:color="auto"/>
              <w:bottom w:val="single" w:sz="4" w:space="0" w:color="auto"/>
              <w:right w:val="single" w:sz="4" w:space="0" w:color="auto"/>
            </w:tcBorders>
          </w:tcPr>
          <w:p w14:paraId="518ECAEB" w14:textId="77777777" w:rsidR="00E51D8E" w:rsidRPr="0068632C" w:rsidRDefault="00E51D8E" w:rsidP="007614D7">
            <w:pPr>
              <w:contextualSpacing/>
              <w:jc w:val="both"/>
              <w:rPr>
                <w:rFonts w:ascii="Arial" w:eastAsia="Times-Roman" w:hAnsi="Arial" w:cs="Arial"/>
                <w:b/>
                <w:sz w:val="20"/>
                <w:szCs w:val="20"/>
              </w:rPr>
            </w:pPr>
            <w:r w:rsidRPr="0068632C">
              <w:rPr>
                <w:rFonts w:ascii="Arial" w:hAnsi="Arial" w:cs="Arial"/>
                <w:sz w:val="20"/>
                <w:szCs w:val="20"/>
              </w:rPr>
              <w:t>Monoterapia o en combinaciones (¿cuál es la mejor combinación y secuencia?)</w:t>
            </w:r>
          </w:p>
        </w:tc>
        <w:tc>
          <w:tcPr>
            <w:tcW w:w="6438" w:type="dxa"/>
            <w:tcBorders>
              <w:top w:val="single" w:sz="4" w:space="0" w:color="auto"/>
              <w:left w:val="single" w:sz="4" w:space="0" w:color="auto"/>
              <w:bottom w:val="single" w:sz="4" w:space="0" w:color="auto"/>
              <w:right w:val="single" w:sz="4" w:space="0" w:color="auto"/>
            </w:tcBorders>
          </w:tcPr>
          <w:p w14:paraId="6E0B84BE" w14:textId="77777777" w:rsidR="000C6C3A" w:rsidRDefault="00E51D8E" w:rsidP="007614D7">
            <w:pPr>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El </w:t>
            </w:r>
            <w:r w:rsidR="000C6C3A">
              <w:rPr>
                <w:rFonts w:ascii="Arial" w:hAnsi="Arial" w:cs="Arial"/>
                <w:sz w:val="20"/>
                <w:szCs w:val="20"/>
              </w:rPr>
              <w:t>a</w:t>
            </w:r>
            <w:r w:rsidRPr="0068632C">
              <w:rPr>
                <w:rFonts w:ascii="Arial" w:hAnsi="Arial" w:cs="Arial"/>
                <w:sz w:val="20"/>
                <w:szCs w:val="20"/>
              </w:rPr>
              <w:t xml:space="preserve">dalimumab puede ser dado con MTX excepto en los casos en los que el MTX esté contraindicado por poca tolerancia o se considere inapropiado. </w:t>
            </w:r>
            <w:r w:rsidR="000C6C3A" w:rsidRPr="001A5BEB">
              <w:rPr>
                <w:rFonts w:ascii="Arial" w:eastAsia="TrebuchetMS" w:hAnsi="Arial" w:cs="Arial"/>
                <w:b/>
                <w:color w:val="000000"/>
                <w:sz w:val="20"/>
                <w:szCs w:val="20"/>
                <w:lang w:val="es-ES"/>
              </w:rPr>
              <w:t>[</w:t>
            </w:r>
            <w:r w:rsidR="000C6C3A" w:rsidRPr="001A5BEB">
              <w:rPr>
                <w:rFonts w:ascii="Arial" w:hAnsi="Arial" w:cs="Arial"/>
                <w:b/>
                <w:sz w:val="20"/>
                <w:szCs w:val="20"/>
              </w:rPr>
              <w:t xml:space="preserve">NE: I, GR: </w:t>
            </w:r>
            <w:r w:rsidR="000C6C3A">
              <w:rPr>
                <w:rFonts w:ascii="Arial" w:hAnsi="Arial" w:cs="Arial"/>
                <w:b/>
                <w:sz w:val="20"/>
                <w:szCs w:val="20"/>
              </w:rPr>
              <w:t>A</w:t>
            </w:r>
            <w:r w:rsidR="000C6C3A" w:rsidRPr="001A5BEB">
              <w:rPr>
                <w:rFonts w:ascii="Arial" w:hAnsi="Arial" w:cs="Arial"/>
                <w:b/>
                <w:sz w:val="20"/>
                <w:szCs w:val="20"/>
              </w:rPr>
              <w:t>]</w:t>
            </w:r>
            <w:r w:rsidR="000C6C3A">
              <w:rPr>
                <w:rFonts w:ascii="Arial" w:eastAsia="Times-Roman" w:hAnsi="Arial" w:cs="Arial"/>
                <w:color w:val="FF0000"/>
                <w:sz w:val="20"/>
                <w:szCs w:val="20"/>
                <w:vertAlign w:val="superscript"/>
              </w:rPr>
              <w:t>30</w:t>
            </w:r>
          </w:p>
          <w:p w14:paraId="4AF05207" w14:textId="77777777" w:rsidR="00E51D8E" w:rsidRPr="0068632C" w:rsidRDefault="00E51D8E" w:rsidP="007614D7">
            <w:pPr>
              <w:contextualSpacing/>
              <w:jc w:val="both"/>
              <w:rPr>
                <w:rFonts w:ascii="Arial" w:eastAsia="Times-Roman" w:hAnsi="Arial" w:cs="Arial"/>
                <w:sz w:val="20"/>
                <w:szCs w:val="20"/>
              </w:rPr>
            </w:pPr>
            <w:r w:rsidRPr="0068632C">
              <w:rPr>
                <w:rFonts w:ascii="Arial" w:hAnsi="Arial" w:cs="Arial"/>
                <w:sz w:val="20"/>
                <w:szCs w:val="20"/>
              </w:rPr>
              <w:t>Barrera de implementación: costo y disponibilidad a nivel institucional.</w:t>
            </w:r>
          </w:p>
        </w:tc>
      </w:tr>
      <w:tr w:rsidR="00E51D8E" w:rsidRPr="0068632C" w14:paraId="111F4857" w14:textId="77777777" w:rsidTr="007614D7">
        <w:tc>
          <w:tcPr>
            <w:tcW w:w="3168" w:type="dxa"/>
            <w:tcBorders>
              <w:top w:val="single" w:sz="4" w:space="0" w:color="auto"/>
              <w:left w:val="single" w:sz="4" w:space="0" w:color="auto"/>
              <w:bottom w:val="single" w:sz="4" w:space="0" w:color="auto"/>
              <w:right w:val="single" w:sz="4" w:space="0" w:color="auto"/>
            </w:tcBorders>
          </w:tcPr>
          <w:p w14:paraId="6FABFB19" w14:textId="77777777" w:rsidR="00E51D8E" w:rsidRPr="0068632C" w:rsidRDefault="00E51D8E" w:rsidP="007614D7">
            <w:pPr>
              <w:contextualSpacing/>
              <w:jc w:val="both"/>
              <w:rPr>
                <w:rFonts w:ascii="Arial" w:eastAsia="Times-Roman" w:hAnsi="Arial" w:cs="Arial"/>
                <w:b/>
                <w:sz w:val="20"/>
                <w:szCs w:val="20"/>
              </w:rPr>
            </w:pPr>
            <w:r w:rsidRPr="0068632C">
              <w:rPr>
                <w:rFonts w:ascii="Arial" w:hAnsi="Arial" w:cs="Arial"/>
                <w:sz w:val="20"/>
                <w:szCs w:val="20"/>
              </w:rPr>
              <w:t>Tiempo para definir ajuste de dosis y retiro de medicamento</w:t>
            </w:r>
          </w:p>
        </w:tc>
        <w:tc>
          <w:tcPr>
            <w:tcW w:w="6438" w:type="dxa"/>
            <w:tcBorders>
              <w:top w:val="single" w:sz="4" w:space="0" w:color="auto"/>
              <w:left w:val="single" w:sz="4" w:space="0" w:color="auto"/>
              <w:bottom w:val="single" w:sz="4" w:space="0" w:color="auto"/>
              <w:right w:val="single" w:sz="4" w:space="0" w:color="auto"/>
            </w:tcBorders>
          </w:tcPr>
          <w:p w14:paraId="33CCF422" w14:textId="77777777" w:rsidR="00E51D8E" w:rsidRDefault="00E51D8E" w:rsidP="007614D7">
            <w:pPr>
              <w:autoSpaceDE w:val="0"/>
              <w:autoSpaceDN w:val="0"/>
              <w:adjustRightInd w:val="0"/>
              <w:contextualSpacing/>
              <w:jc w:val="both"/>
              <w:rPr>
                <w:rFonts w:ascii="Arial" w:hAnsi="Arial" w:cs="Arial"/>
                <w:b/>
                <w:color w:val="FF0000"/>
                <w:sz w:val="20"/>
                <w:szCs w:val="20"/>
                <w:vertAlign w:val="superscript"/>
              </w:rPr>
            </w:pPr>
            <w:r w:rsidRPr="0068632C">
              <w:rPr>
                <w:rFonts w:ascii="Arial" w:hAnsi="Arial" w:cs="Arial"/>
                <w:sz w:val="20"/>
                <w:szCs w:val="20"/>
              </w:rPr>
              <w:t>El tratamiento con anti TNF debe continuarse sólo si existe una respuesta a los seis meses.</w:t>
            </w:r>
            <w:r w:rsidR="000C6C3A" w:rsidRPr="0068632C">
              <w:rPr>
                <w:rFonts w:ascii="Arial" w:hAnsi="Arial" w:cs="Arial"/>
                <w:sz w:val="20"/>
                <w:szCs w:val="20"/>
              </w:rPr>
              <w:t xml:space="preserve"> </w:t>
            </w:r>
            <w:r w:rsidR="000C6C3A" w:rsidRPr="001A5BEB">
              <w:rPr>
                <w:rFonts w:ascii="Arial" w:eastAsia="TrebuchetMS" w:hAnsi="Arial" w:cs="Arial"/>
                <w:b/>
                <w:color w:val="000000"/>
                <w:sz w:val="20"/>
                <w:szCs w:val="20"/>
                <w:lang w:val="es-ES"/>
              </w:rPr>
              <w:t>[</w:t>
            </w:r>
            <w:r w:rsidR="000C6C3A" w:rsidRPr="001A5BEB">
              <w:rPr>
                <w:rFonts w:ascii="Arial" w:hAnsi="Arial" w:cs="Arial"/>
                <w:b/>
                <w:sz w:val="20"/>
                <w:szCs w:val="20"/>
              </w:rPr>
              <w:t xml:space="preserve">NE: I, GR: </w:t>
            </w:r>
            <w:r w:rsidR="000C6C3A">
              <w:rPr>
                <w:rFonts w:ascii="Arial" w:hAnsi="Arial" w:cs="Arial"/>
                <w:b/>
                <w:sz w:val="20"/>
                <w:szCs w:val="20"/>
              </w:rPr>
              <w:t>A</w:t>
            </w:r>
            <w:r w:rsidR="000C6C3A" w:rsidRPr="001A5BEB">
              <w:rPr>
                <w:rFonts w:ascii="Arial" w:hAnsi="Arial" w:cs="Arial"/>
                <w:b/>
                <w:sz w:val="20"/>
                <w:szCs w:val="20"/>
              </w:rPr>
              <w:t>]</w:t>
            </w:r>
            <w:r w:rsidR="000C6C3A" w:rsidRPr="007D413A">
              <w:rPr>
                <w:rFonts w:ascii="Arial" w:hAnsi="Arial" w:cs="Arial"/>
                <w:b/>
                <w:color w:val="FF0000"/>
                <w:sz w:val="20"/>
                <w:szCs w:val="20"/>
                <w:vertAlign w:val="superscript"/>
              </w:rPr>
              <w:t xml:space="preserve"> 4</w:t>
            </w:r>
          </w:p>
          <w:p w14:paraId="58BE79B7" w14:textId="77777777" w:rsidR="000C6C3A" w:rsidRPr="0068632C" w:rsidRDefault="000C6C3A" w:rsidP="007614D7">
            <w:pPr>
              <w:autoSpaceDE w:val="0"/>
              <w:autoSpaceDN w:val="0"/>
              <w:adjustRightInd w:val="0"/>
              <w:contextualSpacing/>
              <w:jc w:val="both"/>
              <w:rPr>
                <w:rFonts w:ascii="Arial" w:hAnsi="Arial" w:cs="Arial"/>
                <w:sz w:val="20"/>
                <w:szCs w:val="20"/>
              </w:rPr>
            </w:pPr>
          </w:p>
          <w:p w14:paraId="1E50589E" w14:textId="77777777" w:rsidR="00E51D8E" w:rsidRPr="0068632C" w:rsidRDefault="00E51D8E" w:rsidP="007614D7">
            <w:pPr>
              <w:autoSpaceDE w:val="0"/>
              <w:autoSpaceDN w:val="0"/>
              <w:adjustRightInd w:val="0"/>
              <w:contextualSpacing/>
              <w:jc w:val="both"/>
              <w:rPr>
                <w:rFonts w:ascii="Arial" w:eastAsia="Times-Roman" w:hAnsi="Arial" w:cs="Arial"/>
                <w:sz w:val="20"/>
                <w:szCs w:val="20"/>
              </w:rPr>
            </w:pPr>
            <w:r w:rsidRPr="0068632C">
              <w:rPr>
                <w:rFonts w:ascii="Arial" w:hAnsi="Arial" w:cs="Arial"/>
                <w:sz w:val="20"/>
                <w:szCs w:val="20"/>
              </w:rPr>
              <w:t>Si el paciente experimenta rem</w:t>
            </w:r>
            <w:r w:rsidR="00D80BDD">
              <w:rPr>
                <w:rFonts w:ascii="Arial" w:hAnsi="Arial" w:cs="Arial"/>
                <w:sz w:val="20"/>
                <w:szCs w:val="20"/>
              </w:rPr>
              <w:t>isión y ésta se sostiene por lo</w:t>
            </w:r>
            <w:r w:rsidRPr="0068632C">
              <w:rPr>
                <w:rFonts w:ascii="Arial" w:hAnsi="Arial" w:cs="Arial"/>
                <w:sz w:val="20"/>
                <w:szCs w:val="20"/>
              </w:rPr>
              <w:t xml:space="preserve"> menos 12 meses continuos, el reumatólogo puede optar por reducir dosis o espaciar el tiempo de aplicación del biológico, especialmente si el tratamiento es combinado con FARME convencionales.</w:t>
            </w:r>
            <w:r w:rsidR="00D82491">
              <w:rPr>
                <w:rFonts w:ascii="Arial" w:hAnsi="Arial" w:cs="Arial"/>
                <w:sz w:val="20"/>
                <w:szCs w:val="20"/>
              </w:rPr>
              <w:t xml:space="preserve"> </w:t>
            </w:r>
            <w:r w:rsidR="00D82491" w:rsidRPr="001A5BEB">
              <w:rPr>
                <w:rFonts w:ascii="Arial" w:eastAsia="TrebuchetMS" w:hAnsi="Arial" w:cs="Arial"/>
                <w:b/>
                <w:color w:val="000000"/>
                <w:sz w:val="20"/>
                <w:szCs w:val="20"/>
                <w:lang w:val="es-ES"/>
              </w:rPr>
              <w:t>[</w:t>
            </w:r>
            <w:r w:rsidR="00D82491" w:rsidRPr="001A5BEB">
              <w:rPr>
                <w:rFonts w:ascii="Arial" w:hAnsi="Arial" w:cs="Arial"/>
                <w:b/>
                <w:sz w:val="20"/>
                <w:szCs w:val="20"/>
              </w:rPr>
              <w:t xml:space="preserve">NE: </w:t>
            </w:r>
            <w:r w:rsidR="00D82491">
              <w:rPr>
                <w:rFonts w:ascii="Arial" w:hAnsi="Arial" w:cs="Arial"/>
                <w:b/>
                <w:sz w:val="20"/>
                <w:szCs w:val="20"/>
              </w:rPr>
              <w:t>3</w:t>
            </w:r>
            <w:r w:rsidR="00D82491" w:rsidRPr="001A5BEB">
              <w:rPr>
                <w:rFonts w:ascii="Arial" w:hAnsi="Arial" w:cs="Arial"/>
                <w:b/>
                <w:sz w:val="20"/>
                <w:szCs w:val="20"/>
              </w:rPr>
              <w:t xml:space="preserve">, GR: </w:t>
            </w:r>
            <w:r w:rsidR="00D82491">
              <w:rPr>
                <w:rFonts w:ascii="Arial" w:hAnsi="Arial" w:cs="Arial"/>
                <w:b/>
                <w:sz w:val="20"/>
                <w:szCs w:val="20"/>
              </w:rPr>
              <w:t>B</w:t>
            </w:r>
            <w:r w:rsidR="00D82491" w:rsidRPr="001A5BEB">
              <w:rPr>
                <w:rFonts w:ascii="Arial" w:hAnsi="Arial" w:cs="Arial"/>
                <w:b/>
                <w:sz w:val="20"/>
                <w:szCs w:val="20"/>
              </w:rPr>
              <w:t>]</w:t>
            </w:r>
            <w:r w:rsidR="00D82491" w:rsidRPr="007D413A">
              <w:rPr>
                <w:rFonts w:ascii="Arial" w:hAnsi="Arial" w:cs="Arial"/>
                <w:b/>
                <w:color w:val="FF0000"/>
                <w:sz w:val="20"/>
                <w:szCs w:val="20"/>
                <w:vertAlign w:val="superscript"/>
              </w:rPr>
              <w:t xml:space="preserve"> </w:t>
            </w:r>
            <w:r w:rsidR="007D413A" w:rsidRPr="007D413A">
              <w:rPr>
                <w:rFonts w:ascii="Arial" w:hAnsi="Arial" w:cs="Arial"/>
                <w:b/>
                <w:color w:val="FF0000"/>
                <w:sz w:val="20"/>
                <w:szCs w:val="20"/>
                <w:vertAlign w:val="superscript"/>
              </w:rPr>
              <w:t>3</w:t>
            </w:r>
            <w:r w:rsidR="00163F91">
              <w:rPr>
                <w:rFonts w:ascii="Arial" w:hAnsi="Arial" w:cs="Arial"/>
                <w:b/>
                <w:color w:val="FF0000"/>
                <w:sz w:val="20"/>
                <w:szCs w:val="20"/>
                <w:vertAlign w:val="superscript"/>
              </w:rPr>
              <w:t>1</w:t>
            </w:r>
          </w:p>
          <w:p w14:paraId="0B6477E6" w14:textId="77777777" w:rsidR="00E51D8E" w:rsidRPr="0068632C" w:rsidRDefault="00E51D8E" w:rsidP="007614D7">
            <w:pPr>
              <w:suppressAutoHyphens/>
              <w:spacing w:after="100" w:afterAutospacing="1"/>
              <w:contextualSpacing/>
              <w:jc w:val="both"/>
              <w:rPr>
                <w:rFonts w:ascii="Arial" w:hAnsi="Arial" w:cs="Arial"/>
                <w:sz w:val="20"/>
                <w:szCs w:val="20"/>
              </w:rPr>
            </w:pPr>
          </w:p>
          <w:p w14:paraId="28586582" w14:textId="77777777" w:rsidR="00D82491" w:rsidRPr="0068632C" w:rsidRDefault="00D82491" w:rsidP="00D82491">
            <w:pPr>
              <w:autoSpaceDE w:val="0"/>
              <w:autoSpaceDN w:val="0"/>
              <w:adjustRightInd w:val="0"/>
              <w:contextualSpacing/>
              <w:jc w:val="both"/>
              <w:rPr>
                <w:rFonts w:ascii="Arial" w:eastAsia="Times-Roman" w:hAnsi="Arial" w:cs="Arial"/>
                <w:sz w:val="20"/>
                <w:szCs w:val="20"/>
              </w:rPr>
            </w:pPr>
            <w:r>
              <w:rPr>
                <w:rFonts w:ascii="Arial" w:hAnsi="Arial" w:cs="Arial"/>
                <w:sz w:val="20"/>
                <w:szCs w:val="20"/>
              </w:rPr>
              <w:t>El tratamiento con a</w:t>
            </w:r>
            <w:r w:rsidR="00E51D8E" w:rsidRPr="0068632C">
              <w:rPr>
                <w:rFonts w:ascii="Arial" w:hAnsi="Arial" w:cs="Arial"/>
                <w:sz w:val="20"/>
                <w:szCs w:val="20"/>
              </w:rPr>
              <w:t>dalimumab debe continuarse cuando haya una buena respuesta, sobre todo si ésta es evaluada por los diferentes índices de clinimetría a los seis meses de haber iniciado la terapia.</w:t>
            </w:r>
            <w:r w:rsidRPr="0068632C">
              <w:rPr>
                <w:rFonts w:ascii="Arial" w:hAnsi="Arial" w:cs="Arial"/>
                <w:sz w:val="20"/>
                <w:szCs w:val="20"/>
              </w:rPr>
              <w:t xml:space="preserve"> .</w:t>
            </w:r>
            <w:r>
              <w:rPr>
                <w:rFonts w:ascii="Arial" w:hAnsi="Arial" w:cs="Arial"/>
                <w:sz w:val="20"/>
                <w:szCs w:val="20"/>
              </w:rPr>
              <w:t xml:space="preserve"> </w:t>
            </w:r>
            <w:r w:rsidRPr="001A5BEB">
              <w:rPr>
                <w:rFonts w:ascii="Arial" w:eastAsia="TrebuchetMS" w:hAnsi="Arial" w:cs="Arial"/>
                <w:b/>
                <w:color w:val="000000"/>
                <w:sz w:val="20"/>
                <w:szCs w:val="20"/>
                <w:lang w:val="es-ES"/>
              </w:rPr>
              <w:t>[</w:t>
            </w:r>
            <w:r w:rsidRPr="001A5BEB">
              <w:rPr>
                <w:rFonts w:ascii="Arial" w:hAnsi="Arial" w:cs="Arial"/>
                <w:b/>
                <w:sz w:val="20"/>
                <w:szCs w:val="20"/>
              </w:rPr>
              <w:t xml:space="preserve">NE: </w:t>
            </w:r>
            <w:r>
              <w:rPr>
                <w:rFonts w:ascii="Arial" w:hAnsi="Arial" w:cs="Arial"/>
                <w:b/>
                <w:sz w:val="20"/>
                <w:szCs w:val="20"/>
              </w:rPr>
              <w:t>I</w:t>
            </w:r>
            <w:r w:rsidRPr="001A5BEB">
              <w:rPr>
                <w:rFonts w:ascii="Arial" w:hAnsi="Arial" w:cs="Arial"/>
                <w:b/>
                <w:sz w:val="20"/>
                <w:szCs w:val="20"/>
              </w:rPr>
              <w:t xml:space="preserve">, GR: </w:t>
            </w:r>
            <w:r>
              <w:rPr>
                <w:rFonts w:ascii="Arial" w:hAnsi="Arial" w:cs="Arial"/>
                <w:b/>
                <w:sz w:val="20"/>
                <w:szCs w:val="20"/>
              </w:rPr>
              <w:t>A</w:t>
            </w:r>
            <w:r w:rsidRPr="001A5BEB">
              <w:rPr>
                <w:rFonts w:ascii="Arial" w:hAnsi="Arial" w:cs="Arial"/>
                <w:b/>
                <w:sz w:val="20"/>
                <w:szCs w:val="20"/>
              </w:rPr>
              <w:t>]</w:t>
            </w:r>
            <w:r w:rsidRPr="007D413A">
              <w:rPr>
                <w:rFonts w:ascii="Arial" w:hAnsi="Arial" w:cs="Arial"/>
                <w:b/>
                <w:color w:val="FF0000"/>
                <w:sz w:val="20"/>
                <w:szCs w:val="20"/>
                <w:vertAlign w:val="superscript"/>
              </w:rPr>
              <w:t>3</w:t>
            </w:r>
            <w:r w:rsidR="00163F91">
              <w:rPr>
                <w:rFonts w:ascii="Arial" w:hAnsi="Arial" w:cs="Arial"/>
                <w:b/>
                <w:color w:val="FF0000"/>
                <w:sz w:val="20"/>
                <w:szCs w:val="20"/>
                <w:vertAlign w:val="superscript"/>
              </w:rPr>
              <w:t>1</w:t>
            </w:r>
          </w:p>
          <w:p w14:paraId="623AF37B" w14:textId="77777777" w:rsidR="00E51D8E" w:rsidRPr="0068632C" w:rsidRDefault="00E51D8E" w:rsidP="007614D7">
            <w:pPr>
              <w:contextualSpacing/>
              <w:jc w:val="both"/>
              <w:rPr>
                <w:rFonts w:ascii="Arial" w:hAnsi="Arial" w:cs="Arial"/>
                <w:sz w:val="20"/>
                <w:szCs w:val="20"/>
              </w:rPr>
            </w:pPr>
          </w:p>
          <w:p w14:paraId="0A9BABED" w14:textId="77777777" w:rsidR="00E51D8E" w:rsidRPr="0068632C" w:rsidRDefault="00E51D8E" w:rsidP="007614D7">
            <w:pPr>
              <w:autoSpaceDE w:val="0"/>
              <w:autoSpaceDN w:val="0"/>
              <w:adjustRightInd w:val="0"/>
              <w:contextualSpacing/>
              <w:jc w:val="both"/>
              <w:rPr>
                <w:rFonts w:ascii="Arial" w:eastAsia="Times-Roman" w:hAnsi="Arial" w:cs="Arial"/>
                <w:sz w:val="20"/>
                <w:szCs w:val="20"/>
              </w:rPr>
            </w:pPr>
            <w:r w:rsidRPr="0068632C">
              <w:rPr>
                <w:rFonts w:ascii="Arial" w:hAnsi="Arial" w:cs="Arial"/>
                <w:sz w:val="20"/>
                <w:szCs w:val="20"/>
              </w:rPr>
              <w:t>En caso de que no se logre una disminución de por lo menos 1.2 en el DAS 28 a los seis meses, se debe ajustar la dosis incrementando a 40 mg.</w:t>
            </w:r>
            <w:r w:rsidR="001650FB">
              <w:rPr>
                <w:rFonts w:ascii="Arial" w:hAnsi="Arial" w:cs="Arial"/>
                <w:sz w:val="20"/>
                <w:szCs w:val="20"/>
              </w:rPr>
              <w:t xml:space="preserve"> </w:t>
            </w:r>
            <w:r w:rsidR="00D82491" w:rsidRPr="001A5BEB">
              <w:rPr>
                <w:rFonts w:ascii="Arial" w:eastAsia="TrebuchetMS" w:hAnsi="Arial" w:cs="Arial"/>
                <w:b/>
                <w:color w:val="000000"/>
                <w:sz w:val="20"/>
                <w:szCs w:val="20"/>
                <w:lang w:val="es-ES"/>
              </w:rPr>
              <w:t>[</w:t>
            </w:r>
            <w:r w:rsidR="00D82491" w:rsidRPr="001A5BEB">
              <w:rPr>
                <w:rFonts w:ascii="Arial" w:hAnsi="Arial" w:cs="Arial"/>
                <w:b/>
                <w:sz w:val="20"/>
                <w:szCs w:val="20"/>
              </w:rPr>
              <w:t xml:space="preserve">NE: I, GR: </w:t>
            </w:r>
            <w:r w:rsidR="00D82491">
              <w:rPr>
                <w:rFonts w:ascii="Arial" w:hAnsi="Arial" w:cs="Arial"/>
                <w:b/>
                <w:sz w:val="20"/>
                <w:szCs w:val="20"/>
              </w:rPr>
              <w:t>A</w:t>
            </w:r>
            <w:r w:rsidR="00D82491" w:rsidRPr="001A5BEB">
              <w:rPr>
                <w:rFonts w:ascii="Arial" w:hAnsi="Arial" w:cs="Arial"/>
                <w:b/>
                <w:sz w:val="20"/>
                <w:szCs w:val="20"/>
              </w:rPr>
              <w:t>]</w:t>
            </w:r>
            <w:r w:rsidR="00D82491">
              <w:rPr>
                <w:rFonts w:ascii="Arial" w:eastAsia="Times-Roman" w:hAnsi="Arial" w:cs="Arial"/>
                <w:color w:val="FF0000"/>
                <w:sz w:val="20"/>
                <w:szCs w:val="20"/>
                <w:vertAlign w:val="superscript"/>
              </w:rPr>
              <w:t>30</w:t>
            </w:r>
          </w:p>
        </w:tc>
      </w:tr>
      <w:tr w:rsidR="00E51D8E" w:rsidRPr="0068632C" w14:paraId="73F23E05" w14:textId="77777777" w:rsidTr="007614D7">
        <w:tc>
          <w:tcPr>
            <w:tcW w:w="3168" w:type="dxa"/>
            <w:tcBorders>
              <w:top w:val="single" w:sz="4" w:space="0" w:color="auto"/>
              <w:left w:val="single" w:sz="4" w:space="0" w:color="auto"/>
              <w:bottom w:val="single" w:sz="4" w:space="0" w:color="auto"/>
              <w:right w:val="single" w:sz="4" w:space="0" w:color="auto"/>
            </w:tcBorders>
          </w:tcPr>
          <w:p w14:paraId="7826EFA5" w14:textId="77777777" w:rsidR="00E51D8E" w:rsidRPr="0068632C" w:rsidRDefault="00E51D8E" w:rsidP="007614D7">
            <w:pPr>
              <w:contextualSpacing/>
              <w:jc w:val="both"/>
              <w:rPr>
                <w:rFonts w:ascii="Arial" w:eastAsia="Times-Roman" w:hAnsi="Arial" w:cs="Arial"/>
                <w:b/>
                <w:sz w:val="20"/>
                <w:szCs w:val="20"/>
              </w:rPr>
            </w:pPr>
            <w:r w:rsidRPr="0068632C">
              <w:rPr>
                <w:rFonts w:ascii="Arial" w:hAnsi="Arial" w:cs="Arial"/>
                <w:sz w:val="20"/>
                <w:szCs w:val="20"/>
              </w:rPr>
              <w:t>Dosis mínima y máxima</w:t>
            </w:r>
          </w:p>
        </w:tc>
        <w:tc>
          <w:tcPr>
            <w:tcW w:w="6438" w:type="dxa"/>
            <w:tcBorders>
              <w:top w:val="single" w:sz="4" w:space="0" w:color="auto"/>
              <w:left w:val="single" w:sz="4" w:space="0" w:color="auto"/>
              <w:bottom w:val="single" w:sz="4" w:space="0" w:color="auto"/>
              <w:right w:val="single" w:sz="4" w:space="0" w:color="auto"/>
            </w:tcBorders>
          </w:tcPr>
          <w:p w14:paraId="08C47612" w14:textId="77777777" w:rsidR="00E51D8E" w:rsidRPr="0068632C" w:rsidRDefault="00E51D8E" w:rsidP="007614D7">
            <w:pPr>
              <w:autoSpaceDE w:val="0"/>
              <w:autoSpaceDN w:val="0"/>
              <w:adjustRightInd w:val="0"/>
              <w:contextualSpacing/>
              <w:jc w:val="both"/>
              <w:rPr>
                <w:rFonts w:ascii="Arial" w:eastAsia="Times-Roman" w:hAnsi="Arial" w:cs="Arial"/>
                <w:sz w:val="20"/>
                <w:szCs w:val="20"/>
              </w:rPr>
            </w:pPr>
            <w:r w:rsidRPr="0068632C">
              <w:rPr>
                <w:rFonts w:ascii="Arial" w:hAnsi="Arial" w:cs="Arial"/>
                <w:sz w:val="20"/>
                <w:szCs w:val="20"/>
              </w:rPr>
              <w:t xml:space="preserve">Adalimumab se administra a dosis de 40 mg cada 14 días por vía subcutánea. Si los pacientes no experimentan una disminución en la actividad, la dosis puede incrementarse a una inyección de 40 mg semanales. </w:t>
            </w:r>
            <w:r w:rsidR="00E01CA7" w:rsidRPr="001A5BEB">
              <w:rPr>
                <w:rFonts w:ascii="Arial" w:eastAsia="TrebuchetMS" w:hAnsi="Arial" w:cs="Arial"/>
                <w:b/>
                <w:color w:val="000000"/>
                <w:sz w:val="20"/>
                <w:szCs w:val="20"/>
                <w:lang w:val="es-ES"/>
              </w:rPr>
              <w:t>[</w:t>
            </w:r>
            <w:r w:rsidR="00E01CA7" w:rsidRPr="001A5BEB">
              <w:rPr>
                <w:rFonts w:ascii="Arial" w:hAnsi="Arial" w:cs="Arial"/>
                <w:b/>
                <w:sz w:val="20"/>
                <w:szCs w:val="20"/>
              </w:rPr>
              <w:t xml:space="preserve">NE: I, GR: </w:t>
            </w:r>
            <w:r w:rsidR="00E01CA7">
              <w:rPr>
                <w:rFonts w:ascii="Arial" w:hAnsi="Arial" w:cs="Arial"/>
                <w:b/>
                <w:sz w:val="20"/>
                <w:szCs w:val="20"/>
              </w:rPr>
              <w:t>A</w:t>
            </w:r>
            <w:r w:rsidR="00E01CA7" w:rsidRPr="001A5BEB">
              <w:rPr>
                <w:rFonts w:ascii="Arial" w:hAnsi="Arial" w:cs="Arial"/>
                <w:b/>
                <w:sz w:val="20"/>
                <w:szCs w:val="20"/>
              </w:rPr>
              <w:t>]</w:t>
            </w:r>
            <w:r w:rsidR="00E01CA7">
              <w:rPr>
                <w:rFonts w:ascii="Arial" w:eastAsia="Times-Roman" w:hAnsi="Arial" w:cs="Arial"/>
                <w:color w:val="FF0000"/>
                <w:sz w:val="20"/>
                <w:szCs w:val="20"/>
                <w:vertAlign w:val="superscript"/>
              </w:rPr>
              <w:t>4</w:t>
            </w:r>
          </w:p>
        </w:tc>
      </w:tr>
      <w:tr w:rsidR="00E51D8E" w:rsidRPr="0068632C" w14:paraId="43F39499" w14:textId="77777777" w:rsidTr="007614D7">
        <w:tc>
          <w:tcPr>
            <w:tcW w:w="3168" w:type="dxa"/>
            <w:tcBorders>
              <w:top w:val="single" w:sz="4" w:space="0" w:color="auto"/>
              <w:left w:val="single" w:sz="4" w:space="0" w:color="auto"/>
              <w:bottom w:val="single" w:sz="4" w:space="0" w:color="auto"/>
              <w:right w:val="single" w:sz="4" w:space="0" w:color="auto"/>
            </w:tcBorders>
          </w:tcPr>
          <w:p w14:paraId="2F422979" w14:textId="77777777" w:rsidR="00E51D8E" w:rsidRPr="0068632C" w:rsidRDefault="00E51D8E" w:rsidP="00E51D8E">
            <w:pPr>
              <w:numPr>
                <w:ilvl w:val="0"/>
                <w:numId w:val="2"/>
              </w:numPr>
              <w:ind w:left="0"/>
              <w:contextualSpacing/>
              <w:jc w:val="both"/>
              <w:rPr>
                <w:rFonts w:ascii="Arial" w:hAnsi="Arial" w:cs="Arial"/>
                <w:sz w:val="20"/>
                <w:szCs w:val="20"/>
              </w:rPr>
            </w:pPr>
            <w:r w:rsidRPr="0068632C">
              <w:rPr>
                <w:rFonts w:ascii="Arial" w:hAnsi="Arial" w:cs="Arial"/>
                <w:sz w:val="20"/>
                <w:szCs w:val="20"/>
              </w:rPr>
              <w:t>Contraindicaciones</w:t>
            </w:r>
          </w:p>
        </w:tc>
        <w:tc>
          <w:tcPr>
            <w:tcW w:w="6438" w:type="dxa"/>
            <w:tcBorders>
              <w:top w:val="single" w:sz="4" w:space="0" w:color="auto"/>
              <w:left w:val="single" w:sz="4" w:space="0" w:color="auto"/>
              <w:bottom w:val="single" w:sz="4" w:space="0" w:color="auto"/>
              <w:right w:val="single" w:sz="4" w:space="0" w:color="auto"/>
            </w:tcBorders>
          </w:tcPr>
          <w:p w14:paraId="183DD0EA" w14:textId="77777777" w:rsidR="00E51D8E" w:rsidRPr="0068632C" w:rsidRDefault="00E51D8E" w:rsidP="007614D7">
            <w:pPr>
              <w:suppressAutoHyphens/>
              <w:spacing w:after="100" w:afterAutospacing="1"/>
              <w:contextualSpacing/>
              <w:jc w:val="both"/>
              <w:rPr>
                <w:rFonts w:ascii="Arial" w:hAnsi="Arial" w:cs="Arial"/>
                <w:sz w:val="20"/>
                <w:szCs w:val="20"/>
              </w:rPr>
            </w:pPr>
            <w:r w:rsidRPr="0068632C">
              <w:rPr>
                <w:rFonts w:ascii="Arial" w:hAnsi="Arial" w:cs="Arial"/>
                <w:sz w:val="20"/>
                <w:szCs w:val="20"/>
              </w:rPr>
              <w:t xml:space="preserve">Adalimumab está contraindicado en pacientes con insuficiencia cardiaca congestiva de moderada a grave, con TB activa o con </w:t>
            </w:r>
            <w:r w:rsidRPr="0068632C">
              <w:rPr>
                <w:rFonts w:ascii="Arial" w:hAnsi="Arial" w:cs="Arial"/>
                <w:sz w:val="20"/>
                <w:szCs w:val="20"/>
              </w:rPr>
              <w:lastRenderedPageBreak/>
              <w:t>i</w:t>
            </w:r>
            <w:r w:rsidR="00E01CA7">
              <w:rPr>
                <w:rFonts w:ascii="Arial" w:hAnsi="Arial" w:cs="Arial"/>
                <w:sz w:val="20"/>
                <w:szCs w:val="20"/>
              </w:rPr>
              <w:t>nfecciones oportunistas graves.</w:t>
            </w:r>
            <w:r w:rsidR="00E01CA7">
              <w:rPr>
                <w:rFonts w:ascii="Arial" w:hAnsi="Arial" w:cs="Arial"/>
                <w:b/>
                <w:color w:val="FF0000"/>
                <w:sz w:val="20"/>
                <w:szCs w:val="20"/>
                <w:vertAlign w:val="superscript"/>
              </w:rPr>
              <w:t>14</w:t>
            </w:r>
          </w:p>
          <w:p w14:paraId="16845F33" w14:textId="77777777" w:rsidR="00E51D8E" w:rsidRPr="0068632C" w:rsidRDefault="00E51D8E" w:rsidP="007614D7">
            <w:pPr>
              <w:autoSpaceDE w:val="0"/>
              <w:autoSpaceDN w:val="0"/>
              <w:adjustRightInd w:val="0"/>
              <w:contextualSpacing/>
              <w:jc w:val="both"/>
              <w:rPr>
                <w:rFonts w:ascii="Arial" w:hAnsi="Arial" w:cs="Arial"/>
                <w:sz w:val="20"/>
                <w:szCs w:val="20"/>
              </w:rPr>
            </w:pPr>
          </w:p>
          <w:p w14:paraId="6F44F839" w14:textId="77777777" w:rsidR="00E51D8E" w:rsidRPr="0068632C" w:rsidRDefault="00E51D8E" w:rsidP="00E01CA7">
            <w:pPr>
              <w:suppressAutoHyphens/>
              <w:spacing w:after="100" w:afterAutospacing="1"/>
              <w:contextualSpacing/>
              <w:jc w:val="both"/>
              <w:rPr>
                <w:rFonts w:ascii="Arial" w:hAnsi="Arial" w:cs="Arial"/>
                <w:sz w:val="20"/>
                <w:szCs w:val="20"/>
              </w:rPr>
            </w:pPr>
            <w:r w:rsidRPr="0068632C">
              <w:rPr>
                <w:rFonts w:ascii="Arial" w:hAnsi="Arial" w:cs="Arial"/>
                <w:sz w:val="20"/>
                <w:szCs w:val="20"/>
              </w:rPr>
              <w:t xml:space="preserve">Contraindicaciones absolutas para el uso de anti TNF: infección activa, administración concurrente con vacunas de virus vivos, historia reciente (menos de cinco años) de neoplasia maligna, excepto en el caso de cáncer de células basales, insuficiencia cardiaca congestiva clases III o IV de la NYHA o enfermedad desmielinizante. </w:t>
            </w:r>
            <w:r w:rsidR="00E01CA7" w:rsidRPr="001A5BEB">
              <w:rPr>
                <w:rFonts w:ascii="Arial" w:eastAsia="TrebuchetMS" w:hAnsi="Arial" w:cs="Arial"/>
                <w:b/>
                <w:color w:val="000000"/>
                <w:sz w:val="20"/>
                <w:szCs w:val="20"/>
                <w:lang w:val="es-ES"/>
              </w:rPr>
              <w:t>[</w:t>
            </w:r>
            <w:r w:rsidR="00E01CA7" w:rsidRPr="001A5BEB">
              <w:rPr>
                <w:rFonts w:ascii="Arial" w:hAnsi="Arial" w:cs="Arial"/>
                <w:b/>
                <w:sz w:val="20"/>
                <w:szCs w:val="20"/>
              </w:rPr>
              <w:t xml:space="preserve">NE: I, GR: </w:t>
            </w:r>
            <w:r w:rsidR="00E01CA7">
              <w:rPr>
                <w:rFonts w:ascii="Arial" w:hAnsi="Arial" w:cs="Arial"/>
                <w:b/>
                <w:sz w:val="20"/>
                <w:szCs w:val="20"/>
              </w:rPr>
              <w:t>A</w:t>
            </w:r>
            <w:r w:rsidR="00E01CA7" w:rsidRPr="001A5BEB">
              <w:rPr>
                <w:rFonts w:ascii="Arial" w:hAnsi="Arial" w:cs="Arial"/>
                <w:b/>
                <w:sz w:val="20"/>
                <w:szCs w:val="20"/>
              </w:rPr>
              <w:t>]</w:t>
            </w:r>
            <w:r w:rsidR="00E01CA7">
              <w:rPr>
                <w:rFonts w:ascii="Arial" w:hAnsi="Arial" w:cs="Arial"/>
                <w:b/>
                <w:color w:val="FF0000"/>
                <w:sz w:val="20"/>
                <w:szCs w:val="20"/>
                <w:vertAlign w:val="superscript"/>
              </w:rPr>
              <w:t>31</w:t>
            </w:r>
            <w:r w:rsidR="00E01CA7">
              <w:rPr>
                <w:rFonts w:ascii="Arial" w:hAnsi="Arial" w:cs="Arial"/>
                <w:sz w:val="20"/>
                <w:szCs w:val="20"/>
              </w:rPr>
              <w:t xml:space="preserve"> </w:t>
            </w:r>
          </w:p>
        </w:tc>
      </w:tr>
      <w:tr w:rsidR="00E51D8E" w:rsidRPr="0068632C" w14:paraId="1F61F8E5" w14:textId="77777777" w:rsidTr="007614D7">
        <w:tc>
          <w:tcPr>
            <w:tcW w:w="3168" w:type="dxa"/>
            <w:tcBorders>
              <w:top w:val="single" w:sz="4" w:space="0" w:color="auto"/>
              <w:left w:val="single" w:sz="4" w:space="0" w:color="auto"/>
              <w:bottom w:val="single" w:sz="4" w:space="0" w:color="auto"/>
              <w:right w:val="single" w:sz="4" w:space="0" w:color="auto"/>
            </w:tcBorders>
          </w:tcPr>
          <w:p w14:paraId="72988F04" w14:textId="77777777" w:rsidR="00E51D8E" w:rsidRPr="0068632C" w:rsidRDefault="00E51D8E" w:rsidP="00E51D8E">
            <w:pPr>
              <w:numPr>
                <w:ilvl w:val="0"/>
                <w:numId w:val="2"/>
              </w:numPr>
              <w:ind w:left="0"/>
              <w:contextualSpacing/>
              <w:jc w:val="both"/>
              <w:rPr>
                <w:rFonts w:ascii="Arial" w:hAnsi="Arial" w:cs="Arial"/>
                <w:sz w:val="20"/>
                <w:szCs w:val="20"/>
              </w:rPr>
            </w:pPr>
            <w:r w:rsidRPr="0068632C">
              <w:rPr>
                <w:rFonts w:ascii="Arial" w:hAnsi="Arial" w:cs="Arial"/>
                <w:sz w:val="20"/>
                <w:szCs w:val="20"/>
              </w:rPr>
              <w:lastRenderedPageBreak/>
              <w:t xml:space="preserve">Casos especiales </w:t>
            </w:r>
          </w:p>
          <w:p w14:paraId="61B379B2" w14:textId="77777777" w:rsidR="00E51D8E" w:rsidRPr="0068632C" w:rsidRDefault="00E51D8E" w:rsidP="00E51D8E">
            <w:pPr>
              <w:numPr>
                <w:ilvl w:val="0"/>
                <w:numId w:val="2"/>
              </w:numPr>
              <w:ind w:left="0"/>
              <w:contextualSpacing/>
              <w:jc w:val="both"/>
              <w:rPr>
                <w:rFonts w:ascii="Arial" w:hAnsi="Arial" w:cs="Arial"/>
                <w:sz w:val="20"/>
                <w:szCs w:val="20"/>
              </w:rPr>
            </w:pPr>
          </w:p>
        </w:tc>
        <w:tc>
          <w:tcPr>
            <w:tcW w:w="6438" w:type="dxa"/>
            <w:tcBorders>
              <w:top w:val="single" w:sz="4" w:space="0" w:color="auto"/>
              <w:left w:val="single" w:sz="4" w:space="0" w:color="auto"/>
              <w:bottom w:val="single" w:sz="4" w:space="0" w:color="auto"/>
              <w:right w:val="single" w:sz="4" w:space="0" w:color="auto"/>
            </w:tcBorders>
          </w:tcPr>
          <w:p w14:paraId="3D509B93" w14:textId="77777777" w:rsidR="00E51D8E" w:rsidRPr="0068632C" w:rsidRDefault="00E51D8E" w:rsidP="007614D7">
            <w:pPr>
              <w:suppressAutoHyphens/>
              <w:spacing w:after="100" w:afterAutospacing="1"/>
              <w:contextualSpacing/>
              <w:jc w:val="both"/>
              <w:rPr>
                <w:rFonts w:ascii="Arial" w:hAnsi="Arial" w:cs="Arial"/>
                <w:sz w:val="20"/>
                <w:szCs w:val="20"/>
              </w:rPr>
            </w:pPr>
            <w:r w:rsidRPr="0068632C">
              <w:rPr>
                <w:rFonts w:ascii="Arial" w:hAnsi="Arial" w:cs="Arial"/>
                <w:sz w:val="20"/>
                <w:szCs w:val="20"/>
              </w:rPr>
              <w:t>El tratamiento profiláctico antituberculoso debe ser iniciado por lo menos tres semana</w:t>
            </w:r>
            <w:r w:rsidR="00E01CA7">
              <w:rPr>
                <w:rFonts w:ascii="Arial" w:hAnsi="Arial" w:cs="Arial"/>
                <w:sz w:val="20"/>
                <w:szCs w:val="20"/>
              </w:rPr>
              <w:t>s antes del inicio de anti TNF.</w:t>
            </w:r>
            <w:r w:rsidR="00163F91" w:rsidRPr="001A5BEB">
              <w:rPr>
                <w:rFonts w:ascii="Arial" w:eastAsia="TrebuchetMS" w:hAnsi="Arial" w:cs="Arial"/>
                <w:b/>
                <w:color w:val="000000"/>
                <w:sz w:val="20"/>
                <w:szCs w:val="20"/>
                <w:lang w:val="es-ES"/>
              </w:rPr>
              <w:t xml:space="preserve"> [</w:t>
            </w:r>
            <w:r w:rsidR="00163F91" w:rsidRPr="001A5BEB">
              <w:rPr>
                <w:rFonts w:ascii="Arial" w:hAnsi="Arial" w:cs="Arial"/>
                <w:b/>
                <w:sz w:val="20"/>
                <w:szCs w:val="20"/>
              </w:rPr>
              <w:t xml:space="preserve">NE: </w:t>
            </w:r>
            <w:r w:rsidR="00163F91">
              <w:rPr>
                <w:rFonts w:ascii="Arial" w:hAnsi="Arial" w:cs="Arial"/>
                <w:b/>
                <w:sz w:val="20"/>
                <w:szCs w:val="20"/>
              </w:rPr>
              <w:t>2</w:t>
            </w:r>
            <w:r w:rsidR="00163F91" w:rsidRPr="001A5BEB">
              <w:rPr>
                <w:rFonts w:ascii="Arial" w:hAnsi="Arial" w:cs="Arial"/>
                <w:b/>
                <w:sz w:val="20"/>
                <w:szCs w:val="20"/>
              </w:rPr>
              <w:t xml:space="preserve">, GR: </w:t>
            </w:r>
            <w:r w:rsidR="00163F91">
              <w:rPr>
                <w:rFonts w:ascii="Arial" w:hAnsi="Arial" w:cs="Arial"/>
                <w:b/>
                <w:sz w:val="20"/>
                <w:szCs w:val="20"/>
              </w:rPr>
              <w:t>B</w:t>
            </w:r>
            <w:r w:rsidR="00163F91" w:rsidRPr="001A5BEB">
              <w:rPr>
                <w:rFonts w:ascii="Arial" w:hAnsi="Arial" w:cs="Arial"/>
                <w:b/>
                <w:sz w:val="20"/>
                <w:szCs w:val="20"/>
              </w:rPr>
              <w:t>]</w:t>
            </w:r>
            <w:r w:rsidR="00371C42">
              <w:rPr>
                <w:rFonts w:ascii="Arial" w:hAnsi="Arial" w:cs="Arial"/>
                <w:b/>
                <w:color w:val="FF0000"/>
                <w:sz w:val="20"/>
                <w:szCs w:val="20"/>
                <w:vertAlign w:val="superscript"/>
              </w:rPr>
              <w:t>13</w:t>
            </w:r>
          </w:p>
          <w:p w14:paraId="586D1E2F" w14:textId="77777777" w:rsidR="00E51D8E" w:rsidRPr="0068632C" w:rsidRDefault="00E51D8E" w:rsidP="007614D7">
            <w:pPr>
              <w:autoSpaceDE w:val="0"/>
              <w:autoSpaceDN w:val="0"/>
              <w:adjustRightInd w:val="0"/>
              <w:contextualSpacing/>
              <w:jc w:val="both"/>
              <w:rPr>
                <w:rFonts w:ascii="Arial" w:eastAsia="Times-Roman" w:hAnsi="Arial" w:cs="Arial"/>
                <w:b/>
                <w:sz w:val="20"/>
                <w:szCs w:val="20"/>
              </w:rPr>
            </w:pPr>
          </w:p>
          <w:p w14:paraId="6D2BCB5C" w14:textId="77777777" w:rsidR="00163F91" w:rsidRPr="0068632C" w:rsidRDefault="00E51D8E" w:rsidP="00163F91">
            <w:pPr>
              <w:suppressAutoHyphens/>
              <w:spacing w:after="100" w:afterAutospacing="1"/>
              <w:contextualSpacing/>
              <w:jc w:val="both"/>
              <w:rPr>
                <w:rFonts w:ascii="Arial" w:hAnsi="Arial" w:cs="Arial"/>
                <w:sz w:val="20"/>
                <w:szCs w:val="20"/>
              </w:rPr>
            </w:pPr>
            <w:r w:rsidRPr="0068632C">
              <w:rPr>
                <w:rFonts w:ascii="Arial" w:hAnsi="Arial" w:cs="Arial"/>
                <w:sz w:val="20"/>
                <w:szCs w:val="20"/>
              </w:rPr>
              <w:t>La terapia biológica no debe iniciarse en mujeres embarazadas o que estén lactando. Si el embarazo ocurriera durante la terapia, ésta se tiene que suspender.</w:t>
            </w:r>
            <w:r w:rsidR="00351559">
              <w:rPr>
                <w:rFonts w:ascii="Arial" w:hAnsi="Arial" w:cs="Arial"/>
                <w:sz w:val="20"/>
                <w:szCs w:val="20"/>
              </w:rPr>
              <w:t xml:space="preserve"> </w:t>
            </w:r>
            <w:r w:rsidR="00163F91" w:rsidRPr="001A5BEB">
              <w:rPr>
                <w:rFonts w:ascii="Arial" w:eastAsia="TrebuchetMS" w:hAnsi="Arial" w:cs="Arial"/>
                <w:b/>
                <w:color w:val="000000"/>
                <w:sz w:val="20"/>
                <w:szCs w:val="20"/>
                <w:lang w:val="es-ES"/>
              </w:rPr>
              <w:t>[</w:t>
            </w:r>
            <w:r w:rsidR="00163F91" w:rsidRPr="001A5BEB">
              <w:rPr>
                <w:rFonts w:ascii="Arial" w:hAnsi="Arial" w:cs="Arial"/>
                <w:b/>
                <w:sz w:val="20"/>
                <w:szCs w:val="20"/>
              </w:rPr>
              <w:t xml:space="preserve">NE: </w:t>
            </w:r>
            <w:r w:rsidR="00163F91">
              <w:rPr>
                <w:rFonts w:ascii="Arial" w:hAnsi="Arial" w:cs="Arial"/>
                <w:b/>
                <w:sz w:val="20"/>
                <w:szCs w:val="20"/>
              </w:rPr>
              <w:t>I</w:t>
            </w:r>
            <w:r w:rsidR="00163F91" w:rsidRPr="001A5BEB">
              <w:rPr>
                <w:rFonts w:ascii="Arial" w:hAnsi="Arial" w:cs="Arial"/>
                <w:b/>
                <w:sz w:val="20"/>
                <w:szCs w:val="20"/>
              </w:rPr>
              <w:t xml:space="preserve">, GR: </w:t>
            </w:r>
            <w:r w:rsidR="00163F91">
              <w:rPr>
                <w:rFonts w:ascii="Arial" w:hAnsi="Arial" w:cs="Arial"/>
                <w:b/>
                <w:sz w:val="20"/>
                <w:szCs w:val="20"/>
              </w:rPr>
              <w:t>A</w:t>
            </w:r>
            <w:r w:rsidR="00163F91" w:rsidRPr="001A5BEB">
              <w:rPr>
                <w:rFonts w:ascii="Arial" w:hAnsi="Arial" w:cs="Arial"/>
                <w:b/>
                <w:sz w:val="20"/>
                <w:szCs w:val="20"/>
              </w:rPr>
              <w:t>]</w:t>
            </w:r>
            <w:r w:rsidR="00163F91">
              <w:rPr>
                <w:rFonts w:ascii="Arial" w:hAnsi="Arial" w:cs="Arial"/>
                <w:b/>
                <w:color w:val="FF0000"/>
                <w:sz w:val="20"/>
                <w:szCs w:val="20"/>
                <w:vertAlign w:val="superscript"/>
              </w:rPr>
              <w:t>14</w:t>
            </w:r>
          </w:p>
          <w:p w14:paraId="442583E7" w14:textId="77777777" w:rsidR="00E51D8E" w:rsidRPr="0068632C" w:rsidRDefault="00E51D8E" w:rsidP="007614D7">
            <w:pPr>
              <w:suppressAutoHyphens/>
              <w:spacing w:after="100" w:afterAutospacing="1"/>
              <w:contextualSpacing/>
              <w:jc w:val="both"/>
              <w:rPr>
                <w:rFonts w:ascii="Arial" w:hAnsi="Arial" w:cs="Arial"/>
                <w:sz w:val="20"/>
                <w:szCs w:val="20"/>
              </w:rPr>
            </w:pPr>
          </w:p>
          <w:p w14:paraId="6E421BF1" w14:textId="77777777" w:rsidR="00E51D8E" w:rsidRPr="0068632C" w:rsidRDefault="00E51D8E" w:rsidP="007614D7">
            <w:pPr>
              <w:suppressAutoHyphens/>
              <w:spacing w:after="100" w:afterAutospacing="1"/>
              <w:contextualSpacing/>
              <w:jc w:val="both"/>
              <w:rPr>
                <w:rFonts w:ascii="Arial" w:hAnsi="Arial" w:cs="Arial"/>
                <w:sz w:val="20"/>
                <w:szCs w:val="20"/>
              </w:rPr>
            </w:pPr>
            <w:r w:rsidRPr="0068632C">
              <w:rPr>
                <w:rFonts w:ascii="Arial" w:hAnsi="Arial" w:cs="Arial"/>
                <w:sz w:val="20"/>
                <w:szCs w:val="20"/>
              </w:rPr>
              <w:t xml:space="preserve">No existe evidencia que sugiera que es una contraindicación para iniciar la terapéutica, sin embargo, se tiene que tomar en cuenta el mayor riesgo de infecciones particularmente en mayores de 75 años. </w:t>
            </w:r>
          </w:p>
          <w:p w14:paraId="7936E362" w14:textId="77777777" w:rsidR="00E51D8E" w:rsidRPr="0068632C" w:rsidRDefault="00E51D8E" w:rsidP="007614D7">
            <w:pPr>
              <w:suppressAutoHyphens/>
              <w:spacing w:after="100" w:afterAutospacing="1"/>
              <w:contextualSpacing/>
              <w:rPr>
                <w:rFonts w:ascii="Arial" w:hAnsi="Arial" w:cs="Arial"/>
                <w:sz w:val="20"/>
                <w:szCs w:val="20"/>
              </w:rPr>
            </w:pPr>
          </w:p>
          <w:p w14:paraId="49BE2A1A" w14:textId="77777777" w:rsidR="00E51D8E" w:rsidRPr="0068632C" w:rsidRDefault="00E51D8E" w:rsidP="007614D7">
            <w:pPr>
              <w:autoSpaceDE w:val="0"/>
              <w:autoSpaceDN w:val="0"/>
              <w:adjustRightInd w:val="0"/>
              <w:contextualSpacing/>
              <w:jc w:val="both"/>
              <w:rPr>
                <w:rFonts w:ascii="Arial" w:eastAsia="Times-Roman" w:hAnsi="Arial" w:cs="Arial"/>
                <w:i/>
                <w:sz w:val="20"/>
                <w:szCs w:val="20"/>
              </w:rPr>
            </w:pPr>
            <w:r w:rsidRPr="0068632C">
              <w:rPr>
                <w:rFonts w:ascii="Arial" w:eastAsia="Times-Roman" w:hAnsi="Arial" w:cs="Arial"/>
                <w:i/>
                <w:sz w:val="20"/>
                <w:szCs w:val="20"/>
              </w:rPr>
              <w:t>*Ver sección de eventos adversos para terapia con anti TNF</w:t>
            </w:r>
          </w:p>
        </w:tc>
      </w:tr>
    </w:tbl>
    <w:p w14:paraId="0C962DAE" w14:textId="77777777" w:rsidR="00177884" w:rsidRPr="00163F91" w:rsidRDefault="00177884" w:rsidP="00132CB6">
      <w:pPr>
        <w:spacing w:after="200"/>
        <w:contextualSpacing/>
        <w:rPr>
          <w:rFonts w:ascii="Arial" w:hAnsi="Arial" w:cs="Arial"/>
          <w:sz w:val="20"/>
          <w:szCs w:val="20"/>
          <w:lang w:val="es-MX"/>
        </w:rPr>
      </w:pPr>
    </w:p>
    <w:p w14:paraId="7863206F" w14:textId="77777777" w:rsidR="00E51D8E" w:rsidRPr="00163F91" w:rsidRDefault="00E51D8E">
      <w:pPr>
        <w:rPr>
          <w:lang w:val="es-MX"/>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438"/>
      </w:tblGrid>
      <w:tr w:rsidR="00E51D8E" w:rsidRPr="0068632C" w14:paraId="1FE97C11" w14:textId="77777777" w:rsidTr="007614D7">
        <w:tc>
          <w:tcPr>
            <w:tcW w:w="3168" w:type="dxa"/>
            <w:tcBorders>
              <w:top w:val="single" w:sz="4" w:space="0" w:color="auto"/>
              <w:left w:val="single" w:sz="4" w:space="0" w:color="auto"/>
              <w:bottom w:val="single" w:sz="4" w:space="0" w:color="auto"/>
              <w:right w:val="single" w:sz="4" w:space="0" w:color="auto"/>
            </w:tcBorders>
          </w:tcPr>
          <w:p w14:paraId="0DE03352" w14:textId="77777777" w:rsidR="00E51D8E" w:rsidRPr="00F0314D" w:rsidRDefault="00C53F31" w:rsidP="007614D7">
            <w:pPr>
              <w:contextualSpacing/>
              <w:jc w:val="both"/>
              <w:rPr>
                <w:rFonts w:ascii="Arial" w:hAnsi="Arial" w:cs="Arial"/>
                <w:b/>
                <w:sz w:val="28"/>
                <w:szCs w:val="28"/>
              </w:rPr>
            </w:pPr>
            <w:r w:rsidRPr="00F0314D">
              <w:rPr>
                <w:rFonts w:ascii="Arial" w:hAnsi="Arial" w:cs="Arial"/>
                <w:b/>
                <w:sz w:val="28"/>
                <w:szCs w:val="28"/>
                <w:lang w:val="es-MX"/>
              </w:rPr>
              <w:t>Etanercept</w:t>
            </w:r>
          </w:p>
        </w:tc>
        <w:tc>
          <w:tcPr>
            <w:tcW w:w="6438" w:type="dxa"/>
            <w:tcBorders>
              <w:top w:val="single" w:sz="4" w:space="0" w:color="auto"/>
              <w:left w:val="single" w:sz="4" w:space="0" w:color="auto"/>
              <w:bottom w:val="single" w:sz="4" w:space="0" w:color="auto"/>
              <w:right w:val="single" w:sz="4" w:space="0" w:color="auto"/>
            </w:tcBorders>
          </w:tcPr>
          <w:p w14:paraId="6D1D80F7" w14:textId="77777777" w:rsidR="00E51D8E" w:rsidRPr="0068632C" w:rsidRDefault="00E51D8E"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Receptor </w:t>
            </w:r>
            <w:r w:rsidRPr="0068632C">
              <w:rPr>
                <w:rFonts w:ascii="Arial" w:hAnsi="Arial" w:cs="Arial"/>
                <w:sz w:val="20"/>
                <w:szCs w:val="20"/>
              </w:rPr>
              <w:t>soluble del  TNF que bloquea su unión a receptor de membrana celular y sus efectos.</w:t>
            </w:r>
          </w:p>
        </w:tc>
      </w:tr>
      <w:tr w:rsidR="00E51D8E" w:rsidRPr="0068632C" w14:paraId="6E547ECE" w14:textId="77777777" w:rsidTr="007614D7">
        <w:tc>
          <w:tcPr>
            <w:tcW w:w="3168" w:type="dxa"/>
            <w:tcBorders>
              <w:top w:val="single" w:sz="4" w:space="0" w:color="auto"/>
              <w:left w:val="single" w:sz="4" w:space="0" w:color="auto"/>
              <w:bottom w:val="single" w:sz="4" w:space="0" w:color="auto"/>
              <w:right w:val="single" w:sz="4" w:space="0" w:color="auto"/>
            </w:tcBorders>
          </w:tcPr>
          <w:p w14:paraId="5B496739" w14:textId="77777777" w:rsidR="00E51D8E" w:rsidRPr="0068632C" w:rsidRDefault="00E51D8E" w:rsidP="007614D7">
            <w:pPr>
              <w:contextualSpacing/>
              <w:jc w:val="both"/>
              <w:rPr>
                <w:rFonts w:ascii="Arial" w:hAnsi="Arial" w:cs="Arial"/>
                <w:sz w:val="20"/>
                <w:szCs w:val="20"/>
              </w:rPr>
            </w:pPr>
            <w:r w:rsidRPr="0068632C">
              <w:rPr>
                <w:rFonts w:ascii="Arial" w:hAnsi="Arial" w:cs="Arial"/>
                <w:sz w:val="20"/>
                <w:szCs w:val="20"/>
              </w:rPr>
              <w:t xml:space="preserve">Línea de tratamiento en la que está indicado </w:t>
            </w:r>
          </w:p>
        </w:tc>
        <w:tc>
          <w:tcPr>
            <w:tcW w:w="6438" w:type="dxa"/>
            <w:tcBorders>
              <w:top w:val="single" w:sz="4" w:space="0" w:color="auto"/>
              <w:left w:val="single" w:sz="4" w:space="0" w:color="auto"/>
              <w:bottom w:val="single" w:sz="4" w:space="0" w:color="auto"/>
              <w:right w:val="single" w:sz="4" w:space="0" w:color="auto"/>
            </w:tcBorders>
          </w:tcPr>
          <w:p w14:paraId="2A09E7C0" w14:textId="77777777" w:rsidR="00E51D8E" w:rsidRDefault="00E51D8E" w:rsidP="007614D7">
            <w:pPr>
              <w:contextualSpacing/>
              <w:rPr>
                <w:rFonts w:ascii="Arial" w:hAnsi="Arial" w:cs="Arial"/>
                <w:b/>
                <w:color w:val="FF0000"/>
                <w:sz w:val="20"/>
                <w:szCs w:val="20"/>
                <w:vertAlign w:val="superscript"/>
              </w:rPr>
            </w:pPr>
            <w:r w:rsidRPr="0068632C">
              <w:rPr>
                <w:rFonts w:ascii="Arial" w:hAnsi="Arial" w:cs="Arial"/>
                <w:sz w:val="20"/>
                <w:szCs w:val="20"/>
              </w:rPr>
              <w:t xml:space="preserve">Etanercept se recomienda como segunda línea en pacientes que han fallado al tratamiento con la combinación de al menos dos FARME convencionales (uno de ellos tiene que ser MTX a menos de que exista contraindicación), a dosis óptima, al menos </w:t>
            </w:r>
            <w:r w:rsidR="001D3CFF">
              <w:rPr>
                <w:rFonts w:ascii="Arial" w:hAnsi="Arial" w:cs="Arial"/>
                <w:sz w:val="20"/>
                <w:szCs w:val="20"/>
              </w:rPr>
              <w:t xml:space="preserve">por un periodo de 12 semanas.  </w:t>
            </w:r>
            <w:r w:rsidR="00211B62" w:rsidRPr="001A5BEB">
              <w:rPr>
                <w:rFonts w:ascii="Arial" w:eastAsia="TrebuchetMS" w:hAnsi="Arial" w:cs="Arial"/>
                <w:b/>
                <w:color w:val="000000"/>
                <w:sz w:val="20"/>
                <w:szCs w:val="20"/>
                <w:lang w:val="es-ES"/>
              </w:rPr>
              <w:t>[</w:t>
            </w:r>
            <w:r w:rsidR="00211B62" w:rsidRPr="001A5BEB">
              <w:rPr>
                <w:rFonts w:ascii="Arial" w:hAnsi="Arial" w:cs="Arial"/>
                <w:b/>
                <w:sz w:val="20"/>
                <w:szCs w:val="20"/>
              </w:rPr>
              <w:t xml:space="preserve">NE: </w:t>
            </w:r>
            <w:r w:rsidR="00211B62">
              <w:rPr>
                <w:rFonts w:ascii="Arial" w:hAnsi="Arial" w:cs="Arial"/>
                <w:b/>
                <w:sz w:val="20"/>
                <w:szCs w:val="20"/>
              </w:rPr>
              <w:t>I</w:t>
            </w:r>
            <w:r w:rsidR="00211B62" w:rsidRPr="001A5BEB">
              <w:rPr>
                <w:rFonts w:ascii="Arial" w:hAnsi="Arial" w:cs="Arial"/>
                <w:b/>
                <w:sz w:val="20"/>
                <w:szCs w:val="20"/>
              </w:rPr>
              <w:t xml:space="preserve">, GR: </w:t>
            </w:r>
            <w:r w:rsidR="00211B62">
              <w:rPr>
                <w:rFonts w:ascii="Arial" w:hAnsi="Arial" w:cs="Arial"/>
                <w:b/>
                <w:sz w:val="20"/>
                <w:szCs w:val="20"/>
              </w:rPr>
              <w:t>A</w:t>
            </w:r>
            <w:r w:rsidR="00211B62" w:rsidRPr="001A5BEB">
              <w:rPr>
                <w:rFonts w:ascii="Arial" w:hAnsi="Arial" w:cs="Arial"/>
                <w:b/>
                <w:sz w:val="20"/>
                <w:szCs w:val="20"/>
              </w:rPr>
              <w:t>]</w:t>
            </w:r>
            <w:r w:rsidR="00211B62">
              <w:rPr>
                <w:rFonts w:ascii="Arial" w:hAnsi="Arial" w:cs="Arial"/>
                <w:b/>
                <w:color w:val="FF0000"/>
                <w:sz w:val="20"/>
                <w:szCs w:val="20"/>
                <w:vertAlign w:val="superscript"/>
              </w:rPr>
              <w:t>6</w:t>
            </w:r>
          </w:p>
          <w:p w14:paraId="590C75C2" w14:textId="77777777" w:rsidR="00211B62" w:rsidRPr="0068632C" w:rsidRDefault="00211B62" w:rsidP="007614D7">
            <w:pPr>
              <w:contextualSpacing/>
              <w:rPr>
                <w:rFonts w:ascii="Arial" w:hAnsi="Arial" w:cs="Arial"/>
                <w:sz w:val="20"/>
                <w:szCs w:val="20"/>
              </w:rPr>
            </w:pPr>
          </w:p>
          <w:p w14:paraId="4E0E787B" w14:textId="77777777" w:rsidR="00E51D8E" w:rsidRPr="0068632C" w:rsidRDefault="00E51D8E" w:rsidP="007614D7">
            <w:pPr>
              <w:contextualSpacing/>
              <w:rPr>
                <w:rFonts w:ascii="Arial" w:hAnsi="Arial" w:cs="Arial"/>
                <w:sz w:val="20"/>
                <w:szCs w:val="20"/>
              </w:rPr>
            </w:pPr>
            <w:r w:rsidRPr="0068632C">
              <w:rPr>
                <w:rFonts w:ascii="Arial" w:hAnsi="Arial" w:cs="Arial"/>
                <w:sz w:val="20"/>
                <w:szCs w:val="20"/>
              </w:rPr>
              <w:t>La falla se define como actividad moderada a grave de la AR (según los puntajes de las herramientas de clinimetría validadas).</w:t>
            </w:r>
          </w:p>
          <w:p w14:paraId="1C30DAD5" w14:textId="77777777" w:rsidR="00E51D8E" w:rsidRPr="0068632C" w:rsidRDefault="00E51D8E" w:rsidP="007614D7">
            <w:pPr>
              <w:contextualSpacing/>
              <w:rPr>
                <w:rFonts w:ascii="Arial" w:hAnsi="Arial" w:cs="Arial"/>
                <w:sz w:val="20"/>
                <w:szCs w:val="20"/>
              </w:rPr>
            </w:pPr>
          </w:p>
          <w:p w14:paraId="1947D02F" w14:textId="77777777" w:rsidR="00F62F46" w:rsidRDefault="00E51D8E" w:rsidP="007614D7">
            <w:pPr>
              <w:autoSpaceDE w:val="0"/>
              <w:autoSpaceDN w:val="0"/>
              <w:adjustRightInd w:val="0"/>
              <w:contextualSpacing/>
              <w:jc w:val="both"/>
              <w:rPr>
                <w:rFonts w:ascii="Arial" w:hAnsi="Arial" w:cs="Arial"/>
                <w:b/>
                <w:color w:val="FF0000"/>
                <w:sz w:val="20"/>
                <w:szCs w:val="20"/>
                <w:vertAlign w:val="superscript"/>
              </w:rPr>
            </w:pPr>
            <w:r w:rsidRPr="0068632C">
              <w:rPr>
                <w:rFonts w:ascii="Arial" w:hAnsi="Arial" w:cs="Arial"/>
                <w:sz w:val="20"/>
                <w:szCs w:val="20"/>
              </w:rPr>
              <w:t>En casos especiales en donde existe intolerancia a los FARME convencionales o cuando existe grado elevado de actividad de la enfermedad en pacientes con factores de mal pronóstico y con progresión rápida de daño estructural, el etanercept puede ser utilizado como tratamiento de primera línea, en monoterapia o combinado con FARME tradicionales. El tratamiento combinado se ha reportado más eficaz que la monoterapia, pero en casos especiales se puede utilizar como monoterapia (pacientes intolerantes a MTX o</w:t>
            </w:r>
            <w:r w:rsidR="001D3CFF">
              <w:rPr>
                <w:rFonts w:ascii="Arial" w:hAnsi="Arial" w:cs="Arial"/>
                <w:sz w:val="20"/>
                <w:szCs w:val="20"/>
              </w:rPr>
              <w:t xml:space="preserve"> a otros FARME tradicionales). </w:t>
            </w:r>
            <w:r w:rsidR="00F62F46" w:rsidRPr="001A5BEB">
              <w:rPr>
                <w:rFonts w:ascii="Arial" w:eastAsia="TrebuchetMS" w:hAnsi="Arial" w:cs="Arial"/>
                <w:b/>
                <w:color w:val="000000"/>
                <w:sz w:val="20"/>
                <w:szCs w:val="20"/>
                <w:lang w:val="es-ES"/>
              </w:rPr>
              <w:t>[</w:t>
            </w:r>
            <w:r w:rsidR="00F62F46" w:rsidRPr="001A5BEB">
              <w:rPr>
                <w:rFonts w:ascii="Arial" w:hAnsi="Arial" w:cs="Arial"/>
                <w:b/>
                <w:sz w:val="20"/>
                <w:szCs w:val="20"/>
              </w:rPr>
              <w:t xml:space="preserve">NE: </w:t>
            </w:r>
            <w:r w:rsidR="00F62F46">
              <w:rPr>
                <w:rFonts w:ascii="Arial" w:hAnsi="Arial" w:cs="Arial"/>
                <w:b/>
                <w:sz w:val="20"/>
                <w:szCs w:val="20"/>
              </w:rPr>
              <w:t>I</w:t>
            </w:r>
            <w:r w:rsidR="00F62F46" w:rsidRPr="001A5BEB">
              <w:rPr>
                <w:rFonts w:ascii="Arial" w:hAnsi="Arial" w:cs="Arial"/>
                <w:b/>
                <w:sz w:val="20"/>
                <w:szCs w:val="20"/>
              </w:rPr>
              <w:t xml:space="preserve">, GR: </w:t>
            </w:r>
            <w:r w:rsidR="00F62F46">
              <w:rPr>
                <w:rFonts w:ascii="Arial" w:hAnsi="Arial" w:cs="Arial"/>
                <w:b/>
                <w:sz w:val="20"/>
                <w:szCs w:val="20"/>
              </w:rPr>
              <w:t>A</w:t>
            </w:r>
            <w:r w:rsidR="00F62F46" w:rsidRPr="001A5BEB">
              <w:rPr>
                <w:rFonts w:ascii="Arial" w:hAnsi="Arial" w:cs="Arial"/>
                <w:b/>
                <w:sz w:val="20"/>
                <w:szCs w:val="20"/>
              </w:rPr>
              <w:t>]</w:t>
            </w:r>
            <w:r w:rsidR="00F62F46">
              <w:rPr>
                <w:rFonts w:ascii="Arial" w:hAnsi="Arial" w:cs="Arial"/>
                <w:b/>
                <w:color w:val="FF0000"/>
                <w:sz w:val="20"/>
                <w:szCs w:val="20"/>
                <w:vertAlign w:val="superscript"/>
              </w:rPr>
              <w:t>6</w:t>
            </w:r>
          </w:p>
          <w:p w14:paraId="730A5464" w14:textId="77777777" w:rsidR="00E51D8E" w:rsidRPr="0068632C" w:rsidRDefault="00E51D8E" w:rsidP="007614D7">
            <w:pPr>
              <w:autoSpaceDE w:val="0"/>
              <w:autoSpaceDN w:val="0"/>
              <w:adjustRightInd w:val="0"/>
              <w:contextualSpacing/>
              <w:jc w:val="both"/>
              <w:rPr>
                <w:rFonts w:ascii="Arial" w:eastAsia="Times-Roman" w:hAnsi="Arial" w:cs="Arial"/>
                <w:sz w:val="20"/>
                <w:szCs w:val="20"/>
              </w:rPr>
            </w:pPr>
            <w:r w:rsidRPr="0068632C">
              <w:rPr>
                <w:rFonts w:ascii="Arial" w:hAnsi="Arial" w:cs="Arial"/>
                <w:sz w:val="20"/>
                <w:szCs w:val="20"/>
              </w:rPr>
              <w:t>Barrera de implementación: costo y disponibilidad institucional</w:t>
            </w:r>
          </w:p>
        </w:tc>
      </w:tr>
      <w:tr w:rsidR="00E51D8E" w:rsidRPr="0068632C" w14:paraId="157A7D21" w14:textId="77777777" w:rsidTr="007614D7">
        <w:tc>
          <w:tcPr>
            <w:tcW w:w="3168" w:type="dxa"/>
            <w:tcBorders>
              <w:top w:val="single" w:sz="4" w:space="0" w:color="auto"/>
              <w:left w:val="single" w:sz="4" w:space="0" w:color="auto"/>
              <w:bottom w:val="single" w:sz="4" w:space="0" w:color="auto"/>
              <w:right w:val="single" w:sz="4" w:space="0" w:color="auto"/>
            </w:tcBorders>
          </w:tcPr>
          <w:p w14:paraId="3A91960E" w14:textId="77777777" w:rsidR="00E51D8E" w:rsidRPr="0068632C" w:rsidRDefault="00E51D8E" w:rsidP="007614D7">
            <w:pPr>
              <w:contextualSpacing/>
              <w:jc w:val="both"/>
              <w:rPr>
                <w:rFonts w:ascii="Arial" w:eastAsia="Times-Roman" w:hAnsi="Arial" w:cs="Arial"/>
                <w:b/>
                <w:sz w:val="20"/>
                <w:szCs w:val="20"/>
              </w:rPr>
            </w:pPr>
            <w:r w:rsidRPr="0068632C">
              <w:rPr>
                <w:rFonts w:ascii="Arial" w:hAnsi="Arial" w:cs="Arial"/>
                <w:sz w:val="20"/>
                <w:szCs w:val="20"/>
              </w:rPr>
              <w:t>Monoterapia o en combinaciones (¿cuál es la mejor combinación y secuencia?)</w:t>
            </w:r>
          </w:p>
        </w:tc>
        <w:tc>
          <w:tcPr>
            <w:tcW w:w="6438" w:type="dxa"/>
            <w:tcBorders>
              <w:top w:val="single" w:sz="4" w:space="0" w:color="auto"/>
              <w:left w:val="single" w:sz="4" w:space="0" w:color="auto"/>
              <w:bottom w:val="single" w:sz="4" w:space="0" w:color="auto"/>
              <w:right w:val="single" w:sz="4" w:space="0" w:color="auto"/>
            </w:tcBorders>
          </w:tcPr>
          <w:p w14:paraId="7E365C3E" w14:textId="77777777" w:rsidR="00F62F46" w:rsidRDefault="00E51D8E" w:rsidP="007614D7">
            <w:pPr>
              <w:suppressAutoHyphens/>
              <w:spacing w:after="100" w:afterAutospacing="1"/>
              <w:contextualSpacing/>
              <w:rPr>
                <w:rFonts w:ascii="Arial" w:hAnsi="Arial" w:cs="Arial"/>
                <w:b/>
                <w:color w:val="FF0000"/>
                <w:sz w:val="20"/>
                <w:szCs w:val="20"/>
                <w:vertAlign w:val="superscript"/>
              </w:rPr>
            </w:pPr>
            <w:r w:rsidRPr="0068632C">
              <w:rPr>
                <w:rFonts w:ascii="Arial" w:hAnsi="Arial" w:cs="Arial"/>
                <w:sz w:val="20"/>
                <w:szCs w:val="20"/>
              </w:rPr>
              <w:t xml:space="preserve">La terapia combinada con MTX  eleva los porcentajes de respuesta a etanercept. </w:t>
            </w:r>
            <w:r w:rsidR="00F62F46" w:rsidRPr="001A5BEB">
              <w:rPr>
                <w:rFonts w:ascii="Arial" w:eastAsia="TrebuchetMS" w:hAnsi="Arial" w:cs="Arial"/>
                <w:b/>
                <w:color w:val="000000"/>
                <w:sz w:val="20"/>
                <w:szCs w:val="20"/>
                <w:lang w:val="es-ES"/>
              </w:rPr>
              <w:t>[</w:t>
            </w:r>
            <w:r w:rsidR="00F62F46" w:rsidRPr="001A5BEB">
              <w:rPr>
                <w:rFonts w:ascii="Arial" w:hAnsi="Arial" w:cs="Arial"/>
                <w:b/>
                <w:sz w:val="20"/>
                <w:szCs w:val="20"/>
              </w:rPr>
              <w:t xml:space="preserve">NE: </w:t>
            </w:r>
            <w:r w:rsidR="00F62F46">
              <w:rPr>
                <w:rFonts w:ascii="Arial" w:hAnsi="Arial" w:cs="Arial"/>
                <w:b/>
                <w:sz w:val="20"/>
                <w:szCs w:val="20"/>
              </w:rPr>
              <w:t>I</w:t>
            </w:r>
            <w:r w:rsidR="00F62F46" w:rsidRPr="001A5BEB">
              <w:rPr>
                <w:rFonts w:ascii="Arial" w:hAnsi="Arial" w:cs="Arial"/>
                <w:b/>
                <w:sz w:val="20"/>
                <w:szCs w:val="20"/>
              </w:rPr>
              <w:t xml:space="preserve">, GR: </w:t>
            </w:r>
            <w:r w:rsidR="00F62F46">
              <w:rPr>
                <w:rFonts w:ascii="Arial" w:hAnsi="Arial" w:cs="Arial"/>
                <w:b/>
                <w:sz w:val="20"/>
                <w:szCs w:val="20"/>
              </w:rPr>
              <w:t>A</w:t>
            </w:r>
            <w:r w:rsidR="00F62F46" w:rsidRPr="001A5BEB">
              <w:rPr>
                <w:rFonts w:ascii="Arial" w:hAnsi="Arial" w:cs="Arial"/>
                <w:b/>
                <w:sz w:val="20"/>
                <w:szCs w:val="20"/>
              </w:rPr>
              <w:t>]</w:t>
            </w:r>
            <w:r w:rsidR="00F62F46">
              <w:rPr>
                <w:rFonts w:ascii="Arial" w:hAnsi="Arial" w:cs="Arial"/>
                <w:b/>
                <w:color w:val="FF0000"/>
                <w:sz w:val="20"/>
                <w:szCs w:val="20"/>
                <w:vertAlign w:val="superscript"/>
              </w:rPr>
              <w:t>6</w:t>
            </w:r>
          </w:p>
          <w:p w14:paraId="067DA978" w14:textId="77777777" w:rsidR="00E51D8E" w:rsidRPr="0068632C" w:rsidRDefault="00E51D8E" w:rsidP="007614D7">
            <w:pPr>
              <w:contextualSpacing/>
              <w:rPr>
                <w:rFonts w:ascii="Arial" w:hAnsi="Arial" w:cs="Arial"/>
                <w:sz w:val="20"/>
                <w:szCs w:val="20"/>
              </w:rPr>
            </w:pPr>
          </w:p>
          <w:p w14:paraId="1DDB0649" w14:textId="77777777" w:rsidR="00F62F46" w:rsidRDefault="00E51D8E" w:rsidP="007614D7">
            <w:pPr>
              <w:contextualSpacing/>
              <w:jc w:val="both"/>
              <w:rPr>
                <w:rFonts w:ascii="Arial" w:hAnsi="Arial" w:cs="Arial"/>
                <w:b/>
                <w:color w:val="FF0000"/>
                <w:sz w:val="20"/>
                <w:szCs w:val="20"/>
                <w:vertAlign w:val="superscript"/>
              </w:rPr>
            </w:pPr>
            <w:r w:rsidRPr="0068632C">
              <w:rPr>
                <w:rFonts w:ascii="Arial" w:hAnsi="Arial" w:cs="Arial"/>
                <w:sz w:val="20"/>
                <w:szCs w:val="20"/>
              </w:rPr>
              <w:t xml:space="preserve">En casos especiales, el etanercept puede funcionar como monoterapia, sin embargo, la evidencia marca mayor eficacia con terapia combinada. </w:t>
            </w:r>
            <w:r w:rsidR="00F62F46" w:rsidRPr="001A5BEB">
              <w:rPr>
                <w:rFonts w:ascii="Arial" w:eastAsia="TrebuchetMS" w:hAnsi="Arial" w:cs="Arial"/>
                <w:b/>
                <w:color w:val="000000"/>
                <w:sz w:val="20"/>
                <w:szCs w:val="20"/>
                <w:lang w:val="es-ES"/>
              </w:rPr>
              <w:t>[</w:t>
            </w:r>
            <w:r w:rsidR="00F62F46" w:rsidRPr="001A5BEB">
              <w:rPr>
                <w:rFonts w:ascii="Arial" w:hAnsi="Arial" w:cs="Arial"/>
                <w:b/>
                <w:sz w:val="20"/>
                <w:szCs w:val="20"/>
              </w:rPr>
              <w:t xml:space="preserve">NE: </w:t>
            </w:r>
            <w:r w:rsidR="00F62F46">
              <w:rPr>
                <w:rFonts w:ascii="Arial" w:hAnsi="Arial" w:cs="Arial"/>
                <w:b/>
                <w:sz w:val="20"/>
                <w:szCs w:val="20"/>
              </w:rPr>
              <w:t>I</w:t>
            </w:r>
            <w:r w:rsidR="00F62F46" w:rsidRPr="001A5BEB">
              <w:rPr>
                <w:rFonts w:ascii="Arial" w:hAnsi="Arial" w:cs="Arial"/>
                <w:b/>
                <w:sz w:val="20"/>
                <w:szCs w:val="20"/>
              </w:rPr>
              <w:t xml:space="preserve">, GR: </w:t>
            </w:r>
            <w:r w:rsidR="00F62F46">
              <w:rPr>
                <w:rFonts w:ascii="Arial" w:hAnsi="Arial" w:cs="Arial"/>
                <w:b/>
                <w:sz w:val="20"/>
                <w:szCs w:val="20"/>
              </w:rPr>
              <w:t>A</w:t>
            </w:r>
            <w:r w:rsidR="00F62F46" w:rsidRPr="001A5BEB">
              <w:rPr>
                <w:rFonts w:ascii="Arial" w:hAnsi="Arial" w:cs="Arial"/>
                <w:b/>
                <w:sz w:val="20"/>
                <w:szCs w:val="20"/>
              </w:rPr>
              <w:t>]</w:t>
            </w:r>
            <w:r w:rsidR="00F62F46">
              <w:rPr>
                <w:rFonts w:ascii="Arial" w:hAnsi="Arial" w:cs="Arial"/>
                <w:b/>
                <w:color w:val="FF0000"/>
                <w:sz w:val="20"/>
                <w:szCs w:val="20"/>
                <w:vertAlign w:val="superscript"/>
              </w:rPr>
              <w:t>6</w:t>
            </w:r>
          </w:p>
          <w:p w14:paraId="768CE001" w14:textId="77777777" w:rsidR="00E51D8E" w:rsidRPr="0068632C" w:rsidRDefault="00E51D8E" w:rsidP="007614D7">
            <w:pPr>
              <w:contextualSpacing/>
              <w:jc w:val="both"/>
              <w:rPr>
                <w:rFonts w:ascii="Arial" w:eastAsia="Times-Roman" w:hAnsi="Arial" w:cs="Arial"/>
                <w:sz w:val="20"/>
                <w:szCs w:val="20"/>
              </w:rPr>
            </w:pPr>
            <w:r w:rsidRPr="0068632C">
              <w:rPr>
                <w:rFonts w:ascii="Arial" w:hAnsi="Arial" w:cs="Arial"/>
                <w:sz w:val="20"/>
                <w:szCs w:val="20"/>
              </w:rPr>
              <w:t>Barrera de implementación: costo y disponibilidad a nivel institucional</w:t>
            </w:r>
          </w:p>
        </w:tc>
      </w:tr>
      <w:tr w:rsidR="00E51D8E" w:rsidRPr="0068632C" w14:paraId="6842D1C9" w14:textId="77777777" w:rsidTr="007614D7">
        <w:tc>
          <w:tcPr>
            <w:tcW w:w="3168" w:type="dxa"/>
            <w:tcBorders>
              <w:top w:val="single" w:sz="4" w:space="0" w:color="auto"/>
              <w:left w:val="single" w:sz="4" w:space="0" w:color="auto"/>
              <w:bottom w:val="single" w:sz="4" w:space="0" w:color="auto"/>
              <w:right w:val="single" w:sz="4" w:space="0" w:color="auto"/>
            </w:tcBorders>
          </w:tcPr>
          <w:p w14:paraId="171F0AB8" w14:textId="77777777" w:rsidR="00E51D8E" w:rsidRPr="000D61DF" w:rsidRDefault="00E51D8E" w:rsidP="007614D7">
            <w:pPr>
              <w:contextualSpacing/>
              <w:jc w:val="both"/>
              <w:rPr>
                <w:rFonts w:ascii="Arial" w:eastAsia="Times-Roman" w:hAnsi="Arial" w:cs="Arial"/>
                <w:b/>
                <w:sz w:val="20"/>
                <w:szCs w:val="20"/>
              </w:rPr>
            </w:pPr>
            <w:r w:rsidRPr="000D61DF">
              <w:rPr>
                <w:rFonts w:ascii="Arial" w:hAnsi="Arial" w:cs="Arial"/>
                <w:sz w:val="20"/>
                <w:szCs w:val="20"/>
              </w:rPr>
              <w:t>Tiempo para definir ajuste de dosis y retiro de medicamento</w:t>
            </w:r>
          </w:p>
        </w:tc>
        <w:tc>
          <w:tcPr>
            <w:tcW w:w="6438" w:type="dxa"/>
            <w:tcBorders>
              <w:top w:val="single" w:sz="4" w:space="0" w:color="auto"/>
              <w:left w:val="single" w:sz="4" w:space="0" w:color="auto"/>
              <w:bottom w:val="single" w:sz="4" w:space="0" w:color="auto"/>
              <w:right w:val="single" w:sz="4" w:space="0" w:color="auto"/>
            </w:tcBorders>
          </w:tcPr>
          <w:p w14:paraId="1CEB035F" w14:textId="77777777" w:rsidR="00E51D8E" w:rsidRPr="000D61DF" w:rsidRDefault="00800543" w:rsidP="007614D7">
            <w:pPr>
              <w:suppressAutoHyphens/>
              <w:spacing w:after="100" w:afterAutospacing="1"/>
              <w:contextualSpacing/>
              <w:jc w:val="both"/>
              <w:rPr>
                <w:rFonts w:ascii="Arial" w:hAnsi="Arial" w:cs="Arial"/>
                <w:sz w:val="20"/>
                <w:szCs w:val="20"/>
              </w:rPr>
            </w:pPr>
            <w:r w:rsidRPr="000D61DF">
              <w:rPr>
                <w:rFonts w:ascii="Arial" w:eastAsia="Times-Roman" w:hAnsi="Arial" w:cs="Arial"/>
                <w:sz w:val="20"/>
                <w:szCs w:val="20"/>
              </w:rPr>
              <w:t>De 12 a 16 semanas.</w:t>
            </w:r>
          </w:p>
          <w:p w14:paraId="7EED14C5" w14:textId="77777777" w:rsidR="00E51D8E" w:rsidRPr="000D61DF" w:rsidRDefault="000D61DF" w:rsidP="007614D7">
            <w:pPr>
              <w:suppressAutoHyphens/>
              <w:spacing w:after="100" w:afterAutospacing="1"/>
              <w:contextualSpacing/>
              <w:rPr>
                <w:rFonts w:ascii="Arial" w:eastAsia="Times-Roman" w:hAnsi="Arial" w:cs="Arial"/>
                <w:b/>
                <w:sz w:val="20"/>
                <w:szCs w:val="20"/>
              </w:rPr>
            </w:pPr>
            <w:r w:rsidRPr="000D61DF">
              <w:rPr>
                <w:rFonts w:ascii="Arial" w:hAnsi="Arial" w:cs="Arial"/>
                <w:b/>
                <w:sz w:val="20"/>
                <w:szCs w:val="20"/>
              </w:rPr>
              <w:t>[GR: D]</w:t>
            </w:r>
          </w:p>
        </w:tc>
      </w:tr>
      <w:tr w:rsidR="00E51D8E" w:rsidRPr="0068632C" w14:paraId="53EE6DED" w14:textId="77777777" w:rsidTr="007614D7">
        <w:tc>
          <w:tcPr>
            <w:tcW w:w="3168" w:type="dxa"/>
            <w:tcBorders>
              <w:top w:val="single" w:sz="4" w:space="0" w:color="auto"/>
              <w:left w:val="single" w:sz="4" w:space="0" w:color="auto"/>
              <w:bottom w:val="single" w:sz="4" w:space="0" w:color="auto"/>
              <w:right w:val="single" w:sz="4" w:space="0" w:color="auto"/>
            </w:tcBorders>
          </w:tcPr>
          <w:p w14:paraId="6676EE8C" w14:textId="77777777" w:rsidR="00E51D8E" w:rsidRPr="0068632C" w:rsidRDefault="00E51D8E" w:rsidP="007614D7">
            <w:pPr>
              <w:contextualSpacing/>
              <w:jc w:val="both"/>
              <w:rPr>
                <w:rFonts w:ascii="Arial" w:eastAsia="Times-Roman" w:hAnsi="Arial" w:cs="Arial"/>
                <w:b/>
                <w:sz w:val="20"/>
                <w:szCs w:val="20"/>
              </w:rPr>
            </w:pPr>
            <w:r w:rsidRPr="0068632C">
              <w:rPr>
                <w:rFonts w:ascii="Arial" w:hAnsi="Arial" w:cs="Arial"/>
                <w:sz w:val="20"/>
                <w:szCs w:val="20"/>
              </w:rPr>
              <w:t>Dosis mínima y máxima</w:t>
            </w:r>
          </w:p>
        </w:tc>
        <w:tc>
          <w:tcPr>
            <w:tcW w:w="6438" w:type="dxa"/>
            <w:tcBorders>
              <w:top w:val="single" w:sz="4" w:space="0" w:color="auto"/>
              <w:left w:val="single" w:sz="4" w:space="0" w:color="auto"/>
              <w:bottom w:val="single" w:sz="4" w:space="0" w:color="auto"/>
              <w:right w:val="single" w:sz="4" w:space="0" w:color="auto"/>
            </w:tcBorders>
          </w:tcPr>
          <w:p w14:paraId="7BAA6B97" w14:textId="77777777" w:rsidR="00E51D8E" w:rsidRPr="0068632C" w:rsidRDefault="00E51D8E" w:rsidP="007614D7">
            <w:pPr>
              <w:contextualSpacing/>
              <w:rPr>
                <w:rFonts w:ascii="Arial" w:hAnsi="Arial" w:cs="Arial"/>
                <w:sz w:val="20"/>
                <w:szCs w:val="20"/>
              </w:rPr>
            </w:pPr>
            <w:r w:rsidRPr="0068632C">
              <w:rPr>
                <w:rFonts w:ascii="Arial" w:hAnsi="Arial" w:cs="Arial"/>
                <w:sz w:val="20"/>
                <w:szCs w:val="20"/>
              </w:rPr>
              <w:t>25 mg SC dos veces por semana o 50 mg SC cada semana.</w:t>
            </w:r>
          </w:p>
        </w:tc>
      </w:tr>
      <w:tr w:rsidR="00E51D8E" w:rsidRPr="0068632C" w14:paraId="5E610CB6" w14:textId="77777777" w:rsidTr="007614D7">
        <w:tc>
          <w:tcPr>
            <w:tcW w:w="3168" w:type="dxa"/>
            <w:tcBorders>
              <w:top w:val="single" w:sz="4" w:space="0" w:color="auto"/>
              <w:left w:val="single" w:sz="4" w:space="0" w:color="auto"/>
              <w:bottom w:val="single" w:sz="4" w:space="0" w:color="auto"/>
              <w:right w:val="single" w:sz="4" w:space="0" w:color="auto"/>
            </w:tcBorders>
          </w:tcPr>
          <w:p w14:paraId="7CFBF07D" w14:textId="77777777" w:rsidR="00E51D8E" w:rsidRPr="0068632C" w:rsidRDefault="00E51D8E" w:rsidP="00E51D8E">
            <w:pPr>
              <w:numPr>
                <w:ilvl w:val="0"/>
                <w:numId w:val="2"/>
              </w:numPr>
              <w:ind w:left="0"/>
              <w:contextualSpacing/>
              <w:jc w:val="both"/>
              <w:rPr>
                <w:rFonts w:ascii="Arial" w:hAnsi="Arial" w:cs="Arial"/>
                <w:sz w:val="20"/>
                <w:szCs w:val="20"/>
              </w:rPr>
            </w:pPr>
            <w:r w:rsidRPr="0068632C">
              <w:rPr>
                <w:rFonts w:ascii="Arial" w:hAnsi="Arial" w:cs="Arial"/>
                <w:sz w:val="20"/>
                <w:szCs w:val="20"/>
              </w:rPr>
              <w:t>Contraindicaciones</w:t>
            </w:r>
          </w:p>
        </w:tc>
        <w:tc>
          <w:tcPr>
            <w:tcW w:w="6438" w:type="dxa"/>
            <w:tcBorders>
              <w:top w:val="single" w:sz="4" w:space="0" w:color="auto"/>
              <w:left w:val="single" w:sz="4" w:space="0" w:color="auto"/>
              <w:bottom w:val="single" w:sz="4" w:space="0" w:color="auto"/>
              <w:right w:val="single" w:sz="4" w:space="0" w:color="auto"/>
            </w:tcBorders>
          </w:tcPr>
          <w:p w14:paraId="6845F1FB" w14:textId="77777777" w:rsidR="00890726" w:rsidRPr="0068632C" w:rsidRDefault="00E51D8E" w:rsidP="000D61DF">
            <w:pPr>
              <w:autoSpaceDE w:val="0"/>
              <w:autoSpaceDN w:val="0"/>
              <w:adjustRightInd w:val="0"/>
              <w:contextualSpacing/>
              <w:jc w:val="both"/>
              <w:rPr>
                <w:rFonts w:ascii="Arial" w:eastAsia="Times-Roman" w:hAnsi="Arial" w:cs="Arial"/>
                <w:b/>
                <w:sz w:val="20"/>
                <w:szCs w:val="20"/>
              </w:rPr>
            </w:pPr>
            <w:r w:rsidRPr="0068632C">
              <w:rPr>
                <w:rFonts w:ascii="Arial" w:hAnsi="Arial" w:cs="Arial"/>
                <w:sz w:val="20"/>
                <w:szCs w:val="20"/>
              </w:rPr>
              <w:t xml:space="preserve">Infecciones activas (incluyendo TB activa), insuficiencia cardiaca moderada a grave (NYHA clases III/IV), sepsis o riesgo de sepsis,  </w:t>
            </w:r>
            <w:r w:rsidRPr="0068632C">
              <w:rPr>
                <w:rFonts w:ascii="Arial" w:hAnsi="Arial" w:cs="Arial"/>
                <w:sz w:val="20"/>
                <w:szCs w:val="20"/>
              </w:rPr>
              <w:lastRenderedPageBreak/>
              <w:t>enfermedad desmielinizante del sistema nervioso y cáncer. Las infecciones agudas o crónicas activas constituyen una contraindicación absoluta, así como la presencia de tumores no erradicados.</w:t>
            </w:r>
            <w:r w:rsidR="00F2064F">
              <w:rPr>
                <w:rFonts w:ascii="Arial" w:hAnsi="Arial" w:cs="Arial"/>
                <w:sz w:val="20"/>
                <w:szCs w:val="20"/>
              </w:rPr>
              <w:t xml:space="preserve"> </w:t>
            </w:r>
            <w:r w:rsidR="000D61DF" w:rsidRPr="001A5BEB">
              <w:rPr>
                <w:rFonts w:ascii="Arial" w:eastAsia="TrebuchetMS" w:hAnsi="Arial" w:cs="Arial"/>
                <w:b/>
                <w:color w:val="000000"/>
                <w:sz w:val="20"/>
                <w:szCs w:val="20"/>
                <w:lang w:val="es-ES"/>
              </w:rPr>
              <w:t>[</w:t>
            </w:r>
            <w:r w:rsidR="000D61DF" w:rsidRPr="001A5BEB">
              <w:rPr>
                <w:rFonts w:ascii="Arial" w:hAnsi="Arial" w:cs="Arial"/>
                <w:b/>
                <w:sz w:val="20"/>
                <w:szCs w:val="20"/>
              </w:rPr>
              <w:t xml:space="preserve">NE: </w:t>
            </w:r>
            <w:r w:rsidR="000D61DF">
              <w:rPr>
                <w:rFonts w:ascii="Arial" w:hAnsi="Arial" w:cs="Arial"/>
                <w:b/>
                <w:sz w:val="20"/>
                <w:szCs w:val="20"/>
              </w:rPr>
              <w:t>2</w:t>
            </w:r>
            <w:r w:rsidR="000D61DF" w:rsidRPr="001A5BEB">
              <w:rPr>
                <w:rFonts w:ascii="Arial" w:hAnsi="Arial" w:cs="Arial"/>
                <w:b/>
                <w:sz w:val="20"/>
                <w:szCs w:val="20"/>
              </w:rPr>
              <w:t xml:space="preserve">, GR: </w:t>
            </w:r>
            <w:r w:rsidR="000D61DF">
              <w:rPr>
                <w:rFonts w:ascii="Arial" w:hAnsi="Arial" w:cs="Arial"/>
                <w:b/>
                <w:sz w:val="20"/>
                <w:szCs w:val="20"/>
              </w:rPr>
              <w:t>B</w:t>
            </w:r>
            <w:r w:rsidR="000D61DF" w:rsidRPr="001A5BEB">
              <w:rPr>
                <w:rFonts w:ascii="Arial" w:hAnsi="Arial" w:cs="Arial"/>
                <w:b/>
                <w:sz w:val="20"/>
                <w:szCs w:val="20"/>
              </w:rPr>
              <w:t>]</w:t>
            </w:r>
            <w:r w:rsidR="000D61DF">
              <w:rPr>
                <w:rFonts w:ascii="Arial" w:hAnsi="Arial" w:cs="Arial"/>
                <w:b/>
                <w:color w:val="FF0000"/>
                <w:sz w:val="20"/>
                <w:szCs w:val="20"/>
                <w:vertAlign w:val="superscript"/>
              </w:rPr>
              <w:t>31</w:t>
            </w:r>
          </w:p>
        </w:tc>
      </w:tr>
      <w:tr w:rsidR="00E51D8E" w:rsidRPr="0068632C" w14:paraId="0B1E5306" w14:textId="77777777" w:rsidTr="007614D7">
        <w:tc>
          <w:tcPr>
            <w:tcW w:w="3168" w:type="dxa"/>
            <w:tcBorders>
              <w:top w:val="single" w:sz="4" w:space="0" w:color="auto"/>
              <w:left w:val="single" w:sz="4" w:space="0" w:color="auto"/>
              <w:bottom w:val="single" w:sz="4" w:space="0" w:color="auto"/>
              <w:right w:val="single" w:sz="4" w:space="0" w:color="auto"/>
            </w:tcBorders>
          </w:tcPr>
          <w:p w14:paraId="4C319CD9" w14:textId="77777777" w:rsidR="00E51D8E" w:rsidRPr="0068632C" w:rsidRDefault="00E51D8E" w:rsidP="00E51D8E">
            <w:pPr>
              <w:numPr>
                <w:ilvl w:val="0"/>
                <w:numId w:val="2"/>
              </w:numPr>
              <w:ind w:left="0"/>
              <w:contextualSpacing/>
              <w:jc w:val="both"/>
              <w:rPr>
                <w:rFonts w:ascii="Arial" w:hAnsi="Arial" w:cs="Arial"/>
                <w:sz w:val="20"/>
                <w:szCs w:val="20"/>
              </w:rPr>
            </w:pPr>
            <w:r w:rsidRPr="0068632C">
              <w:rPr>
                <w:rFonts w:ascii="Arial" w:hAnsi="Arial" w:cs="Arial"/>
                <w:sz w:val="20"/>
                <w:szCs w:val="20"/>
              </w:rPr>
              <w:lastRenderedPageBreak/>
              <w:t xml:space="preserve">Casos especiales </w:t>
            </w:r>
          </w:p>
          <w:p w14:paraId="265B1EE7" w14:textId="77777777" w:rsidR="00E51D8E" w:rsidRPr="0068632C" w:rsidRDefault="00E51D8E" w:rsidP="00E51D8E">
            <w:pPr>
              <w:numPr>
                <w:ilvl w:val="0"/>
                <w:numId w:val="2"/>
              </w:numPr>
              <w:ind w:left="0"/>
              <w:contextualSpacing/>
              <w:jc w:val="both"/>
              <w:rPr>
                <w:rFonts w:ascii="Arial" w:hAnsi="Arial" w:cs="Arial"/>
                <w:sz w:val="20"/>
                <w:szCs w:val="20"/>
              </w:rPr>
            </w:pPr>
          </w:p>
        </w:tc>
        <w:tc>
          <w:tcPr>
            <w:tcW w:w="6438" w:type="dxa"/>
            <w:tcBorders>
              <w:top w:val="single" w:sz="4" w:space="0" w:color="auto"/>
              <w:left w:val="single" w:sz="4" w:space="0" w:color="auto"/>
              <w:bottom w:val="single" w:sz="4" w:space="0" w:color="auto"/>
              <w:right w:val="single" w:sz="4" w:space="0" w:color="auto"/>
            </w:tcBorders>
          </w:tcPr>
          <w:p w14:paraId="10BD573E" w14:textId="77777777" w:rsidR="00E51D8E" w:rsidRDefault="00E51D8E" w:rsidP="007614D7">
            <w:pPr>
              <w:contextualSpacing/>
              <w:rPr>
                <w:rFonts w:ascii="Arial" w:hAnsi="Arial" w:cs="Arial"/>
                <w:sz w:val="20"/>
                <w:szCs w:val="20"/>
              </w:rPr>
            </w:pPr>
            <w:r w:rsidRPr="0068632C">
              <w:rPr>
                <w:rFonts w:ascii="Arial" w:hAnsi="Arial" w:cs="Arial"/>
                <w:sz w:val="20"/>
                <w:szCs w:val="20"/>
              </w:rPr>
              <w:t xml:space="preserve">Contraindicado  durante el embarazo y la lactancia. </w:t>
            </w:r>
            <w:r w:rsidR="000D61DF" w:rsidRPr="001A5BEB">
              <w:rPr>
                <w:rFonts w:ascii="Arial" w:eastAsia="TrebuchetMS" w:hAnsi="Arial" w:cs="Arial"/>
                <w:b/>
                <w:color w:val="000000"/>
                <w:sz w:val="20"/>
                <w:szCs w:val="20"/>
                <w:lang w:val="es-ES"/>
              </w:rPr>
              <w:t>[</w:t>
            </w:r>
            <w:r w:rsidR="000D61DF" w:rsidRPr="001A5BEB">
              <w:rPr>
                <w:rFonts w:ascii="Arial" w:hAnsi="Arial" w:cs="Arial"/>
                <w:b/>
                <w:sz w:val="20"/>
                <w:szCs w:val="20"/>
              </w:rPr>
              <w:t xml:space="preserve">NE: </w:t>
            </w:r>
            <w:r w:rsidR="000D61DF">
              <w:rPr>
                <w:rFonts w:ascii="Arial" w:hAnsi="Arial" w:cs="Arial"/>
                <w:b/>
                <w:sz w:val="20"/>
                <w:szCs w:val="20"/>
              </w:rPr>
              <w:t>3</w:t>
            </w:r>
            <w:r w:rsidR="000D61DF" w:rsidRPr="001A5BEB">
              <w:rPr>
                <w:rFonts w:ascii="Arial" w:hAnsi="Arial" w:cs="Arial"/>
                <w:b/>
                <w:sz w:val="20"/>
                <w:szCs w:val="20"/>
              </w:rPr>
              <w:t xml:space="preserve">, GR: </w:t>
            </w:r>
            <w:r w:rsidR="000D61DF">
              <w:rPr>
                <w:rFonts w:ascii="Arial" w:hAnsi="Arial" w:cs="Arial"/>
                <w:b/>
                <w:sz w:val="20"/>
                <w:szCs w:val="20"/>
              </w:rPr>
              <w:t>C</w:t>
            </w:r>
            <w:r w:rsidR="000D61DF" w:rsidRPr="001A5BEB">
              <w:rPr>
                <w:rFonts w:ascii="Arial" w:hAnsi="Arial" w:cs="Arial"/>
                <w:b/>
                <w:sz w:val="20"/>
                <w:szCs w:val="20"/>
              </w:rPr>
              <w:t>]</w:t>
            </w:r>
            <w:r w:rsidR="000D61DF">
              <w:rPr>
                <w:rFonts w:ascii="Arial" w:hAnsi="Arial" w:cs="Arial"/>
                <w:b/>
                <w:color w:val="FF0000"/>
                <w:sz w:val="20"/>
                <w:szCs w:val="20"/>
                <w:vertAlign w:val="superscript"/>
              </w:rPr>
              <w:t>31</w:t>
            </w:r>
            <w:r w:rsidR="000D61DF">
              <w:rPr>
                <w:rFonts w:ascii="Arial" w:hAnsi="Arial" w:cs="Arial"/>
                <w:sz w:val="20"/>
                <w:szCs w:val="20"/>
              </w:rPr>
              <w:t xml:space="preserve"> </w:t>
            </w:r>
          </w:p>
          <w:p w14:paraId="4AC89866" w14:textId="77777777" w:rsidR="000D61DF" w:rsidRPr="0068632C" w:rsidRDefault="000D61DF" w:rsidP="007614D7">
            <w:pPr>
              <w:contextualSpacing/>
              <w:rPr>
                <w:rFonts w:ascii="Arial" w:hAnsi="Arial" w:cs="Arial"/>
                <w:sz w:val="20"/>
                <w:szCs w:val="20"/>
              </w:rPr>
            </w:pPr>
          </w:p>
          <w:p w14:paraId="0C8B67B6" w14:textId="77777777" w:rsidR="00E51D8E" w:rsidRDefault="00E51D8E" w:rsidP="007614D7">
            <w:pPr>
              <w:widowControl w:val="0"/>
              <w:autoSpaceDE w:val="0"/>
              <w:autoSpaceDN w:val="0"/>
              <w:adjustRightInd w:val="0"/>
              <w:spacing w:after="240"/>
              <w:contextualSpacing/>
              <w:rPr>
                <w:rFonts w:ascii="Arial" w:hAnsi="Arial" w:cs="Arial"/>
                <w:sz w:val="20"/>
                <w:szCs w:val="20"/>
              </w:rPr>
            </w:pPr>
            <w:r w:rsidRPr="0068632C">
              <w:rPr>
                <w:rFonts w:ascii="Arial" w:hAnsi="Arial" w:cs="Arial"/>
                <w:sz w:val="20"/>
                <w:szCs w:val="20"/>
              </w:rPr>
              <w:t xml:space="preserve">El tiempo que debe de suspenderse el etanercept previo a la cirugía no está determinado,  en algunos estudios se recomienda de 3 </w:t>
            </w:r>
            <w:r w:rsidR="001D3CFF">
              <w:rPr>
                <w:rFonts w:ascii="Arial" w:hAnsi="Arial" w:cs="Arial"/>
                <w:sz w:val="20"/>
                <w:szCs w:val="20"/>
              </w:rPr>
              <w:t xml:space="preserve">a 5 vidas medias del producto. </w:t>
            </w:r>
            <w:r w:rsidR="000D61DF" w:rsidRPr="001A5BEB">
              <w:rPr>
                <w:rFonts w:ascii="Arial" w:eastAsia="TrebuchetMS" w:hAnsi="Arial" w:cs="Arial"/>
                <w:b/>
                <w:color w:val="000000"/>
                <w:sz w:val="20"/>
                <w:szCs w:val="20"/>
                <w:lang w:val="es-ES"/>
              </w:rPr>
              <w:t>[</w:t>
            </w:r>
            <w:r w:rsidR="000D61DF" w:rsidRPr="001A5BEB">
              <w:rPr>
                <w:rFonts w:ascii="Arial" w:hAnsi="Arial" w:cs="Arial"/>
                <w:b/>
                <w:sz w:val="20"/>
                <w:szCs w:val="20"/>
              </w:rPr>
              <w:t xml:space="preserve">NE: </w:t>
            </w:r>
            <w:r w:rsidR="000D61DF">
              <w:rPr>
                <w:rFonts w:ascii="Arial" w:hAnsi="Arial" w:cs="Arial"/>
                <w:b/>
                <w:sz w:val="20"/>
                <w:szCs w:val="20"/>
              </w:rPr>
              <w:t>4</w:t>
            </w:r>
            <w:r w:rsidR="000D61DF" w:rsidRPr="001A5BEB">
              <w:rPr>
                <w:rFonts w:ascii="Arial" w:hAnsi="Arial" w:cs="Arial"/>
                <w:b/>
                <w:sz w:val="20"/>
                <w:szCs w:val="20"/>
              </w:rPr>
              <w:t xml:space="preserve">, GR: </w:t>
            </w:r>
            <w:r w:rsidR="000D61DF">
              <w:rPr>
                <w:rFonts w:ascii="Arial" w:hAnsi="Arial" w:cs="Arial"/>
                <w:b/>
                <w:sz w:val="20"/>
                <w:szCs w:val="20"/>
              </w:rPr>
              <w:t>D</w:t>
            </w:r>
            <w:r w:rsidR="000D61DF" w:rsidRPr="001A5BEB">
              <w:rPr>
                <w:rFonts w:ascii="Arial" w:hAnsi="Arial" w:cs="Arial"/>
                <w:b/>
                <w:sz w:val="20"/>
                <w:szCs w:val="20"/>
              </w:rPr>
              <w:t>]</w:t>
            </w:r>
            <w:r w:rsidR="000D61DF">
              <w:rPr>
                <w:rFonts w:ascii="Arial" w:hAnsi="Arial" w:cs="Arial"/>
                <w:b/>
                <w:color w:val="FF0000"/>
                <w:sz w:val="20"/>
                <w:szCs w:val="20"/>
                <w:vertAlign w:val="superscript"/>
              </w:rPr>
              <w:t>31</w:t>
            </w:r>
            <w:r w:rsidR="000D61DF">
              <w:rPr>
                <w:rFonts w:ascii="Arial" w:hAnsi="Arial" w:cs="Arial"/>
                <w:sz w:val="20"/>
                <w:szCs w:val="20"/>
              </w:rPr>
              <w:t xml:space="preserve"> </w:t>
            </w:r>
          </w:p>
          <w:p w14:paraId="5B165EBF" w14:textId="77777777" w:rsidR="000D61DF" w:rsidRPr="0068632C" w:rsidRDefault="000D61DF" w:rsidP="007614D7">
            <w:pPr>
              <w:widowControl w:val="0"/>
              <w:autoSpaceDE w:val="0"/>
              <w:autoSpaceDN w:val="0"/>
              <w:adjustRightInd w:val="0"/>
              <w:spacing w:after="240"/>
              <w:contextualSpacing/>
              <w:rPr>
                <w:rFonts w:ascii="Arial" w:hAnsi="Arial" w:cs="Arial"/>
                <w:sz w:val="20"/>
                <w:szCs w:val="20"/>
              </w:rPr>
            </w:pPr>
          </w:p>
          <w:p w14:paraId="043DB6FB" w14:textId="77777777" w:rsidR="00E51D8E" w:rsidRPr="0068632C" w:rsidRDefault="00E51D8E" w:rsidP="007614D7">
            <w:pPr>
              <w:widowControl w:val="0"/>
              <w:autoSpaceDE w:val="0"/>
              <w:autoSpaceDN w:val="0"/>
              <w:adjustRightInd w:val="0"/>
              <w:spacing w:after="240"/>
              <w:contextualSpacing/>
              <w:jc w:val="both"/>
              <w:rPr>
                <w:rFonts w:ascii="Arial" w:hAnsi="Arial" w:cs="Arial"/>
                <w:sz w:val="20"/>
                <w:szCs w:val="20"/>
              </w:rPr>
            </w:pPr>
            <w:r w:rsidRPr="0068632C">
              <w:rPr>
                <w:rFonts w:ascii="Arial" w:hAnsi="Arial" w:cs="Arial"/>
                <w:sz w:val="20"/>
                <w:szCs w:val="20"/>
              </w:rPr>
              <w:t>Existen reportes de li</w:t>
            </w:r>
            <w:r w:rsidR="008325BD">
              <w:rPr>
                <w:rFonts w:ascii="Arial" w:hAnsi="Arial" w:cs="Arial"/>
                <w:sz w:val="20"/>
                <w:szCs w:val="20"/>
              </w:rPr>
              <w:t>nfomas cutáneos</w:t>
            </w:r>
            <w:r w:rsidRPr="0068632C">
              <w:rPr>
                <w:rFonts w:ascii="Arial" w:hAnsi="Arial" w:cs="Arial"/>
                <w:sz w:val="20"/>
                <w:szCs w:val="20"/>
              </w:rPr>
              <w:t xml:space="preserve"> de casos con etanercept e </w:t>
            </w:r>
            <w:r w:rsidR="00D2135E">
              <w:rPr>
                <w:rFonts w:ascii="Arial" w:hAnsi="Arial" w:cs="Arial"/>
                <w:sz w:val="20"/>
                <w:szCs w:val="20"/>
              </w:rPr>
              <w:t>IFX</w:t>
            </w:r>
            <w:r w:rsidRPr="0068632C">
              <w:rPr>
                <w:rFonts w:ascii="Arial" w:hAnsi="Arial" w:cs="Arial"/>
                <w:sz w:val="20"/>
                <w:szCs w:val="20"/>
              </w:rPr>
              <w:t xml:space="preserve">, sin embargo, la fuerza de asociación es débil. </w:t>
            </w:r>
          </w:p>
          <w:p w14:paraId="4EA17CBF" w14:textId="77777777" w:rsidR="00E51D8E" w:rsidRPr="0068632C" w:rsidRDefault="00E51D8E" w:rsidP="007614D7">
            <w:pPr>
              <w:contextualSpacing/>
              <w:jc w:val="both"/>
              <w:rPr>
                <w:rFonts w:ascii="Arial" w:hAnsi="Arial" w:cs="Arial"/>
                <w:sz w:val="20"/>
                <w:szCs w:val="20"/>
              </w:rPr>
            </w:pPr>
            <w:r w:rsidRPr="0068632C">
              <w:rPr>
                <w:rFonts w:ascii="Arial" w:hAnsi="Arial" w:cs="Arial"/>
                <w:sz w:val="20"/>
                <w:szCs w:val="20"/>
              </w:rPr>
              <w:t>También se han reportado casos aislados de melanoma con un bajo grado de asociación con el uso de etanercept y adalimumab.</w:t>
            </w:r>
          </w:p>
          <w:p w14:paraId="243B82C1" w14:textId="77777777" w:rsidR="00E51D8E" w:rsidRPr="0068632C" w:rsidRDefault="00E51D8E" w:rsidP="007614D7">
            <w:pPr>
              <w:suppressAutoHyphens/>
              <w:spacing w:after="100" w:afterAutospacing="1"/>
              <w:contextualSpacing/>
              <w:rPr>
                <w:rFonts w:ascii="Arial" w:hAnsi="Arial" w:cs="Arial"/>
                <w:sz w:val="20"/>
                <w:szCs w:val="20"/>
              </w:rPr>
            </w:pPr>
          </w:p>
          <w:p w14:paraId="1A13F803" w14:textId="77777777" w:rsidR="00E51D8E" w:rsidRPr="0068632C" w:rsidRDefault="00E51D8E" w:rsidP="007614D7">
            <w:pPr>
              <w:autoSpaceDE w:val="0"/>
              <w:autoSpaceDN w:val="0"/>
              <w:adjustRightInd w:val="0"/>
              <w:contextualSpacing/>
              <w:jc w:val="both"/>
              <w:rPr>
                <w:rFonts w:ascii="Arial" w:eastAsia="Times-Roman" w:hAnsi="Arial" w:cs="Arial"/>
                <w:i/>
                <w:sz w:val="20"/>
                <w:szCs w:val="20"/>
              </w:rPr>
            </w:pPr>
            <w:r w:rsidRPr="0068632C">
              <w:rPr>
                <w:rFonts w:ascii="Arial" w:eastAsia="Times-Roman" w:hAnsi="Arial" w:cs="Arial"/>
                <w:i/>
                <w:sz w:val="20"/>
                <w:szCs w:val="20"/>
              </w:rPr>
              <w:t>*Ver sección de eventos adversos para terapia con anti TNF</w:t>
            </w:r>
          </w:p>
        </w:tc>
      </w:tr>
    </w:tbl>
    <w:p w14:paraId="2563CF0B" w14:textId="77777777" w:rsidR="00E51D8E" w:rsidRPr="0068632C" w:rsidRDefault="00E51D8E"/>
    <w:p w14:paraId="010AA5E0" w14:textId="77777777" w:rsidR="00E51D8E" w:rsidRPr="0068632C" w:rsidRDefault="00E51D8E"/>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438"/>
      </w:tblGrid>
      <w:tr w:rsidR="00E51D8E" w:rsidRPr="0068632C" w14:paraId="6AE9C233" w14:textId="77777777" w:rsidTr="007614D7">
        <w:tc>
          <w:tcPr>
            <w:tcW w:w="3168" w:type="dxa"/>
            <w:tcBorders>
              <w:top w:val="single" w:sz="4" w:space="0" w:color="auto"/>
              <w:left w:val="single" w:sz="4" w:space="0" w:color="auto"/>
              <w:bottom w:val="single" w:sz="4" w:space="0" w:color="auto"/>
              <w:right w:val="single" w:sz="4" w:space="0" w:color="auto"/>
            </w:tcBorders>
          </w:tcPr>
          <w:p w14:paraId="108A43CA" w14:textId="77777777" w:rsidR="00E51D8E" w:rsidRPr="00AA2750" w:rsidRDefault="00AA2750" w:rsidP="007614D7">
            <w:pPr>
              <w:contextualSpacing/>
              <w:jc w:val="both"/>
              <w:rPr>
                <w:rFonts w:ascii="Arial" w:hAnsi="Arial" w:cs="Arial"/>
                <w:b/>
                <w:sz w:val="28"/>
                <w:szCs w:val="28"/>
              </w:rPr>
            </w:pPr>
            <w:r w:rsidRPr="00AA2750">
              <w:rPr>
                <w:rFonts w:ascii="Arial" w:hAnsi="Arial" w:cs="Arial"/>
                <w:b/>
                <w:sz w:val="28"/>
                <w:szCs w:val="28"/>
              </w:rPr>
              <w:t>Infliximab</w:t>
            </w:r>
          </w:p>
        </w:tc>
        <w:tc>
          <w:tcPr>
            <w:tcW w:w="6438" w:type="dxa"/>
            <w:tcBorders>
              <w:top w:val="single" w:sz="4" w:space="0" w:color="auto"/>
              <w:left w:val="single" w:sz="4" w:space="0" w:color="auto"/>
              <w:bottom w:val="single" w:sz="4" w:space="0" w:color="auto"/>
              <w:right w:val="single" w:sz="4" w:space="0" w:color="auto"/>
            </w:tcBorders>
          </w:tcPr>
          <w:p w14:paraId="235765D1" w14:textId="77777777" w:rsidR="00E51D8E" w:rsidRPr="0068632C" w:rsidRDefault="00E51D8E" w:rsidP="007614D7">
            <w:pPr>
              <w:contextualSpacing/>
              <w:jc w:val="both"/>
              <w:rPr>
                <w:rFonts w:ascii="Arial" w:eastAsia="Times-Roman" w:hAnsi="Arial" w:cs="Arial"/>
                <w:sz w:val="20"/>
                <w:szCs w:val="20"/>
              </w:rPr>
            </w:pPr>
            <w:r w:rsidRPr="0068632C">
              <w:rPr>
                <w:rFonts w:ascii="Arial" w:eastAsia="Times-Roman" w:hAnsi="Arial" w:cs="Arial"/>
                <w:sz w:val="20"/>
                <w:szCs w:val="20"/>
              </w:rPr>
              <w:t>Anticuerpo monoclonal quimérico (murino-humano) que se une al TNFα neutralizando su acción sobre macrófagos, y otras células de la inmunidad innata y adquirida</w:t>
            </w:r>
            <w:r w:rsidRPr="0068632C">
              <w:rPr>
                <w:rFonts w:ascii="Arial" w:hAnsi="Arial" w:cs="Arial"/>
                <w:sz w:val="20"/>
                <w:szCs w:val="20"/>
              </w:rPr>
              <w:t>.</w:t>
            </w:r>
          </w:p>
        </w:tc>
      </w:tr>
      <w:tr w:rsidR="00E51D8E" w:rsidRPr="0068632C" w14:paraId="64FD5F59" w14:textId="77777777" w:rsidTr="007614D7">
        <w:tc>
          <w:tcPr>
            <w:tcW w:w="3168" w:type="dxa"/>
            <w:tcBorders>
              <w:top w:val="single" w:sz="4" w:space="0" w:color="auto"/>
              <w:left w:val="single" w:sz="4" w:space="0" w:color="auto"/>
              <w:bottom w:val="single" w:sz="4" w:space="0" w:color="auto"/>
              <w:right w:val="single" w:sz="4" w:space="0" w:color="auto"/>
            </w:tcBorders>
          </w:tcPr>
          <w:p w14:paraId="24CC1AB9" w14:textId="77777777" w:rsidR="00E51D8E" w:rsidRPr="0068632C" w:rsidRDefault="00E51D8E" w:rsidP="007614D7">
            <w:pPr>
              <w:contextualSpacing/>
              <w:jc w:val="both"/>
              <w:rPr>
                <w:rFonts w:ascii="Arial" w:hAnsi="Arial" w:cs="Arial"/>
                <w:sz w:val="20"/>
                <w:szCs w:val="20"/>
              </w:rPr>
            </w:pPr>
            <w:r w:rsidRPr="0068632C">
              <w:rPr>
                <w:rFonts w:ascii="Arial" w:hAnsi="Arial" w:cs="Arial"/>
                <w:sz w:val="20"/>
                <w:szCs w:val="20"/>
              </w:rPr>
              <w:t xml:space="preserve">Línea de tratamiento en la que está indicado </w:t>
            </w:r>
          </w:p>
        </w:tc>
        <w:tc>
          <w:tcPr>
            <w:tcW w:w="6438" w:type="dxa"/>
            <w:tcBorders>
              <w:top w:val="single" w:sz="4" w:space="0" w:color="auto"/>
              <w:left w:val="single" w:sz="4" w:space="0" w:color="auto"/>
              <w:bottom w:val="single" w:sz="4" w:space="0" w:color="auto"/>
              <w:right w:val="single" w:sz="4" w:space="0" w:color="auto"/>
            </w:tcBorders>
          </w:tcPr>
          <w:p w14:paraId="4529F490" w14:textId="77777777" w:rsidR="002922E1" w:rsidRDefault="00E51D8E"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El IFX se puede usar ante la falla de MTX o desde un inicio en combinación con MTX.  </w:t>
            </w:r>
            <w:r w:rsidR="002922E1" w:rsidRPr="001A5BEB">
              <w:rPr>
                <w:rFonts w:ascii="Arial" w:eastAsia="TrebuchetMS" w:hAnsi="Arial" w:cs="Arial"/>
                <w:b/>
                <w:color w:val="000000"/>
                <w:sz w:val="20"/>
                <w:szCs w:val="20"/>
                <w:lang w:val="es-ES"/>
              </w:rPr>
              <w:t>[</w:t>
            </w:r>
            <w:r w:rsidR="002922E1" w:rsidRPr="001A5BEB">
              <w:rPr>
                <w:rFonts w:ascii="Arial" w:hAnsi="Arial" w:cs="Arial"/>
                <w:b/>
                <w:sz w:val="20"/>
                <w:szCs w:val="20"/>
              </w:rPr>
              <w:t xml:space="preserve">NE: I, GR: </w:t>
            </w:r>
            <w:r w:rsidR="002922E1">
              <w:rPr>
                <w:rFonts w:ascii="Arial" w:hAnsi="Arial" w:cs="Arial"/>
                <w:b/>
                <w:sz w:val="20"/>
                <w:szCs w:val="20"/>
              </w:rPr>
              <w:t>A</w:t>
            </w:r>
            <w:r w:rsidR="002922E1" w:rsidRPr="001A5BEB">
              <w:rPr>
                <w:rFonts w:ascii="Arial" w:hAnsi="Arial" w:cs="Arial"/>
                <w:b/>
                <w:sz w:val="20"/>
                <w:szCs w:val="20"/>
              </w:rPr>
              <w:t>]</w:t>
            </w:r>
            <w:r w:rsidR="002922E1">
              <w:rPr>
                <w:rFonts w:ascii="Arial" w:eastAsia="Times-Roman" w:hAnsi="Arial" w:cs="Arial"/>
                <w:color w:val="FF0000"/>
                <w:sz w:val="20"/>
                <w:szCs w:val="20"/>
                <w:vertAlign w:val="superscript"/>
              </w:rPr>
              <w:t>30</w:t>
            </w:r>
          </w:p>
          <w:p w14:paraId="75980B7B" w14:textId="77777777" w:rsidR="00E51D8E" w:rsidRPr="0068632C" w:rsidRDefault="00E51D8E" w:rsidP="007614D7">
            <w:pPr>
              <w:autoSpaceDE w:val="0"/>
              <w:autoSpaceDN w:val="0"/>
              <w:adjustRightInd w:val="0"/>
              <w:contextualSpacing/>
              <w:jc w:val="both"/>
              <w:rPr>
                <w:rFonts w:ascii="Arial" w:eastAsia="Times-Roman" w:hAnsi="Arial" w:cs="Arial"/>
                <w:sz w:val="20"/>
                <w:szCs w:val="20"/>
              </w:rPr>
            </w:pPr>
            <w:r w:rsidRPr="0068632C">
              <w:rPr>
                <w:rFonts w:ascii="Arial" w:hAnsi="Arial" w:cs="Arial"/>
                <w:sz w:val="20"/>
                <w:szCs w:val="20"/>
              </w:rPr>
              <w:t>Barrera de implementación: costo y disponibilidad a nivel institucional</w:t>
            </w:r>
          </w:p>
        </w:tc>
      </w:tr>
      <w:tr w:rsidR="00E51D8E" w:rsidRPr="0068632C" w14:paraId="7DBA74A3" w14:textId="77777777" w:rsidTr="007614D7">
        <w:tc>
          <w:tcPr>
            <w:tcW w:w="3168" w:type="dxa"/>
            <w:tcBorders>
              <w:top w:val="single" w:sz="4" w:space="0" w:color="auto"/>
              <w:left w:val="single" w:sz="4" w:space="0" w:color="auto"/>
              <w:bottom w:val="single" w:sz="4" w:space="0" w:color="auto"/>
              <w:right w:val="single" w:sz="4" w:space="0" w:color="auto"/>
            </w:tcBorders>
          </w:tcPr>
          <w:p w14:paraId="673FC84C" w14:textId="77777777" w:rsidR="00E51D8E" w:rsidRPr="0068632C" w:rsidRDefault="00E51D8E" w:rsidP="007614D7">
            <w:pPr>
              <w:contextualSpacing/>
              <w:jc w:val="both"/>
              <w:rPr>
                <w:rFonts w:ascii="Arial" w:eastAsia="Times-Roman" w:hAnsi="Arial" w:cs="Arial"/>
                <w:b/>
                <w:sz w:val="20"/>
                <w:szCs w:val="20"/>
              </w:rPr>
            </w:pPr>
            <w:r w:rsidRPr="0068632C">
              <w:rPr>
                <w:rFonts w:ascii="Arial" w:hAnsi="Arial" w:cs="Arial"/>
                <w:sz w:val="20"/>
                <w:szCs w:val="20"/>
              </w:rPr>
              <w:t>Monoterapia o en combinaciones (¿cuál es la mejor combinación y secuencia?)</w:t>
            </w:r>
          </w:p>
        </w:tc>
        <w:tc>
          <w:tcPr>
            <w:tcW w:w="6438" w:type="dxa"/>
            <w:tcBorders>
              <w:top w:val="single" w:sz="4" w:space="0" w:color="auto"/>
              <w:left w:val="single" w:sz="4" w:space="0" w:color="auto"/>
              <w:bottom w:val="single" w:sz="4" w:space="0" w:color="auto"/>
              <w:right w:val="single" w:sz="4" w:space="0" w:color="auto"/>
            </w:tcBorders>
          </w:tcPr>
          <w:p w14:paraId="14F40C30" w14:textId="77777777" w:rsidR="002922E1" w:rsidRDefault="00E51D8E" w:rsidP="007614D7">
            <w:pPr>
              <w:contextualSpacing/>
              <w:jc w:val="both"/>
              <w:rPr>
                <w:rFonts w:ascii="Arial" w:eastAsia="Times-Roman" w:hAnsi="Arial" w:cs="Arial"/>
                <w:color w:val="FF0000"/>
                <w:sz w:val="20"/>
                <w:szCs w:val="20"/>
                <w:vertAlign w:val="superscript"/>
              </w:rPr>
            </w:pPr>
            <w:r w:rsidRPr="0068632C">
              <w:rPr>
                <w:rFonts w:ascii="Arial" w:eastAsia="Times-Roman" w:hAnsi="Arial" w:cs="Arial"/>
                <w:sz w:val="20"/>
                <w:szCs w:val="20"/>
              </w:rPr>
              <w:t>Se puede administrar en terapia combinada con MTX, o posterior a la falla del mismo.</w:t>
            </w:r>
            <w:r w:rsidR="002922E1" w:rsidRPr="001A5BEB">
              <w:rPr>
                <w:rFonts w:ascii="Arial" w:eastAsia="TrebuchetMS" w:hAnsi="Arial" w:cs="Arial"/>
                <w:b/>
                <w:color w:val="000000"/>
                <w:sz w:val="20"/>
                <w:szCs w:val="20"/>
                <w:lang w:val="es-ES"/>
              </w:rPr>
              <w:t xml:space="preserve"> [</w:t>
            </w:r>
            <w:r w:rsidR="002922E1" w:rsidRPr="001A5BEB">
              <w:rPr>
                <w:rFonts w:ascii="Arial" w:hAnsi="Arial" w:cs="Arial"/>
                <w:b/>
                <w:sz w:val="20"/>
                <w:szCs w:val="20"/>
              </w:rPr>
              <w:t xml:space="preserve">NE: I, GR: </w:t>
            </w:r>
            <w:r w:rsidR="002922E1">
              <w:rPr>
                <w:rFonts w:ascii="Arial" w:hAnsi="Arial" w:cs="Arial"/>
                <w:b/>
                <w:sz w:val="20"/>
                <w:szCs w:val="20"/>
              </w:rPr>
              <w:t>A</w:t>
            </w:r>
            <w:r w:rsidR="002922E1" w:rsidRPr="001A5BEB">
              <w:rPr>
                <w:rFonts w:ascii="Arial" w:hAnsi="Arial" w:cs="Arial"/>
                <w:b/>
                <w:sz w:val="20"/>
                <w:szCs w:val="20"/>
              </w:rPr>
              <w:t>]</w:t>
            </w:r>
            <w:r w:rsidR="002922E1">
              <w:rPr>
                <w:rFonts w:ascii="Arial" w:eastAsia="Times-Roman" w:hAnsi="Arial" w:cs="Arial"/>
                <w:color w:val="FF0000"/>
                <w:sz w:val="20"/>
                <w:szCs w:val="20"/>
                <w:vertAlign w:val="superscript"/>
              </w:rPr>
              <w:t>30</w:t>
            </w:r>
          </w:p>
          <w:p w14:paraId="71845B96" w14:textId="77777777" w:rsidR="00E51D8E" w:rsidRPr="0068632C" w:rsidRDefault="00E51D8E" w:rsidP="007614D7">
            <w:pPr>
              <w:contextualSpacing/>
              <w:jc w:val="both"/>
              <w:rPr>
                <w:rFonts w:ascii="Arial" w:eastAsia="Times-Roman" w:hAnsi="Arial" w:cs="Arial"/>
                <w:sz w:val="20"/>
                <w:szCs w:val="20"/>
              </w:rPr>
            </w:pPr>
            <w:r w:rsidRPr="0068632C">
              <w:rPr>
                <w:rFonts w:ascii="Arial" w:hAnsi="Arial" w:cs="Arial"/>
                <w:sz w:val="20"/>
                <w:szCs w:val="20"/>
              </w:rPr>
              <w:t>Barrera de implementación: costo y disponibilidad a nivel institucional</w:t>
            </w:r>
          </w:p>
        </w:tc>
      </w:tr>
      <w:tr w:rsidR="00E51D8E" w:rsidRPr="0068632C" w14:paraId="19E6A6D4" w14:textId="77777777" w:rsidTr="007614D7">
        <w:tc>
          <w:tcPr>
            <w:tcW w:w="3168" w:type="dxa"/>
            <w:tcBorders>
              <w:top w:val="single" w:sz="4" w:space="0" w:color="auto"/>
              <w:left w:val="single" w:sz="4" w:space="0" w:color="auto"/>
              <w:bottom w:val="single" w:sz="4" w:space="0" w:color="auto"/>
              <w:right w:val="single" w:sz="4" w:space="0" w:color="auto"/>
            </w:tcBorders>
          </w:tcPr>
          <w:p w14:paraId="751987D3" w14:textId="77777777" w:rsidR="00E51D8E" w:rsidRPr="0068632C" w:rsidRDefault="00E51D8E" w:rsidP="007614D7">
            <w:pPr>
              <w:contextualSpacing/>
              <w:jc w:val="both"/>
              <w:rPr>
                <w:rFonts w:ascii="Arial" w:eastAsia="Times-Roman" w:hAnsi="Arial" w:cs="Arial"/>
                <w:b/>
                <w:sz w:val="20"/>
                <w:szCs w:val="20"/>
              </w:rPr>
            </w:pPr>
            <w:r w:rsidRPr="0068632C">
              <w:rPr>
                <w:rFonts w:ascii="Arial" w:hAnsi="Arial" w:cs="Arial"/>
                <w:sz w:val="20"/>
                <w:szCs w:val="20"/>
              </w:rPr>
              <w:t>Tiempo para definir ajuste de dosis y retiro de medicamento</w:t>
            </w:r>
          </w:p>
        </w:tc>
        <w:tc>
          <w:tcPr>
            <w:tcW w:w="6438" w:type="dxa"/>
            <w:tcBorders>
              <w:top w:val="single" w:sz="4" w:space="0" w:color="auto"/>
              <w:left w:val="single" w:sz="4" w:space="0" w:color="auto"/>
              <w:bottom w:val="single" w:sz="4" w:space="0" w:color="auto"/>
              <w:right w:val="single" w:sz="4" w:space="0" w:color="auto"/>
            </w:tcBorders>
          </w:tcPr>
          <w:p w14:paraId="6F7C982B" w14:textId="77777777" w:rsidR="00E51D8E" w:rsidRPr="0068632C" w:rsidRDefault="00E51D8E" w:rsidP="002922E1">
            <w:pPr>
              <w:autoSpaceDE w:val="0"/>
              <w:autoSpaceDN w:val="0"/>
              <w:adjustRightInd w:val="0"/>
              <w:contextualSpacing/>
              <w:jc w:val="both"/>
              <w:rPr>
                <w:rFonts w:ascii="Arial" w:eastAsia="Times-Roman" w:hAnsi="Arial" w:cs="Arial"/>
                <w:sz w:val="20"/>
                <w:szCs w:val="20"/>
              </w:rPr>
            </w:pPr>
            <w:r w:rsidRPr="0068632C">
              <w:rPr>
                <w:rFonts w:ascii="Arial" w:eastAsia="Times-Roman" w:hAnsi="Arial" w:cs="Arial"/>
                <w:sz w:val="20"/>
                <w:szCs w:val="20"/>
              </w:rPr>
              <w:t xml:space="preserve">De 12 a 16 semanas del inicio de su administración. </w:t>
            </w:r>
            <w:r w:rsidR="002922E1" w:rsidRPr="001A5BEB">
              <w:rPr>
                <w:rFonts w:ascii="Arial" w:eastAsia="TrebuchetMS" w:hAnsi="Arial" w:cs="Arial"/>
                <w:b/>
                <w:color w:val="000000"/>
                <w:sz w:val="20"/>
                <w:szCs w:val="20"/>
                <w:lang w:val="es-ES"/>
              </w:rPr>
              <w:t>[</w:t>
            </w:r>
            <w:r w:rsidR="002922E1" w:rsidRPr="001A5BEB">
              <w:rPr>
                <w:rFonts w:ascii="Arial" w:hAnsi="Arial" w:cs="Arial"/>
                <w:b/>
                <w:sz w:val="20"/>
                <w:szCs w:val="20"/>
              </w:rPr>
              <w:t xml:space="preserve">NE: </w:t>
            </w:r>
            <w:r w:rsidR="002922E1">
              <w:rPr>
                <w:rFonts w:ascii="Arial" w:hAnsi="Arial" w:cs="Arial"/>
                <w:b/>
                <w:sz w:val="20"/>
                <w:szCs w:val="20"/>
              </w:rPr>
              <w:t>4</w:t>
            </w:r>
            <w:r w:rsidR="002922E1" w:rsidRPr="001A5BEB">
              <w:rPr>
                <w:rFonts w:ascii="Arial" w:hAnsi="Arial" w:cs="Arial"/>
                <w:b/>
                <w:sz w:val="20"/>
                <w:szCs w:val="20"/>
              </w:rPr>
              <w:t xml:space="preserve">, GR: </w:t>
            </w:r>
            <w:r w:rsidR="002922E1">
              <w:rPr>
                <w:rFonts w:ascii="Arial" w:hAnsi="Arial" w:cs="Arial"/>
                <w:b/>
                <w:sz w:val="20"/>
                <w:szCs w:val="20"/>
              </w:rPr>
              <w:t>D]</w:t>
            </w:r>
            <w:r w:rsidR="002922E1">
              <w:rPr>
                <w:rFonts w:ascii="Arial" w:eastAsia="Times-Roman" w:hAnsi="Arial" w:cs="Arial"/>
                <w:color w:val="FF0000"/>
                <w:sz w:val="20"/>
                <w:szCs w:val="20"/>
                <w:vertAlign w:val="superscript"/>
              </w:rPr>
              <w:t>30</w:t>
            </w:r>
          </w:p>
        </w:tc>
      </w:tr>
      <w:tr w:rsidR="00E51D8E" w:rsidRPr="0068632C" w14:paraId="7A038266" w14:textId="77777777" w:rsidTr="007614D7">
        <w:tc>
          <w:tcPr>
            <w:tcW w:w="3168" w:type="dxa"/>
            <w:tcBorders>
              <w:top w:val="single" w:sz="4" w:space="0" w:color="auto"/>
              <w:left w:val="single" w:sz="4" w:space="0" w:color="auto"/>
              <w:bottom w:val="single" w:sz="4" w:space="0" w:color="auto"/>
              <w:right w:val="single" w:sz="4" w:space="0" w:color="auto"/>
            </w:tcBorders>
          </w:tcPr>
          <w:p w14:paraId="409ADA93" w14:textId="77777777" w:rsidR="00E51D8E" w:rsidRPr="0068632C" w:rsidRDefault="00E51D8E" w:rsidP="007614D7">
            <w:pPr>
              <w:contextualSpacing/>
              <w:jc w:val="both"/>
              <w:rPr>
                <w:rFonts w:ascii="Arial" w:eastAsia="Times-Roman" w:hAnsi="Arial" w:cs="Arial"/>
                <w:b/>
                <w:sz w:val="20"/>
                <w:szCs w:val="20"/>
              </w:rPr>
            </w:pPr>
            <w:r w:rsidRPr="0068632C">
              <w:rPr>
                <w:rFonts w:ascii="Arial" w:hAnsi="Arial" w:cs="Arial"/>
                <w:sz w:val="20"/>
                <w:szCs w:val="20"/>
              </w:rPr>
              <w:t>Dosis mínima y máxima</w:t>
            </w:r>
          </w:p>
        </w:tc>
        <w:tc>
          <w:tcPr>
            <w:tcW w:w="6438" w:type="dxa"/>
            <w:tcBorders>
              <w:top w:val="single" w:sz="4" w:space="0" w:color="auto"/>
              <w:left w:val="single" w:sz="4" w:space="0" w:color="auto"/>
              <w:bottom w:val="single" w:sz="4" w:space="0" w:color="auto"/>
              <w:right w:val="single" w:sz="4" w:space="0" w:color="auto"/>
            </w:tcBorders>
          </w:tcPr>
          <w:p w14:paraId="0FBFFECA" w14:textId="77777777" w:rsidR="00E51D8E" w:rsidRPr="0068632C" w:rsidRDefault="00E51D8E" w:rsidP="007614D7">
            <w:pPr>
              <w:contextualSpacing/>
              <w:rPr>
                <w:rFonts w:ascii="Arial" w:hAnsi="Arial" w:cs="Arial"/>
                <w:sz w:val="20"/>
                <w:szCs w:val="20"/>
              </w:rPr>
            </w:pPr>
            <w:r w:rsidRPr="0068632C">
              <w:rPr>
                <w:rFonts w:ascii="Arial" w:hAnsi="Arial" w:cs="Arial"/>
                <w:sz w:val="20"/>
                <w:szCs w:val="20"/>
              </w:rPr>
              <w:t xml:space="preserve">Dosis mínima: 3 mg/kg IV en la visita inicial, a las dos semanas, a las seis semanas y luego cada ocho semanas. </w:t>
            </w:r>
          </w:p>
          <w:p w14:paraId="539E4680" w14:textId="77777777" w:rsidR="00E51D8E" w:rsidRPr="0068632C" w:rsidRDefault="00E51D8E" w:rsidP="007614D7">
            <w:pPr>
              <w:contextualSpacing/>
              <w:rPr>
                <w:rFonts w:ascii="Arial" w:hAnsi="Arial" w:cs="Arial"/>
                <w:sz w:val="20"/>
                <w:szCs w:val="20"/>
              </w:rPr>
            </w:pPr>
            <w:r w:rsidRPr="0068632C">
              <w:rPr>
                <w:rFonts w:ascii="Arial" w:hAnsi="Arial" w:cs="Arial"/>
                <w:sz w:val="20"/>
                <w:szCs w:val="20"/>
              </w:rPr>
              <w:t>Se puede incrementar la dosis hasta 5 mg/kg IV pero exceder esta dosis se asocia a una mayor tasa de efectos adversos. (</w:t>
            </w:r>
            <w:r w:rsidR="007316D3" w:rsidRPr="001A5BEB">
              <w:rPr>
                <w:rFonts w:ascii="Arial" w:eastAsia="TrebuchetMS" w:hAnsi="Arial" w:cs="Arial"/>
                <w:b/>
                <w:color w:val="000000"/>
                <w:sz w:val="20"/>
                <w:szCs w:val="20"/>
                <w:lang w:val="es-ES"/>
              </w:rPr>
              <w:t>[</w:t>
            </w:r>
            <w:r w:rsidR="007316D3" w:rsidRPr="001A5BEB">
              <w:rPr>
                <w:rFonts w:ascii="Arial" w:hAnsi="Arial" w:cs="Arial"/>
                <w:b/>
                <w:sz w:val="20"/>
                <w:szCs w:val="20"/>
              </w:rPr>
              <w:t xml:space="preserve">NE: I, GR: </w:t>
            </w:r>
            <w:r w:rsidR="007316D3">
              <w:rPr>
                <w:rFonts w:ascii="Arial" w:hAnsi="Arial" w:cs="Arial"/>
                <w:b/>
                <w:sz w:val="20"/>
                <w:szCs w:val="20"/>
              </w:rPr>
              <w:t>A</w:t>
            </w:r>
            <w:r w:rsidR="007316D3" w:rsidRPr="001A5BEB">
              <w:rPr>
                <w:rFonts w:ascii="Arial" w:hAnsi="Arial" w:cs="Arial"/>
                <w:b/>
                <w:sz w:val="20"/>
                <w:szCs w:val="20"/>
              </w:rPr>
              <w:t>]</w:t>
            </w:r>
            <w:r w:rsidR="007316D3">
              <w:rPr>
                <w:rFonts w:ascii="Arial" w:eastAsia="Times-Roman" w:hAnsi="Arial" w:cs="Arial"/>
                <w:color w:val="FF0000"/>
                <w:sz w:val="20"/>
                <w:szCs w:val="20"/>
                <w:vertAlign w:val="superscript"/>
              </w:rPr>
              <w:t>10</w:t>
            </w:r>
          </w:p>
        </w:tc>
      </w:tr>
      <w:tr w:rsidR="00E51D8E" w:rsidRPr="0068632C" w14:paraId="1D68D3E5" w14:textId="77777777" w:rsidTr="007614D7">
        <w:tc>
          <w:tcPr>
            <w:tcW w:w="3168" w:type="dxa"/>
            <w:tcBorders>
              <w:top w:val="single" w:sz="4" w:space="0" w:color="auto"/>
              <w:left w:val="single" w:sz="4" w:space="0" w:color="auto"/>
              <w:bottom w:val="single" w:sz="4" w:space="0" w:color="auto"/>
              <w:right w:val="single" w:sz="4" w:space="0" w:color="auto"/>
            </w:tcBorders>
          </w:tcPr>
          <w:p w14:paraId="73AE8474" w14:textId="77777777" w:rsidR="00E51D8E" w:rsidRPr="0068632C" w:rsidRDefault="00E51D8E" w:rsidP="00E51D8E">
            <w:pPr>
              <w:numPr>
                <w:ilvl w:val="0"/>
                <w:numId w:val="2"/>
              </w:numPr>
              <w:ind w:left="0"/>
              <w:contextualSpacing/>
              <w:jc w:val="both"/>
              <w:rPr>
                <w:rFonts w:ascii="Arial" w:hAnsi="Arial" w:cs="Arial"/>
                <w:sz w:val="20"/>
                <w:szCs w:val="20"/>
              </w:rPr>
            </w:pPr>
            <w:r w:rsidRPr="0068632C">
              <w:rPr>
                <w:rFonts w:ascii="Arial" w:hAnsi="Arial" w:cs="Arial"/>
                <w:sz w:val="20"/>
                <w:szCs w:val="20"/>
              </w:rPr>
              <w:t>Contraindicaciones</w:t>
            </w:r>
          </w:p>
        </w:tc>
        <w:tc>
          <w:tcPr>
            <w:tcW w:w="6438" w:type="dxa"/>
            <w:tcBorders>
              <w:top w:val="single" w:sz="4" w:space="0" w:color="auto"/>
              <w:left w:val="single" w:sz="4" w:space="0" w:color="auto"/>
              <w:bottom w:val="single" w:sz="4" w:space="0" w:color="auto"/>
              <w:right w:val="single" w:sz="4" w:space="0" w:color="auto"/>
            </w:tcBorders>
          </w:tcPr>
          <w:p w14:paraId="091C4AA8" w14:textId="77777777" w:rsidR="00890726" w:rsidRPr="0068632C" w:rsidRDefault="00E51D8E" w:rsidP="008F7E2A">
            <w:pPr>
              <w:suppressAutoHyphens/>
              <w:spacing w:after="100" w:afterAutospacing="1"/>
              <w:contextualSpacing/>
              <w:jc w:val="both"/>
              <w:rPr>
                <w:rFonts w:ascii="Arial" w:eastAsia="Times-Roman" w:hAnsi="Arial" w:cs="Arial"/>
                <w:b/>
                <w:sz w:val="20"/>
                <w:szCs w:val="20"/>
              </w:rPr>
            </w:pPr>
            <w:r w:rsidRPr="0068632C">
              <w:rPr>
                <w:rFonts w:ascii="Arial" w:hAnsi="Arial" w:cs="Arial"/>
                <w:sz w:val="20"/>
                <w:szCs w:val="20"/>
              </w:rPr>
              <w:t xml:space="preserve">Alergia al principio activo o excipientes, TB activa, infecciones graves, insuficiencia cardiaca moderada a grave (NYHA clases III/IV), sepsis o riesgo de sepsis, infecciones activas, enfermedad desmielinizante y tumores, particularmente linfoma. </w:t>
            </w:r>
          </w:p>
        </w:tc>
      </w:tr>
      <w:tr w:rsidR="00E51D8E" w:rsidRPr="0068632C" w14:paraId="4EF52195" w14:textId="77777777" w:rsidTr="007614D7">
        <w:tc>
          <w:tcPr>
            <w:tcW w:w="3168" w:type="dxa"/>
            <w:tcBorders>
              <w:top w:val="single" w:sz="4" w:space="0" w:color="auto"/>
              <w:left w:val="single" w:sz="4" w:space="0" w:color="auto"/>
              <w:bottom w:val="single" w:sz="4" w:space="0" w:color="auto"/>
              <w:right w:val="single" w:sz="4" w:space="0" w:color="auto"/>
            </w:tcBorders>
          </w:tcPr>
          <w:p w14:paraId="5995A8E5" w14:textId="77777777" w:rsidR="00E51D8E" w:rsidRPr="0068632C" w:rsidRDefault="00E51D8E" w:rsidP="00E51D8E">
            <w:pPr>
              <w:numPr>
                <w:ilvl w:val="0"/>
                <w:numId w:val="2"/>
              </w:numPr>
              <w:ind w:left="0"/>
              <w:contextualSpacing/>
              <w:jc w:val="both"/>
              <w:rPr>
                <w:rFonts w:ascii="Arial" w:hAnsi="Arial" w:cs="Arial"/>
                <w:sz w:val="20"/>
                <w:szCs w:val="20"/>
              </w:rPr>
            </w:pPr>
            <w:r w:rsidRPr="0068632C">
              <w:rPr>
                <w:rFonts w:ascii="Arial" w:hAnsi="Arial" w:cs="Arial"/>
                <w:sz w:val="20"/>
                <w:szCs w:val="20"/>
              </w:rPr>
              <w:t xml:space="preserve">Casos especiales </w:t>
            </w:r>
          </w:p>
          <w:p w14:paraId="5D7D3594" w14:textId="77777777" w:rsidR="00E51D8E" w:rsidRPr="0068632C" w:rsidRDefault="00E51D8E" w:rsidP="00E51D8E">
            <w:pPr>
              <w:numPr>
                <w:ilvl w:val="0"/>
                <w:numId w:val="2"/>
              </w:numPr>
              <w:ind w:left="0"/>
              <w:contextualSpacing/>
              <w:jc w:val="both"/>
              <w:rPr>
                <w:rFonts w:ascii="Arial" w:hAnsi="Arial" w:cs="Arial"/>
                <w:sz w:val="20"/>
                <w:szCs w:val="20"/>
              </w:rPr>
            </w:pPr>
          </w:p>
        </w:tc>
        <w:tc>
          <w:tcPr>
            <w:tcW w:w="6438" w:type="dxa"/>
            <w:tcBorders>
              <w:top w:val="single" w:sz="4" w:space="0" w:color="auto"/>
              <w:left w:val="single" w:sz="4" w:space="0" w:color="auto"/>
              <w:bottom w:val="single" w:sz="4" w:space="0" w:color="auto"/>
              <w:right w:val="single" w:sz="4" w:space="0" w:color="auto"/>
            </w:tcBorders>
          </w:tcPr>
          <w:p w14:paraId="277D472F" w14:textId="77777777" w:rsidR="00E51D8E" w:rsidRPr="0068632C" w:rsidRDefault="00E51D8E" w:rsidP="007614D7">
            <w:pPr>
              <w:suppressAutoHyphens/>
              <w:spacing w:after="100" w:afterAutospacing="1"/>
              <w:contextualSpacing/>
              <w:jc w:val="both"/>
              <w:rPr>
                <w:rFonts w:ascii="Arial" w:hAnsi="Arial" w:cs="Arial"/>
                <w:sz w:val="20"/>
                <w:szCs w:val="20"/>
              </w:rPr>
            </w:pPr>
            <w:r w:rsidRPr="0068632C">
              <w:rPr>
                <w:rFonts w:ascii="Arial" w:hAnsi="Arial" w:cs="Arial"/>
                <w:sz w:val="20"/>
                <w:szCs w:val="20"/>
              </w:rPr>
              <w:t>IFX se encuentra contraindicado durante el embarazo y la lactancia.</w:t>
            </w:r>
            <w:r w:rsidR="008F7E2A">
              <w:rPr>
                <w:rFonts w:ascii="Arial" w:eastAsia="Times-Roman" w:hAnsi="Arial" w:cs="Arial"/>
                <w:color w:val="FF0000"/>
                <w:sz w:val="20"/>
                <w:szCs w:val="20"/>
                <w:vertAlign w:val="superscript"/>
              </w:rPr>
              <w:t>4</w:t>
            </w:r>
            <w:r w:rsidRPr="0068632C">
              <w:rPr>
                <w:rFonts w:ascii="Arial" w:hAnsi="Arial" w:cs="Arial"/>
                <w:sz w:val="20"/>
                <w:szCs w:val="20"/>
              </w:rPr>
              <w:t xml:space="preserve"> </w:t>
            </w:r>
          </w:p>
          <w:p w14:paraId="0C209671" w14:textId="77777777" w:rsidR="00E51D8E" w:rsidRPr="0068632C" w:rsidRDefault="00E51D8E" w:rsidP="007614D7">
            <w:pPr>
              <w:contextualSpacing/>
              <w:rPr>
                <w:rFonts w:ascii="Arial" w:hAnsi="Arial" w:cs="Arial"/>
                <w:sz w:val="20"/>
                <w:szCs w:val="20"/>
              </w:rPr>
            </w:pPr>
          </w:p>
          <w:p w14:paraId="593821A6" w14:textId="77777777" w:rsidR="00E51D8E" w:rsidRPr="0068632C" w:rsidRDefault="00E51D8E" w:rsidP="007614D7">
            <w:pPr>
              <w:contextualSpacing/>
              <w:jc w:val="both"/>
              <w:rPr>
                <w:rFonts w:ascii="Arial" w:hAnsi="Arial" w:cs="Arial"/>
                <w:sz w:val="20"/>
                <w:szCs w:val="20"/>
              </w:rPr>
            </w:pPr>
            <w:r w:rsidRPr="0068632C">
              <w:rPr>
                <w:rFonts w:ascii="Arial" w:hAnsi="Arial" w:cs="Arial"/>
                <w:color w:val="052701"/>
                <w:sz w:val="20"/>
                <w:szCs w:val="20"/>
              </w:rPr>
              <w:t>N</w:t>
            </w:r>
            <w:r w:rsidRPr="0068632C">
              <w:rPr>
                <w:rFonts w:ascii="Arial" w:hAnsi="Arial" w:cs="Arial"/>
                <w:sz w:val="20"/>
                <w:szCs w:val="20"/>
              </w:rPr>
              <w:t xml:space="preserve">o está claro el riesgo de infección perioperatoria, ni cuánto tiempo antes de una intervención quirúrgica se debe suspender IFX. </w:t>
            </w:r>
          </w:p>
          <w:p w14:paraId="596FCAC6" w14:textId="77777777" w:rsidR="00E51D8E" w:rsidRPr="0068632C" w:rsidRDefault="00E51D8E" w:rsidP="007614D7">
            <w:pPr>
              <w:contextualSpacing/>
              <w:jc w:val="both"/>
              <w:rPr>
                <w:rFonts w:ascii="Arial" w:hAnsi="Arial" w:cs="Arial"/>
                <w:sz w:val="20"/>
                <w:szCs w:val="20"/>
              </w:rPr>
            </w:pPr>
          </w:p>
          <w:p w14:paraId="30C2F63B" w14:textId="77777777" w:rsidR="00E51D8E" w:rsidRPr="0068632C" w:rsidRDefault="00E51D8E" w:rsidP="006E7AEF">
            <w:pPr>
              <w:contextualSpacing/>
              <w:jc w:val="both"/>
              <w:rPr>
                <w:rFonts w:ascii="Arial" w:eastAsia="Times-Roman" w:hAnsi="Arial" w:cs="Arial"/>
                <w:b/>
                <w:sz w:val="20"/>
                <w:szCs w:val="20"/>
              </w:rPr>
            </w:pPr>
            <w:r w:rsidRPr="0068632C">
              <w:rPr>
                <w:rFonts w:ascii="Arial" w:hAnsi="Arial" w:cs="Arial"/>
                <w:sz w:val="20"/>
                <w:szCs w:val="20"/>
              </w:rPr>
              <w:t>No se recomie</w:t>
            </w:r>
            <w:r w:rsidR="008F7E2A">
              <w:rPr>
                <w:rFonts w:ascii="Arial" w:hAnsi="Arial" w:cs="Arial"/>
                <w:sz w:val="20"/>
                <w:szCs w:val="20"/>
              </w:rPr>
              <w:t>nda su asociación con anakinra</w:t>
            </w:r>
            <w:r w:rsidRPr="0068632C">
              <w:rPr>
                <w:rFonts w:ascii="Arial" w:hAnsi="Arial" w:cs="Arial"/>
                <w:sz w:val="20"/>
                <w:szCs w:val="20"/>
              </w:rPr>
              <w:t xml:space="preserve"> ni con abatacept porque aumenta el riesgo de infecciones. </w:t>
            </w:r>
          </w:p>
          <w:p w14:paraId="426D0947" w14:textId="77777777" w:rsidR="00E51D8E" w:rsidRPr="0068632C" w:rsidRDefault="00E51D8E" w:rsidP="007614D7">
            <w:pPr>
              <w:contextualSpacing/>
              <w:rPr>
                <w:rFonts w:ascii="Arial" w:eastAsia="Times-Roman" w:hAnsi="Arial" w:cs="Arial"/>
                <w:b/>
                <w:sz w:val="20"/>
                <w:szCs w:val="20"/>
              </w:rPr>
            </w:pPr>
          </w:p>
          <w:p w14:paraId="6C09CC72" w14:textId="77777777" w:rsidR="00E51D8E" w:rsidRPr="0068632C" w:rsidRDefault="00E51D8E" w:rsidP="007614D7">
            <w:pPr>
              <w:autoSpaceDE w:val="0"/>
              <w:autoSpaceDN w:val="0"/>
              <w:adjustRightInd w:val="0"/>
              <w:contextualSpacing/>
              <w:jc w:val="both"/>
              <w:rPr>
                <w:rFonts w:ascii="Arial" w:eastAsia="Times-Roman" w:hAnsi="Arial" w:cs="Arial"/>
                <w:i/>
                <w:sz w:val="20"/>
                <w:szCs w:val="20"/>
              </w:rPr>
            </w:pPr>
            <w:r w:rsidRPr="0068632C">
              <w:rPr>
                <w:rFonts w:ascii="Arial" w:eastAsia="Times-Roman" w:hAnsi="Arial" w:cs="Arial"/>
                <w:i/>
                <w:sz w:val="20"/>
                <w:szCs w:val="20"/>
              </w:rPr>
              <w:t>*Ver sección de eventos adversos para terapia con anti TNF</w:t>
            </w:r>
          </w:p>
        </w:tc>
      </w:tr>
    </w:tbl>
    <w:p w14:paraId="2D1627D3" w14:textId="77777777" w:rsidR="00E51D8E" w:rsidRPr="0068632C" w:rsidRDefault="00E51D8E"/>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79"/>
      </w:tblGrid>
      <w:tr w:rsidR="00E51D8E" w:rsidRPr="0068632C" w14:paraId="685278C8" w14:textId="77777777" w:rsidTr="00F0314D">
        <w:tc>
          <w:tcPr>
            <w:tcW w:w="3227" w:type="dxa"/>
          </w:tcPr>
          <w:p w14:paraId="46028332" w14:textId="77777777" w:rsidR="00E51D8E" w:rsidRPr="0068632C" w:rsidRDefault="00E51D8E" w:rsidP="007614D7">
            <w:pPr>
              <w:contextualSpacing/>
              <w:jc w:val="both"/>
              <w:rPr>
                <w:rFonts w:ascii="Arial" w:hAnsi="Arial" w:cs="Arial"/>
                <w:sz w:val="20"/>
                <w:szCs w:val="20"/>
              </w:rPr>
            </w:pPr>
            <w:r w:rsidRPr="0068632C">
              <w:rPr>
                <w:rFonts w:ascii="Arial" w:hAnsi="Arial" w:cs="Arial"/>
                <w:sz w:val="20"/>
                <w:szCs w:val="20"/>
              </w:rPr>
              <w:t>Estudios que se requieren antes del tratamiento y durante el seguimiento</w:t>
            </w:r>
          </w:p>
        </w:tc>
        <w:tc>
          <w:tcPr>
            <w:tcW w:w="6379" w:type="dxa"/>
          </w:tcPr>
          <w:p w14:paraId="6970022F" w14:textId="77777777" w:rsidR="00E51D8E" w:rsidRPr="0068632C" w:rsidRDefault="00E51D8E" w:rsidP="007614D7">
            <w:pPr>
              <w:suppressAutoHyphens/>
              <w:spacing w:after="100" w:afterAutospacing="1"/>
              <w:contextualSpacing/>
              <w:jc w:val="both"/>
              <w:rPr>
                <w:rFonts w:ascii="Arial" w:hAnsi="Arial" w:cs="Arial"/>
                <w:sz w:val="20"/>
                <w:szCs w:val="20"/>
              </w:rPr>
            </w:pPr>
            <w:r w:rsidRPr="0068632C">
              <w:rPr>
                <w:rFonts w:ascii="Arial" w:hAnsi="Arial" w:cs="Arial"/>
                <w:sz w:val="20"/>
                <w:szCs w:val="20"/>
              </w:rPr>
              <w:t xml:space="preserve">En la valoración inicial se debe solicitar una </w:t>
            </w:r>
            <w:r w:rsidR="005C5AB8">
              <w:rPr>
                <w:rFonts w:ascii="Arial" w:hAnsi="Arial" w:cs="Arial"/>
                <w:sz w:val="20"/>
                <w:szCs w:val="20"/>
              </w:rPr>
              <w:t xml:space="preserve">BH </w:t>
            </w:r>
            <w:r w:rsidRPr="0068632C">
              <w:rPr>
                <w:rFonts w:ascii="Arial" w:hAnsi="Arial" w:cs="Arial"/>
                <w:sz w:val="20"/>
                <w:szCs w:val="20"/>
              </w:rPr>
              <w:t xml:space="preserve">completa, reactantes de fase aguda (VSG, PCR),  </w:t>
            </w:r>
            <w:r w:rsidR="005C5AB8">
              <w:rPr>
                <w:rFonts w:ascii="Arial" w:hAnsi="Arial" w:cs="Arial"/>
                <w:sz w:val="20"/>
                <w:szCs w:val="20"/>
              </w:rPr>
              <w:t>QS</w:t>
            </w:r>
            <w:r w:rsidRPr="0068632C">
              <w:rPr>
                <w:rFonts w:ascii="Arial" w:hAnsi="Arial" w:cs="Arial"/>
                <w:sz w:val="20"/>
                <w:szCs w:val="20"/>
              </w:rPr>
              <w:t xml:space="preserve">, EGO, perfil para hepatitis B y C, serología para VIH (sólo en grupos de alto riesgo), radiografía del tórax, PPD y/o quantiferón (para descartar la presencia de TB latente o activa). </w:t>
            </w:r>
          </w:p>
          <w:p w14:paraId="0910A9EE" w14:textId="77777777" w:rsidR="00E51D8E" w:rsidRPr="0068632C" w:rsidRDefault="006E7AEF" w:rsidP="007614D7">
            <w:pPr>
              <w:suppressAutoHyphens/>
              <w:spacing w:after="100" w:afterAutospacing="1"/>
              <w:contextualSpacing/>
              <w:jc w:val="both"/>
              <w:rPr>
                <w:rFonts w:ascii="Arial" w:hAnsi="Arial" w:cs="Arial"/>
                <w:sz w:val="20"/>
                <w:szCs w:val="20"/>
              </w:rPr>
            </w:pPr>
            <w:r w:rsidRPr="001A5BEB">
              <w:rPr>
                <w:rFonts w:ascii="Arial" w:eastAsia="TrebuchetMS" w:hAnsi="Arial" w:cs="Arial"/>
                <w:b/>
                <w:color w:val="000000"/>
                <w:sz w:val="20"/>
                <w:szCs w:val="20"/>
                <w:lang w:val="es-ES"/>
              </w:rPr>
              <w:t>[</w:t>
            </w:r>
            <w:r w:rsidRPr="001A5BEB">
              <w:rPr>
                <w:rFonts w:ascii="Arial" w:hAnsi="Arial" w:cs="Arial"/>
                <w:b/>
                <w:sz w:val="20"/>
                <w:szCs w:val="20"/>
              </w:rPr>
              <w:t xml:space="preserve">NE: </w:t>
            </w:r>
            <w:r>
              <w:rPr>
                <w:rFonts w:ascii="Arial" w:hAnsi="Arial" w:cs="Arial"/>
                <w:b/>
                <w:sz w:val="20"/>
                <w:szCs w:val="20"/>
              </w:rPr>
              <w:t>1</w:t>
            </w:r>
            <w:r w:rsidRPr="001A5BEB">
              <w:rPr>
                <w:rFonts w:ascii="Arial" w:hAnsi="Arial" w:cs="Arial"/>
                <w:b/>
                <w:sz w:val="20"/>
                <w:szCs w:val="20"/>
              </w:rPr>
              <w:t xml:space="preserve">, GR: </w:t>
            </w:r>
            <w:r>
              <w:rPr>
                <w:rFonts w:ascii="Arial" w:hAnsi="Arial" w:cs="Arial"/>
                <w:b/>
                <w:sz w:val="20"/>
                <w:szCs w:val="20"/>
              </w:rPr>
              <w:t>A]</w:t>
            </w:r>
            <w:r>
              <w:rPr>
                <w:rFonts w:ascii="Arial" w:eastAsia="Times-Roman" w:hAnsi="Arial" w:cs="Arial"/>
                <w:color w:val="FF0000"/>
                <w:sz w:val="20"/>
                <w:szCs w:val="20"/>
                <w:vertAlign w:val="superscript"/>
              </w:rPr>
              <w:t>13</w:t>
            </w:r>
          </w:p>
          <w:p w14:paraId="5F53D5AB" w14:textId="77777777" w:rsidR="006E7AEF" w:rsidRDefault="006E7AEF" w:rsidP="007614D7">
            <w:pPr>
              <w:suppressAutoHyphens/>
              <w:spacing w:after="100" w:afterAutospacing="1"/>
              <w:contextualSpacing/>
              <w:jc w:val="both"/>
              <w:rPr>
                <w:rFonts w:ascii="Arial" w:hAnsi="Arial" w:cs="Arial"/>
                <w:color w:val="231F20"/>
                <w:sz w:val="20"/>
                <w:szCs w:val="20"/>
                <w:lang w:val="es-ES"/>
              </w:rPr>
            </w:pPr>
          </w:p>
          <w:p w14:paraId="2E38E287" w14:textId="77777777" w:rsidR="006E7AEF" w:rsidRPr="0068632C" w:rsidRDefault="00E51D8E" w:rsidP="006E7AEF">
            <w:pPr>
              <w:suppressAutoHyphens/>
              <w:spacing w:after="100" w:afterAutospacing="1"/>
              <w:contextualSpacing/>
              <w:jc w:val="both"/>
              <w:rPr>
                <w:rFonts w:ascii="Arial" w:hAnsi="Arial" w:cs="Arial"/>
                <w:sz w:val="20"/>
                <w:szCs w:val="20"/>
              </w:rPr>
            </w:pPr>
            <w:r w:rsidRPr="0068632C">
              <w:rPr>
                <w:rFonts w:ascii="Arial" w:hAnsi="Arial" w:cs="Arial"/>
                <w:color w:val="231F20"/>
                <w:sz w:val="20"/>
                <w:szCs w:val="20"/>
                <w:lang w:val="es-ES"/>
              </w:rPr>
              <w:lastRenderedPageBreak/>
              <w:t>Se debe realizar un escrutinio</w:t>
            </w:r>
            <w:r w:rsidRPr="0068632C">
              <w:rPr>
                <w:rFonts w:ascii="Arial" w:hAnsi="Arial" w:cs="Arial"/>
                <w:color w:val="231F20"/>
                <w:sz w:val="20"/>
                <w:szCs w:val="20"/>
              </w:rPr>
              <w:t xml:space="preserve"> para TB latente o activa. La realización de PPD con induración mayor a 5 mm se considera riesgo de TB latente y se requiere tratamiento antituberculoso antes de iniciar el manejo con anti TNF.</w:t>
            </w:r>
            <w:r w:rsidR="00EA68B1">
              <w:rPr>
                <w:rFonts w:ascii="Arial" w:hAnsi="Arial" w:cs="Arial"/>
                <w:color w:val="231F20"/>
                <w:sz w:val="20"/>
                <w:szCs w:val="20"/>
              </w:rPr>
              <w:t xml:space="preserve"> </w:t>
            </w:r>
            <w:r w:rsidR="006E7AEF" w:rsidRPr="001A5BEB">
              <w:rPr>
                <w:rFonts w:ascii="Arial" w:eastAsia="TrebuchetMS" w:hAnsi="Arial" w:cs="Arial"/>
                <w:b/>
                <w:color w:val="000000"/>
                <w:sz w:val="20"/>
                <w:szCs w:val="20"/>
                <w:lang w:val="es-ES"/>
              </w:rPr>
              <w:t>[</w:t>
            </w:r>
            <w:r w:rsidR="006E7AEF" w:rsidRPr="001A5BEB">
              <w:rPr>
                <w:rFonts w:ascii="Arial" w:hAnsi="Arial" w:cs="Arial"/>
                <w:b/>
                <w:sz w:val="20"/>
                <w:szCs w:val="20"/>
              </w:rPr>
              <w:t xml:space="preserve">NE: </w:t>
            </w:r>
            <w:r w:rsidR="006E7AEF">
              <w:rPr>
                <w:rFonts w:ascii="Arial" w:hAnsi="Arial" w:cs="Arial"/>
                <w:b/>
                <w:sz w:val="20"/>
                <w:szCs w:val="20"/>
              </w:rPr>
              <w:t>1</w:t>
            </w:r>
            <w:r w:rsidR="006E7AEF" w:rsidRPr="001A5BEB">
              <w:rPr>
                <w:rFonts w:ascii="Arial" w:hAnsi="Arial" w:cs="Arial"/>
                <w:b/>
                <w:sz w:val="20"/>
                <w:szCs w:val="20"/>
              </w:rPr>
              <w:t xml:space="preserve">, GR: </w:t>
            </w:r>
            <w:r w:rsidR="006E7AEF">
              <w:rPr>
                <w:rFonts w:ascii="Arial" w:hAnsi="Arial" w:cs="Arial"/>
                <w:b/>
                <w:sz w:val="20"/>
                <w:szCs w:val="20"/>
              </w:rPr>
              <w:t>A]</w:t>
            </w:r>
            <w:r w:rsidR="006E7AEF">
              <w:rPr>
                <w:rFonts w:ascii="Arial" w:eastAsia="Times-Roman" w:hAnsi="Arial" w:cs="Arial"/>
                <w:color w:val="FF0000"/>
                <w:sz w:val="20"/>
                <w:szCs w:val="20"/>
                <w:vertAlign w:val="superscript"/>
              </w:rPr>
              <w:t>13</w:t>
            </w:r>
          </w:p>
          <w:p w14:paraId="575733FA" w14:textId="77777777" w:rsidR="00E51D8E" w:rsidRPr="0068632C" w:rsidRDefault="00E51D8E" w:rsidP="007614D7">
            <w:pPr>
              <w:suppressAutoHyphens/>
              <w:spacing w:after="100" w:afterAutospacing="1"/>
              <w:contextualSpacing/>
              <w:jc w:val="both"/>
              <w:rPr>
                <w:rFonts w:ascii="Arial" w:hAnsi="Arial" w:cs="Arial"/>
                <w:color w:val="231F20"/>
                <w:sz w:val="20"/>
                <w:szCs w:val="20"/>
              </w:rPr>
            </w:pPr>
          </w:p>
          <w:p w14:paraId="4771DCFB" w14:textId="77777777" w:rsidR="006E7AEF" w:rsidRDefault="00E51D8E" w:rsidP="006E7AEF">
            <w:pPr>
              <w:suppressAutoHyphens/>
              <w:spacing w:after="100" w:afterAutospacing="1"/>
              <w:contextualSpacing/>
              <w:jc w:val="both"/>
              <w:rPr>
                <w:rFonts w:ascii="Arial" w:eastAsia="Times-Roman" w:hAnsi="Arial" w:cs="Arial"/>
                <w:color w:val="FF0000"/>
                <w:sz w:val="20"/>
                <w:szCs w:val="20"/>
                <w:vertAlign w:val="superscript"/>
              </w:rPr>
            </w:pPr>
            <w:r w:rsidRPr="0068632C">
              <w:rPr>
                <w:rFonts w:ascii="Arial" w:hAnsi="Arial" w:cs="Arial"/>
                <w:color w:val="231F20"/>
                <w:sz w:val="20"/>
                <w:szCs w:val="20"/>
              </w:rPr>
              <w:t>La utilización del quantiferón se considera un método diagnóstico alternativo para diagnosticar TB latente.</w:t>
            </w:r>
            <w:r w:rsidR="00EA68B1">
              <w:rPr>
                <w:rFonts w:ascii="Arial" w:hAnsi="Arial" w:cs="Arial"/>
                <w:color w:val="231F20"/>
                <w:sz w:val="20"/>
                <w:szCs w:val="20"/>
              </w:rPr>
              <w:t xml:space="preserve"> </w:t>
            </w:r>
            <w:r w:rsidR="006E7AEF" w:rsidRPr="001A5BEB">
              <w:rPr>
                <w:rFonts w:ascii="Arial" w:eastAsia="TrebuchetMS" w:hAnsi="Arial" w:cs="Arial"/>
                <w:b/>
                <w:color w:val="000000"/>
                <w:sz w:val="20"/>
                <w:szCs w:val="20"/>
                <w:lang w:val="es-ES"/>
              </w:rPr>
              <w:t>[</w:t>
            </w:r>
            <w:r w:rsidR="006E7AEF" w:rsidRPr="001A5BEB">
              <w:rPr>
                <w:rFonts w:ascii="Arial" w:hAnsi="Arial" w:cs="Arial"/>
                <w:b/>
                <w:sz w:val="20"/>
                <w:szCs w:val="20"/>
              </w:rPr>
              <w:t xml:space="preserve">NE: </w:t>
            </w:r>
            <w:r w:rsidR="006E7AEF">
              <w:rPr>
                <w:rFonts w:ascii="Arial" w:hAnsi="Arial" w:cs="Arial"/>
                <w:b/>
                <w:sz w:val="20"/>
                <w:szCs w:val="20"/>
              </w:rPr>
              <w:t>4</w:t>
            </w:r>
            <w:r w:rsidR="006E7AEF" w:rsidRPr="001A5BEB">
              <w:rPr>
                <w:rFonts w:ascii="Arial" w:hAnsi="Arial" w:cs="Arial"/>
                <w:b/>
                <w:sz w:val="20"/>
                <w:szCs w:val="20"/>
              </w:rPr>
              <w:t xml:space="preserve">, GR: </w:t>
            </w:r>
            <w:r w:rsidR="006E7AEF">
              <w:rPr>
                <w:rFonts w:ascii="Arial" w:hAnsi="Arial" w:cs="Arial"/>
                <w:b/>
                <w:sz w:val="20"/>
                <w:szCs w:val="20"/>
              </w:rPr>
              <w:t>D]</w:t>
            </w:r>
            <w:r w:rsidR="006E7AEF">
              <w:rPr>
                <w:rFonts w:ascii="Arial" w:eastAsia="Times-Roman" w:hAnsi="Arial" w:cs="Arial"/>
                <w:color w:val="FF0000"/>
                <w:sz w:val="20"/>
                <w:szCs w:val="20"/>
                <w:vertAlign w:val="superscript"/>
              </w:rPr>
              <w:t>13</w:t>
            </w:r>
          </w:p>
          <w:p w14:paraId="763756E2" w14:textId="77777777" w:rsidR="006E7AEF" w:rsidRPr="0068632C" w:rsidRDefault="006E7AEF" w:rsidP="006E7AEF">
            <w:pPr>
              <w:suppressAutoHyphens/>
              <w:spacing w:after="100" w:afterAutospacing="1"/>
              <w:contextualSpacing/>
              <w:jc w:val="both"/>
              <w:rPr>
                <w:rFonts w:ascii="Arial" w:hAnsi="Arial" w:cs="Arial"/>
                <w:sz w:val="20"/>
                <w:szCs w:val="20"/>
              </w:rPr>
            </w:pPr>
          </w:p>
          <w:p w14:paraId="440D03CD" w14:textId="77777777" w:rsidR="00E51D8E" w:rsidRPr="0068632C" w:rsidRDefault="00E51D8E" w:rsidP="007614D7">
            <w:pPr>
              <w:suppressAutoHyphens/>
              <w:spacing w:after="100" w:afterAutospacing="1"/>
              <w:contextualSpacing/>
              <w:jc w:val="both"/>
              <w:rPr>
                <w:rFonts w:ascii="Arial" w:hAnsi="Arial" w:cs="Arial"/>
                <w:color w:val="231F20"/>
                <w:sz w:val="20"/>
                <w:szCs w:val="20"/>
              </w:rPr>
            </w:pPr>
            <w:r w:rsidRPr="0068632C">
              <w:rPr>
                <w:rFonts w:ascii="Arial" w:hAnsi="Arial" w:cs="Arial"/>
                <w:color w:val="231F20"/>
                <w:sz w:val="20"/>
                <w:szCs w:val="20"/>
              </w:rPr>
              <w:t>Barrera de implementación: la utilización del quantiferón en nuestro medio es una limitante por el costo y por la poca disponibilidad.</w:t>
            </w:r>
          </w:p>
          <w:p w14:paraId="4257B84C" w14:textId="77777777" w:rsidR="00E51D8E" w:rsidRPr="0068632C" w:rsidRDefault="00E51D8E" w:rsidP="007614D7">
            <w:pPr>
              <w:suppressAutoHyphens/>
              <w:spacing w:after="100" w:afterAutospacing="1"/>
              <w:contextualSpacing/>
              <w:jc w:val="both"/>
              <w:rPr>
                <w:rFonts w:ascii="Arial" w:hAnsi="Arial" w:cs="Arial"/>
                <w:color w:val="231F20"/>
                <w:sz w:val="20"/>
                <w:szCs w:val="20"/>
              </w:rPr>
            </w:pPr>
          </w:p>
          <w:p w14:paraId="3A4619DF" w14:textId="77777777" w:rsidR="00E51D8E" w:rsidRPr="0068632C" w:rsidRDefault="00E51D8E" w:rsidP="007614D7">
            <w:pPr>
              <w:suppressAutoHyphens/>
              <w:spacing w:after="100" w:afterAutospacing="1"/>
              <w:contextualSpacing/>
              <w:jc w:val="both"/>
              <w:rPr>
                <w:rFonts w:ascii="Arial" w:hAnsi="Arial" w:cs="Arial"/>
                <w:sz w:val="20"/>
                <w:szCs w:val="20"/>
              </w:rPr>
            </w:pPr>
            <w:r w:rsidRPr="0068632C">
              <w:rPr>
                <w:rFonts w:ascii="Arial" w:hAnsi="Arial" w:cs="Arial"/>
                <w:sz w:val="20"/>
                <w:szCs w:val="20"/>
              </w:rPr>
              <w:t xml:space="preserve">No existen datos suficientes con relación a repetir en el seguimiento el PPD o el quantiferón, salvo en casos especiales. </w:t>
            </w:r>
          </w:p>
          <w:p w14:paraId="2E5B46D2" w14:textId="77777777" w:rsidR="00E51D8E" w:rsidRPr="0068632C" w:rsidRDefault="00E51D8E" w:rsidP="007614D7">
            <w:pPr>
              <w:suppressAutoHyphens/>
              <w:spacing w:after="100" w:afterAutospacing="1"/>
              <w:contextualSpacing/>
              <w:jc w:val="both"/>
              <w:rPr>
                <w:rFonts w:ascii="Arial" w:hAnsi="Arial" w:cs="Arial"/>
                <w:sz w:val="20"/>
                <w:szCs w:val="20"/>
              </w:rPr>
            </w:pPr>
          </w:p>
          <w:p w14:paraId="7EB8B2B6" w14:textId="77777777" w:rsidR="00E51D8E" w:rsidRPr="0068632C" w:rsidRDefault="00E51D8E" w:rsidP="007614D7">
            <w:pPr>
              <w:suppressAutoHyphens/>
              <w:spacing w:after="100" w:afterAutospacing="1"/>
              <w:contextualSpacing/>
              <w:jc w:val="both"/>
              <w:rPr>
                <w:rFonts w:ascii="Arial" w:hAnsi="Arial" w:cs="Arial"/>
                <w:sz w:val="20"/>
                <w:szCs w:val="20"/>
              </w:rPr>
            </w:pPr>
            <w:r w:rsidRPr="0068632C">
              <w:rPr>
                <w:rFonts w:ascii="Arial" w:hAnsi="Arial" w:cs="Arial"/>
                <w:sz w:val="20"/>
                <w:szCs w:val="20"/>
              </w:rPr>
              <w:t xml:space="preserve">En mujeres en edad reproductiva se debe realizar prueba de embarazo. </w:t>
            </w:r>
          </w:p>
          <w:p w14:paraId="0EACFAD0" w14:textId="77777777" w:rsidR="00E51D8E" w:rsidRPr="0068632C" w:rsidRDefault="00E51D8E" w:rsidP="007614D7">
            <w:pPr>
              <w:suppressAutoHyphens/>
              <w:spacing w:after="100" w:afterAutospacing="1"/>
              <w:contextualSpacing/>
              <w:jc w:val="both"/>
              <w:rPr>
                <w:rFonts w:ascii="Arial" w:eastAsia="Times-Roman" w:hAnsi="Arial" w:cs="Arial"/>
                <w:sz w:val="20"/>
                <w:szCs w:val="20"/>
              </w:rPr>
            </w:pPr>
          </w:p>
          <w:p w14:paraId="1D1EB96F" w14:textId="77777777" w:rsidR="006E7AEF" w:rsidRDefault="00E51D8E" w:rsidP="006E7AEF">
            <w:pPr>
              <w:suppressAutoHyphens/>
              <w:spacing w:after="100" w:afterAutospacing="1"/>
              <w:contextualSpacing/>
              <w:jc w:val="both"/>
              <w:rPr>
                <w:rFonts w:ascii="Arial" w:eastAsia="Times-Roman" w:hAnsi="Arial" w:cs="Arial"/>
                <w:color w:val="FF0000"/>
                <w:sz w:val="20"/>
                <w:szCs w:val="20"/>
                <w:vertAlign w:val="superscript"/>
              </w:rPr>
            </w:pPr>
            <w:r w:rsidRPr="0068632C">
              <w:rPr>
                <w:rFonts w:ascii="Arial" w:eastAsia="Times-Roman" w:hAnsi="Arial" w:cs="Arial"/>
                <w:sz w:val="20"/>
                <w:szCs w:val="20"/>
              </w:rPr>
              <w:t xml:space="preserve">Se deben de descartar infecciones activas, procesos neoplásicos y enfermedades autoinmunitarias (solicitar anti DNA y ANA cada 3 meses durante el primer año y </w:t>
            </w:r>
            <w:r w:rsidR="001D3CFF">
              <w:rPr>
                <w:rFonts w:ascii="Arial" w:eastAsia="Times-Roman" w:hAnsi="Arial" w:cs="Arial"/>
                <w:sz w:val="20"/>
                <w:szCs w:val="20"/>
              </w:rPr>
              <w:t>posteriormente cada seis meses).</w:t>
            </w:r>
            <w:r w:rsidR="006E7AEF" w:rsidRPr="001A5BEB">
              <w:rPr>
                <w:rFonts w:ascii="Arial" w:eastAsia="TrebuchetMS" w:hAnsi="Arial" w:cs="Arial"/>
                <w:b/>
                <w:color w:val="000000"/>
                <w:sz w:val="20"/>
                <w:szCs w:val="20"/>
                <w:lang w:val="es-ES"/>
              </w:rPr>
              <w:t xml:space="preserve"> [</w:t>
            </w:r>
            <w:r w:rsidR="006E7AEF" w:rsidRPr="001A5BEB">
              <w:rPr>
                <w:rFonts w:ascii="Arial" w:hAnsi="Arial" w:cs="Arial"/>
                <w:b/>
                <w:sz w:val="20"/>
                <w:szCs w:val="20"/>
              </w:rPr>
              <w:t xml:space="preserve">NE: </w:t>
            </w:r>
            <w:r w:rsidR="006E7AEF">
              <w:rPr>
                <w:rFonts w:ascii="Arial" w:hAnsi="Arial" w:cs="Arial"/>
                <w:b/>
                <w:sz w:val="20"/>
                <w:szCs w:val="20"/>
              </w:rPr>
              <w:t>2</w:t>
            </w:r>
            <w:r w:rsidR="006E7AEF" w:rsidRPr="001A5BEB">
              <w:rPr>
                <w:rFonts w:ascii="Arial" w:hAnsi="Arial" w:cs="Arial"/>
                <w:b/>
                <w:sz w:val="20"/>
                <w:szCs w:val="20"/>
              </w:rPr>
              <w:t xml:space="preserve">, GR: </w:t>
            </w:r>
            <w:r w:rsidR="006E7AEF">
              <w:rPr>
                <w:rFonts w:ascii="Arial" w:hAnsi="Arial" w:cs="Arial"/>
                <w:b/>
                <w:sz w:val="20"/>
                <w:szCs w:val="20"/>
              </w:rPr>
              <w:t>B]</w:t>
            </w:r>
            <w:r w:rsidR="006E7AEF">
              <w:rPr>
                <w:rFonts w:ascii="Arial" w:eastAsia="Times-Roman" w:hAnsi="Arial" w:cs="Arial"/>
                <w:color w:val="FF0000"/>
                <w:sz w:val="20"/>
                <w:szCs w:val="20"/>
                <w:vertAlign w:val="superscript"/>
              </w:rPr>
              <w:t>30</w:t>
            </w:r>
          </w:p>
          <w:p w14:paraId="3EBC8FD2" w14:textId="77777777" w:rsidR="00E51D8E" w:rsidRPr="0068632C" w:rsidRDefault="00E51D8E" w:rsidP="007614D7">
            <w:pPr>
              <w:suppressAutoHyphens/>
              <w:spacing w:after="100" w:afterAutospacing="1"/>
              <w:contextualSpacing/>
              <w:jc w:val="both"/>
              <w:rPr>
                <w:rFonts w:ascii="Arial" w:hAnsi="Arial" w:cs="Arial"/>
                <w:sz w:val="20"/>
                <w:szCs w:val="20"/>
              </w:rPr>
            </w:pPr>
          </w:p>
          <w:p w14:paraId="62E6437A" w14:textId="77777777" w:rsidR="00E51D8E" w:rsidRDefault="00E51D8E"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Para seguimiento se debe solicitar</w:t>
            </w:r>
            <w:r w:rsidR="005C5AB8">
              <w:rPr>
                <w:rFonts w:ascii="Arial" w:hAnsi="Arial" w:cs="Arial"/>
                <w:sz w:val="20"/>
                <w:szCs w:val="20"/>
              </w:rPr>
              <w:t xml:space="preserve"> BH</w:t>
            </w:r>
            <w:r w:rsidRPr="0068632C">
              <w:rPr>
                <w:rFonts w:ascii="Arial" w:hAnsi="Arial" w:cs="Arial"/>
                <w:sz w:val="20"/>
                <w:szCs w:val="20"/>
              </w:rPr>
              <w:t xml:space="preserve">, </w:t>
            </w:r>
            <w:r w:rsidR="005C5AB8">
              <w:rPr>
                <w:rFonts w:ascii="Arial" w:hAnsi="Arial" w:cs="Arial"/>
                <w:sz w:val="20"/>
                <w:szCs w:val="20"/>
              </w:rPr>
              <w:t xml:space="preserve">PFH </w:t>
            </w:r>
            <w:r w:rsidRPr="0068632C">
              <w:rPr>
                <w:rFonts w:ascii="Arial" w:hAnsi="Arial" w:cs="Arial"/>
                <w:sz w:val="20"/>
                <w:szCs w:val="20"/>
              </w:rPr>
              <w:t xml:space="preserve">y </w:t>
            </w:r>
            <w:r w:rsidR="005C5AB8">
              <w:rPr>
                <w:rFonts w:ascii="Arial" w:hAnsi="Arial" w:cs="Arial"/>
                <w:sz w:val="20"/>
                <w:szCs w:val="20"/>
              </w:rPr>
              <w:t xml:space="preserve">QS </w:t>
            </w:r>
            <w:r w:rsidRPr="0068632C">
              <w:rPr>
                <w:rFonts w:ascii="Arial" w:hAnsi="Arial" w:cs="Arial"/>
                <w:sz w:val="20"/>
                <w:szCs w:val="20"/>
              </w:rPr>
              <w:t xml:space="preserve">y reactantes de fase aguda cada 3 a 4 meses. </w:t>
            </w:r>
            <w:r w:rsidR="006E7AEF" w:rsidRPr="001A5BEB">
              <w:rPr>
                <w:rFonts w:ascii="Arial" w:eastAsia="TrebuchetMS" w:hAnsi="Arial" w:cs="Arial"/>
                <w:b/>
                <w:color w:val="000000"/>
                <w:sz w:val="20"/>
                <w:szCs w:val="20"/>
                <w:lang w:val="es-ES"/>
              </w:rPr>
              <w:t>[</w:t>
            </w:r>
            <w:r w:rsidR="006E7AEF" w:rsidRPr="001A5BEB">
              <w:rPr>
                <w:rFonts w:ascii="Arial" w:hAnsi="Arial" w:cs="Arial"/>
                <w:b/>
                <w:sz w:val="20"/>
                <w:szCs w:val="20"/>
              </w:rPr>
              <w:t xml:space="preserve">NE: </w:t>
            </w:r>
            <w:r w:rsidR="006E7AEF">
              <w:rPr>
                <w:rFonts w:ascii="Arial" w:hAnsi="Arial" w:cs="Arial"/>
                <w:b/>
                <w:sz w:val="20"/>
                <w:szCs w:val="20"/>
              </w:rPr>
              <w:t>2</w:t>
            </w:r>
            <w:r w:rsidR="006E7AEF" w:rsidRPr="001A5BEB">
              <w:rPr>
                <w:rFonts w:ascii="Arial" w:hAnsi="Arial" w:cs="Arial"/>
                <w:b/>
                <w:sz w:val="20"/>
                <w:szCs w:val="20"/>
              </w:rPr>
              <w:t xml:space="preserve">, GR: </w:t>
            </w:r>
            <w:r w:rsidR="006E7AEF">
              <w:rPr>
                <w:rFonts w:ascii="Arial" w:hAnsi="Arial" w:cs="Arial"/>
                <w:b/>
                <w:sz w:val="20"/>
                <w:szCs w:val="20"/>
              </w:rPr>
              <w:t>B]</w:t>
            </w:r>
            <w:r w:rsidR="006E7AEF">
              <w:rPr>
                <w:rFonts w:ascii="Arial" w:eastAsia="Times-Roman" w:hAnsi="Arial" w:cs="Arial"/>
                <w:color w:val="FF0000"/>
                <w:sz w:val="20"/>
                <w:szCs w:val="20"/>
                <w:vertAlign w:val="superscript"/>
              </w:rPr>
              <w:t>30</w:t>
            </w:r>
          </w:p>
          <w:p w14:paraId="36B79782" w14:textId="77777777" w:rsidR="006E7AEF" w:rsidRPr="0068632C" w:rsidRDefault="006E7AEF" w:rsidP="007614D7">
            <w:pPr>
              <w:autoSpaceDE w:val="0"/>
              <w:autoSpaceDN w:val="0"/>
              <w:adjustRightInd w:val="0"/>
              <w:contextualSpacing/>
              <w:jc w:val="both"/>
              <w:rPr>
                <w:rFonts w:ascii="Arial" w:eastAsia="Times-Roman" w:hAnsi="Arial" w:cs="Arial"/>
                <w:b/>
                <w:sz w:val="20"/>
                <w:szCs w:val="20"/>
              </w:rPr>
            </w:pPr>
          </w:p>
          <w:p w14:paraId="3C3C1731" w14:textId="77777777" w:rsidR="00E51D8E" w:rsidRPr="0068632C" w:rsidRDefault="00E51D8E" w:rsidP="00D2135E">
            <w:pPr>
              <w:autoSpaceDE w:val="0"/>
              <w:autoSpaceDN w:val="0"/>
              <w:adjustRightInd w:val="0"/>
              <w:contextualSpacing/>
              <w:jc w:val="both"/>
              <w:rPr>
                <w:rFonts w:ascii="Arial" w:hAnsi="Arial" w:cs="Arial"/>
                <w:sz w:val="20"/>
                <w:szCs w:val="20"/>
              </w:rPr>
            </w:pPr>
            <w:r w:rsidRPr="0068632C">
              <w:rPr>
                <w:rFonts w:ascii="Arial" w:hAnsi="Arial" w:cs="Arial"/>
                <w:sz w:val="20"/>
                <w:szCs w:val="20"/>
              </w:rPr>
              <w:t xml:space="preserve">En caso de estar recibiendo profilaxis antifímica se debe solicitar </w:t>
            </w:r>
            <w:r w:rsidR="00D2135E">
              <w:rPr>
                <w:rFonts w:ascii="Arial" w:hAnsi="Arial" w:cs="Arial"/>
                <w:sz w:val="20"/>
                <w:szCs w:val="20"/>
              </w:rPr>
              <w:t xml:space="preserve">BH </w:t>
            </w:r>
            <w:r w:rsidRPr="0068632C">
              <w:rPr>
                <w:rFonts w:ascii="Arial" w:hAnsi="Arial" w:cs="Arial"/>
                <w:sz w:val="20"/>
                <w:szCs w:val="20"/>
              </w:rPr>
              <w:t xml:space="preserve">y </w:t>
            </w:r>
            <w:r w:rsidR="00D2135E">
              <w:rPr>
                <w:rFonts w:ascii="Arial" w:hAnsi="Arial" w:cs="Arial"/>
                <w:sz w:val="20"/>
                <w:szCs w:val="20"/>
              </w:rPr>
              <w:t xml:space="preserve">PFH </w:t>
            </w:r>
            <w:r w:rsidRPr="0068632C">
              <w:rPr>
                <w:rFonts w:ascii="Arial" w:hAnsi="Arial" w:cs="Arial"/>
                <w:sz w:val="20"/>
                <w:szCs w:val="20"/>
              </w:rPr>
              <w:t>cada dos semanas durante dos meses y posteriormente controles mensuales.</w:t>
            </w:r>
          </w:p>
        </w:tc>
      </w:tr>
      <w:tr w:rsidR="00E51D8E" w:rsidRPr="0068632C" w14:paraId="33F00CD4" w14:textId="77777777" w:rsidTr="00F0314D">
        <w:tc>
          <w:tcPr>
            <w:tcW w:w="3227" w:type="dxa"/>
          </w:tcPr>
          <w:p w14:paraId="3EF08386" w14:textId="77777777" w:rsidR="00E51D8E" w:rsidRPr="0068632C" w:rsidRDefault="00E51D8E" w:rsidP="007614D7">
            <w:pPr>
              <w:contextualSpacing/>
              <w:jc w:val="both"/>
              <w:rPr>
                <w:rFonts w:ascii="Arial" w:hAnsi="Arial" w:cs="Arial"/>
                <w:sz w:val="20"/>
                <w:szCs w:val="20"/>
              </w:rPr>
            </w:pPr>
            <w:r w:rsidRPr="0068632C">
              <w:rPr>
                <w:rFonts w:ascii="Arial" w:hAnsi="Arial" w:cs="Arial"/>
                <w:sz w:val="20"/>
                <w:szCs w:val="20"/>
              </w:rPr>
              <w:lastRenderedPageBreak/>
              <w:t xml:space="preserve">¿Se pueden suspender y cómo? </w:t>
            </w:r>
          </w:p>
          <w:p w14:paraId="2BF2709E" w14:textId="77777777" w:rsidR="00E51D8E" w:rsidRPr="0068632C" w:rsidRDefault="00E51D8E" w:rsidP="007614D7">
            <w:pPr>
              <w:contextualSpacing/>
              <w:jc w:val="both"/>
              <w:rPr>
                <w:rFonts w:ascii="Arial" w:eastAsia="Times-Roman" w:hAnsi="Arial" w:cs="Arial"/>
                <w:b/>
                <w:sz w:val="20"/>
                <w:szCs w:val="20"/>
              </w:rPr>
            </w:pPr>
            <w:r w:rsidRPr="0068632C">
              <w:rPr>
                <w:rFonts w:ascii="Arial" w:hAnsi="Arial" w:cs="Arial"/>
                <w:sz w:val="20"/>
                <w:szCs w:val="20"/>
              </w:rPr>
              <w:t>En caso de suspensión (que no sea por toxicidad), ¿cuál es la estrategia de tratamiento?</w:t>
            </w:r>
          </w:p>
        </w:tc>
        <w:tc>
          <w:tcPr>
            <w:tcW w:w="6379" w:type="dxa"/>
          </w:tcPr>
          <w:p w14:paraId="0ED71513" w14:textId="77777777" w:rsidR="00E51D8E" w:rsidRDefault="00E51D8E"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Después de un episodio infeccioso, el anti TNF no debe ser reiniciado hasta después de un periodo de 8 días posterior al retiro del antimicrobiano y que no haya datos de recurrencia.</w:t>
            </w:r>
            <w:r w:rsidR="006E7AEF" w:rsidRPr="001A5BEB">
              <w:rPr>
                <w:rFonts w:ascii="Arial" w:eastAsia="TrebuchetMS" w:hAnsi="Arial" w:cs="Arial"/>
                <w:b/>
                <w:color w:val="000000"/>
                <w:sz w:val="20"/>
                <w:szCs w:val="20"/>
                <w:lang w:val="es-ES"/>
              </w:rPr>
              <w:t xml:space="preserve"> [</w:t>
            </w:r>
            <w:r w:rsidR="006E7AEF" w:rsidRPr="001A5BEB">
              <w:rPr>
                <w:rFonts w:ascii="Arial" w:hAnsi="Arial" w:cs="Arial"/>
                <w:b/>
                <w:sz w:val="20"/>
                <w:szCs w:val="20"/>
              </w:rPr>
              <w:t xml:space="preserve">NE: </w:t>
            </w:r>
            <w:r w:rsidR="006E7AEF">
              <w:rPr>
                <w:rFonts w:ascii="Arial" w:hAnsi="Arial" w:cs="Arial"/>
                <w:b/>
                <w:sz w:val="20"/>
                <w:szCs w:val="20"/>
              </w:rPr>
              <w:t>2</w:t>
            </w:r>
            <w:r w:rsidR="006E7AEF" w:rsidRPr="001A5BEB">
              <w:rPr>
                <w:rFonts w:ascii="Arial" w:hAnsi="Arial" w:cs="Arial"/>
                <w:b/>
                <w:sz w:val="20"/>
                <w:szCs w:val="20"/>
              </w:rPr>
              <w:t xml:space="preserve">, GR: </w:t>
            </w:r>
            <w:r w:rsidR="006E7AEF">
              <w:rPr>
                <w:rFonts w:ascii="Arial" w:hAnsi="Arial" w:cs="Arial"/>
                <w:b/>
                <w:sz w:val="20"/>
                <w:szCs w:val="20"/>
              </w:rPr>
              <w:t>B]</w:t>
            </w:r>
            <w:r w:rsidR="006E7AEF">
              <w:rPr>
                <w:rFonts w:ascii="Arial" w:eastAsia="Times-Roman" w:hAnsi="Arial" w:cs="Arial"/>
                <w:color w:val="FF0000"/>
                <w:sz w:val="20"/>
                <w:szCs w:val="20"/>
                <w:vertAlign w:val="superscript"/>
              </w:rPr>
              <w:t>30</w:t>
            </w:r>
          </w:p>
          <w:p w14:paraId="6C502BCD" w14:textId="77777777" w:rsidR="006E7AEF" w:rsidRPr="0068632C" w:rsidRDefault="006E7AEF" w:rsidP="007614D7">
            <w:pPr>
              <w:autoSpaceDE w:val="0"/>
              <w:autoSpaceDN w:val="0"/>
              <w:adjustRightInd w:val="0"/>
              <w:contextualSpacing/>
              <w:jc w:val="both"/>
              <w:rPr>
                <w:rFonts w:ascii="Arial" w:eastAsia="Times-Roman" w:hAnsi="Arial" w:cs="Arial"/>
                <w:b/>
                <w:sz w:val="20"/>
                <w:szCs w:val="20"/>
              </w:rPr>
            </w:pPr>
          </w:p>
          <w:p w14:paraId="5AAD56A0" w14:textId="77777777" w:rsidR="00E51D8E" w:rsidRDefault="00E51D8E"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Cuando durante el tratamiento se tiene la sospecha de infección bacteriana oportunista se tiene que suspender el anti TNF. </w:t>
            </w:r>
            <w:r w:rsidR="006E7AEF" w:rsidRPr="001A5BEB">
              <w:rPr>
                <w:rFonts w:ascii="Arial" w:eastAsia="TrebuchetMS" w:hAnsi="Arial" w:cs="Arial"/>
                <w:b/>
                <w:color w:val="000000"/>
                <w:sz w:val="20"/>
                <w:szCs w:val="20"/>
                <w:lang w:val="es-ES"/>
              </w:rPr>
              <w:t>[</w:t>
            </w:r>
            <w:r w:rsidR="006E7AEF" w:rsidRPr="001A5BEB">
              <w:rPr>
                <w:rFonts w:ascii="Arial" w:hAnsi="Arial" w:cs="Arial"/>
                <w:b/>
                <w:sz w:val="20"/>
                <w:szCs w:val="20"/>
              </w:rPr>
              <w:t xml:space="preserve">NE: </w:t>
            </w:r>
            <w:r w:rsidR="006E7AEF">
              <w:rPr>
                <w:rFonts w:ascii="Arial" w:hAnsi="Arial" w:cs="Arial"/>
                <w:b/>
                <w:sz w:val="20"/>
                <w:szCs w:val="20"/>
              </w:rPr>
              <w:t>2</w:t>
            </w:r>
            <w:r w:rsidR="006E7AEF" w:rsidRPr="001A5BEB">
              <w:rPr>
                <w:rFonts w:ascii="Arial" w:hAnsi="Arial" w:cs="Arial"/>
                <w:b/>
                <w:sz w:val="20"/>
                <w:szCs w:val="20"/>
              </w:rPr>
              <w:t xml:space="preserve">, GR: </w:t>
            </w:r>
            <w:r w:rsidR="006E7AEF">
              <w:rPr>
                <w:rFonts w:ascii="Arial" w:hAnsi="Arial" w:cs="Arial"/>
                <w:b/>
                <w:sz w:val="20"/>
                <w:szCs w:val="20"/>
              </w:rPr>
              <w:t>B]</w:t>
            </w:r>
            <w:r w:rsidR="006E7AEF">
              <w:rPr>
                <w:rFonts w:ascii="Arial" w:eastAsia="Times-Roman" w:hAnsi="Arial" w:cs="Arial"/>
                <w:color w:val="FF0000"/>
                <w:sz w:val="20"/>
                <w:szCs w:val="20"/>
                <w:vertAlign w:val="superscript"/>
              </w:rPr>
              <w:t>30</w:t>
            </w:r>
          </w:p>
          <w:p w14:paraId="46E11B68" w14:textId="77777777" w:rsidR="006E7AEF" w:rsidRPr="0068632C" w:rsidRDefault="006E7AEF" w:rsidP="007614D7">
            <w:pPr>
              <w:autoSpaceDE w:val="0"/>
              <w:autoSpaceDN w:val="0"/>
              <w:adjustRightInd w:val="0"/>
              <w:contextualSpacing/>
              <w:jc w:val="both"/>
              <w:rPr>
                <w:rFonts w:ascii="Arial" w:eastAsia="Times-Roman" w:hAnsi="Arial" w:cs="Arial"/>
                <w:b/>
                <w:sz w:val="20"/>
                <w:szCs w:val="20"/>
              </w:rPr>
            </w:pPr>
          </w:p>
          <w:p w14:paraId="44E5321B" w14:textId="77777777" w:rsidR="00E51D8E" w:rsidRDefault="00E51D8E" w:rsidP="007614D7">
            <w:pPr>
              <w:suppressAutoHyphens/>
              <w:spacing w:after="100" w:afterAutospacing="1"/>
              <w:contextualSpacing/>
              <w:jc w:val="both"/>
              <w:rPr>
                <w:rFonts w:ascii="Arial" w:eastAsia="Times-Roman" w:hAnsi="Arial" w:cs="Arial"/>
                <w:color w:val="FF0000"/>
                <w:sz w:val="20"/>
                <w:szCs w:val="20"/>
                <w:vertAlign w:val="superscript"/>
              </w:rPr>
            </w:pPr>
            <w:r w:rsidRPr="0068632C">
              <w:rPr>
                <w:rFonts w:ascii="Arial" w:hAnsi="Arial" w:cs="Arial"/>
                <w:sz w:val="20"/>
                <w:szCs w:val="20"/>
              </w:rPr>
              <w:t>Después de falla o toxicidad a etanercept se p</w:t>
            </w:r>
            <w:r w:rsidRPr="0068632C">
              <w:rPr>
                <w:rFonts w:ascii="Arial" w:hAnsi="Arial" w:cs="Arial"/>
                <w:color w:val="101010"/>
                <w:sz w:val="20"/>
                <w:szCs w:val="20"/>
              </w:rPr>
              <w:t>uede indicar</w:t>
            </w:r>
            <w:r w:rsidR="00423351">
              <w:rPr>
                <w:rFonts w:ascii="Arial" w:hAnsi="Arial" w:cs="Arial"/>
                <w:color w:val="101010"/>
                <w:sz w:val="20"/>
                <w:szCs w:val="20"/>
              </w:rPr>
              <w:t xml:space="preserve"> </w:t>
            </w:r>
            <w:r w:rsidRPr="0068632C">
              <w:rPr>
                <w:rFonts w:ascii="Arial" w:hAnsi="Arial" w:cs="Arial"/>
                <w:color w:val="101010"/>
                <w:sz w:val="20"/>
                <w:szCs w:val="20"/>
              </w:rPr>
              <w:t xml:space="preserve">un segundo anti TNF; sin embargo, la evidencia actual denota que cambiar de mecanismo de acción es una mejor opción y eleva los niveles de respuesta en lugar de iniciar un segundo anti TNF. La posibilidad de buena respuesta es mayor en aquellos pacientes en quienes se suspendió el primer anti TNF por toxicidad y no por ineficacia; en estos últimos la posibilidad de respuesta es menor. </w:t>
            </w:r>
            <w:r w:rsidR="006E7AEF" w:rsidRPr="001A5BEB">
              <w:rPr>
                <w:rFonts w:ascii="Arial" w:eastAsia="TrebuchetMS" w:hAnsi="Arial" w:cs="Arial"/>
                <w:b/>
                <w:color w:val="000000"/>
                <w:sz w:val="20"/>
                <w:szCs w:val="20"/>
                <w:lang w:val="es-ES"/>
              </w:rPr>
              <w:t>[</w:t>
            </w:r>
            <w:r w:rsidR="006E7AEF" w:rsidRPr="001A5BEB">
              <w:rPr>
                <w:rFonts w:ascii="Arial" w:hAnsi="Arial" w:cs="Arial"/>
                <w:b/>
                <w:sz w:val="20"/>
                <w:szCs w:val="20"/>
              </w:rPr>
              <w:t xml:space="preserve">NE: </w:t>
            </w:r>
            <w:r w:rsidR="006E7AEF">
              <w:rPr>
                <w:rFonts w:ascii="Arial" w:hAnsi="Arial" w:cs="Arial"/>
                <w:b/>
                <w:sz w:val="20"/>
                <w:szCs w:val="20"/>
              </w:rPr>
              <w:t>2</w:t>
            </w:r>
            <w:r w:rsidR="006E7AEF" w:rsidRPr="001A5BEB">
              <w:rPr>
                <w:rFonts w:ascii="Arial" w:hAnsi="Arial" w:cs="Arial"/>
                <w:b/>
                <w:sz w:val="20"/>
                <w:szCs w:val="20"/>
              </w:rPr>
              <w:t xml:space="preserve">, GR: </w:t>
            </w:r>
            <w:r w:rsidR="006E7AEF">
              <w:rPr>
                <w:rFonts w:ascii="Arial" w:hAnsi="Arial" w:cs="Arial"/>
                <w:b/>
                <w:sz w:val="20"/>
                <w:szCs w:val="20"/>
              </w:rPr>
              <w:t>B]</w:t>
            </w:r>
            <w:r w:rsidR="006E7AEF">
              <w:rPr>
                <w:rFonts w:ascii="Arial" w:eastAsia="Times-Roman" w:hAnsi="Arial" w:cs="Arial"/>
                <w:color w:val="FF0000"/>
                <w:sz w:val="20"/>
                <w:szCs w:val="20"/>
                <w:vertAlign w:val="superscript"/>
              </w:rPr>
              <w:t>30</w:t>
            </w:r>
          </w:p>
          <w:p w14:paraId="27C02108" w14:textId="77777777" w:rsidR="006E7AEF" w:rsidRPr="0068632C" w:rsidRDefault="006E7AEF" w:rsidP="007614D7">
            <w:pPr>
              <w:suppressAutoHyphens/>
              <w:spacing w:after="100" w:afterAutospacing="1"/>
              <w:contextualSpacing/>
              <w:jc w:val="both"/>
              <w:rPr>
                <w:rFonts w:ascii="Arial" w:hAnsi="Arial" w:cs="Arial"/>
                <w:sz w:val="20"/>
                <w:szCs w:val="20"/>
              </w:rPr>
            </w:pPr>
          </w:p>
          <w:p w14:paraId="10C006FA" w14:textId="77777777" w:rsidR="00E51D8E" w:rsidRDefault="00E51D8E"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Existen reportes en la literatura médica en donde al lograrse la remisión completa de la enfermedad por al menos 3 a 6 meses con etanercept, se puede intentar el prolongar los periodos de aplicación o llevar a la suspensión del mismo y vigilar la evolución. </w:t>
            </w:r>
            <w:r w:rsidR="006E7AEF" w:rsidRPr="001A5BEB">
              <w:rPr>
                <w:rFonts w:ascii="Arial" w:eastAsia="TrebuchetMS" w:hAnsi="Arial" w:cs="Arial"/>
                <w:b/>
                <w:color w:val="000000"/>
                <w:sz w:val="20"/>
                <w:szCs w:val="20"/>
                <w:lang w:val="es-ES"/>
              </w:rPr>
              <w:t>[</w:t>
            </w:r>
            <w:r w:rsidR="006E7AEF" w:rsidRPr="001A5BEB">
              <w:rPr>
                <w:rFonts w:ascii="Arial" w:hAnsi="Arial" w:cs="Arial"/>
                <w:b/>
                <w:sz w:val="20"/>
                <w:szCs w:val="20"/>
              </w:rPr>
              <w:t xml:space="preserve">NE: </w:t>
            </w:r>
            <w:r w:rsidR="006E7AEF">
              <w:rPr>
                <w:rFonts w:ascii="Arial" w:hAnsi="Arial" w:cs="Arial"/>
                <w:b/>
                <w:sz w:val="20"/>
                <w:szCs w:val="20"/>
              </w:rPr>
              <w:t>4</w:t>
            </w:r>
            <w:r w:rsidR="006E7AEF" w:rsidRPr="001A5BEB">
              <w:rPr>
                <w:rFonts w:ascii="Arial" w:hAnsi="Arial" w:cs="Arial"/>
                <w:b/>
                <w:sz w:val="20"/>
                <w:szCs w:val="20"/>
              </w:rPr>
              <w:t xml:space="preserve">, GR: </w:t>
            </w:r>
            <w:r w:rsidR="006E7AEF">
              <w:rPr>
                <w:rFonts w:ascii="Arial" w:hAnsi="Arial" w:cs="Arial"/>
                <w:b/>
                <w:sz w:val="20"/>
                <w:szCs w:val="20"/>
              </w:rPr>
              <w:t>d]</w:t>
            </w:r>
            <w:r w:rsidR="006E7AEF">
              <w:rPr>
                <w:rFonts w:ascii="Arial" w:eastAsia="Times-Roman" w:hAnsi="Arial" w:cs="Arial"/>
                <w:color w:val="FF0000"/>
                <w:sz w:val="20"/>
                <w:szCs w:val="20"/>
                <w:vertAlign w:val="superscript"/>
              </w:rPr>
              <w:t>30</w:t>
            </w:r>
          </w:p>
          <w:p w14:paraId="31D85AD8" w14:textId="77777777" w:rsidR="006E7AEF" w:rsidRPr="0068632C" w:rsidRDefault="006E7AEF" w:rsidP="007614D7">
            <w:pPr>
              <w:autoSpaceDE w:val="0"/>
              <w:autoSpaceDN w:val="0"/>
              <w:adjustRightInd w:val="0"/>
              <w:contextualSpacing/>
              <w:jc w:val="both"/>
              <w:rPr>
                <w:rFonts w:ascii="Arial" w:eastAsia="Times-Roman" w:hAnsi="Arial" w:cs="Arial"/>
                <w:b/>
                <w:sz w:val="20"/>
                <w:szCs w:val="20"/>
              </w:rPr>
            </w:pPr>
          </w:p>
          <w:p w14:paraId="5421E8E2" w14:textId="77777777" w:rsidR="00E51D8E" w:rsidRPr="0068632C" w:rsidRDefault="00E51D8E" w:rsidP="006D3C58">
            <w:pPr>
              <w:autoSpaceDE w:val="0"/>
              <w:autoSpaceDN w:val="0"/>
              <w:adjustRightInd w:val="0"/>
              <w:contextualSpacing/>
              <w:jc w:val="both"/>
              <w:rPr>
                <w:rFonts w:ascii="Arial" w:eastAsia="Times-Roman" w:hAnsi="Arial" w:cs="Arial"/>
                <w:b/>
                <w:sz w:val="20"/>
                <w:szCs w:val="20"/>
              </w:rPr>
            </w:pPr>
            <w:r w:rsidRPr="0068632C">
              <w:rPr>
                <w:rFonts w:ascii="Arial" w:hAnsi="Arial" w:cs="Arial"/>
                <w:sz w:val="20"/>
                <w:szCs w:val="20"/>
              </w:rPr>
              <w:t xml:space="preserve">En caso de que se deba suspender el tratamiento con anti TNF, se recomienda continuar con FARME tradicional y vigilar el tiempo la respuesta clínica. </w:t>
            </w:r>
            <w:r w:rsidR="006E7AEF" w:rsidRPr="001A5BEB">
              <w:rPr>
                <w:rFonts w:ascii="Arial" w:eastAsia="TrebuchetMS" w:hAnsi="Arial" w:cs="Arial"/>
                <w:b/>
                <w:color w:val="000000"/>
                <w:sz w:val="20"/>
                <w:szCs w:val="20"/>
                <w:lang w:val="es-ES"/>
              </w:rPr>
              <w:t>[</w:t>
            </w:r>
            <w:r w:rsidR="006E7AEF" w:rsidRPr="001A5BEB">
              <w:rPr>
                <w:rFonts w:ascii="Arial" w:hAnsi="Arial" w:cs="Arial"/>
                <w:b/>
                <w:sz w:val="20"/>
                <w:szCs w:val="20"/>
              </w:rPr>
              <w:t xml:space="preserve">NE: </w:t>
            </w:r>
            <w:r w:rsidR="006E7AEF">
              <w:rPr>
                <w:rFonts w:ascii="Arial" w:hAnsi="Arial" w:cs="Arial"/>
                <w:b/>
                <w:sz w:val="20"/>
                <w:szCs w:val="20"/>
              </w:rPr>
              <w:t>4</w:t>
            </w:r>
            <w:r w:rsidR="006E7AEF" w:rsidRPr="001A5BEB">
              <w:rPr>
                <w:rFonts w:ascii="Arial" w:hAnsi="Arial" w:cs="Arial"/>
                <w:b/>
                <w:sz w:val="20"/>
                <w:szCs w:val="20"/>
              </w:rPr>
              <w:t xml:space="preserve">, GR: </w:t>
            </w:r>
            <w:r w:rsidR="006D3C58">
              <w:rPr>
                <w:rFonts w:ascii="Arial" w:hAnsi="Arial" w:cs="Arial"/>
                <w:b/>
                <w:sz w:val="20"/>
                <w:szCs w:val="20"/>
              </w:rPr>
              <w:t>D</w:t>
            </w:r>
            <w:r w:rsidR="006E7AEF">
              <w:rPr>
                <w:rFonts w:ascii="Arial" w:hAnsi="Arial" w:cs="Arial"/>
                <w:b/>
                <w:sz w:val="20"/>
                <w:szCs w:val="20"/>
              </w:rPr>
              <w:t>]</w:t>
            </w:r>
            <w:r w:rsidR="006E7AEF">
              <w:rPr>
                <w:rFonts w:ascii="Arial" w:eastAsia="Times-Roman" w:hAnsi="Arial" w:cs="Arial"/>
                <w:color w:val="FF0000"/>
                <w:sz w:val="20"/>
                <w:szCs w:val="20"/>
                <w:vertAlign w:val="superscript"/>
              </w:rPr>
              <w:t>30</w:t>
            </w:r>
          </w:p>
        </w:tc>
      </w:tr>
    </w:tbl>
    <w:p w14:paraId="1B28FBFB" w14:textId="77777777" w:rsidR="00E51D8E" w:rsidRPr="0068632C" w:rsidRDefault="00E51D8E"/>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438"/>
      </w:tblGrid>
      <w:tr w:rsidR="00BE1757" w:rsidRPr="0068632C" w14:paraId="19EEECEC" w14:textId="77777777" w:rsidTr="007614D7">
        <w:tc>
          <w:tcPr>
            <w:tcW w:w="3168" w:type="dxa"/>
            <w:tcBorders>
              <w:top w:val="single" w:sz="4" w:space="0" w:color="auto"/>
              <w:left w:val="single" w:sz="4" w:space="0" w:color="auto"/>
              <w:bottom w:val="single" w:sz="4" w:space="0" w:color="auto"/>
              <w:right w:val="single" w:sz="4" w:space="0" w:color="auto"/>
            </w:tcBorders>
          </w:tcPr>
          <w:p w14:paraId="0E57934B" w14:textId="77777777" w:rsidR="00BE1757" w:rsidRPr="00C53F31" w:rsidRDefault="00C53F31" w:rsidP="007614D7">
            <w:pPr>
              <w:contextualSpacing/>
              <w:jc w:val="both"/>
              <w:rPr>
                <w:rFonts w:ascii="Arial" w:hAnsi="Arial" w:cs="Arial"/>
                <w:b/>
                <w:sz w:val="28"/>
                <w:szCs w:val="28"/>
              </w:rPr>
            </w:pPr>
            <w:r w:rsidRPr="00C53F31">
              <w:rPr>
                <w:rFonts w:ascii="Arial" w:hAnsi="Arial" w:cs="Arial"/>
                <w:b/>
                <w:sz w:val="28"/>
                <w:szCs w:val="28"/>
              </w:rPr>
              <w:lastRenderedPageBreak/>
              <w:t>Certolizumab</w:t>
            </w:r>
          </w:p>
        </w:tc>
        <w:tc>
          <w:tcPr>
            <w:tcW w:w="6438" w:type="dxa"/>
            <w:tcBorders>
              <w:top w:val="single" w:sz="4" w:space="0" w:color="auto"/>
              <w:left w:val="single" w:sz="4" w:space="0" w:color="auto"/>
              <w:bottom w:val="single" w:sz="4" w:space="0" w:color="auto"/>
              <w:right w:val="single" w:sz="4" w:space="0" w:color="auto"/>
            </w:tcBorders>
          </w:tcPr>
          <w:p w14:paraId="50BA662F" w14:textId="77777777" w:rsidR="00BE1757" w:rsidRPr="0068632C" w:rsidRDefault="00BE1757"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Biológico anti TNF constituido por el </w:t>
            </w:r>
            <w:r w:rsidRPr="0068632C">
              <w:rPr>
                <w:rFonts w:ascii="Arial" w:hAnsi="Arial" w:cs="Arial"/>
                <w:sz w:val="20"/>
                <w:szCs w:val="20"/>
                <w:lang w:val="es-ES"/>
              </w:rPr>
              <w:t>fragmento Fab´ de un anticuerpo monoclonal anti TNF α humanizado.</w:t>
            </w:r>
          </w:p>
        </w:tc>
      </w:tr>
      <w:tr w:rsidR="00BE1757" w:rsidRPr="0068632C" w14:paraId="2D5710E3" w14:textId="77777777" w:rsidTr="007614D7">
        <w:tc>
          <w:tcPr>
            <w:tcW w:w="3168" w:type="dxa"/>
            <w:tcBorders>
              <w:top w:val="single" w:sz="4" w:space="0" w:color="auto"/>
              <w:left w:val="single" w:sz="4" w:space="0" w:color="auto"/>
              <w:bottom w:val="single" w:sz="4" w:space="0" w:color="auto"/>
              <w:right w:val="single" w:sz="4" w:space="0" w:color="auto"/>
            </w:tcBorders>
          </w:tcPr>
          <w:p w14:paraId="7E03D706" w14:textId="77777777" w:rsidR="00BE1757" w:rsidRPr="0068632C" w:rsidRDefault="00BE1757" w:rsidP="007614D7">
            <w:pPr>
              <w:contextualSpacing/>
              <w:jc w:val="both"/>
              <w:rPr>
                <w:rFonts w:ascii="Arial" w:hAnsi="Arial" w:cs="Arial"/>
                <w:sz w:val="20"/>
                <w:szCs w:val="20"/>
              </w:rPr>
            </w:pPr>
            <w:r w:rsidRPr="0068632C">
              <w:rPr>
                <w:rFonts w:ascii="Arial" w:hAnsi="Arial" w:cs="Arial"/>
                <w:sz w:val="20"/>
                <w:szCs w:val="20"/>
              </w:rPr>
              <w:t xml:space="preserve">Línea de tratamiento en la que está indicado </w:t>
            </w:r>
          </w:p>
        </w:tc>
        <w:tc>
          <w:tcPr>
            <w:tcW w:w="6438" w:type="dxa"/>
            <w:tcBorders>
              <w:top w:val="single" w:sz="4" w:space="0" w:color="auto"/>
              <w:left w:val="single" w:sz="4" w:space="0" w:color="auto"/>
              <w:bottom w:val="single" w:sz="4" w:space="0" w:color="auto"/>
              <w:right w:val="single" w:sz="4" w:space="0" w:color="auto"/>
            </w:tcBorders>
          </w:tcPr>
          <w:p w14:paraId="745CF158" w14:textId="77777777" w:rsidR="00BE1757" w:rsidRDefault="00BE1757"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eastAsia="Times-Roman" w:hAnsi="Arial" w:cs="Arial"/>
                <w:sz w:val="20"/>
                <w:szCs w:val="20"/>
              </w:rPr>
              <w:t xml:space="preserve">No hay experiencia en tratamiento inicial. Se recomienda administrar ante la falla a MTX o FARME. </w:t>
            </w:r>
            <w:r w:rsidR="006D3C58" w:rsidRPr="001A5BEB">
              <w:rPr>
                <w:rFonts w:ascii="Arial" w:eastAsia="TrebuchetMS" w:hAnsi="Arial" w:cs="Arial"/>
                <w:b/>
                <w:color w:val="000000"/>
                <w:sz w:val="20"/>
                <w:szCs w:val="20"/>
                <w:lang w:val="es-ES"/>
              </w:rPr>
              <w:t>[</w:t>
            </w:r>
            <w:r w:rsidR="006D3C58" w:rsidRPr="001A5BEB">
              <w:rPr>
                <w:rFonts w:ascii="Arial" w:hAnsi="Arial" w:cs="Arial"/>
                <w:b/>
                <w:sz w:val="20"/>
                <w:szCs w:val="20"/>
              </w:rPr>
              <w:t xml:space="preserve">NE: </w:t>
            </w:r>
            <w:r w:rsidR="006D3C58">
              <w:rPr>
                <w:rFonts w:ascii="Arial" w:hAnsi="Arial" w:cs="Arial"/>
                <w:b/>
                <w:sz w:val="20"/>
                <w:szCs w:val="20"/>
              </w:rPr>
              <w:t>2+</w:t>
            </w:r>
            <w:r w:rsidR="006D3C58" w:rsidRPr="001A5BEB">
              <w:rPr>
                <w:rFonts w:ascii="Arial" w:hAnsi="Arial" w:cs="Arial"/>
                <w:b/>
                <w:sz w:val="20"/>
                <w:szCs w:val="20"/>
              </w:rPr>
              <w:t xml:space="preserve">, GR: </w:t>
            </w:r>
            <w:r w:rsidR="006D3C58">
              <w:rPr>
                <w:rFonts w:ascii="Arial" w:hAnsi="Arial" w:cs="Arial"/>
                <w:b/>
                <w:sz w:val="20"/>
                <w:szCs w:val="20"/>
              </w:rPr>
              <w:t>C]</w:t>
            </w:r>
            <w:r w:rsidR="00371C42">
              <w:rPr>
                <w:rFonts w:ascii="Arial" w:eastAsia="Times-Roman" w:hAnsi="Arial" w:cs="Arial"/>
                <w:color w:val="FF0000"/>
                <w:sz w:val="20"/>
                <w:szCs w:val="20"/>
                <w:vertAlign w:val="superscript"/>
              </w:rPr>
              <w:t>32</w:t>
            </w:r>
          </w:p>
          <w:p w14:paraId="2CA3BA07" w14:textId="77777777" w:rsidR="006D3C58" w:rsidRPr="0068632C" w:rsidRDefault="006D3C58" w:rsidP="007614D7">
            <w:pPr>
              <w:autoSpaceDE w:val="0"/>
              <w:autoSpaceDN w:val="0"/>
              <w:adjustRightInd w:val="0"/>
              <w:contextualSpacing/>
              <w:jc w:val="both"/>
              <w:rPr>
                <w:rFonts w:ascii="Arial" w:eastAsia="Times-Roman" w:hAnsi="Arial" w:cs="Arial"/>
                <w:sz w:val="20"/>
                <w:szCs w:val="20"/>
              </w:rPr>
            </w:pPr>
          </w:p>
          <w:p w14:paraId="2024582A" w14:textId="77777777" w:rsidR="00BE1757" w:rsidRPr="006D3C58" w:rsidRDefault="00BE1757"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eastAsia="Times-Roman" w:hAnsi="Arial" w:cs="Arial"/>
                <w:sz w:val="20"/>
                <w:szCs w:val="20"/>
              </w:rPr>
              <w:t>Se ha utilizado con éxito en pacientes refractarios a anti TNF.</w:t>
            </w:r>
            <w:r w:rsidRPr="0068632C">
              <w:rPr>
                <w:rFonts w:ascii="Arial" w:eastAsia="Times-Roman" w:hAnsi="Arial" w:cs="Arial"/>
                <w:color w:val="FF0000"/>
                <w:sz w:val="20"/>
                <w:szCs w:val="20"/>
              </w:rPr>
              <w:t xml:space="preserve"> </w:t>
            </w:r>
            <w:r w:rsidR="006D3C58" w:rsidRPr="001A5BEB">
              <w:rPr>
                <w:rFonts w:ascii="Arial" w:eastAsia="TrebuchetMS" w:hAnsi="Arial" w:cs="Arial"/>
                <w:b/>
                <w:color w:val="000000"/>
                <w:sz w:val="20"/>
                <w:szCs w:val="20"/>
                <w:lang w:val="es-ES"/>
              </w:rPr>
              <w:t>[</w:t>
            </w:r>
            <w:r w:rsidR="006D3C58" w:rsidRPr="001A5BEB">
              <w:rPr>
                <w:rFonts w:ascii="Arial" w:hAnsi="Arial" w:cs="Arial"/>
                <w:b/>
                <w:sz w:val="20"/>
                <w:szCs w:val="20"/>
              </w:rPr>
              <w:t xml:space="preserve">NE: </w:t>
            </w:r>
            <w:r w:rsidR="006D3C58">
              <w:rPr>
                <w:rFonts w:ascii="Arial" w:hAnsi="Arial" w:cs="Arial"/>
                <w:b/>
                <w:sz w:val="20"/>
                <w:szCs w:val="20"/>
              </w:rPr>
              <w:t>2+</w:t>
            </w:r>
            <w:r w:rsidR="006D3C58" w:rsidRPr="001A5BEB">
              <w:rPr>
                <w:rFonts w:ascii="Arial" w:hAnsi="Arial" w:cs="Arial"/>
                <w:b/>
                <w:sz w:val="20"/>
                <w:szCs w:val="20"/>
              </w:rPr>
              <w:t xml:space="preserve">, GR: </w:t>
            </w:r>
            <w:r w:rsidR="006D3C58">
              <w:rPr>
                <w:rFonts w:ascii="Arial" w:hAnsi="Arial" w:cs="Arial"/>
                <w:b/>
                <w:sz w:val="20"/>
                <w:szCs w:val="20"/>
              </w:rPr>
              <w:t>C]</w:t>
            </w:r>
            <w:r w:rsidR="00371C42">
              <w:rPr>
                <w:rFonts w:ascii="Arial" w:eastAsia="Times-Roman" w:hAnsi="Arial" w:cs="Arial"/>
                <w:color w:val="FF0000"/>
                <w:sz w:val="20"/>
                <w:szCs w:val="20"/>
                <w:vertAlign w:val="superscript"/>
              </w:rPr>
              <w:t>33</w:t>
            </w:r>
          </w:p>
        </w:tc>
      </w:tr>
      <w:tr w:rsidR="00BE1757" w:rsidRPr="0068632C" w14:paraId="55A0440A" w14:textId="77777777" w:rsidTr="007614D7">
        <w:tc>
          <w:tcPr>
            <w:tcW w:w="3168" w:type="dxa"/>
            <w:tcBorders>
              <w:top w:val="single" w:sz="4" w:space="0" w:color="auto"/>
              <w:left w:val="single" w:sz="4" w:space="0" w:color="auto"/>
              <w:bottom w:val="single" w:sz="4" w:space="0" w:color="auto"/>
              <w:right w:val="single" w:sz="4" w:space="0" w:color="auto"/>
            </w:tcBorders>
          </w:tcPr>
          <w:p w14:paraId="002F8ED7" w14:textId="77777777" w:rsidR="00BE1757" w:rsidRPr="0068632C" w:rsidRDefault="00BE1757" w:rsidP="007614D7">
            <w:pPr>
              <w:contextualSpacing/>
              <w:jc w:val="both"/>
              <w:rPr>
                <w:rFonts w:ascii="Arial" w:eastAsia="Times-Roman" w:hAnsi="Arial" w:cs="Arial"/>
                <w:b/>
                <w:sz w:val="20"/>
                <w:szCs w:val="20"/>
              </w:rPr>
            </w:pPr>
            <w:r w:rsidRPr="0068632C">
              <w:rPr>
                <w:rFonts w:ascii="Arial" w:hAnsi="Arial" w:cs="Arial"/>
                <w:sz w:val="20"/>
                <w:szCs w:val="20"/>
              </w:rPr>
              <w:t>Monoterapia o en combinaciones (¿cuál es la mejor combinación y secuencia?)</w:t>
            </w:r>
          </w:p>
        </w:tc>
        <w:tc>
          <w:tcPr>
            <w:tcW w:w="6438" w:type="dxa"/>
            <w:tcBorders>
              <w:top w:val="single" w:sz="4" w:space="0" w:color="auto"/>
              <w:left w:val="single" w:sz="4" w:space="0" w:color="auto"/>
              <w:bottom w:val="single" w:sz="4" w:space="0" w:color="auto"/>
              <w:right w:val="single" w:sz="4" w:space="0" w:color="auto"/>
            </w:tcBorders>
          </w:tcPr>
          <w:p w14:paraId="3B876E53" w14:textId="77777777" w:rsidR="00BE1757" w:rsidRPr="0068632C" w:rsidRDefault="00BE1757" w:rsidP="007614D7">
            <w:pPr>
              <w:autoSpaceDE w:val="0"/>
              <w:autoSpaceDN w:val="0"/>
              <w:adjustRightInd w:val="0"/>
              <w:contextualSpacing/>
              <w:jc w:val="both"/>
              <w:rPr>
                <w:rFonts w:ascii="Arial" w:eastAsia="Times-Roman" w:hAnsi="Arial" w:cs="Arial"/>
                <w:b/>
                <w:sz w:val="20"/>
                <w:szCs w:val="20"/>
              </w:rPr>
            </w:pPr>
            <w:r w:rsidRPr="0068632C">
              <w:rPr>
                <w:rFonts w:ascii="Arial" w:eastAsia="Times-Roman" w:hAnsi="Arial" w:cs="Arial"/>
                <w:sz w:val="20"/>
                <w:szCs w:val="20"/>
              </w:rPr>
              <w:t xml:space="preserve">Se recomienda combinar con MTX (15 a 20 mg/semana). </w:t>
            </w:r>
            <w:r w:rsidR="00867016" w:rsidRPr="001A5BEB">
              <w:rPr>
                <w:rFonts w:ascii="Arial" w:eastAsia="TrebuchetMS" w:hAnsi="Arial" w:cs="Arial"/>
                <w:b/>
                <w:color w:val="000000"/>
                <w:sz w:val="20"/>
                <w:szCs w:val="20"/>
                <w:lang w:val="es-ES"/>
              </w:rPr>
              <w:t>[</w:t>
            </w:r>
            <w:r w:rsidR="00867016" w:rsidRPr="001A5BEB">
              <w:rPr>
                <w:rFonts w:ascii="Arial" w:hAnsi="Arial" w:cs="Arial"/>
                <w:b/>
                <w:sz w:val="20"/>
                <w:szCs w:val="20"/>
              </w:rPr>
              <w:t xml:space="preserve">NE: </w:t>
            </w:r>
            <w:r w:rsidR="00867016">
              <w:rPr>
                <w:rFonts w:ascii="Arial" w:hAnsi="Arial" w:cs="Arial"/>
                <w:b/>
                <w:sz w:val="20"/>
                <w:szCs w:val="20"/>
              </w:rPr>
              <w:t>2+</w:t>
            </w:r>
            <w:r w:rsidR="00867016" w:rsidRPr="001A5BEB">
              <w:rPr>
                <w:rFonts w:ascii="Arial" w:hAnsi="Arial" w:cs="Arial"/>
                <w:b/>
                <w:sz w:val="20"/>
                <w:szCs w:val="20"/>
              </w:rPr>
              <w:t xml:space="preserve">, GR: </w:t>
            </w:r>
            <w:r w:rsidR="00867016">
              <w:rPr>
                <w:rFonts w:ascii="Arial" w:hAnsi="Arial" w:cs="Arial"/>
                <w:b/>
                <w:sz w:val="20"/>
                <w:szCs w:val="20"/>
              </w:rPr>
              <w:t>C]</w:t>
            </w:r>
            <w:r w:rsidR="00371C42">
              <w:rPr>
                <w:rFonts w:ascii="Arial" w:eastAsia="Times-Roman" w:hAnsi="Arial" w:cs="Arial"/>
                <w:color w:val="FF0000"/>
                <w:sz w:val="20"/>
                <w:szCs w:val="20"/>
                <w:vertAlign w:val="superscript"/>
              </w:rPr>
              <w:t>34</w:t>
            </w:r>
          </w:p>
        </w:tc>
      </w:tr>
      <w:tr w:rsidR="00BE1757" w:rsidRPr="0068632C" w14:paraId="0EB5461F" w14:textId="77777777" w:rsidTr="007614D7">
        <w:tc>
          <w:tcPr>
            <w:tcW w:w="3168" w:type="dxa"/>
            <w:tcBorders>
              <w:top w:val="single" w:sz="4" w:space="0" w:color="auto"/>
              <w:left w:val="single" w:sz="4" w:space="0" w:color="auto"/>
              <w:bottom w:val="single" w:sz="4" w:space="0" w:color="auto"/>
              <w:right w:val="single" w:sz="4" w:space="0" w:color="auto"/>
            </w:tcBorders>
          </w:tcPr>
          <w:p w14:paraId="005F0C5A" w14:textId="77777777" w:rsidR="00BE1757" w:rsidRPr="0068632C" w:rsidRDefault="00BE1757" w:rsidP="007614D7">
            <w:pPr>
              <w:contextualSpacing/>
              <w:jc w:val="both"/>
              <w:rPr>
                <w:rFonts w:ascii="Arial" w:eastAsia="Times-Roman" w:hAnsi="Arial" w:cs="Arial"/>
                <w:b/>
                <w:sz w:val="20"/>
                <w:szCs w:val="20"/>
              </w:rPr>
            </w:pPr>
            <w:r w:rsidRPr="0068632C">
              <w:rPr>
                <w:rFonts w:ascii="Arial" w:hAnsi="Arial" w:cs="Arial"/>
                <w:sz w:val="20"/>
                <w:szCs w:val="20"/>
              </w:rPr>
              <w:t>Tiempo para definir ajuste de dosis y retiro de medicamento</w:t>
            </w:r>
          </w:p>
        </w:tc>
        <w:tc>
          <w:tcPr>
            <w:tcW w:w="6438" w:type="dxa"/>
            <w:tcBorders>
              <w:top w:val="single" w:sz="4" w:space="0" w:color="auto"/>
              <w:left w:val="single" w:sz="4" w:space="0" w:color="auto"/>
              <w:bottom w:val="single" w:sz="4" w:space="0" w:color="auto"/>
              <w:right w:val="single" w:sz="4" w:space="0" w:color="auto"/>
            </w:tcBorders>
          </w:tcPr>
          <w:p w14:paraId="59698E91" w14:textId="77777777" w:rsidR="00867016" w:rsidRDefault="00BE1757" w:rsidP="00867016">
            <w:pPr>
              <w:suppressAutoHyphens/>
              <w:spacing w:after="100" w:afterAutospacing="1"/>
              <w:contextualSpacing/>
              <w:jc w:val="both"/>
              <w:rPr>
                <w:rFonts w:ascii="Arial" w:eastAsia="Times-Roman" w:hAnsi="Arial" w:cs="Arial"/>
                <w:color w:val="FF0000"/>
                <w:sz w:val="20"/>
                <w:szCs w:val="20"/>
                <w:vertAlign w:val="superscript"/>
              </w:rPr>
            </w:pPr>
            <w:r w:rsidRPr="0068632C">
              <w:rPr>
                <w:rFonts w:ascii="Arial" w:hAnsi="Arial" w:cs="Arial"/>
                <w:sz w:val="20"/>
                <w:szCs w:val="20"/>
              </w:rPr>
              <w:t>La respuesta a los tres meses predice respuesta a largo plazo</w:t>
            </w:r>
            <w:r w:rsidRPr="0068632C">
              <w:rPr>
                <w:rFonts w:ascii="Arial" w:eastAsia="Times-Roman" w:hAnsi="Arial" w:cs="Arial"/>
                <w:sz w:val="20"/>
                <w:szCs w:val="20"/>
              </w:rPr>
              <w:t>.</w:t>
            </w:r>
            <w:r w:rsidRPr="0068632C">
              <w:rPr>
                <w:rFonts w:ascii="Arial" w:eastAsia="Times-Roman" w:hAnsi="Arial" w:cs="Arial"/>
                <w:color w:val="FF0000"/>
                <w:sz w:val="20"/>
                <w:szCs w:val="20"/>
              </w:rPr>
              <w:t xml:space="preserve"> </w:t>
            </w:r>
            <w:r w:rsidR="00867016" w:rsidRPr="001A5BEB">
              <w:rPr>
                <w:rFonts w:ascii="Arial" w:eastAsia="TrebuchetMS" w:hAnsi="Arial" w:cs="Arial"/>
                <w:b/>
                <w:color w:val="000000"/>
                <w:sz w:val="20"/>
                <w:szCs w:val="20"/>
                <w:lang w:val="es-ES"/>
              </w:rPr>
              <w:t>[</w:t>
            </w:r>
            <w:r w:rsidR="00867016" w:rsidRPr="001A5BEB">
              <w:rPr>
                <w:rFonts w:ascii="Arial" w:hAnsi="Arial" w:cs="Arial"/>
                <w:b/>
                <w:sz w:val="20"/>
                <w:szCs w:val="20"/>
              </w:rPr>
              <w:t xml:space="preserve">NE: </w:t>
            </w:r>
            <w:r w:rsidR="00867016">
              <w:rPr>
                <w:rFonts w:ascii="Arial" w:hAnsi="Arial" w:cs="Arial"/>
                <w:b/>
                <w:sz w:val="20"/>
                <w:szCs w:val="20"/>
              </w:rPr>
              <w:t>1</w:t>
            </w:r>
            <w:r w:rsidR="00867016" w:rsidRPr="001A5BEB">
              <w:rPr>
                <w:rFonts w:ascii="Arial" w:hAnsi="Arial" w:cs="Arial"/>
                <w:b/>
                <w:sz w:val="20"/>
                <w:szCs w:val="20"/>
              </w:rPr>
              <w:t xml:space="preserve">, GR: </w:t>
            </w:r>
            <w:r w:rsidR="00867016">
              <w:rPr>
                <w:rFonts w:ascii="Arial" w:hAnsi="Arial" w:cs="Arial"/>
                <w:b/>
                <w:sz w:val="20"/>
                <w:szCs w:val="20"/>
              </w:rPr>
              <w:t>A]</w:t>
            </w:r>
            <w:r w:rsidR="00371C42">
              <w:rPr>
                <w:rFonts w:ascii="Arial" w:eastAsia="Times-Roman" w:hAnsi="Arial" w:cs="Arial"/>
                <w:color w:val="FF0000"/>
                <w:sz w:val="20"/>
                <w:szCs w:val="20"/>
                <w:vertAlign w:val="superscript"/>
              </w:rPr>
              <w:t>34</w:t>
            </w:r>
          </w:p>
          <w:p w14:paraId="418F4185" w14:textId="77777777" w:rsidR="00867016" w:rsidRDefault="00867016" w:rsidP="007614D7">
            <w:pPr>
              <w:suppressAutoHyphens/>
              <w:spacing w:after="100" w:afterAutospacing="1"/>
              <w:contextualSpacing/>
              <w:jc w:val="both"/>
              <w:rPr>
                <w:rFonts w:ascii="Arial" w:eastAsia="Times-Roman" w:hAnsi="Arial" w:cs="Arial"/>
                <w:sz w:val="20"/>
                <w:szCs w:val="20"/>
              </w:rPr>
            </w:pPr>
          </w:p>
          <w:p w14:paraId="2FD1624F" w14:textId="77777777" w:rsidR="00BE1757" w:rsidRPr="00867016" w:rsidRDefault="00BE1757" w:rsidP="00867016">
            <w:pPr>
              <w:suppressAutoHyphens/>
              <w:spacing w:after="100" w:afterAutospacing="1"/>
              <w:contextualSpacing/>
              <w:jc w:val="both"/>
              <w:rPr>
                <w:rFonts w:ascii="Arial" w:hAnsi="Arial" w:cs="Arial"/>
                <w:sz w:val="20"/>
                <w:szCs w:val="20"/>
              </w:rPr>
            </w:pPr>
            <w:r w:rsidRPr="0068632C">
              <w:rPr>
                <w:rFonts w:ascii="Arial" w:eastAsia="Times-Roman" w:hAnsi="Arial" w:cs="Arial"/>
                <w:sz w:val="20"/>
                <w:szCs w:val="20"/>
              </w:rPr>
              <w:t>Después de un año de remisión se puede suspender.</w:t>
            </w:r>
            <w:r w:rsidRPr="0068632C">
              <w:rPr>
                <w:rFonts w:ascii="Arial" w:eastAsia="Times-Roman" w:hAnsi="Arial" w:cs="Arial"/>
                <w:color w:val="FF0000"/>
                <w:sz w:val="20"/>
                <w:szCs w:val="20"/>
              </w:rPr>
              <w:t xml:space="preserve"> </w:t>
            </w:r>
            <w:r w:rsidR="00867016" w:rsidRPr="001A5BEB">
              <w:rPr>
                <w:rFonts w:ascii="Arial" w:eastAsia="TrebuchetMS" w:hAnsi="Arial" w:cs="Arial"/>
                <w:b/>
                <w:color w:val="000000"/>
                <w:sz w:val="20"/>
                <w:szCs w:val="20"/>
                <w:lang w:val="es-ES"/>
              </w:rPr>
              <w:t>[</w:t>
            </w:r>
            <w:r w:rsidR="00867016" w:rsidRPr="001A5BEB">
              <w:rPr>
                <w:rFonts w:ascii="Arial" w:hAnsi="Arial" w:cs="Arial"/>
                <w:b/>
                <w:sz w:val="20"/>
                <w:szCs w:val="20"/>
              </w:rPr>
              <w:t xml:space="preserve">NE: </w:t>
            </w:r>
            <w:r w:rsidR="00867016">
              <w:rPr>
                <w:rFonts w:ascii="Arial" w:hAnsi="Arial" w:cs="Arial"/>
                <w:b/>
                <w:sz w:val="20"/>
                <w:szCs w:val="20"/>
              </w:rPr>
              <w:t>4</w:t>
            </w:r>
            <w:r w:rsidR="00867016" w:rsidRPr="001A5BEB">
              <w:rPr>
                <w:rFonts w:ascii="Arial" w:hAnsi="Arial" w:cs="Arial"/>
                <w:b/>
                <w:sz w:val="20"/>
                <w:szCs w:val="20"/>
              </w:rPr>
              <w:t xml:space="preserve">, GR: </w:t>
            </w:r>
            <w:r w:rsidR="00867016">
              <w:rPr>
                <w:rFonts w:ascii="Arial" w:hAnsi="Arial" w:cs="Arial"/>
                <w:b/>
                <w:sz w:val="20"/>
                <w:szCs w:val="20"/>
              </w:rPr>
              <w:t>D]</w:t>
            </w:r>
            <w:r w:rsidR="00867016">
              <w:rPr>
                <w:rFonts w:ascii="Arial" w:eastAsia="Times-Roman" w:hAnsi="Arial" w:cs="Arial"/>
                <w:color w:val="FF0000"/>
                <w:sz w:val="20"/>
                <w:szCs w:val="20"/>
                <w:vertAlign w:val="superscript"/>
              </w:rPr>
              <w:t>4</w:t>
            </w:r>
          </w:p>
        </w:tc>
      </w:tr>
      <w:tr w:rsidR="00BE1757" w:rsidRPr="0068632C" w14:paraId="671B0455" w14:textId="77777777" w:rsidTr="007614D7">
        <w:tc>
          <w:tcPr>
            <w:tcW w:w="3168" w:type="dxa"/>
            <w:tcBorders>
              <w:top w:val="single" w:sz="4" w:space="0" w:color="auto"/>
              <w:left w:val="single" w:sz="4" w:space="0" w:color="auto"/>
              <w:bottom w:val="single" w:sz="4" w:space="0" w:color="auto"/>
              <w:right w:val="single" w:sz="4" w:space="0" w:color="auto"/>
            </w:tcBorders>
          </w:tcPr>
          <w:p w14:paraId="5B4FC96F" w14:textId="77777777" w:rsidR="00BE1757" w:rsidRPr="0068632C" w:rsidRDefault="00BE1757" w:rsidP="007614D7">
            <w:pPr>
              <w:contextualSpacing/>
              <w:jc w:val="both"/>
              <w:rPr>
                <w:rFonts w:ascii="Arial" w:eastAsia="Times-Roman" w:hAnsi="Arial" w:cs="Arial"/>
                <w:b/>
                <w:sz w:val="20"/>
                <w:szCs w:val="20"/>
              </w:rPr>
            </w:pPr>
            <w:r w:rsidRPr="0068632C">
              <w:rPr>
                <w:rFonts w:ascii="Arial" w:hAnsi="Arial" w:cs="Arial"/>
                <w:sz w:val="20"/>
                <w:szCs w:val="20"/>
              </w:rPr>
              <w:t>Dosis mínima y máxima</w:t>
            </w:r>
          </w:p>
        </w:tc>
        <w:tc>
          <w:tcPr>
            <w:tcW w:w="6438" w:type="dxa"/>
            <w:tcBorders>
              <w:top w:val="single" w:sz="4" w:space="0" w:color="auto"/>
              <w:left w:val="single" w:sz="4" w:space="0" w:color="auto"/>
              <w:bottom w:val="single" w:sz="4" w:space="0" w:color="auto"/>
              <w:right w:val="single" w:sz="4" w:space="0" w:color="auto"/>
            </w:tcBorders>
          </w:tcPr>
          <w:p w14:paraId="1EEF8DAE" w14:textId="77777777" w:rsidR="00BE1757" w:rsidRPr="00667C57" w:rsidRDefault="00BE1757" w:rsidP="00667C57">
            <w:pPr>
              <w:suppressAutoHyphens/>
              <w:spacing w:after="100" w:afterAutospacing="1"/>
              <w:contextualSpacing/>
              <w:jc w:val="both"/>
              <w:rPr>
                <w:rFonts w:ascii="Arial" w:eastAsia="Times-Roman" w:hAnsi="Arial" w:cs="Arial"/>
                <w:color w:val="FF0000"/>
                <w:sz w:val="20"/>
                <w:szCs w:val="20"/>
                <w:vertAlign w:val="superscript"/>
              </w:rPr>
            </w:pPr>
            <w:r w:rsidRPr="0068632C">
              <w:rPr>
                <w:rFonts w:ascii="Arial" w:hAnsi="Arial" w:cs="Arial"/>
                <w:sz w:val="20"/>
                <w:szCs w:val="20"/>
              </w:rPr>
              <w:t>400 mg SC al inicio y 200 mg SC cada 15 días, o 400 mg SC cada mes.</w:t>
            </w:r>
            <w:r w:rsidRPr="0068632C">
              <w:rPr>
                <w:rFonts w:ascii="Arial" w:eastAsia="Times-Roman" w:hAnsi="Arial" w:cs="Arial"/>
                <w:color w:val="FF0000"/>
                <w:sz w:val="20"/>
                <w:szCs w:val="20"/>
              </w:rPr>
              <w:t xml:space="preserve"> </w:t>
            </w:r>
            <w:r w:rsidR="00667C57" w:rsidRPr="001A5BEB">
              <w:rPr>
                <w:rFonts w:ascii="Arial" w:eastAsia="TrebuchetMS" w:hAnsi="Arial" w:cs="Arial"/>
                <w:b/>
                <w:color w:val="000000"/>
                <w:sz w:val="20"/>
                <w:szCs w:val="20"/>
                <w:lang w:val="es-ES"/>
              </w:rPr>
              <w:t>[</w:t>
            </w:r>
            <w:r w:rsidR="00667C57" w:rsidRPr="001A5BEB">
              <w:rPr>
                <w:rFonts w:ascii="Arial" w:hAnsi="Arial" w:cs="Arial"/>
                <w:b/>
                <w:sz w:val="20"/>
                <w:szCs w:val="20"/>
              </w:rPr>
              <w:t xml:space="preserve">NE: </w:t>
            </w:r>
            <w:r w:rsidR="00667C57">
              <w:rPr>
                <w:rFonts w:ascii="Arial" w:hAnsi="Arial" w:cs="Arial"/>
                <w:b/>
                <w:sz w:val="20"/>
                <w:szCs w:val="20"/>
              </w:rPr>
              <w:t>1</w:t>
            </w:r>
            <w:r w:rsidR="00667C57" w:rsidRPr="001A5BEB">
              <w:rPr>
                <w:rFonts w:ascii="Arial" w:hAnsi="Arial" w:cs="Arial"/>
                <w:b/>
                <w:sz w:val="20"/>
                <w:szCs w:val="20"/>
              </w:rPr>
              <w:t xml:space="preserve">, GR: </w:t>
            </w:r>
            <w:r w:rsidR="00667C57">
              <w:rPr>
                <w:rFonts w:ascii="Arial" w:hAnsi="Arial" w:cs="Arial"/>
                <w:b/>
                <w:sz w:val="20"/>
                <w:szCs w:val="20"/>
              </w:rPr>
              <w:t>A]</w:t>
            </w:r>
            <w:r w:rsidR="00371C42">
              <w:rPr>
                <w:rFonts w:ascii="Arial" w:eastAsia="Times-Roman" w:hAnsi="Arial" w:cs="Arial"/>
                <w:color w:val="FF0000"/>
                <w:sz w:val="20"/>
                <w:szCs w:val="20"/>
                <w:vertAlign w:val="superscript"/>
              </w:rPr>
              <w:t>32</w:t>
            </w:r>
          </w:p>
        </w:tc>
      </w:tr>
      <w:tr w:rsidR="00BE1757" w:rsidRPr="0068632C" w14:paraId="3C01269C" w14:textId="77777777" w:rsidTr="007614D7">
        <w:tc>
          <w:tcPr>
            <w:tcW w:w="3168" w:type="dxa"/>
            <w:tcBorders>
              <w:top w:val="single" w:sz="4" w:space="0" w:color="auto"/>
              <w:left w:val="single" w:sz="4" w:space="0" w:color="auto"/>
              <w:bottom w:val="single" w:sz="4" w:space="0" w:color="auto"/>
              <w:right w:val="single" w:sz="4" w:space="0" w:color="auto"/>
            </w:tcBorders>
          </w:tcPr>
          <w:p w14:paraId="12820C98" w14:textId="77777777" w:rsidR="00BE1757" w:rsidRPr="0068632C" w:rsidRDefault="00BE1757" w:rsidP="00BE1757">
            <w:pPr>
              <w:numPr>
                <w:ilvl w:val="0"/>
                <w:numId w:val="2"/>
              </w:numPr>
              <w:ind w:left="0"/>
              <w:contextualSpacing/>
              <w:jc w:val="both"/>
              <w:rPr>
                <w:rFonts w:ascii="Arial" w:hAnsi="Arial" w:cs="Arial"/>
                <w:sz w:val="20"/>
                <w:szCs w:val="20"/>
              </w:rPr>
            </w:pPr>
            <w:r w:rsidRPr="0068632C">
              <w:rPr>
                <w:rFonts w:ascii="Arial" w:hAnsi="Arial" w:cs="Arial"/>
                <w:sz w:val="20"/>
                <w:szCs w:val="20"/>
              </w:rPr>
              <w:t>Contraindicaciones</w:t>
            </w:r>
          </w:p>
        </w:tc>
        <w:tc>
          <w:tcPr>
            <w:tcW w:w="6438" w:type="dxa"/>
            <w:tcBorders>
              <w:top w:val="single" w:sz="4" w:space="0" w:color="auto"/>
              <w:left w:val="single" w:sz="4" w:space="0" w:color="auto"/>
              <w:bottom w:val="single" w:sz="4" w:space="0" w:color="auto"/>
              <w:right w:val="single" w:sz="4" w:space="0" w:color="auto"/>
            </w:tcBorders>
          </w:tcPr>
          <w:p w14:paraId="2229E349" w14:textId="3EC1FCB8" w:rsidR="00BE1757" w:rsidRPr="0068632C" w:rsidRDefault="00BE1757" w:rsidP="007614D7">
            <w:pPr>
              <w:autoSpaceDE w:val="0"/>
              <w:autoSpaceDN w:val="0"/>
              <w:adjustRightInd w:val="0"/>
              <w:contextualSpacing/>
              <w:jc w:val="both"/>
              <w:rPr>
                <w:rFonts w:ascii="Arial" w:eastAsia="Times-Roman" w:hAnsi="Arial" w:cs="Arial"/>
                <w:b/>
                <w:sz w:val="20"/>
                <w:szCs w:val="20"/>
              </w:rPr>
            </w:pPr>
            <w:r w:rsidRPr="0068632C">
              <w:rPr>
                <w:rFonts w:ascii="Arial" w:hAnsi="Arial" w:cs="Arial"/>
                <w:sz w:val="20"/>
                <w:szCs w:val="20"/>
              </w:rPr>
              <w:t xml:space="preserve">No se debe </w:t>
            </w:r>
            <w:r w:rsidR="00E2773E" w:rsidRPr="0068632C">
              <w:rPr>
                <w:rFonts w:ascii="Arial" w:hAnsi="Arial" w:cs="Arial"/>
                <w:sz w:val="20"/>
                <w:szCs w:val="20"/>
              </w:rPr>
              <w:t>administrar</w:t>
            </w:r>
            <w:r w:rsidRPr="0068632C">
              <w:rPr>
                <w:rFonts w:ascii="Arial" w:hAnsi="Arial" w:cs="Arial"/>
                <w:sz w:val="20"/>
                <w:szCs w:val="20"/>
              </w:rPr>
              <w:t xml:space="preserve"> en pacientes con riesgo de Tb activa, enfermedad desmielinizante, enfermedad cardiovascular significativa, enfermedad lupoide y tumores malignos sólidos de menos de 5 años de erradicación.</w:t>
            </w:r>
            <w:r w:rsidRPr="0068632C">
              <w:rPr>
                <w:rFonts w:ascii="Arial" w:eastAsia="Times-Roman" w:hAnsi="Arial" w:cs="Arial"/>
                <w:color w:val="FF0000"/>
                <w:sz w:val="20"/>
                <w:szCs w:val="20"/>
              </w:rPr>
              <w:t xml:space="preserve"> </w:t>
            </w:r>
            <w:r w:rsidR="00667C57" w:rsidRPr="001A5BEB">
              <w:rPr>
                <w:rFonts w:ascii="Arial" w:eastAsia="TrebuchetMS" w:hAnsi="Arial" w:cs="Arial"/>
                <w:b/>
                <w:color w:val="000000"/>
                <w:sz w:val="20"/>
                <w:szCs w:val="20"/>
                <w:lang w:val="es-ES"/>
              </w:rPr>
              <w:t>[</w:t>
            </w:r>
            <w:r w:rsidR="00667C57" w:rsidRPr="001A5BEB">
              <w:rPr>
                <w:rFonts w:ascii="Arial" w:hAnsi="Arial" w:cs="Arial"/>
                <w:b/>
                <w:sz w:val="20"/>
                <w:szCs w:val="20"/>
              </w:rPr>
              <w:t xml:space="preserve">NE: </w:t>
            </w:r>
            <w:r w:rsidR="00667C57">
              <w:rPr>
                <w:rFonts w:ascii="Arial" w:hAnsi="Arial" w:cs="Arial"/>
                <w:b/>
                <w:sz w:val="20"/>
                <w:szCs w:val="20"/>
              </w:rPr>
              <w:t>1</w:t>
            </w:r>
            <w:r w:rsidR="00667C57" w:rsidRPr="001A5BEB">
              <w:rPr>
                <w:rFonts w:ascii="Arial" w:hAnsi="Arial" w:cs="Arial"/>
                <w:b/>
                <w:sz w:val="20"/>
                <w:szCs w:val="20"/>
              </w:rPr>
              <w:t xml:space="preserve">, GR: </w:t>
            </w:r>
            <w:r w:rsidR="00667C57">
              <w:rPr>
                <w:rFonts w:ascii="Arial" w:hAnsi="Arial" w:cs="Arial"/>
                <w:b/>
                <w:sz w:val="20"/>
                <w:szCs w:val="20"/>
              </w:rPr>
              <w:t>A]</w:t>
            </w:r>
            <w:r w:rsidR="00667C57">
              <w:rPr>
                <w:rFonts w:ascii="Arial" w:eastAsia="Times-Roman" w:hAnsi="Arial" w:cs="Arial"/>
                <w:color w:val="FF0000"/>
                <w:sz w:val="20"/>
                <w:szCs w:val="20"/>
                <w:vertAlign w:val="superscript"/>
              </w:rPr>
              <w:t>14</w:t>
            </w:r>
          </w:p>
        </w:tc>
      </w:tr>
      <w:tr w:rsidR="00BE1757" w:rsidRPr="0068632C" w14:paraId="59DA5813" w14:textId="77777777" w:rsidTr="007614D7">
        <w:tc>
          <w:tcPr>
            <w:tcW w:w="3168" w:type="dxa"/>
            <w:tcBorders>
              <w:top w:val="single" w:sz="4" w:space="0" w:color="auto"/>
              <w:left w:val="single" w:sz="4" w:space="0" w:color="auto"/>
              <w:bottom w:val="single" w:sz="4" w:space="0" w:color="auto"/>
              <w:right w:val="single" w:sz="4" w:space="0" w:color="auto"/>
            </w:tcBorders>
          </w:tcPr>
          <w:p w14:paraId="13330644" w14:textId="77777777" w:rsidR="00BE1757" w:rsidRPr="0068632C" w:rsidRDefault="00BE1757" w:rsidP="00BE1757">
            <w:pPr>
              <w:numPr>
                <w:ilvl w:val="0"/>
                <w:numId w:val="2"/>
              </w:numPr>
              <w:ind w:left="0"/>
              <w:contextualSpacing/>
              <w:jc w:val="both"/>
              <w:rPr>
                <w:rFonts w:ascii="Arial" w:hAnsi="Arial" w:cs="Arial"/>
                <w:sz w:val="20"/>
                <w:szCs w:val="20"/>
              </w:rPr>
            </w:pPr>
            <w:r w:rsidRPr="0068632C">
              <w:rPr>
                <w:rFonts w:ascii="Arial" w:hAnsi="Arial" w:cs="Arial"/>
                <w:sz w:val="20"/>
                <w:szCs w:val="20"/>
              </w:rPr>
              <w:t xml:space="preserve">Casos especiales </w:t>
            </w:r>
          </w:p>
          <w:p w14:paraId="27841F25" w14:textId="77777777" w:rsidR="00BE1757" w:rsidRPr="0068632C" w:rsidRDefault="00BE1757" w:rsidP="00BE1757">
            <w:pPr>
              <w:numPr>
                <w:ilvl w:val="0"/>
                <w:numId w:val="2"/>
              </w:numPr>
              <w:ind w:left="0"/>
              <w:contextualSpacing/>
              <w:jc w:val="both"/>
              <w:rPr>
                <w:rFonts w:ascii="Arial" w:hAnsi="Arial" w:cs="Arial"/>
                <w:sz w:val="20"/>
                <w:szCs w:val="20"/>
              </w:rPr>
            </w:pPr>
          </w:p>
        </w:tc>
        <w:tc>
          <w:tcPr>
            <w:tcW w:w="6438" w:type="dxa"/>
            <w:tcBorders>
              <w:top w:val="single" w:sz="4" w:space="0" w:color="auto"/>
              <w:left w:val="single" w:sz="4" w:space="0" w:color="auto"/>
              <w:bottom w:val="single" w:sz="4" w:space="0" w:color="auto"/>
              <w:right w:val="single" w:sz="4" w:space="0" w:color="auto"/>
            </w:tcBorders>
          </w:tcPr>
          <w:p w14:paraId="12AB8A03" w14:textId="33090054" w:rsidR="00BE1757" w:rsidRPr="0068632C" w:rsidRDefault="00BE1757" w:rsidP="00667C57">
            <w:pPr>
              <w:spacing w:after="60"/>
              <w:jc w:val="both"/>
              <w:rPr>
                <w:rFonts w:ascii="Arial" w:hAnsi="Arial" w:cs="Arial"/>
                <w:sz w:val="20"/>
                <w:szCs w:val="20"/>
              </w:rPr>
            </w:pPr>
            <w:r w:rsidRPr="0068632C">
              <w:rPr>
                <w:rFonts w:ascii="Arial" w:hAnsi="Arial" w:cs="Arial"/>
                <w:sz w:val="20"/>
                <w:szCs w:val="20"/>
              </w:rPr>
              <w:t xml:space="preserve">No se encuentra indicado en mujeres embarazadas. No hay indicaciones en la periodicidad de exámenes de detección de Tb. Las vacunas recomendadas son las </w:t>
            </w:r>
            <w:proofErr w:type="spellStart"/>
            <w:r w:rsidRPr="0068632C">
              <w:rPr>
                <w:rFonts w:ascii="Arial" w:hAnsi="Arial" w:cs="Arial"/>
                <w:sz w:val="20"/>
                <w:szCs w:val="20"/>
              </w:rPr>
              <w:t>antiinfluenza</w:t>
            </w:r>
            <w:proofErr w:type="spellEnd"/>
            <w:r w:rsidRPr="0068632C">
              <w:rPr>
                <w:rFonts w:ascii="Arial" w:hAnsi="Arial" w:cs="Arial"/>
                <w:sz w:val="20"/>
                <w:szCs w:val="20"/>
              </w:rPr>
              <w:t xml:space="preserve">, </w:t>
            </w:r>
            <w:proofErr w:type="spellStart"/>
            <w:r w:rsidRPr="0068632C">
              <w:rPr>
                <w:rFonts w:ascii="Arial" w:hAnsi="Arial" w:cs="Arial"/>
                <w:sz w:val="20"/>
                <w:szCs w:val="20"/>
              </w:rPr>
              <w:t>antimeningocóccica</w:t>
            </w:r>
            <w:proofErr w:type="spellEnd"/>
            <w:r w:rsidRPr="0068632C">
              <w:rPr>
                <w:rFonts w:ascii="Arial" w:hAnsi="Arial" w:cs="Arial"/>
                <w:sz w:val="20"/>
                <w:szCs w:val="20"/>
              </w:rPr>
              <w:t xml:space="preserve">, </w:t>
            </w:r>
            <w:proofErr w:type="spellStart"/>
            <w:r w:rsidRPr="0068632C">
              <w:rPr>
                <w:rFonts w:ascii="Arial" w:hAnsi="Arial" w:cs="Arial"/>
                <w:sz w:val="20"/>
                <w:szCs w:val="20"/>
              </w:rPr>
              <w:t>antihepatitis</w:t>
            </w:r>
            <w:proofErr w:type="spellEnd"/>
            <w:r w:rsidRPr="0068632C">
              <w:rPr>
                <w:rFonts w:ascii="Arial" w:hAnsi="Arial" w:cs="Arial"/>
                <w:sz w:val="20"/>
                <w:szCs w:val="20"/>
              </w:rPr>
              <w:t xml:space="preserve"> y </w:t>
            </w:r>
            <w:proofErr w:type="spellStart"/>
            <w:r w:rsidRPr="0068632C">
              <w:rPr>
                <w:rFonts w:ascii="Arial" w:hAnsi="Arial" w:cs="Arial"/>
                <w:sz w:val="20"/>
                <w:szCs w:val="20"/>
              </w:rPr>
              <w:t>anti</w:t>
            </w:r>
            <w:r w:rsidR="008F1263">
              <w:rPr>
                <w:rFonts w:ascii="Arial" w:hAnsi="Arial" w:cs="Arial"/>
                <w:sz w:val="20"/>
                <w:szCs w:val="20"/>
              </w:rPr>
              <w:t>n</w:t>
            </w:r>
            <w:r w:rsidRPr="0068632C">
              <w:rPr>
                <w:rFonts w:ascii="Arial" w:hAnsi="Arial" w:cs="Arial"/>
                <w:sz w:val="20"/>
                <w:szCs w:val="20"/>
              </w:rPr>
              <w:t>eumocóccica</w:t>
            </w:r>
            <w:proofErr w:type="spellEnd"/>
            <w:r w:rsidRPr="0068632C">
              <w:rPr>
                <w:rFonts w:ascii="Arial" w:hAnsi="Arial" w:cs="Arial"/>
                <w:sz w:val="20"/>
                <w:szCs w:val="20"/>
              </w:rPr>
              <w:t>. No hay recomendaciones respecto a cirugía.</w:t>
            </w:r>
            <w:r w:rsidR="00667C57">
              <w:rPr>
                <w:rFonts w:ascii="Arial" w:eastAsia="Times-Roman" w:hAnsi="Arial" w:cs="Arial"/>
                <w:color w:val="FF0000"/>
                <w:sz w:val="20"/>
                <w:szCs w:val="20"/>
                <w:vertAlign w:val="superscript"/>
              </w:rPr>
              <w:t>14</w:t>
            </w:r>
          </w:p>
        </w:tc>
      </w:tr>
    </w:tbl>
    <w:p w14:paraId="2871B994" w14:textId="77777777" w:rsidR="00BE1757" w:rsidRPr="0068632C" w:rsidRDefault="00BE1757"/>
    <w:p w14:paraId="2DE93317" w14:textId="77777777" w:rsidR="00BE1757" w:rsidRPr="0068632C" w:rsidRDefault="00BE1757"/>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438"/>
      </w:tblGrid>
      <w:tr w:rsidR="00BE1757" w:rsidRPr="0068632C" w14:paraId="07F9B8E1" w14:textId="77777777" w:rsidTr="007614D7">
        <w:tc>
          <w:tcPr>
            <w:tcW w:w="3168" w:type="dxa"/>
            <w:tcBorders>
              <w:top w:val="single" w:sz="4" w:space="0" w:color="auto"/>
              <w:left w:val="single" w:sz="4" w:space="0" w:color="auto"/>
              <w:bottom w:val="single" w:sz="4" w:space="0" w:color="auto"/>
              <w:right w:val="single" w:sz="4" w:space="0" w:color="auto"/>
            </w:tcBorders>
          </w:tcPr>
          <w:p w14:paraId="6659C867" w14:textId="77777777" w:rsidR="00BE1757" w:rsidRPr="00C53F31" w:rsidRDefault="00C53F31" w:rsidP="007614D7">
            <w:pPr>
              <w:contextualSpacing/>
              <w:jc w:val="both"/>
              <w:rPr>
                <w:rFonts w:ascii="Arial" w:hAnsi="Arial" w:cs="Arial"/>
                <w:b/>
                <w:sz w:val="28"/>
                <w:szCs w:val="28"/>
              </w:rPr>
            </w:pPr>
            <w:r w:rsidRPr="00C53F31">
              <w:rPr>
                <w:rFonts w:ascii="Arial" w:hAnsi="Arial" w:cs="Arial"/>
                <w:b/>
                <w:sz w:val="28"/>
                <w:szCs w:val="28"/>
              </w:rPr>
              <w:t>Golimumab</w:t>
            </w:r>
          </w:p>
        </w:tc>
        <w:tc>
          <w:tcPr>
            <w:tcW w:w="6438" w:type="dxa"/>
            <w:tcBorders>
              <w:top w:val="single" w:sz="4" w:space="0" w:color="auto"/>
              <w:left w:val="single" w:sz="4" w:space="0" w:color="auto"/>
              <w:bottom w:val="single" w:sz="4" w:space="0" w:color="auto"/>
              <w:right w:val="single" w:sz="4" w:space="0" w:color="auto"/>
            </w:tcBorders>
          </w:tcPr>
          <w:p w14:paraId="1D6A0976" w14:textId="77777777" w:rsidR="00BE1757" w:rsidRPr="0068632C" w:rsidRDefault="00BE1757" w:rsidP="007614D7">
            <w:pPr>
              <w:contextualSpacing/>
              <w:jc w:val="both"/>
              <w:rPr>
                <w:rFonts w:ascii="Arial" w:eastAsia="Times-Roman" w:hAnsi="Arial" w:cs="Arial"/>
                <w:sz w:val="20"/>
                <w:szCs w:val="20"/>
              </w:rPr>
            </w:pPr>
            <w:r w:rsidRPr="0068632C">
              <w:rPr>
                <w:rFonts w:ascii="Arial" w:eastAsia="Times-Roman" w:hAnsi="Arial" w:cs="Arial"/>
                <w:sz w:val="20"/>
                <w:szCs w:val="20"/>
              </w:rPr>
              <w:t>Anticuerpo monoclonal humano</w:t>
            </w:r>
          </w:p>
        </w:tc>
      </w:tr>
      <w:tr w:rsidR="00BE1757" w:rsidRPr="0068632C" w14:paraId="59A9A994" w14:textId="77777777" w:rsidTr="007614D7">
        <w:tc>
          <w:tcPr>
            <w:tcW w:w="3168" w:type="dxa"/>
            <w:tcBorders>
              <w:top w:val="single" w:sz="4" w:space="0" w:color="auto"/>
              <w:left w:val="single" w:sz="4" w:space="0" w:color="auto"/>
              <w:bottom w:val="single" w:sz="4" w:space="0" w:color="auto"/>
              <w:right w:val="single" w:sz="4" w:space="0" w:color="auto"/>
            </w:tcBorders>
          </w:tcPr>
          <w:p w14:paraId="12364E62" w14:textId="77777777" w:rsidR="00BE1757" w:rsidRPr="0068632C" w:rsidRDefault="00BE1757" w:rsidP="007614D7">
            <w:pPr>
              <w:contextualSpacing/>
              <w:jc w:val="both"/>
              <w:rPr>
                <w:rFonts w:ascii="Arial" w:hAnsi="Arial" w:cs="Arial"/>
                <w:sz w:val="20"/>
                <w:szCs w:val="20"/>
              </w:rPr>
            </w:pPr>
            <w:r w:rsidRPr="0068632C">
              <w:rPr>
                <w:rFonts w:ascii="Arial" w:hAnsi="Arial" w:cs="Arial"/>
                <w:sz w:val="20"/>
                <w:szCs w:val="20"/>
              </w:rPr>
              <w:t xml:space="preserve">Línea de tratamiento en la que está indicado </w:t>
            </w:r>
          </w:p>
        </w:tc>
        <w:tc>
          <w:tcPr>
            <w:tcW w:w="6438" w:type="dxa"/>
            <w:tcBorders>
              <w:top w:val="single" w:sz="4" w:space="0" w:color="auto"/>
              <w:left w:val="single" w:sz="4" w:space="0" w:color="auto"/>
              <w:bottom w:val="single" w:sz="4" w:space="0" w:color="auto"/>
              <w:right w:val="single" w:sz="4" w:space="0" w:color="auto"/>
            </w:tcBorders>
          </w:tcPr>
          <w:p w14:paraId="4869B362" w14:textId="77777777" w:rsidR="00BE1757" w:rsidRDefault="00BE1757" w:rsidP="007614D7">
            <w:pPr>
              <w:suppressAutoHyphens/>
              <w:spacing w:after="100" w:afterAutospacing="1"/>
              <w:contextualSpacing/>
              <w:jc w:val="both"/>
              <w:rPr>
                <w:rFonts w:ascii="Arial" w:eastAsia="Times-Roman" w:hAnsi="Arial" w:cs="Arial"/>
                <w:color w:val="FF0000"/>
                <w:sz w:val="20"/>
                <w:szCs w:val="20"/>
                <w:vertAlign w:val="superscript"/>
              </w:rPr>
            </w:pPr>
            <w:r w:rsidRPr="0068632C">
              <w:rPr>
                <w:rFonts w:ascii="Arial" w:eastAsia="Times-Roman" w:hAnsi="Arial" w:cs="Arial"/>
                <w:sz w:val="20"/>
                <w:szCs w:val="20"/>
              </w:rPr>
              <w:t>Tiene experiencia en pacientes con AR vírgenes a tratamiento con MTX o algún otro FARME.</w:t>
            </w:r>
            <w:r w:rsidRPr="0068632C">
              <w:rPr>
                <w:rFonts w:ascii="Arial" w:eastAsia="Times-Roman" w:hAnsi="Arial" w:cs="Arial"/>
                <w:color w:val="FF0000"/>
                <w:sz w:val="20"/>
                <w:szCs w:val="20"/>
              </w:rPr>
              <w:t xml:space="preserve"> </w:t>
            </w:r>
            <w:r w:rsidR="00082A62" w:rsidRPr="001A5BEB">
              <w:rPr>
                <w:rFonts w:ascii="Arial" w:eastAsia="TrebuchetMS" w:hAnsi="Arial" w:cs="Arial"/>
                <w:b/>
                <w:color w:val="000000"/>
                <w:sz w:val="20"/>
                <w:szCs w:val="20"/>
                <w:lang w:val="es-ES"/>
              </w:rPr>
              <w:t>[</w:t>
            </w:r>
            <w:r w:rsidR="00082A62" w:rsidRPr="001A5BEB">
              <w:rPr>
                <w:rFonts w:ascii="Arial" w:hAnsi="Arial" w:cs="Arial"/>
                <w:b/>
                <w:sz w:val="20"/>
                <w:szCs w:val="20"/>
              </w:rPr>
              <w:t xml:space="preserve">NE: </w:t>
            </w:r>
            <w:r w:rsidR="00082A62">
              <w:rPr>
                <w:rFonts w:ascii="Arial" w:hAnsi="Arial" w:cs="Arial"/>
                <w:b/>
                <w:sz w:val="20"/>
                <w:szCs w:val="20"/>
              </w:rPr>
              <w:t>1</w:t>
            </w:r>
            <w:r w:rsidR="00082A62" w:rsidRPr="001A5BEB">
              <w:rPr>
                <w:rFonts w:ascii="Arial" w:hAnsi="Arial" w:cs="Arial"/>
                <w:b/>
                <w:sz w:val="20"/>
                <w:szCs w:val="20"/>
              </w:rPr>
              <w:t xml:space="preserve">, GR: </w:t>
            </w:r>
            <w:r w:rsidR="00082A62">
              <w:rPr>
                <w:rFonts w:ascii="Arial" w:hAnsi="Arial" w:cs="Arial"/>
                <w:b/>
                <w:sz w:val="20"/>
                <w:szCs w:val="20"/>
              </w:rPr>
              <w:t>A]</w:t>
            </w:r>
            <w:r w:rsidR="00CE470F">
              <w:rPr>
                <w:rFonts w:ascii="Arial" w:eastAsia="Times-Roman" w:hAnsi="Arial" w:cs="Arial"/>
                <w:color w:val="FF0000"/>
                <w:sz w:val="20"/>
                <w:szCs w:val="20"/>
                <w:vertAlign w:val="superscript"/>
              </w:rPr>
              <w:t>35</w:t>
            </w:r>
          </w:p>
          <w:p w14:paraId="1A138FC5" w14:textId="77777777" w:rsidR="00082A62" w:rsidRPr="0068632C" w:rsidRDefault="00082A62" w:rsidP="007614D7">
            <w:pPr>
              <w:suppressAutoHyphens/>
              <w:spacing w:after="100" w:afterAutospacing="1"/>
              <w:contextualSpacing/>
              <w:jc w:val="both"/>
              <w:rPr>
                <w:rFonts w:ascii="Arial" w:eastAsia="Times-Roman" w:hAnsi="Arial" w:cs="Arial"/>
                <w:sz w:val="20"/>
                <w:szCs w:val="20"/>
              </w:rPr>
            </w:pPr>
          </w:p>
          <w:p w14:paraId="7B7F31E2" w14:textId="77777777" w:rsidR="00BE1757" w:rsidRPr="0068632C" w:rsidRDefault="00BE1757" w:rsidP="007614D7">
            <w:pPr>
              <w:suppressAutoHyphens/>
              <w:spacing w:after="100" w:afterAutospacing="1"/>
              <w:contextualSpacing/>
              <w:jc w:val="both"/>
              <w:rPr>
                <w:rFonts w:ascii="Arial" w:eastAsia="Times-Roman" w:hAnsi="Arial" w:cs="Arial"/>
                <w:b/>
                <w:sz w:val="20"/>
                <w:szCs w:val="20"/>
              </w:rPr>
            </w:pPr>
            <w:r w:rsidRPr="0068632C">
              <w:rPr>
                <w:rFonts w:ascii="Arial" w:eastAsia="Times-Roman" w:hAnsi="Arial" w:cs="Arial"/>
                <w:sz w:val="20"/>
                <w:szCs w:val="20"/>
              </w:rPr>
              <w:t>Se recomienda administrar ante la falla a MTX o en pacientes refractarios a anti TNF.</w:t>
            </w:r>
            <w:r w:rsidRPr="0068632C">
              <w:rPr>
                <w:rFonts w:ascii="Arial" w:eastAsia="Times-Roman" w:hAnsi="Arial" w:cs="Arial"/>
                <w:color w:val="FF0000"/>
                <w:sz w:val="20"/>
                <w:szCs w:val="20"/>
              </w:rPr>
              <w:t xml:space="preserve"> </w:t>
            </w:r>
            <w:r w:rsidR="002761D1" w:rsidRPr="001A5BEB">
              <w:rPr>
                <w:rFonts w:ascii="Arial" w:eastAsia="TrebuchetMS" w:hAnsi="Arial" w:cs="Arial"/>
                <w:b/>
                <w:color w:val="000000"/>
                <w:sz w:val="20"/>
                <w:szCs w:val="20"/>
                <w:lang w:val="es-ES"/>
              </w:rPr>
              <w:t>[</w:t>
            </w:r>
            <w:r w:rsidR="002761D1" w:rsidRPr="001A5BEB">
              <w:rPr>
                <w:rFonts w:ascii="Arial" w:hAnsi="Arial" w:cs="Arial"/>
                <w:b/>
                <w:sz w:val="20"/>
                <w:szCs w:val="20"/>
              </w:rPr>
              <w:t xml:space="preserve">NE: </w:t>
            </w:r>
            <w:r w:rsidR="002761D1">
              <w:rPr>
                <w:rFonts w:ascii="Arial" w:hAnsi="Arial" w:cs="Arial"/>
                <w:b/>
                <w:sz w:val="20"/>
                <w:szCs w:val="20"/>
              </w:rPr>
              <w:t>1</w:t>
            </w:r>
            <w:r w:rsidR="002761D1" w:rsidRPr="001A5BEB">
              <w:rPr>
                <w:rFonts w:ascii="Arial" w:hAnsi="Arial" w:cs="Arial"/>
                <w:b/>
                <w:sz w:val="20"/>
                <w:szCs w:val="20"/>
              </w:rPr>
              <w:t xml:space="preserve">, GR: </w:t>
            </w:r>
            <w:r w:rsidR="002761D1">
              <w:rPr>
                <w:rFonts w:ascii="Arial" w:hAnsi="Arial" w:cs="Arial"/>
                <w:b/>
                <w:sz w:val="20"/>
                <w:szCs w:val="20"/>
              </w:rPr>
              <w:t>A]</w:t>
            </w:r>
            <w:r w:rsidR="00CE470F">
              <w:rPr>
                <w:rFonts w:ascii="Arial" w:eastAsia="Times-Roman" w:hAnsi="Arial" w:cs="Arial"/>
                <w:color w:val="FF0000"/>
                <w:sz w:val="20"/>
                <w:szCs w:val="20"/>
                <w:vertAlign w:val="superscript"/>
              </w:rPr>
              <w:t>36</w:t>
            </w:r>
          </w:p>
        </w:tc>
      </w:tr>
      <w:tr w:rsidR="00BE1757" w:rsidRPr="0068632C" w14:paraId="31C14F76" w14:textId="77777777" w:rsidTr="007614D7">
        <w:tc>
          <w:tcPr>
            <w:tcW w:w="3168" w:type="dxa"/>
            <w:tcBorders>
              <w:top w:val="single" w:sz="4" w:space="0" w:color="auto"/>
              <w:left w:val="single" w:sz="4" w:space="0" w:color="auto"/>
              <w:bottom w:val="single" w:sz="4" w:space="0" w:color="auto"/>
              <w:right w:val="single" w:sz="4" w:space="0" w:color="auto"/>
            </w:tcBorders>
          </w:tcPr>
          <w:p w14:paraId="5CDB83FB" w14:textId="77777777" w:rsidR="00BE1757" w:rsidRPr="0068632C" w:rsidRDefault="00BE1757" w:rsidP="007614D7">
            <w:pPr>
              <w:contextualSpacing/>
              <w:jc w:val="both"/>
              <w:rPr>
                <w:rFonts w:ascii="Arial" w:eastAsia="Times-Roman" w:hAnsi="Arial" w:cs="Arial"/>
                <w:b/>
                <w:sz w:val="20"/>
                <w:szCs w:val="20"/>
              </w:rPr>
            </w:pPr>
            <w:r w:rsidRPr="0068632C">
              <w:rPr>
                <w:rFonts w:ascii="Arial" w:hAnsi="Arial" w:cs="Arial"/>
                <w:sz w:val="20"/>
                <w:szCs w:val="20"/>
              </w:rPr>
              <w:t>Monoterapia o en combinaciones (¿cuál es la mejor combinación y secuencia?)</w:t>
            </w:r>
          </w:p>
        </w:tc>
        <w:tc>
          <w:tcPr>
            <w:tcW w:w="6438" w:type="dxa"/>
            <w:tcBorders>
              <w:top w:val="single" w:sz="4" w:space="0" w:color="auto"/>
              <w:left w:val="single" w:sz="4" w:space="0" w:color="auto"/>
              <w:bottom w:val="single" w:sz="4" w:space="0" w:color="auto"/>
              <w:right w:val="single" w:sz="4" w:space="0" w:color="auto"/>
            </w:tcBorders>
          </w:tcPr>
          <w:p w14:paraId="6C631FA1" w14:textId="77777777" w:rsidR="00BE1757" w:rsidRPr="0068632C" w:rsidRDefault="00BE1757" w:rsidP="007614D7">
            <w:pPr>
              <w:autoSpaceDE w:val="0"/>
              <w:autoSpaceDN w:val="0"/>
              <w:adjustRightInd w:val="0"/>
              <w:contextualSpacing/>
              <w:jc w:val="both"/>
              <w:rPr>
                <w:rFonts w:ascii="Arial" w:eastAsia="Times-Roman" w:hAnsi="Arial" w:cs="Arial"/>
                <w:b/>
                <w:sz w:val="20"/>
                <w:szCs w:val="20"/>
              </w:rPr>
            </w:pPr>
            <w:r w:rsidRPr="0068632C">
              <w:rPr>
                <w:rFonts w:ascii="Arial" w:eastAsia="Times-Roman" w:hAnsi="Arial" w:cs="Arial"/>
                <w:sz w:val="20"/>
                <w:szCs w:val="20"/>
              </w:rPr>
              <w:t xml:space="preserve">Se recomienda combinar con MTX. </w:t>
            </w:r>
            <w:r w:rsidR="002761D1" w:rsidRPr="002761D1">
              <w:rPr>
                <w:rFonts w:ascii="Arial" w:eastAsia="Times-Roman" w:hAnsi="Arial" w:cs="Arial"/>
                <w:b/>
                <w:sz w:val="20"/>
                <w:szCs w:val="20"/>
              </w:rPr>
              <w:t>[</w:t>
            </w:r>
            <w:r w:rsidR="002761D1" w:rsidRPr="001A5BEB">
              <w:rPr>
                <w:rFonts w:ascii="Arial" w:hAnsi="Arial" w:cs="Arial"/>
                <w:b/>
                <w:sz w:val="20"/>
                <w:szCs w:val="20"/>
              </w:rPr>
              <w:t xml:space="preserve">NE: </w:t>
            </w:r>
            <w:r w:rsidR="002761D1">
              <w:rPr>
                <w:rFonts w:ascii="Arial" w:hAnsi="Arial" w:cs="Arial"/>
                <w:b/>
                <w:sz w:val="20"/>
                <w:szCs w:val="20"/>
              </w:rPr>
              <w:t>1</w:t>
            </w:r>
            <w:r w:rsidR="002761D1" w:rsidRPr="001A5BEB">
              <w:rPr>
                <w:rFonts w:ascii="Arial" w:hAnsi="Arial" w:cs="Arial"/>
                <w:b/>
                <w:sz w:val="20"/>
                <w:szCs w:val="20"/>
              </w:rPr>
              <w:t xml:space="preserve">, GR: </w:t>
            </w:r>
            <w:r w:rsidR="002761D1">
              <w:rPr>
                <w:rFonts w:ascii="Arial" w:hAnsi="Arial" w:cs="Arial"/>
                <w:b/>
                <w:sz w:val="20"/>
                <w:szCs w:val="20"/>
              </w:rPr>
              <w:t>A]</w:t>
            </w:r>
            <w:r w:rsidR="00CE470F">
              <w:rPr>
                <w:rFonts w:ascii="Arial" w:eastAsia="Times-Roman" w:hAnsi="Arial" w:cs="Arial"/>
                <w:color w:val="FF0000"/>
                <w:sz w:val="20"/>
                <w:szCs w:val="20"/>
                <w:vertAlign w:val="superscript"/>
              </w:rPr>
              <w:t>37</w:t>
            </w:r>
          </w:p>
        </w:tc>
      </w:tr>
      <w:tr w:rsidR="00BE1757" w:rsidRPr="0068632C" w14:paraId="4F834933" w14:textId="77777777" w:rsidTr="007614D7">
        <w:tc>
          <w:tcPr>
            <w:tcW w:w="3168" w:type="dxa"/>
            <w:tcBorders>
              <w:top w:val="single" w:sz="4" w:space="0" w:color="auto"/>
              <w:left w:val="single" w:sz="4" w:space="0" w:color="auto"/>
              <w:bottom w:val="single" w:sz="4" w:space="0" w:color="auto"/>
              <w:right w:val="single" w:sz="4" w:space="0" w:color="auto"/>
            </w:tcBorders>
          </w:tcPr>
          <w:p w14:paraId="601231F7" w14:textId="77777777" w:rsidR="00BE1757" w:rsidRPr="0068632C" w:rsidRDefault="00BE1757" w:rsidP="007614D7">
            <w:pPr>
              <w:contextualSpacing/>
              <w:jc w:val="both"/>
              <w:rPr>
                <w:rFonts w:ascii="Arial" w:eastAsia="Times-Roman" w:hAnsi="Arial" w:cs="Arial"/>
                <w:b/>
                <w:sz w:val="20"/>
                <w:szCs w:val="20"/>
              </w:rPr>
            </w:pPr>
            <w:r w:rsidRPr="0068632C">
              <w:rPr>
                <w:rFonts w:ascii="Arial" w:hAnsi="Arial" w:cs="Arial"/>
                <w:sz w:val="20"/>
                <w:szCs w:val="20"/>
              </w:rPr>
              <w:t>Tiempo para definir ajuste de dosis y retiro de medicamento</w:t>
            </w:r>
          </w:p>
        </w:tc>
        <w:tc>
          <w:tcPr>
            <w:tcW w:w="6438" w:type="dxa"/>
            <w:tcBorders>
              <w:top w:val="single" w:sz="4" w:space="0" w:color="auto"/>
              <w:left w:val="single" w:sz="4" w:space="0" w:color="auto"/>
              <w:bottom w:val="single" w:sz="4" w:space="0" w:color="auto"/>
              <w:right w:val="single" w:sz="4" w:space="0" w:color="auto"/>
            </w:tcBorders>
          </w:tcPr>
          <w:p w14:paraId="3513B13D" w14:textId="77777777" w:rsidR="00BE1757" w:rsidRPr="0068632C" w:rsidRDefault="00BE1757" w:rsidP="00983D51">
            <w:pPr>
              <w:autoSpaceDE w:val="0"/>
              <w:autoSpaceDN w:val="0"/>
              <w:adjustRightInd w:val="0"/>
              <w:contextualSpacing/>
              <w:jc w:val="both"/>
              <w:rPr>
                <w:rFonts w:ascii="Arial" w:eastAsia="Times-Roman" w:hAnsi="Arial" w:cs="Arial"/>
                <w:sz w:val="20"/>
                <w:szCs w:val="20"/>
              </w:rPr>
            </w:pPr>
            <w:r w:rsidRPr="0068632C">
              <w:rPr>
                <w:rFonts w:ascii="Arial" w:eastAsia="Times-Roman" w:hAnsi="Arial" w:cs="Arial"/>
                <w:sz w:val="20"/>
                <w:szCs w:val="20"/>
              </w:rPr>
              <w:t>Después de un año de remisión.</w:t>
            </w:r>
            <w:r w:rsidRPr="0068632C">
              <w:rPr>
                <w:rFonts w:ascii="Arial" w:eastAsia="Times-Roman" w:hAnsi="Arial" w:cs="Arial"/>
                <w:color w:val="FF0000"/>
                <w:sz w:val="20"/>
                <w:szCs w:val="20"/>
              </w:rPr>
              <w:t xml:space="preserve"> </w:t>
            </w:r>
            <w:r w:rsidR="00983D51" w:rsidRPr="002761D1">
              <w:rPr>
                <w:rFonts w:ascii="Arial" w:eastAsia="Times-Roman" w:hAnsi="Arial" w:cs="Arial"/>
                <w:b/>
                <w:sz w:val="20"/>
                <w:szCs w:val="20"/>
              </w:rPr>
              <w:t>[</w:t>
            </w:r>
            <w:r w:rsidR="00983D51" w:rsidRPr="001A5BEB">
              <w:rPr>
                <w:rFonts w:ascii="Arial" w:hAnsi="Arial" w:cs="Arial"/>
                <w:b/>
                <w:sz w:val="20"/>
                <w:szCs w:val="20"/>
              </w:rPr>
              <w:t xml:space="preserve">NE: </w:t>
            </w:r>
            <w:r w:rsidR="00983D51">
              <w:rPr>
                <w:rFonts w:ascii="Arial" w:hAnsi="Arial" w:cs="Arial"/>
                <w:b/>
                <w:sz w:val="20"/>
                <w:szCs w:val="20"/>
              </w:rPr>
              <w:t>4</w:t>
            </w:r>
            <w:r w:rsidR="00983D51" w:rsidRPr="001A5BEB">
              <w:rPr>
                <w:rFonts w:ascii="Arial" w:hAnsi="Arial" w:cs="Arial"/>
                <w:b/>
                <w:sz w:val="20"/>
                <w:szCs w:val="20"/>
              </w:rPr>
              <w:t xml:space="preserve">, GR: </w:t>
            </w:r>
            <w:r w:rsidR="00983D51">
              <w:rPr>
                <w:rFonts w:ascii="Arial" w:hAnsi="Arial" w:cs="Arial"/>
                <w:b/>
                <w:sz w:val="20"/>
                <w:szCs w:val="20"/>
              </w:rPr>
              <w:t>D]</w:t>
            </w:r>
            <w:r w:rsidR="00983D51">
              <w:rPr>
                <w:rFonts w:ascii="Arial" w:eastAsia="Times-Roman" w:hAnsi="Arial" w:cs="Arial"/>
                <w:color w:val="FF0000"/>
                <w:sz w:val="20"/>
                <w:szCs w:val="20"/>
                <w:vertAlign w:val="superscript"/>
              </w:rPr>
              <w:t>4</w:t>
            </w:r>
          </w:p>
        </w:tc>
      </w:tr>
      <w:tr w:rsidR="00BE1757" w:rsidRPr="0068632C" w14:paraId="782E2DCE" w14:textId="77777777" w:rsidTr="007614D7">
        <w:tc>
          <w:tcPr>
            <w:tcW w:w="3168" w:type="dxa"/>
            <w:tcBorders>
              <w:top w:val="single" w:sz="4" w:space="0" w:color="auto"/>
              <w:left w:val="single" w:sz="4" w:space="0" w:color="auto"/>
              <w:bottom w:val="single" w:sz="4" w:space="0" w:color="auto"/>
              <w:right w:val="single" w:sz="4" w:space="0" w:color="auto"/>
            </w:tcBorders>
          </w:tcPr>
          <w:p w14:paraId="7A9C13C6" w14:textId="77777777" w:rsidR="00BE1757" w:rsidRPr="0068632C" w:rsidRDefault="00BE1757" w:rsidP="007614D7">
            <w:pPr>
              <w:contextualSpacing/>
              <w:jc w:val="both"/>
              <w:rPr>
                <w:rFonts w:ascii="Arial" w:eastAsia="Times-Roman" w:hAnsi="Arial" w:cs="Arial"/>
                <w:b/>
                <w:sz w:val="20"/>
                <w:szCs w:val="20"/>
              </w:rPr>
            </w:pPr>
            <w:r w:rsidRPr="0068632C">
              <w:rPr>
                <w:rFonts w:ascii="Arial" w:hAnsi="Arial" w:cs="Arial"/>
                <w:sz w:val="20"/>
                <w:szCs w:val="20"/>
              </w:rPr>
              <w:t>Dosis mínima y máxima</w:t>
            </w:r>
          </w:p>
        </w:tc>
        <w:tc>
          <w:tcPr>
            <w:tcW w:w="6438" w:type="dxa"/>
            <w:tcBorders>
              <w:top w:val="single" w:sz="4" w:space="0" w:color="auto"/>
              <w:left w:val="single" w:sz="4" w:space="0" w:color="auto"/>
              <w:bottom w:val="single" w:sz="4" w:space="0" w:color="auto"/>
              <w:right w:val="single" w:sz="4" w:space="0" w:color="auto"/>
            </w:tcBorders>
          </w:tcPr>
          <w:p w14:paraId="50AF827F" w14:textId="77777777" w:rsidR="00BE1757" w:rsidRPr="0068632C" w:rsidRDefault="00BE1757" w:rsidP="00CE470F">
            <w:pPr>
              <w:autoSpaceDE w:val="0"/>
              <w:autoSpaceDN w:val="0"/>
              <w:adjustRightInd w:val="0"/>
              <w:contextualSpacing/>
              <w:jc w:val="both"/>
              <w:rPr>
                <w:rFonts w:ascii="Arial" w:eastAsia="Times-Roman" w:hAnsi="Arial" w:cs="Arial"/>
                <w:b/>
                <w:sz w:val="20"/>
                <w:szCs w:val="20"/>
              </w:rPr>
            </w:pPr>
            <w:r w:rsidRPr="0068632C">
              <w:rPr>
                <w:rFonts w:ascii="Arial" w:hAnsi="Arial" w:cs="Arial"/>
                <w:sz w:val="20"/>
                <w:szCs w:val="20"/>
              </w:rPr>
              <w:t xml:space="preserve">50 mg/mensuales </w:t>
            </w:r>
            <w:r w:rsidR="00C6031A">
              <w:rPr>
                <w:rFonts w:ascii="Arial" w:hAnsi="Arial" w:cs="Arial"/>
                <w:sz w:val="20"/>
                <w:szCs w:val="20"/>
              </w:rPr>
              <w:t>a 100 mg/mensuales SC.  2-4 mg/k</w:t>
            </w:r>
            <w:r w:rsidRPr="0068632C">
              <w:rPr>
                <w:rFonts w:ascii="Arial" w:hAnsi="Arial" w:cs="Arial"/>
                <w:sz w:val="20"/>
                <w:szCs w:val="20"/>
              </w:rPr>
              <w:t>g IV cada 12 semanas.</w:t>
            </w:r>
            <w:r w:rsidRPr="0068632C">
              <w:rPr>
                <w:rFonts w:ascii="Arial" w:eastAsia="Times-Roman" w:hAnsi="Arial" w:cs="Arial"/>
                <w:color w:val="FF0000"/>
                <w:sz w:val="20"/>
                <w:szCs w:val="20"/>
              </w:rPr>
              <w:t xml:space="preserve"> </w:t>
            </w:r>
            <w:r w:rsidR="00C6031A" w:rsidRPr="002761D1">
              <w:rPr>
                <w:rFonts w:ascii="Arial" w:eastAsia="Times-Roman" w:hAnsi="Arial" w:cs="Arial"/>
                <w:b/>
                <w:sz w:val="20"/>
                <w:szCs w:val="20"/>
              </w:rPr>
              <w:t>[</w:t>
            </w:r>
            <w:r w:rsidR="00C6031A" w:rsidRPr="001A5BEB">
              <w:rPr>
                <w:rFonts w:ascii="Arial" w:hAnsi="Arial" w:cs="Arial"/>
                <w:b/>
                <w:sz w:val="20"/>
                <w:szCs w:val="20"/>
              </w:rPr>
              <w:t xml:space="preserve">NE: </w:t>
            </w:r>
            <w:r w:rsidR="00C6031A">
              <w:rPr>
                <w:rFonts w:ascii="Arial" w:hAnsi="Arial" w:cs="Arial"/>
                <w:b/>
                <w:sz w:val="20"/>
                <w:szCs w:val="20"/>
              </w:rPr>
              <w:t>4</w:t>
            </w:r>
            <w:r w:rsidR="00C6031A" w:rsidRPr="001A5BEB">
              <w:rPr>
                <w:rFonts w:ascii="Arial" w:hAnsi="Arial" w:cs="Arial"/>
                <w:b/>
                <w:sz w:val="20"/>
                <w:szCs w:val="20"/>
              </w:rPr>
              <w:t xml:space="preserve">, GR: </w:t>
            </w:r>
            <w:r w:rsidR="00C6031A">
              <w:rPr>
                <w:rFonts w:ascii="Arial" w:hAnsi="Arial" w:cs="Arial"/>
                <w:b/>
                <w:sz w:val="20"/>
                <w:szCs w:val="20"/>
              </w:rPr>
              <w:t>D]</w:t>
            </w:r>
            <w:r w:rsidR="00CE470F">
              <w:rPr>
                <w:rFonts w:ascii="Arial" w:eastAsia="Times-Roman" w:hAnsi="Arial" w:cs="Arial"/>
                <w:color w:val="FF0000"/>
                <w:sz w:val="20"/>
                <w:szCs w:val="20"/>
                <w:vertAlign w:val="superscript"/>
              </w:rPr>
              <w:t>38</w:t>
            </w:r>
          </w:p>
        </w:tc>
      </w:tr>
    </w:tbl>
    <w:p w14:paraId="1EA038B7" w14:textId="77777777" w:rsidR="00BE1757" w:rsidRPr="0068632C" w:rsidRDefault="00BE1757"/>
    <w:p w14:paraId="03AC8825" w14:textId="77777777" w:rsidR="00BE1757" w:rsidRPr="0068632C" w:rsidRDefault="00BE1757"/>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953"/>
      </w:tblGrid>
      <w:tr w:rsidR="00BE1757" w:rsidRPr="0068632C" w14:paraId="3FED629D" w14:textId="77777777" w:rsidTr="007614D7">
        <w:tc>
          <w:tcPr>
            <w:tcW w:w="3227" w:type="dxa"/>
          </w:tcPr>
          <w:p w14:paraId="0CEFA7BF" w14:textId="77777777" w:rsidR="00BE1757" w:rsidRPr="0068632C" w:rsidRDefault="00BE1757" w:rsidP="007614D7">
            <w:pPr>
              <w:contextualSpacing/>
              <w:jc w:val="both"/>
              <w:rPr>
                <w:rFonts w:ascii="Arial" w:hAnsi="Arial" w:cs="Arial"/>
                <w:sz w:val="20"/>
                <w:szCs w:val="20"/>
              </w:rPr>
            </w:pPr>
            <w:r w:rsidRPr="0068632C">
              <w:rPr>
                <w:rFonts w:ascii="Arial" w:hAnsi="Arial" w:cs="Arial"/>
                <w:sz w:val="20"/>
                <w:szCs w:val="20"/>
              </w:rPr>
              <w:t>Estudios que se requieren antes del tratamiento y durante el seguimiento</w:t>
            </w:r>
          </w:p>
        </w:tc>
        <w:tc>
          <w:tcPr>
            <w:tcW w:w="5953" w:type="dxa"/>
          </w:tcPr>
          <w:p w14:paraId="6102F59E" w14:textId="7B5E560D" w:rsidR="00BE1757" w:rsidRDefault="00BE1757" w:rsidP="007614D7">
            <w:pPr>
              <w:spacing w:after="60"/>
              <w:rPr>
                <w:rFonts w:ascii="Arial" w:eastAsia="Times-Roman" w:hAnsi="Arial" w:cs="Arial"/>
                <w:color w:val="FF0000"/>
                <w:sz w:val="20"/>
                <w:szCs w:val="20"/>
                <w:vertAlign w:val="superscript"/>
              </w:rPr>
            </w:pPr>
            <w:r w:rsidRPr="0068632C">
              <w:rPr>
                <w:rFonts w:ascii="Arial" w:hAnsi="Arial" w:cs="Arial"/>
                <w:sz w:val="20"/>
                <w:szCs w:val="20"/>
              </w:rPr>
              <w:t xml:space="preserve">Al inicio se recomienda detección de Tb por PPD y placa de </w:t>
            </w:r>
            <w:r w:rsidR="00E2773E" w:rsidRPr="0068632C">
              <w:rPr>
                <w:rFonts w:ascii="Arial" w:hAnsi="Arial" w:cs="Arial"/>
                <w:sz w:val="20"/>
                <w:szCs w:val="20"/>
              </w:rPr>
              <w:t>tórax</w:t>
            </w:r>
            <w:r w:rsidRPr="0068632C">
              <w:rPr>
                <w:rFonts w:ascii="Arial" w:hAnsi="Arial" w:cs="Arial"/>
                <w:sz w:val="20"/>
                <w:szCs w:val="20"/>
              </w:rPr>
              <w:t xml:space="preserve"> (o lineamientos nacionales).</w:t>
            </w:r>
            <w:r w:rsidRPr="0068632C">
              <w:rPr>
                <w:rFonts w:ascii="Arial" w:eastAsia="Times-Roman" w:hAnsi="Arial" w:cs="Arial"/>
                <w:color w:val="FF0000"/>
                <w:sz w:val="20"/>
                <w:szCs w:val="20"/>
              </w:rPr>
              <w:t xml:space="preserve"> </w:t>
            </w:r>
            <w:r w:rsidR="00C6031A" w:rsidRPr="002761D1">
              <w:rPr>
                <w:rFonts w:ascii="Arial" w:eastAsia="Times-Roman" w:hAnsi="Arial" w:cs="Arial"/>
                <w:b/>
                <w:sz w:val="20"/>
                <w:szCs w:val="20"/>
              </w:rPr>
              <w:t>[</w:t>
            </w:r>
            <w:r w:rsidR="00C6031A" w:rsidRPr="001A5BEB">
              <w:rPr>
                <w:rFonts w:ascii="Arial" w:hAnsi="Arial" w:cs="Arial"/>
                <w:b/>
                <w:sz w:val="20"/>
                <w:szCs w:val="20"/>
              </w:rPr>
              <w:t xml:space="preserve">NE: </w:t>
            </w:r>
            <w:r w:rsidR="00C6031A">
              <w:rPr>
                <w:rFonts w:ascii="Arial" w:hAnsi="Arial" w:cs="Arial"/>
                <w:b/>
                <w:sz w:val="20"/>
                <w:szCs w:val="20"/>
              </w:rPr>
              <w:t>1</w:t>
            </w:r>
            <w:r w:rsidR="00C6031A" w:rsidRPr="001A5BEB">
              <w:rPr>
                <w:rFonts w:ascii="Arial" w:hAnsi="Arial" w:cs="Arial"/>
                <w:b/>
                <w:sz w:val="20"/>
                <w:szCs w:val="20"/>
              </w:rPr>
              <w:t xml:space="preserve">, GR: </w:t>
            </w:r>
            <w:r w:rsidR="00C6031A">
              <w:rPr>
                <w:rFonts w:ascii="Arial" w:hAnsi="Arial" w:cs="Arial"/>
                <w:b/>
                <w:sz w:val="20"/>
                <w:szCs w:val="20"/>
              </w:rPr>
              <w:t>A]</w:t>
            </w:r>
            <w:r w:rsidR="00CE470F">
              <w:rPr>
                <w:rFonts w:ascii="Arial" w:eastAsia="Times-Roman" w:hAnsi="Arial" w:cs="Arial"/>
                <w:color w:val="FF0000"/>
                <w:sz w:val="20"/>
                <w:szCs w:val="20"/>
                <w:vertAlign w:val="superscript"/>
              </w:rPr>
              <w:t>38</w:t>
            </w:r>
          </w:p>
          <w:p w14:paraId="4995A72F" w14:textId="77777777" w:rsidR="00C6031A" w:rsidRPr="0068632C" w:rsidRDefault="00C6031A" w:rsidP="007614D7">
            <w:pPr>
              <w:spacing w:after="60"/>
              <w:rPr>
                <w:rFonts w:ascii="Arial" w:hAnsi="Arial" w:cs="Arial"/>
                <w:sz w:val="20"/>
                <w:szCs w:val="20"/>
              </w:rPr>
            </w:pPr>
          </w:p>
          <w:p w14:paraId="0D3B886D" w14:textId="77777777" w:rsidR="00BE1757" w:rsidRPr="0068632C" w:rsidRDefault="00BE1757" w:rsidP="00D2135E">
            <w:pPr>
              <w:autoSpaceDE w:val="0"/>
              <w:autoSpaceDN w:val="0"/>
              <w:adjustRightInd w:val="0"/>
              <w:contextualSpacing/>
              <w:jc w:val="both"/>
              <w:rPr>
                <w:rFonts w:ascii="Arial" w:eastAsia="Times-Roman" w:hAnsi="Arial" w:cs="Arial"/>
                <w:b/>
                <w:sz w:val="20"/>
                <w:szCs w:val="20"/>
              </w:rPr>
            </w:pPr>
            <w:r w:rsidRPr="0068632C">
              <w:rPr>
                <w:rFonts w:ascii="Arial" w:hAnsi="Arial" w:cs="Arial"/>
                <w:sz w:val="20"/>
                <w:szCs w:val="20"/>
              </w:rPr>
              <w:t xml:space="preserve">Previo al inicio de terapia biológica se recomienda descartar riesgo de tuberculosis activa, enfermedad desmielinizante, enfermedad cardiovascular significativa, enfermedad lupoide, tumores malignos sólidos de menos de 5 años de erradicación, </w:t>
            </w:r>
            <w:r w:rsidR="00D2135E">
              <w:rPr>
                <w:rFonts w:ascii="Arial" w:hAnsi="Arial" w:cs="Arial"/>
                <w:sz w:val="20"/>
                <w:szCs w:val="20"/>
              </w:rPr>
              <w:t>PFH</w:t>
            </w:r>
            <w:r w:rsidRPr="0068632C">
              <w:rPr>
                <w:rFonts w:ascii="Arial" w:hAnsi="Arial" w:cs="Arial"/>
                <w:sz w:val="20"/>
                <w:szCs w:val="20"/>
              </w:rPr>
              <w:t xml:space="preserve"> y renal, pe</w:t>
            </w:r>
            <w:r w:rsidR="00CE470F">
              <w:rPr>
                <w:rFonts w:ascii="Arial" w:hAnsi="Arial" w:cs="Arial"/>
                <w:sz w:val="20"/>
                <w:szCs w:val="20"/>
              </w:rPr>
              <w:t>r</w:t>
            </w:r>
            <w:r w:rsidRPr="0068632C">
              <w:rPr>
                <w:rFonts w:ascii="Arial" w:hAnsi="Arial" w:cs="Arial"/>
                <w:sz w:val="20"/>
                <w:szCs w:val="20"/>
              </w:rPr>
              <w:t xml:space="preserve">fil de hepatitis y considerar estudios adicionales en base a características del paciente. </w:t>
            </w:r>
            <w:r w:rsidR="00C6031A" w:rsidRPr="002761D1">
              <w:rPr>
                <w:rFonts w:ascii="Arial" w:eastAsia="Times-Roman" w:hAnsi="Arial" w:cs="Arial"/>
                <w:b/>
                <w:sz w:val="20"/>
                <w:szCs w:val="20"/>
              </w:rPr>
              <w:t>[</w:t>
            </w:r>
            <w:r w:rsidR="00C6031A" w:rsidRPr="001A5BEB">
              <w:rPr>
                <w:rFonts w:ascii="Arial" w:hAnsi="Arial" w:cs="Arial"/>
                <w:b/>
                <w:sz w:val="20"/>
                <w:szCs w:val="20"/>
              </w:rPr>
              <w:t xml:space="preserve">NE: </w:t>
            </w:r>
            <w:r w:rsidR="00C6031A">
              <w:rPr>
                <w:rFonts w:ascii="Arial" w:hAnsi="Arial" w:cs="Arial"/>
                <w:b/>
                <w:sz w:val="20"/>
                <w:szCs w:val="20"/>
              </w:rPr>
              <w:t>1</w:t>
            </w:r>
            <w:r w:rsidR="00C6031A" w:rsidRPr="001A5BEB">
              <w:rPr>
                <w:rFonts w:ascii="Arial" w:hAnsi="Arial" w:cs="Arial"/>
                <w:b/>
                <w:sz w:val="20"/>
                <w:szCs w:val="20"/>
              </w:rPr>
              <w:t xml:space="preserve">, GR: </w:t>
            </w:r>
            <w:r w:rsidR="00C6031A">
              <w:rPr>
                <w:rFonts w:ascii="Arial" w:hAnsi="Arial" w:cs="Arial"/>
                <w:b/>
                <w:sz w:val="20"/>
                <w:szCs w:val="20"/>
              </w:rPr>
              <w:t>A]</w:t>
            </w:r>
            <w:r w:rsidR="00C6031A">
              <w:rPr>
                <w:rFonts w:ascii="Arial" w:eastAsia="Times-Roman" w:hAnsi="Arial" w:cs="Arial"/>
                <w:color w:val="FF0000"/>
                <w:sz w:val="20"/>
                <w:szCs w:val="20"/>
                <w:vertAlign w:val="superscript"/>
              </w:rPr>
              <w:t>4</w:t>
            </w:r>
          </w:p>
        </w:tc>
      </w:tr>
      <w:tr w:rsidR="00BE1757" w:rsidRPr="0068632C" w14:paraId="4E49E611" w14:textId="77777777" w:rsidTr="007614D7">
        <w:tc>
          <w:tcPr>
            <w:tcW w:w="3227" w:type="dxa"/>
          </w:tcPr>
          <w:p w14:paraId="10ECF08A" w14:textId="77777777" w:rsidR="00BE1757" w:rsidRPr="0068632C" w:rsidRDefault="00BE1757" w:rsidP="007614D7">
            <w:pPr>
              <w:contextualSpacing/>
              <w:jc w:val="both"/>
              <w:rPr>
                <w:rFonts w:ascii="Arial" w:hAnsi="Arial" w:cs="Arial"/>
                <w:sz w:val="20"/>
                <w:szCs w:val="20"/>
              </w:rPr>
            </w:pPr>
            <w:r w:rsidRPr="0068632C">
              <w:rPr>
                <w:rFonts w:ascii="Arial" w:hAnsi="Arial" w:cs="Arial"/>
                <w:sz w:val="20"/>
                <w:szCs w:val="20"/>
              </w:rPr>
              <w:t xml:space="preserve">¿Se pueden suspender y cómo? </w:t>
            </w:r>
          </w:p>
          <w:p w14:paraId="6CD486E4" w14:textId="77777777" w:rsidR="00BE1757" w:rsidRPr="0068632C" w:rsidRDefault="00BE1757" w:rsidP="007614D7">
            <w:pPr>
              <w:contextualSpacing/>
              <w:jc w:val="both"/>
              <w:rPr>
                <w:rFonts w:ascii="Arial" w:eastAsia="Times-Roman" w:hAnsi="Arial" w:cs="Arial"/>
                <w:b/>
                <w:sz w:val="20"/>
                <w:szCs w:val="20"/>
              </w:rPr>
            </w:pPr>
            <w:r w:rsidRPr="0068632C">
              <w:rPr>
                <w:rFonts w:ascii="Arial" w:hAnsi="Arial" w:cs="Arial"/>
                <w:sz w:val="20"/>
                <w:szCs w:val="20"/>
              </w:rPr>
              <w:t xml:space="preserve">En caso de suspensión (que no </w:t>
            </w:r>
            <w:r w:rsidRPr="0068632C">
              <w:rPr>
                <w:rFonts w:ascii="Arial" w:hAnsi="Arial" w:cs="Arial"/>
                <w:sz w:val="20"/>
                <w:szCs w:val="20"/>
              </w:rPr>
              <w:lastRenderedPageBreak/>
              <w:t>sea por toxicidad), ¿cuál es la estrategia de tratamiento?</w:t>
            </w:r>
          </w:p>
        </w:tc>
        <w:tc>
          <w:tcPr>
            <w:tcW w:w="5953" w:type="dxa"/>
          </w:tcPr>
          <w:p w14:paraId="3047D1D7" w14:textId="77777777" w:rsidR="00BE1757" w:rsidRPr="0068632C" w:rsidRDefault="00BE1757" w:rsidP="007614D7">
            <w:pPr>
              <w:suppressAutoHyphens/>
              <w:spacing w:after="100" w:afterAutospacing="1"/>
              <w:contextualSpacing/>
              <w:jc w:val="both"/>
              <w:rPr>
                <w:rFonts w:ascii="Arial" w:hAnsi="Arial" w:cs="Arial"/>
                <w:sz w:val="20"/>
                <w:szCs w:val="20"/>
              </w:rPr>
            </w:pPr>
            <w:r w:rsidRPr="0068632C">
              <w:rPr>
                <w:rFonts w:ascii="Arial" w:hAnsi="Arial" w:cs="Arial"/>
                <w:sz w:val="20"/>
                <w:szCs w:val="20"/>
              </w:rPr>
              <w:lastRenderedPageBreak/>
              <w:t>Se suspenden después de un año de remisión.</w:t>
            </w:r>
            <w:r w:rsidRPr="0068632C">
              <w:rPr>
                <w:rFonts w:ascii="Arial" w:eastAsia="Times-Roman" w:hAnsi="Arial" w:cs="Arial"/>
                <w:color w:val="FF0000"/>
                <w:sz w:val="20"/>
                <w:szCs w:val="20"/>
              </w:rPr>
              <w:t xml:space="preserve"> </w:t>
            </w:r>
            <w:r w:rsidR="00C6031A" w:rsidRPr="002761D1">
              <w:rPr>
                <w:rFonts w:ascii="Arial" w:eastAsia="Times-Roman" w:hAnsi="Arial" w:cs="Arial"/>
                <w:b/>
                <w:sz w:val="20"/>
                <w:szCs w:val="20"/>
              </w:rPr>
              <w:t>[</w:t>
            </w:r>
            <w:r w:rsidR="00C6031A" w:rsidRPr="001A5BEB">
              <w:rPr>
                <w:rFonts w:ascii="Arial" w:hAnsi="Arial" w:cs="Arial"/>
                <w:b/>
                <w:sz w:val="20"/>
                <w:szCs w:val="20"/>
              </w:rPr>
              <w:t xml:space="preserve">NE: </w:t>
            </w:r>
            <w:r w:rsidR="00C6031A">
              <w:rPr>
                <w:rFonts w:ascii="Arial" w:hAnsi="Arial" w:cs="Arial"/>
                <w:b/>
                <w:sz w:val="20"/>
                <w:szCs w:val="20"/>
              </w:rPr>
              <w:t>1</w:t>
            </w:r>
            <w:r w:rsidR="00C6031A" w:rsidRPr="001A5BEB">
              <w:rPr>
                <w:rFonts w:ascii="Arial" w:hAnsi="Arial" w:cs="Arial"/>
                <w:b/>
                <w:sz w:val="20"/>
                <w:szCs w:val="20"/>
              </w:rPr>
              <w:t xml:space="preserve">, GR: </w:t>
            </w:r>
            <w:r w:rsidR="00C6031A">
              <w:rPr>
                <w:rFonts w:ascii="Arial" w:hAnsi="Arial" w:cs="Arial"/>
                <w:b/>
                <w:sz w:val="20"/>
                <w:szCs w:val="20"/>
              </w:rPr>
              <w:t>A]</w:t>
            </w:r>
            <w:r w:rsidR="00C6031A">
              <w:rPr>
                <w:rFonts w:ascii="Arial" w:eastAsia="Times-Roman" w:hAnsi="Arial" w:cs="Arial"/>
                <w:color w:val="FF0000"/>
                <w:sz w:val="20"/>
                <w:szCs w:val="20"/>
                <w:vertAlign w:val="superscript"/>
              </w:rPr>
              <w:t>4</w:t>
            </w:r>
          </w:p>
        </w:tc>
      </w:tr>
      <w:tr w:rsidR="00BE1757" w:rsidRPr="0068632C" w14:paraId="5F4A4302" w14:textId="77777777" w:rsidTr="007614D7">
        <w:tc>
          <w:tcPr>
            <w:tcW w:w="3227" w:type="dxa"/>
          </w:tcPr>
          <w:p w14:paraId="040C0687" w14:textId="77777777" w:rsidR="00BE1757" w:rsidRPr="0068632C" w:rsidRDefault="00BE1757" w:rsidP="007614D7">
            <w:pPr>
              <w:contextualSpacing/>
              <w:jc w:val="both"/>
              <w:rPr>
                <w:rFonts w:ascii="Arial" w:hAnsi="Arial" w:cs="Arial"/>
                <w:sz w:val="20"/>
                <w:szCs w:val="20"/>
              </w:rPr>
            </w:pPr>
            <w:r w:rsidRPr="0068632C">
              <w:rPr>
                <w:rFonts w:ascii="Arial" w:hAnsi="Arial" w:cs="Arial"/>
                <w:sz w:val="20"/>
                <w:szCs w:val="20"/>
              </w:rPr>
              <w:lastRenderedPageBreak/>
              <w:t>Contraindicaciones</w:t>
            </w:r>
          </w:p>
        </w:tc>
        <w:tc>
          <w:tcPr>
            <w:tcW w:w="5953" w:type="dxa"/>
          </w:tcPr>
          <w:p w14:paraId="5C630F2E" w14:textId="6D18321F" w:rsidR="00BE1757" w:rsidRPr="0068632C" w:rsidRDefault="00BE1757" w:rsidP="007614D7">
            <w:pPr>
              <w:autoSpaceDE w:val="0"/>
              <w:autoSpaceDN w:val="0"/>
              <w:adjustRightInd w:val="0"/>
              <w:contextualSpacing/>
              <w:jc w:val="both"/>
              <w:rPr>
                <w:rFonts w:ascii="Arial" w:hAnsi="Arial" w:cs="Arial"/>
                <w:sz w:val="20"/>
                <w:szCs w:val="20"/>
              </w:rPr>
            </w:pPr>
            <w:r w:rsidRPr="0068632C">
              <w:rPr>
                <w:rFonts w:ascii="Arial" w:hAnsi="Arial" w:cs="Arial"/>
                <w:sz w:val="20"/>
                <w:szCs w:val="20"/>
              </w:rPr>
              <w:t xml:space="preserve">No se debe </w:t>
            </w:r>
            <w:r w:rsidR="00E2773E" w:rsidRPr="0068632C">
              <w:rPr>
                <w:rFonts w:ascii="Arial" w:hAnsi="Arial" w:cs="Arial"/>
                <w:sz w:val="20"/>
                <w:szCs w:val="20"/>
              </w:rPr>
              <w:t>administrar</w:t>
            </w:r>
            <w:r w:rsidR="00E2773E">
              <w:rPr>
                <w:rFonts w:ascii="Arial" w:hAnsi="Arial" w:cs="Arial"/>
                <w:sz w:val="20"/>
                <w:szCs w:val="20"/>
              </w:rPr>
              <w:t xml:space="preserve"> </w:t>
            </w:r>
            <w:r w:rsidRPr="0068632C">
              <w:rPr>
                <w:rFonts w:ascii="Arial" w:hAnsi="Arial" w:cs="Arial"/>
                <w:sz w:val="20"/>
                <w:szCs w:val="20"/>
              </w:rPr>
              <w:t xml:space="preserve"> en pacientes con riesgo de Tb activa, enfermedad desmielinizante, enfermedad cardiovascular significativa, enfermedad lupoide y tumores malignos sólidos de menos de 5 años de erradicación.</w:t>
            </w:r>
            <w:r w:rsidRPr="0068632C">
              <w:rPr>
                <w:rFonts w:ascii="Arial" w:eastAsia="Times-Roman" w:hAnsi="Arial" w:cs="Arial"/>
                <w:color w:val="FF0000"/>
                <w:sz w:val="20"/>
                <w:szCs w:val="20"/>
              </w:rPr>
              <w:t xml:space="preserve"> </w:t>
            </w:r>
            <w:r w:rsidR="00C6031A" w:rsidRPr="002761D1">
              <w:rPr>
                <w:rFonts w:ascii="Arial" w:eastAsia="Times-Roman" w:hAnsi="Arial" w:cs="Arial"/>
                <w:b/>
                <w:sz w:val="20"/>
                <w:szCs w:val="20"/>
              </w:rPr>
              <w:t>[</w:t>
            </w:r>
            <w:r w:rsidR="00C6031A" w:rsidRPr="001A5BEB">
              <w:rPr>
                <w:rFonts w:ascii="Arial" w:hAnsi="Arial" w:cs="Arial"/>
                <w:b/>
                <w:sz w:val="20"/>
                <w:szCs w:val="20"/>
              </w:rPr>
              <w:t xml:space="preserve">NE: </w:t>
            </w:r>
            <w:r w:rsidR="00C6031A">
              <w:rPr>
                <w:rFonts w:ascii="Arial" w:hAnsi="Arial" w:cs="Arial"/>
                <w:b/>
                <w:sz w:val="20"/>
                <w:szCs w:val="20"/>
              </w:rPr>
              <w:t>1</w:t>
            </w:r>
            <w:r w:rsidR="00C6031A" w:rsidRPr="001A5BEB">
              <w:rPr>
                <w:rFonts w:ascii="Arial" w:hAnsi="Arial" w:cs="Arial"/>
                <w:b/>
                <w:sz w:val="20"/>
                <w:szCs w:val="20"/>
              </w:rPr>
              <w:t xml:space="preserve">, GR: </w:t>
            </w:r>
            <w:r w:rsidR="00C6031A">
              <w:rPr>
                <w:rFonts w:ascii="Arial" w:hAnsi="Arial" w:cs="Arial"/>
                <w:b/>
                <w:sz w:val="20"/>
                <w:szCs w:val="20"/>
              </w:rPr>
              <w:t>A]</w:t>
            </w:r>
            <w:r w:rsidR="00C6031A">
              <w:rPr>
                <w:rFonts w:ascii="Arial" w:eastAsia="Times-Roman" w:hAnsi="Arial" w:cs="Arial"/>
                <w:color w:val="FF0000"/>
                <w:sz w:val="20"/>
                <w:szCs w:val="20"/>
                <w:vertAlign w:val="superscript"/>
              </w:rPr>
              <w:t>4</w:t>
            </w:r>
          </w:p>
        </w:tc>
      </w:tr>
      <w:tr w:rsidR="00BE1757" w:rsidRPr="0068632C" w14:paraId="1D025A9A" w14:textId="77777777" w:rsidTr="007614D7">
        <w:tc>
          <w:tcPr>
            <w:tcW w:w="3227" w:type="dxa"/>
          </w:tcPr>
          <w:p w14:paraId="3EF981C3" w14:textId="77777777" w:rsidR="00BE1757" w:rsidRPr="0068632C" w:rsidRDefault="00BE1757" w:rsidP="007614D7">
            <w:pPr>
              <w:contextualSpacing/>
              <w:jc w:val="both"/>
              <w:rPr>
                <w:rFonts w:ascii="Arial" w:hAnsi="Arial" w:cs="Arial"/>
                <w:sz w:val="20"/>
                <w:szCs w:val="20"/>
              </w:rPr>
            </w:pPr>
            <w:r w:rsidRPr="0068632C">
              <w:rPr>
                <w:rFonts w:ascii="Arial" w:hAnsi="Arial" w:cs="Arial"/>
                <w:sz w:val="20"/>
                <w:szCs w:val="20"/>
              </w:rPr>
              <w:t>Casos especiales</w:t>
            </w:r>
          </w:p>
        </w:tc>
        <w:tc>
          <w:tcPr>
            <w:tcW w:w="5953" w:type="dxa"/>
          </w:tcPr>
          <w:p w14:paraId="04F3EE1C" w14:textId="77777777" w:rsidR="00BE1757" w:rsidRPr="0068632C" w:rsidRDefault="00BE1757" w:rsidP="007614D7">
            <w:pPr>
              <w:autoSpaceDE w:val="0"/>
              <w:autoSpaceDN w:val="0"/>
              <w:adjustRightInd w:val="0"/>
              <w:contextualSpacing/>
              <w:jc w:val="both"/>
              <w:rPr>
                <w:rFonts w:ascii="Arial" w:hAnsi="Arial" w:cs="Arial"/>
                <w:sz w:val="20"/>
                <w:szCs w:val="20"/>
              </w:rPr>
            </w:pPr>
            <w:r w:rsidRPr="0068632C">
              <w:rPr>
                <w:rFonts w:ascii="Arial" w:hAnsi="Arial" w:cs="Arial"/>
                <w:sz w:val="20"/>
                <w:szCs w:val="20"/>
              </w:rPr>
              <w:t>No se encuentra indicado en mujeres embarazadas. No hay indicaciones en la periodicidad de exámenes de detección de Tb. Las vacunas recomendadas son las antiinfluenza, antimeningocóccica, antihepatitis y antimeumocóccica. No hay recomendaciones respecto a cirugía.</w:t>
            </w:r>
            <w:r w:rsidRPr="0068632C">
              <w:rPr>
                <w:rFonts w:ascii="Arial" w:eastAsia="Times-Roman" w:hAnsi="Arial" w:cs="Arial"/>
                <w:color w:val="FF0000"/>
                <w:sz w:val="20"/>
                <w:szCs w:val="20"/>
              </w:rPr>
              <w:t xml:space="preserve"> </w:t>
            </w:r>
            <w:r w:rsidR="00C6031A" w:rsidRPr="002761D1">
              <w:rPr>
                <w:rFonts w:ascii="Arial" w:eastAsia="Times-Roman" w:hAnsi="Arial" w:cs="Arial"/>
                <w:b/>
                <w:sz w:val="20"/>
                <w:szCs w:val="20"/>
              </w:rPr>
              <w:t>[</w:t>
            </w:r>
            <w:r w:rsidR="00C6031A" w:rsidRPr="001A5BEB">
              <w:rPr>
                <w:rFonts w:ascii="Arial" w:hAnsi="Arial" w:cs="Arial"/>
                <w:b/>
                <w:sz w:val="20"/>
                <w:szCs w:val="20"/>
              </w:rPr>
              <w:t xml:space="preserve">NE: </w:t>
            </w:r>
            <w:r w:rsidR="00C6031A">
              <w:rPr>
                <w:rFonts w:ascii="Arial" w:hAnsi="Arial" w:cs="Arial"/>
                <w:b/>
                <w:sz w:val="20"/>
                <w:szCs w:val="20"/>
              </w:rPr>
              <w:t>1</w:t>
            </w:r>
            <w:r w:rsidR="00C6031A" w:rsidRPr="001A5BEB">
              <w:rPr>
                <w:rFonts w:ascii="Arial" w:hAnsi="Arial" w:cs="Arial"/>
                <w:b/>
                <w:sz w:val="20"/>
                <w:szCs w:val="20"/>
              </w:rPr>
              <w:t xml:space="preserve">, GR: </w:t>
            </w:r>
            <w:r w:rsidR="00C6031A">
              <w:rPr>
                <w:rFonts w:ascii="Arial" w:hAnsi="Arial" w:cs="Arial"/>
                <w:b/>
                <w:sz w:val="20"/>
                <w:szCs w:val="20"/>
              </w:rPr>
              <w:t>A]</w:t>
            </w:r>
            <w:r w:rsidR="00C6031A">
              <w:rPr>
                <w:rFonts w:ascii="Arial" w:eastAsia="Times-Roman" w:hAnsi="Arial" w:cs="Arial"/>
                <w:color w:val="FF0000"/>
                <w:sz w:val="20"/>
                <w:szCs w:val="20"/>
                <w:vertAlign w:val="superscript"/>
              </w:rPr>
              <w:t>4</w:t>
            </w:r>
          </w:p>
        </w:tc>
      </w:tr>
    </w:tbl>
    <w:p w14:paraId="7E5A82C9" w14:textId="77777777" w:rsidR="00BE1757" w:rsidRPr="0068632C" w:rsidRDefault="00BE1757"/>
    <w:p w14:paraId="715845BD" w14:textId="77777777" w:rsidR="002C4533" w:rsidRPr="00D54A7D" w:rsidRDefault="00800543" w:rsidP="002C4533">
      <w:pPr>
        <w:rPr>
          <w:b/>
          <w:color w:val="4F81BD" w:themeColor="accent1"/>
          <w:sz w:val="28"/>
        </w:rPr>
      </w:pPr>
      <w:r>
        <w:rPr>
          <w:b/>
          <w:color w:val="4F81BD" w:themeColor="accent1"/>
          <w:sz w:val="28"/>
        </w:rPr>
        <w:t xml:space="preserve">RITUXIMAB, </w:t>
      </w:r>
      <w:r w:rsidR="002C4533">
        <w:rPr>
          <w:b/>
          <w:color w:val="4F81BD" w:themeColor="accent1"/>
          <w:sz w:val="28"/>
        </w:rPr>
        <w:t>TO</w:t>
      </w:r>
      <w:r>
        <w:rPr>
          <w:b/>
          <w:color w:val="4F81BD" w:themeColor="accent1"/>
          <w:sz w:val="28"/>
        </w:rPr>
        <w:t>CILIZUMAB Y ABATACEPT</w:t>
      </w:r>
    </w:p>
    <w:p w14:paraId="62785314" w14:textId="77777777" w:rsidR="002C4533" w:rsidRDefault="002C453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438"/>
      </w:tblGrid>
      <w:tr w:rsidR="00D31B56" w:rsidRPr="0068632C" w14:paraId="07331364" w14:textId="77777777" w:rsidTr="007614D7">
        <w:tc>
          <w:tcPr>
            <w:tcW w:w="3168" w:type="dxa"/>
            <w:tcBorders>
              <w:top w:val="single" w:sz="4" w:space="0" w:color="auto"/>
              <w:left w:val="single" w:sz="4" w:space="0" w:color="auto"/>
              <w:bottom w:val="single" w:sz="4" w:space="0" w:color="auto"/>
              <w:right w:val="single" w:sz="4" w:space="0" w:color="auto"/>
            </w:tcBorders>
          </w:tcPr>
          <w:p w14:paraId="3D180400" w14:textId="77777777" w:rsidR="00D31B56" w:rsidRPr="00C53F31" w:rsidRDefault="002C4533" w:rsidP="007614D7">
            <w:pPr>
              <w:contextualSpacing/>
              <w:jc w:val="both"/>
              <w:rPr>
                <w:rFonts w:ascii="Arial" w:hAnsi="Arial" w:cs="Arial"/>
                <w:b/>
                <w:sz w:val="28"/>
                <w:szCs w:val="28"/>
              </w:rPr>
            </w:pPr>
            <w:r w:rsidRPr="00C53F31">
              <w:rPr>
                <w:rFonts w:ascii="Arial" w:eastAsia="Times-Roman" w:hAnsi="Arial" w:cs="Arial"/>
                <w:b/>
                <w:sz w:val="28"/>
                <w:szCs w:val="28"/>
              </w:rPr>
              <w:t>Rituximab</w:t>
            </w:r>
          </w:p>
        </w:tc>
        <w:tc>
          <w:tcPr>
            <w:tcW w:w="6438" w:type="dxa"/>
            <w:tcBorders>
              <w:top w:val="single" w:sz="4" w:space="0" w:color="auto"/>
              <w:left w:val="single" w:sz="4" w:space="0" w:color="auto"/>
              <w:bottom w:val="single" w:sz="4" w:space="0" w:color="auto"/>
              <w:right w:val="single" w:sz="4" w:space="0" w:color="auto"/>
            </w:tcBorders>
          </w:tcPr>
          <w:p w14:paraId="5D5E56C1" w14:textId="77777777" w:rsidR="00D31B56" w:rsidRPr="0068632C" w:rsidRDefault="00D31B56" w:rsidP="007614D7">
            <w:pPr>
              <w:contextualSpacing/>
              <w:jc w:val="both"/>
              <w:rPr>
                <w:rFonts w:ascii="Arial" w:eastAsia="Times-Roman" w:hAnsi="Arial" w:cs="Arial"/>
                <w:sz w:val="20"/>
                <w:szCs w:val="20"/>
              </w:rPr>
            </w:pPr>
            <w:r w:rsidRPr="0068632C">
              <w:rPr>
                <w:rFonts w:ascii="Arial" w:eastAsia="Times-Roman" w:hAnsi="Arial" w:cs="Arial"/>
                <w:sz w:val="20"/>
                <w:szCs w:val="20"/>
              </w:rPr>
              <w:t xml:space="preserve">Anticuerpo monoclonal quimérico (murino-humano) diseñado por ingeniería genética, dirigido </w:t>
            </w:r>
            <w:r w:rsidR="00FF21AB" w:rsidRPr="0068632C">
              <w:rPr>
                <w:rFonts w:ascii="Arial" w:eastAsia="Times-Roman" w:hAnsi="Arial" w:cs="Arial"/>
                <w:sz w:val="20"/>
                <w:szCs w:val="20"/>
              </w:rPr>
              <w:t>c</w:t>
            </w:r>
            <w:r w:rsidRPr="0068632C">
              <w:rPr>
                <w:rFonts w:ascii="Arial" w:eastAsia="Times-Roman" w:hAnsi="Arial" w:cs="Arial"/>
                <w:sz w:val="20"/>
                <w:szCs w:val="20"/>
              </w:rPr>
              <w:t>ontra el antígeno CD20, que se expresa casi exclusivamente en las células B, y que ocasiona una depuración de la población de estas células.</w:t>
            </w:r>
          </w:p>
        </w:tc>
      </w:tr>
      <w:tr w:rsidR="00D31B56" w:rsidRPr="0068632C" w14:paraId="35D5D7D3" w14:textId="77777777" w:rsidTr="007614D7">
        <w:tc>
          <w:tcPr>
            <w:tcW w:w="3168" w:type="dxa"/>
            <w:tcBorders>
              <w:top w:val="single" w:sz="4" w:space="0" w:color="auto"/>
              <w:left w:val="single" w:sz="4" w:space="0" w:color="auto"/>
              <w:bottom w:val="single" w:sz="4" w:space="0" w:color="auto"/>
              <w:right w:val="single" w:sz="4" w:space="0" w:color="auto"/>
            </w:tcBorders>
          </w:tcPr>
          <w:p w14:paraId="4D7B9EAC" w14:textId="77777777" w:rsidR="00D31B56" w:rsidRPr="0068632C" w:rsidRDefault="00D31B56" w:rsidP="007614D7">
            <w:pPr>
              <w:contextualSpacing/>
              <w:jc w:val="both"/>
              <w:rPr>
                <w:rFonts w:ascii="Arial" w:hAnsi="Arial" w:cs="Arial"/>
                <w:sz w:val="20"/>
                <w:szCs w:val="20"/>
              </w:rPr>
            </w:pPr>
            <w:r w:rsidRPr="0068632C">
              <w:rPr>
                <w:rFonts w:ascii="Arial" w:hAnsi="Arial" w:cs="Arial"/>
                <w:sz w:val="20"/>
                <w:szCs w:val="20"/>
              </w:rPr>
              <w:t xml:space="preserve">Línea de tratamiento en la que está indicado </w:t>
            </w:r>
          </w:p>
        </w:tc>
        <w:tc>
          <w:tcPr>
            <w:tcW w:w="6438" w:type="dxa"/>
            <w:tcBorders>
              <w:top w:val="single" w:sz="4" w:space="0" w:color="auto"/>
              <w:left w:val="single" w:sz="4" w:space="0" w:color="auto"/>
              <w:bottom w:val="single" w:sz="4" w:space="0" w:color="auto"/>
              <w:right w:val="single" w:sz="4" w:space="0" w:color="auto"/>
            </w:tcBorders>
          </w:tcPr>
          <w:p w14:paraId="1A8300EE" w14:textId="77777777" w:rsidR="00D31B56" w:rsidRDefault="00D31B56"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El </w:t>
            </w:r>
            <w:r w:rsidR="00D2135E">
              <w:rPr>
                <w:rFonts w:ascii="Arial" w:hAnsi="Arial" w:cs="Arial"/>
                <w:sz w:val="20"/>
                <w:szCs w:val="20"/>
              </w:rPr>
              <w:t>RTX</w:t>
            </w:r>
            <w:r w:rsidRPr="0068632C">
              <w:rPr>
                <w:rFonts w:ascii="Arial" w:hAnsi="Arial" w:cs="Arial"/>
                <w:sz w:val="20"/>
                <w:szCs w:val="20"/>
              </w:rPr>
              <w:t xml:space="preserve"> se recomienda para el tratamiento de pacientes con AR y FR y/o anticuerpos antipéptidos cíclicos citrulinados positivos, después de una respuesta inadecuada al tratamiento con FARME o con un agente anti TNF.</w:t>
            </w:r>
            <w:r w:rsidR="00E72FEF" w:rsidRPr="002761D1">
              <w:rPr>
                <w:rFonts w:ascii="Arial" w:eastAsia="Times-Roman" w:hAnsi="Arial" w:cs="Arial"/>
                <w:b/>
                <w:sz w:val="20"/>
                <w:szCs w:val="20"/>
              </w:rPr>
              <w:t xml:space="preserve"> [</w:t>
            </w:r>
            <w:r w:rsidR="00E72FEF" w:rsidRPr="001A5BEB">
              <w:rPr>
                <w:rFonts w:ascii="Arial" w:hAnsi="Arial" w:cs="Arial"/>
                <w:b/>
                <w:sz w:val="20"/>
                <w:szCs w:val="20"/>
              </w:rPr>
              <w:t xml:space="preserve">NE: </w:t>
            </w:r>
            <w:r w:rsidR="00E72FEF">
              <w:rPr>
                <w:rFonts w:ascii="Arial" w:hAnsi="Arial" w:cs="Arial"/>
                <w:b/>
                <w:sz w:val="20"/>
                <w:szCs w:val="20"/>
              </w:rPr>
              <w:t>1</w:t>
            </w:r>
            <w:r w:rsidR="00E72FEF" w:rsidRPr="001A5BEB">
              <w:rPr>
                <w:rFonts w:ascii="Arial" w:hAnsi="Arial" w:cs="Arial"/>
                <w:b/>
                <w:sz w:val="20"/>
                <w:szCs w:val="20"/>
              </w:rPr>
              <w:t xml:space="preserve">, GR: </w:t>
            </w:r>
            <w:r w:rsidR="00E72FEF">
              <w:rPr>
                <w:rFonts w:ascii="Arial" w:hAnsi="Arial" w:cs="Arial"/>
                <w:b/>
                <w:sz w:val="20"/>
                <w:szCs w:val="20"/>
              </w:rPr>
              <w:t>A]</w:t>
            </w:r>
            <w:r w:rsidR="00E72FEF">
              <w:rPr>
                <w:rFonts w:ascii="Arial" w:eastAsia="Times-Roman" w:hAnsi="Arial" w:cs="Arial"/>
                <w:color w:val="FF0000"/>
                <w:sz w:val="20"/>
                <w:szCs w:val="20"/>
                <w:vertAlign w:val="superscript"/>
              </w:rPr>
              <w:t>6</w:t>
            </w:r>
          </w:p>
          <w:p w14:paraId="2EC77923" w14:textId="77777777" w:rsidR="00E72FEF" w:rsidRPr="0068632C" w:rsidRDefault="00E72FEF" w:rsidP="007614D7">
            <w:pPr>
              <w:autoSpaceDE w:val="0"/>
              <w:autoSpaceDN w:val="0"/>
              <w:adjustRightInd w:val="0"/>
              <w:contextualSpacing/>
              <w:jc w:val="both"/>
              <w:rPr>
                <w:rFonts w:ascii="Arial" w:hAnsi="Arial" w:cs="Arial"/>
                <w:sz w:val="20"/>
                <w:szCs w:val="20"/>
              </w:rPr>
            </w:pPr>
          </w:p>
          <w:p w14:paraId="357F02EA" w14:textId="77777777" w:rsidR="00D31B56" w:rsidRPr="0068632C" w:rsidRDefault="00D31B56" w:rsidP="00E72FEF">
            <w:pPr>
              <w:autoSpaceDE w:val="0"/>
              <w:autoSpaceDN w:val="0"/>
              <w:adjustRightInd w:val="0"/>
              <w:contextualSpacing/>
              <w:jc w:val="both"/>
              <w:rPr>
                <w:rFonts w:ascii="Arial" w:hAnsi="Arial" w:cs="Arial"/>
                <w:sz w:val="20"/>
                <w:szCs w:val="20"/>
              </w:rPr>
            </w:pPr>
            <w:r w:rsidRPr="0068632C">
              <w:rPr>
                <w:rFonts w:ascii="Arial" w:hAnsi="Arial" w:cs="Arial"/>
                <w:sz w:val="20"/>
                <w:szCs w:val="20"/>
              </w:rPr>
              <w:t>Se puede utilizar antes de un agente anti-TNF en pacientes que tienen una contraindicación relativa o absoluta para recibir un anti-TNF</w:t>
            </w:r>
            <w:r w:rsidR="00E72FEF">
              <w:rPr>
                <w:rFonts w:ascii="Arial" w:hAnsi="Arial" w:cs="Arial"/>
                <w:sz w:val="20"/>
                <w:szCs w:val="20"/>
              </w:rPr>
              <w:t xml:space="preserve">. </w:t>
            </w:r>
            <w:r w:rsidR="00E72FEF" w:rsidRPr="002761D1">
              <w:rPr>
                <w:rFonts w:ascii="Arial" w:eastAsia="Times-Roman" w:hAnsi="Arial" w:cs="Arial"/>
                <w:b/>
                <w:sz w:val="20"/>
                <w:szCs w:val="20"/>
              </w:rPr>
              <w:t>[</w:t>
            </w:r>
            <w:r w:rsidR="00E72FEF" w:rsidRPr="001A5BEB">
              <w:rPr>
                <w:rFonts w:ascii="Arial" w:hAnsi="Arial" w:cs="Arial"/>
                <w:b/>
                <w:sz w:val="20"/>
                <w:szCs w:val="20"/>
              </w:rPr>
              <w:t xml:space="preserve">NE: </w:t>
            </w:r>
            <w:r w:rsidR="00E72FEF">
              <w:rPr>
                <w:rFonts w:ascii="Arial" w:hAnsi="Arial" w:cs="Arial"/>
                <w:b/>
                <w:sz w:val="20"/>
                <w:szCs w:val="20"/>
              </w:rPr>
              <w:t>1</w:t>
            </w:r>
            <w:r w:rsidR="00E72FEF" w:rsidRPr="001A5BEB">
              <w:rPr>
                <w:rFonts w:ascii="Arial" w:hAnsi="Arial" w:cs="Arial"/>
                <w:b/>
                <w:sz w:val="20"/>
                <w:szCs w:val="20"/>
              </w:rPr>
              <w:t xml:space="preserve">, GR: </w:t>
            </w:r>
            <w:r w:rsidR="00E72FEF">
              <w:rPr>
                <w:rFonts w:ascii="Arial" w:hAnsi="Arial" w:cs="Arial"/>
                <w:b/>
                <w:sz w:val="20"/>
                <w:szCs w:val="20"/>
              </w:rPr>
              <w:t>A]</w:t>
            </w:r>
            <w:r w:rsidR="00CE470F">
              <w:rPr>
                <w:rFonts w:ascii="Arial" w:eastAsia="Times-Roman" w:hAnsi="Arial" w:cs="Arial"/>
                <w:color w:val="FF0000"/>
                <w:sz w:val="20"/>
                <w:szCs w:val="20"/>
                <w:vertAlign w:val="superscript"/>
              </w:rPr>
              <w:t>39</w:t>
            </w:r>
          </w:p>
          <w:p w14:paraId="649FA49F" w14:textId="77777777" w:rsidR="000455C4" w:rsidRPr="0068632C" w:rsidRDefault="000455C4" w:rsidP="007614D7">
            <w:pPr>
              <w:autoSpaceDE w:val="0"/>
              <w:autoSpaceDN w:val="0"/>
              <w:adjustRightInd w:val="0"/>
              <w:contextualSpacing/>
              <w:jc w:val="both"/>
              <w:rPr>
                <w:rFonts w:ascii="Arial" w:hAnsi="Arial" w:cs="Arial"/>
                <w:sz w:val="20"/>
                <w:szCs w:val="20"/>
              </w:rPr>
            </w:pPr>
          </w:p>
          <w:p w14:paraId="5B7B4AE4" w14:textId="77777777" w:rsidR="000455C4" w:rsidRDefault="00D31B56"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También hay situaciones especiales como el antecedente de un linfoma de células B, o la presencia de tuberculosis latente, esclerosis múltiple, vasculitis concomitante o síndrome de superposición, en las que se prefiere usar </w:t>
            </w:r>
            <w:r w:rsidR="00D2135E">
              <w:rPr>
                <w:rFonts w:ascii="Arial" w:hAnsi="Arial" w:cs="Arial"/>
                <w:sz w:val="20"/>
                <w:szCs w:val="20"/>
              </w:rPr>
              <w:t>RTX</w:t>
            </w:r>
            <w:r w:rsidRPr="0068632C">
              <w:rPr>
                <w:rFonts w:ascii="Arial" w:hAnsi="Arial" w:cs="Arial"/>
                <w:sz w:val="20"/>
                <w:szCs w:val="20"/>
              </w:rPr>
              <w:t>.</w:t>
            </w:r>
            <w:r w:rsidR="00E72FEF" w:rsidRPr="002761D1">
              <w:rPr>
                <w:rFonts w:ascii="Arial" w:eastAsia="Times-Roman" w:hAnsi="Arial" w:cs="Arial"/>
                <w:b/>
                <w:sz w:val="20"/>
                <w:szCs w:val="20"/>
              </w:rPr>
              <w:t xml:space="preserve"> [</w:t>
            </w:r>
            <w:r w:rsidR="00E72FEF" w:rsidRPr="001A5BEB">
              <w:rPr>
                <w:rFonts w:ascii="Arial" w:hAnsi="Arial" w:cs="Arial"/>
                <w:b/>
                <w:sz w:val="20"/>
                <w:szCs w:val="20"/>
              </w:rPr>
              <w:t xml:space="preserve">NE: </w:t>
            </w:r>
            <w:r w:rsidR="00E72FEF">
              <w:rPr>
                <w:rFonts w:ascii="Arial" w:hAnsi="Arial" w:cs="Arial"/>
                <w:b/>
                <w:sz w:val="20"/>
                <w:szCs w:val="20"/>
              </w:rPr>
              <w:t>1</w:t>
            </w:r>
            <w:r w:rsidR="00E72FEF" w:rsidRPr="001A5BEB">
              <w:rPr>
                <w:rFonts w:ascii="Arial" w:hAnsi="Arial" w:cs="Arial"/>
                <w:b/>
                <w:sz w:val="20"/>
                <w:szCs w:val="20"/>
              </w:rPr>
              <w:t xml:space="preserve">, GR: </w:t>
            </w:r>
            <w:r w:rsidR="00E72FEF">
              <w:rPr>
                <w:rFonts w:ascii="Arial" w:hAnsi="Arial" w:cs="Arial"/>
                <w:b/>
                <w:sz w:val="20"/>
                <w:szCs w:val="20"/>
              </w:rPr>
              <w:t>A]</w:t>
            </w:r>
            <w:r w:rsidR="00E72FEF">
              <w:rPr>
                <w:rFonts w:ascii="Arial" w:eastAsia="Times-Roman" w:hAnsi="Arial" w:cs="Arial"/>
                <w:color w:val="FF0000"/>
                <w:sz w:val="20"/>
                <w:szCs w:val="20"/>
                <w:vertAlign w:val="superscript"/>
              </w:rPr>
              <w:t>6</w:t>
            </w:r>
          </w:p>
          <w:p w14:paraId="23F4F295" w14:textId="77777777" w:rsidR="00E72FEF" w:rsidRPr="0068632C" w:rsidRDefault="00E72FEF" w:rsidP="007614D7">
            <w:pPr>
              <w:autoSpaceDE w:val="0"/>
              <w:autoSpaceDN w:val="0"/>
              <w:adjustRightInd w:val="0"/>
              <w:contextualSpacing/>
              <w:jc w:val="both"/>
              <w:rPr>
                <w:rFonts w:ascii="Arial" w:hAnsi="Arial" w:cs="Arial"/>
                <w:sz w:val="20"/>
                <w:szCs w:val="20"/>
              </w:rPr>
            </w:pPr>
          </w:p>
          <w:p w14:paraId="070B0B3C" w14:textId="77777777" w:rsidR="00D31B56" w:rsidRDefault="00D31B56" w:rsidP="00E72FEF">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Los pacientes que tienen FR y/o anticuerpos antipéptidos cíclicos citrulinados positivos tienen mayor probabilidad de responder al </w:t>
            </w:r>
            <w:r w:rsidR="00D2135E">
              <w:rPr>
                <w:rFonts w:ascii="Arial" w:hAnsi="Arial" w:cs="Arial"/>
                <w:sz w:val="20"/>
                <w:szCs w:val="20"/>
              </w:rPr>
              <w:t>RTX</w:t>
            </w:r>
            <w:r w:rsidRPr="0068632C">
              <w:rPr>
                <w:rFonts w:ascii="Arial" w:hAnsi="Arial" w:cs="Arial"/>
                <w:sz w:val="20"/>
                <w:szCs w:val="20"/>
              </w:rPr>
              <w:t xml:space="preserve"> que los pacientes que no tienen dichos anticuerpos</w:t>
            </w:r>
            <w:r w:rsidR="00E72FEF">
              <w:rPr>
                <w:rFonts w:ascii="Arial" w:hAnsi="Arial" w:cs="Arial"/>
                <w:sz w:val="20"/>
                <w:szCs w:val="20"/>
              </w:rPr>
              <w:t>.</w:t>
            </w:r>
            <w:r w:rsidR="00E72FEF" w:rsidRPr="001A5BEB">
              <w:rPr>
                <w:rFonts w:ascii="Arial" w:hAnsi="Arial" w:cs="Arial"/>
                <w:b/>
                <w:sz w:val="20"/>
                <w:szCs w:val="20"/>
              </w:rPr>
              <w:t xml:space="preserve"> </w:t>
            </w:r>
            <w:r w:rsidR="00E72FEF">
              <w:rPr>
                <w:rFonts w:ascii="Arial" w:hAnsi="Arial" w:cs="Arial"/>
                <w:b/>
                <w:sz w:val="20"/>
                <w:szCs w:val="20"/>
              </w:rPr>
              <w:t>[</w:t>
            </w:r>
            <w:r w:rsidR="00E72FEF" w:rsidRPr="001A5BEB">
              <w:rPr>
                <w:rFonts w:ascii="Arial" w:hAnsi="Arial" w:cs="Arial"/>
                <w:b/>
                <w:sz w:val="20"/>
                <w:szCs w:val="20"/>
              </w:rPr>
              <w:t xml:space="preserve">NE: </w:t>
            </w:r>
            <w:r w:rsidR="00E72FEF">
              <w:rPr>
                <w:rFonts w:ascii="Arial" w:hAnsi="Arial" w:cs="Arial"/>
                <w:b/>
                <w:sz w:val="20"/>
                <w:szCs w:val="20"/>
              </w:rPr>
              <w:t>1</w:t>
            </w:r>
            <w:r w:rsidR="00E72FEF" w:rsidRPr="001A5BEB">
              <w:rPr>
                <w:rFonts w:ascii="Arial" w:hAnsi="Arial" w:cs="Arial"/>
                <w:b/>
                <w:sz w:val="20"/>
                <w:szCs w:val="20"/>
              </w:rPr>
              <w:t xml:space="preserve">, GR: </w:t>
            </w:r>
            <w:r w:rsidR="00E72FEF">
              <w:rPr>
                <w:rFonts w:ascii="Arial" w:hAnsi="Arial" w:cs="Arial"/>
                <w:b/>
                <w:sz w:val="20"/>
                <w:szCs w:val="20"/>
              </w:rPr>
              <w:t>A]</w:t>
            </w:r>
            <w:r w:rsidR="00CE470F">
              <w:rPr>
                <w:rFonts w:ascii="Arial" w:eastAsia="Times-Roman" w:hAnsi="Arial" w:cs="Arial"/>
                <w:color w:val="FF0000"/>
                <w:sz w:val="20"/>
                <w:szCs w:val="20"/>
                <w:vertAlign w:val="superscript"/>
              </w:rPr>
              <w:t>39</w:t>
            </w:r>
          </w:p>
          <w:p w14:paraId="4DBAACC0" w14:textId="77777777" w:rsidR="00E72FEF" w:rsidRPr="0068632C" w:rsidRDefault="00E72FEF" w:rsidP="00E72FEF">
            <w:pPr>
              <w:autoSpaceDE w:val="0"/>
              <w:autoSpaceDN w:val="0"/>
              <w:adjustRightInd w:val="0"/>
              <w:contextualSpacing/>
              <w:jc w:val="both"/>
              <w:rPr>
                <w:rFonts w:ascii="Arial" w:hAnsi="Arial" w:cs="Arial"/>
                <w:sz w:val="20"/>
                <w:szCs w:val="20"/>
              </w:rPr>
            </w:pPr>
          </w:p>
          <w:p w14:paraId="0D82252F" w14:textId="77777777" w:rsidR="00D31B56" w:rsidRPr="0068632C" w:rsidRDefault="00D31B56" w:rsidP="00E72FEF">
            <w:pPr>
              <w:autoSpaceDE w:val="0"/>
              <w:autoSpaceDN w:val="0"/>
              <w:adjustRightInd w:val="0"/>
              <w:contextualSpacing/>
              <w:jc w:val="both"/>
              <w:rPr>
                <w:rFonts w:ascii="Arial" w:hAnsi="Arial" w:cs="Arial"/>
                <w:sz w:val="20"/>
                <w:szCs w:val="20"/>
              </w:rPr>
            </w:pPr>
            <w:r w:rsidRPr="00D2135E">
              <w:rPr>
                <w:rFonts w:ascii="Arial" w:hAnsi="Arial" w:cs="Arial"/>
                <w:sz w:val="20"/>
                <w:szCs w:val="20"/>
              </w:rPr>
              <w:t>Si embargo la ausencia de los anticuerpos no descarta la respuesta aunque la eficacia obtenida es menor que en los pacientes seropositivos.</w:t>
            </w:r>
            <w:r w:rsidR="00E72FEF" w:rsidRPr="00D2135E">
              <w:rPr>
                <w:rFonts w:ascii="Arial" w:hAnsi="Arial" w:cs="Arial"/>
                <w:color w:val="FF0000"/>
                <w:sz w:val="20"/>
                <w:szCs w:val="20"/>
              </w:rPr>
              <w:t xml:space="preserve"> </w:t>
            </w:r>
            <w:r w:rsidR="00E72FEF" w:rsidRPr="00D2135E">
              <w:rPr>
                <w:rFonts w:ascii="Arial" w:eastAsia="Times-Roman" w:hAnsi="Arial" w:cs="Arial"/>
                <w:b/>
                <w:sz w:val="20"/>
                <w:szCs w:val="20"/>
              </w:rPr>
              <w:t>[</w:t>
            </w:r>
            <w:r w:rsidR="00E72FEF" w:rsidRPr="00D2135E">
              <w:rPr>
                <w:rFonts w:ascii="Arial" w:hAnsi="Arial" w:cs="Arial"/>
                <w:b/>
                <w:sz w:val="20"/>
                <w:szCs w:val="20"/>
              </w:rPr>
              <w:t>NE: 1, GR: B]</w:t>
            </w:r>
            <w:r w:rsidR="00E72FEF" w:rsidRPr="00D2135E">
              <w:rPr>
                <w:rFonts w:ascii="Arial" w:eastAsia="Times-Roman" w:hAnsi="Arial" w:cs="Arial"/>
                <w:color w:val="FF0000"/>
                <w:sz w:val="20"/>
                <w:szCs w:val="20"/>
                <w:vertAlign w:val="superscript"/>
              </w:rPr>
              <w:t>13</w:t>
            </w:r>
          </w:p>
          <w:p w14:paraId="54D930F9" w14:textId="77777777" w:rsidR="00D31B56" w:rsidRPr="0068632C" w:rsidRDefault="00D31B56" w:rsidP="007614D7">
            <w:pPr>
              <w:autoSpaceDE w:val="0"/>
              <w:autoSpaceDN w:val="0"/>
              <w:adjustRightInd w:val="0"/>
              <w:contextualSpacing/>
              <w:jc w:val="both"/>
              <w:rPr>
                <w:rFonts w:ascii="Arial" w:hAnsi="Arial" w:cs="Arial"/>
                <w:sz w:val="20"/>
                <w:szCs w:val="20"/>
              </w:rPr>
            </w:pPr>
          </w:p>
          <w:p w14:paraId="2B38A370" w14:textId="77777777" w:rsidR="0034084C" w:rsidRDefault="00D31B56" w:rsidP="0034084C">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Se recomienda también que, en pacientes que no han respondido al tratamiento con dos agentes anti TNF, se cambie a un biológico con un mecanismo de acción diferente (</w:t>
            </w:r>
            <w:r w:rsidR="00D2135E">
              <w:rPr>
                <w:rFonts w:ascii="Arial" w:hAnsi="Arial" w:cs="Arial"/>
                <w:sz w:val="20"/>
                <w:szCs w:val="20"/>
              </w:rPr>
              <w:t>RTX</w:t>
            </w:r>
            <w:r w:rsidRPr="0068632C">
              <w:rPr>
                <w:rFonts w:ascii="Arial" w:hAnsi="Arial" w:cs="Arial"/>
                <w:sz w:val="20"/>
                <w:szCs w:val="20"/>
              </w:rPr>
              <w:t xml:space="preserve">, abatacept o </w:t>
            </w:r>
            <w:r w:rsidR="004B2260">
              <w:rPr>
                <w:rFonts w:ascii="Arial" w:hAnsi="Arial" w:cs="Arial"/>
                <w:sz w:val="20"/>
                <w:szCs w:val="20"/>
              </w:rPr>
              <w:t>TCZ</w:t>
            </w:r>
            <w:r w:rsidRPr="0068632C">
              <w:rPr>
                <w:rFonts w:ascii="Arial" w:hAnsi="Arial" w:cs="Arial"/>
                <w:sz w:val="20"/>
                <w:szCs w:val="20"/>
              </w:rPr>
              <w:t xml:space="preserve">). </w:t>
            </w:r>
            <w:r w:rsidR="0034084C">
              <w:rPr>
                <w:rFonts w:ascii="Arial" w:hAnsi="Arial" w:cs="Arial"/>
                <w:b/>
                <w:sz w:val="20"/>
                <w:szCs w:val="20"/>
              </w:rPr>
              <w:t>[</w:t>
            </w:r>
            <w:r w:rsidR="0034084C" w:rsidRPr="001A5BEB">
              <w:rPr>
                <w:rFonts w:ascii="Arial" w:hAnsi="Arial" w:cs="Arial"/>
                <w:b/>
                <w:sz w:val="20"/>
                <w:szCs w:val="20"/>
              </w:rPr>
              <w:t xml:space="preserve">NE: </w:t>
            </w:r>
            <w:r w:rsidR="0034084C">
              <w:rPr>
                <w:rFonts w:ascii="Arial" w:hAnsi="Arial" w:cs="Arial"/>
                <w:b/>
                <w:sz w:val="20"/>
                <w:szCs w:val="20"/>
              </w:rPr>
              <w:t>2/4</w:t>
            </w:r>
            <w:r w:rsidR="0034084C" w:rsidRPr="001A5BEB">
              <w:rPr>
                <w:rFonts w:ascii="Arial" w:hAnsi="Arial" w:cs="Arial"/>
                <w:b/>
                <w:sz w:val="20"/>
                <w:szCs w:val="20"/>
              </w:rPr>
              <w:t xml:space="preserve">, GR: </w:t>
            </w:r>
            <w:r w:rsidR="0034084C">
              <w:rPr>
                <w:rFonts w:ascii="Arial" w:hAnsi="Arial" w:cs="Arial"/>
                <w:b/>
                <w:sz w:val="20"/>
                <w:szCs w:val="20"/>
              </w:rPr>
              <w:t>C]</w:t>
            </w:r>
            <w:r w:rsidR="0034084C">
              <w:rPr>
                <w:rFonts w:ascii="Arial" w:eastAsia="Times-Roman" w:hAnsi="Arial" w:cs="Arial"/>
                <w:color w:val="FF0000"/>
                <w:sz w:val="20"/>
                <w:szCs w:val="20"/>
                <w:vertAlign w:val="superscript"/>
              </w:rPr>
              <w:t>6</w:t>
            </w:r>
          </w:p>
          <w:p w14:paraId="36E2D781" w14:textId="77777777" w:rsidR="00D31B56" w:rsidRPr="0068632C" w:rsidRDefault="00D31B56" w:rsidP="007614D7">
            <w:pPr>
              <w:autoSpaceDE w:val="0"/>
              <w:autoSpaceDN w:val="0"/>
              <w:adjustRightInd w:val="0"/>
              <w:contextualSpacing/>
              <w:jc w:val="both"/>
              <w:rPr>
                <w:rFonts w:ascii="Arial" w:eastAsia="Times-Roman" w:hAnsi="Arial" w:cs="Arial"/>
                <w:sz w:val="20"/>
                <w:szCs w:val="20"/>
              </w:rPr>
            </w:pPr>
          </w:p>
          <w:p w14:paraId="37724535" w14:textId="77777777" w:rsidR="00D31B56" w:rsidRPr="0068632C" w:rsidRDefault="00D31B56" w:rsidP="00D2135E">
            <w:pPr>
              <w:autoSpaceDE w:val="0"/>
              <w:autoSpaceDN w:val="0"/>
              <w:adjustRightInd w:val="0"/>
              <w:contextualSpacing/>
              <w:jc w:val="both"/>
              <w:rPr>
                <w:rFonts w:ascii="Arial" w:eastAsia="Times-Roman" w:hAnsi="Arial" w:cs="Arial"/>
                <w:b/>
                <w:sz w:val="20"/>
                <w:szCs w:val="20"/>
              </w:rPr>
            </w:pPr>
            <w:r w:rsidRPr="0068632C">
              <w:rPr>
                <w:rFonts w:ascii="Arial" w:eastAsia="Times-Roman" w:hAnsi="Arial" w:cs="Arial"/>
                <w:i/>
                <w:sz w:val="20"/>
                <w:szCs w:val="20"/>
              </w:rPr>
              <w:t>Barreras de implementación</w:t>
            </w:r>
            <w:r w:rsidRPr="0068632C">
              <w:rPr>
                <w:rFonts w:ascii="Arial" w:eastAsia="Times-Roman" w:hAnsi="Arial" w:cs="Arial"/>
                <w:sz w:val="20"/>
                <w:szCs w:val="20"/>
              </w:rPr>
              <w:t xml:space="preserve">: El </w:t>
            </w:r>
            <w:r w:rsidR="00D2135E">
              <w:rPr>
                <w:rFonts w:ascii="Arial" w:eastAsia="Times-Roman" w:hAnsi="Arial" w:cs="Arial"/>
                <w:sz w:val="20"/>
                <w:szCs w:val="20"/>
              </w:rPr>
              <w:t>RTX</w:t>
            </w:r>
            <w:r w:rsidRPr="0068632C">
              <w:rPr>
                <w:rFonts w:ascii="Arial" w:eastAsia="Times-Roman" w:hAnsi="Arial" w:cs="Arial"/>
                <w:sz w:val="20"/>
                <w:szCs w:val="20"/>
              </w:rPr>
              <w:t xml:space="preserve"> es un medicamento muy caro y no está disponible en todas las instituciones de salud, sólo en el Instituto Mexicano del Seguro Social (IMSS) y en el Instituto de Seguridad y Servicios Sociales de los Trabajadores del Estado (ISSSTE). </w:t>
            </w:r>
          </w:p>
        </w:tc>
      </w:tr>
      <w:tr w:rsidR="00D31B56" w:rsidRPr="0068632C" w14:paraId="520201FD" w14:textId="77777777" w:rsidTr="007614D7">
        <w:trPr>
          <w:trHeight w:val="269"/>
        </w:trPr>
        <w:tc>
          <w:tcPr>
            <w:tcW w:w="3168" w:type="dxa"/>
            <w:tcBorders>
              <w:top w:val="single" w:sz="4" w:space="0" w:color="auto"/>
              <w:left w:val="single" w:sz="4" w:space="0" w:color="auto"/>
              <w:bottom w:val="single" w:sz="4" w:space="0" w:color="auto"/>
              <w:right w:val="single" w:sz="4" w:space="0" w:color="auto"/>
            </w:tcBorders>
          </w:tcPr>
          <w:p w14:paraId="67C57DC3" w14:textId="77777777" w:rsidR="00D31B56" w:rsidRPr="0068632C" w:rsidRDefault="00D31B56" w:rsidP="007614D7">
            <w:pPr>
              <w:contextualSpacing/>
              <w:jc w:val="both"/>
              <w:rPr>
                <w:rFonts w:ascii="Arial" w:hAnsi="Arial" w:cs="Arial"/>
                <w:sz w:val="20"/>
                <w:szCs w:val="20"/>
              </w:rPr>
            </w:pPr>
            <w:r w:rsidRPr="0068632C">
              <w:rPr>
                <w:rFonts w:ascii="Arial" w:hAnsi="Arial" w:cs="Arial"/>
                <w:sz w:val="20"/>
                <w:szCs w:val="20"/>
              </w:rPr>
              <w:t>Estudios que se requieren antes del tratamiento y durante el seguimiento</w:t>
            </w:r>
          </w:p>
        </w:tc>
        <w:tc>
          <w:tcPr>
            <w:tcW w:w="6438" w:type="dxa"/>
            <w:tcBorders>
              <w:top w:val="single" w:sz="4" w:space="0" w:color="auto"/>
              <w:left w:val="single" w:sz="4" w:space="0" w:color="auto"/>
              <w:bottom w:val="single" w:sz="4" w:space="0" w:color="auto"/>
              <w:right w:val="single" w:sz="4" w:space="0" w:color="auto"/>
            </w:tcBorders>
          </w:tcPr>
          <w:p w14:paraId="1E767FF4" w14:textId="77777777" w:rsidR="00D31B56" w:rsidRPr="0068632C" w:rsidRDefault="00D31B56" w:rsidP="007614D7">
            <w:pPr>
              <w:jc w:val="both"/>
              <w:rPr>
                <w:rFonts w:ascii="Arial" w:hAnsi="Arial" w:cs="Arial"/>
                <w:sz w:val="20"/>
                <w:szCs w:val="20"/>
              </w:rPr>
            </w:pPr>
            <w:r w:rsidRPr="0068632C">
              <w:rPr>
                <w:rFonts w:ascii="Arial" w:hAnsi="Arial" w:cs="Arial"/>
                <w:sz w:val="20"/>
                <w:szCs w:val="20"/>
              </w:rPr>
              <w:t xml:space="preserve">Antes de iniciar el tratamiento se deben realizar </w:t>
            </w:r>
            <w:r w:rsidR="00D2135E">
              <w:rPr>
                <w:rFonts w:ascii="Arial" w:hAnsi="Arial" w:cs="Arial"/>
                <w:sz w:val="20"/>
                <w:szCs w:val="20"/>
              </w:rPr>
              <w:t>BH</w:t>
            </w:r>
            <w:r w:rsidRPr="0068632C">
              <w:rPr>
                <w:rFonts w:ascii="Arial" w:hAnsi="Arial" w:cs="Arial"/>
                <w:sz w:val="20"/>
                <w:szCs w:val="20"/>
              </w:rPr>
              <w:t xml:space="preserve">, </w:t>
            </w:r>
            <w:r w:rsidR="00D2135E">
              <w:rPr>
                <w:rFonts w:ascii="Arial" w:hAnsi="Arial" w:cs="Arial"/>
                <w:sz w:val="20"/>
                <w:szCs w:val="20"/>
              </w:rPr>
              <w:t>QS</w:t>
            </w:r>
            <w:r w:rsidR="0034084C">
              <w:rPr>
                <w:rFonts w:ascii="Arial" w:hAnsi="Arial" w:cs="Arial"/>
                <w:sz w:val="20"/>
                <w:szCs w:val="20"/>
              </w:rPr>
              <w:t xml:space="preserve"> y </w:t>
            </w:r>
            <w:r w:rsidR="00D2135E">
              <w:rPr>
                <w:rFonts w:ascii="Arial" w:hAnsi="Arial" w:cs="Arial"/>
                <w:sz w:val="20"/>
                <w:szCs w:val="20"/>
              </w:rPr>
              <w:t>PFH</w:t>
            </w:r>
            <w:r w:rsidR="0034084C">
              <w:rPr>
                <w:rFonts w:ascii="Arial" w:hAnsi="Arial" w:cs="Arial"/>
                <w:sz w:val="20"/>
                <w:szCs w:val="20"/>
              </w:rPr>
              <w:t>.</w:t>
            </w:r>
            <w:r w:rsidR="0034084C">
              <w:rPr>
                <w:rFonts w:ascii="Arial" w:eastAsia="Times-Roman" w:hAnsi="Arial" w:cs="Arial"/>
                <w:color w:val="FF0000"/>
                <w:sz w:val="20"/>
                <w:szCs w:val="20"/>
                <w:vertAlign w:val="superscript"/>
              </w:rPr>
              <w:t>6</w:t>
            </w:r>
            <w:r w:rsidRPr="0068632C">
              <w:rPr>
                <w:rFonts w:ascii="Arial" w:hAnsi="Arial" w:cs="Arial"/>
                <w:color w:val="FF0000"/>
                <w:sz w:val="20"/>
                <w:szCs w:val="20"/>
              </w:rPr>
              <w:t xml:space="preserve"> </w:t>
            </w:r>
          </w:p>
          <w:p w14:paraId="43176C83" w14:textId="77777777" w:rsidR="0034084C" w:rsidRDefault="00D31B56" w:rsidP="007614D7">
            <w:pPr>
              <w:jc w:val="both"/>
              <w:rPr>
                <w:rFonts w:ascii="Arial" w:eastAsia="Times-Roman" w:hAnsi="Arial" w:cs="Arial"/>
                <w:color w:val="FF0000"/>
                <w:sz w:val="20"/>
                <w:szCs w:val="20"/>
                <w:vertAlign w:val="superscript"/>
              </w:rPr>
            </w:pPr>
            <w:r w:rsidRPr="0068632C">
              <w:rPr>
                <w:rFonts w:ascii="Arial" w:hAnsi="Arial" w:cs="Arial"/>
                <w:sz w:val="20"/>
                <w:szCs w:val="20"/>
              </w:rPr>
              <w:t xml:space="preserve">En cuanto al escrutinio para  Tb, no se han publicado hasta la fecha datos que muestren un aumento en el riesgo de contraer Tb con el uso de </w:t>
            </w:r>
            <w:r w:rsidR="00D2135E">
              <w:rPr>
                <w:rFonts w:ascii="Arial" w:hAnsi="Arial" w:cs="Arial"/>
                <w:sz w:val="20"/>
                <w:szCs w:val="20"/>
              </w:rPr>
              <w:t>RTX</w:t>
            </w:r>
            <w:r w:rsidRPr="0068632C">
              <w:rPr>
                <w:rFonts w:ascii="Arial" w:hAnsi="Arial" w:cs="Arial"/>
                <w:sz w:val="20"/>
                <w:szCs w:val="20"/>
              </w:rPr>
              <w:t xml:space="preserve">.  Esto ha ocasionado que la recomendación para realizar el escrutinio para Tb latente sea controvertida. Algunos recomiendan </w:t>
            </w:r>
            <w:r w:rsidRPr="0068632C">
              <w:rPr>
                <w:rFonts w:ascii="Arial" w:hAnsi="Arial" w:cs="Arial"/>
                <w:sz w:val="20"/>
                <w:szCs w:val="20"/>
              </w:rPr>
              <w:lastRenderedPageBreak/>
              <w:t xml:space="preserve">realizarlo mientras no se conozca bien el riesgo. </w:t>
            </w:r>
            <w:r w:rsidR="0034084C">
              <w:rPr>
                <w:rFonts w:ascii="Arial" w:hAnsi="Arial" w:cs="Arial"/>
                <w:b/>
                <w:sz w:val="20"/>
                <w:szCs w:val="20"/>
              </w:rPr>
              <w:t>[</w:t>
            </w:r>
            <w:r w:rsidR="0034084C" w:rsidRPr="001A5BEB">
              <w:rPr>
                <w:rFonts w:ascii="Arial" w:hAnsi="Arial" w:cs="Arial"/>
                <w:b/>
                <w:sz w:val="20"/>
                <w:szCs w:val="20"/>
              </w:rPr>
              <w:t xml:space="preserve">NE: </w:t>
            </w:r>
            <w:r w:rsidR="0034084C">
              <w:rPr>
                <w:rFonts w:ascii="Arial" w:hAnsi="Arial" w:cs="Arial"/>
                <w:b/>
                <w:sz w:val="20"/>
                <w:szCs w:val="20"/>
              </w:rPr>
              <w:t>4</w:t>
            </w:r>
            <w:r w:rsidR="0034084C" w:rsidRPr="001A5BEB">
              <w:rPr>
                <w:rFonts w:ascii="Arial" w:hAnsi="Arial" w:cs="Arial"/>
                <w:b/>
                <w:sz w:val="20"/>
                <w:szCs w:val="20"/>
              </w:rPr>
              <w:t xml:space="preserve">, GR: </w:t>
            </w:r>
            <w:r w:rsidR="0034084C">
              <w:rPr>
                <w:rFonts w:ascii="Arial" w:hAnsi="Arial" w:cs="Arial"/>
                <w:b/>
                <w:sz w:val="20"/>
                <w:szCs w:val="20"/>
              </w:rPr>
              <w:t>C]</w:t>
            </w:r>
            <w:r w:rsidR="0034084C">
              <w:rPr>
                <w:rFonts w:ascii="Arial" w:eastAsia="Times-Roman" w:hAnsi="Arial" w:cs="Arial"/>
                <w:color w:val="FF0000"/>
                <w:sz w:val="20"/>
                <w:szCs w:val="20"/>
                <w:vertAlign w:val="superscript"/>
              </w:rPr>
              <w:t>40</w:t>
            </w:r>
          </w:p>
          <w:p w14:paraId="74AAB242" w14:textId="77777777" w:rsidR="0034084C" w:rsidRDefault="0034084C" w:rsidP="007614D7">
            <w:pPr>
              <w:jc w:val="both"/>
              <w:rPr>
                <w:rFonts w:ascii="Arial" w:hAnsi="Arial" w:cs="Arial"/>
                <w:sz w:val="20"/>
                <w:szCs w:val="20"/>
              </w:rPr>
            </w:pPr>
          </w:p>
          <w:p w14:paraId="5385718E" w14:textId="77777777" w:rsidR="0034084C" w:rsidRDefault="00D31B56" w:rsidP="0034084C">
            <w:pPr>
              <w:jc w:val="both"/>
              <w:rPr>
                <w:rFonts w:ascii="Arial" w:eastAsia="Times-Roman" w:hAnsi="Arial" w:cs="Arial"/>
                <w:color w:val="FF0000"/>
                <w:sz w:val="20"/>
                <w:szCs w:val="20"/>
                <w:vertAlign w:val="superscript"/>
              </w:rPr>
            </w:pPr>
            <w:r w:rsidRPr="0068632C">
              <w:rPr>
                <w:rFonts w:ascii="Arial" w:hAnsi="Arial" w:cs="Arial"/>
                <w:sz w:val="20"/>
                <w:szCs w:val="20"/>
              </w:rPr>
              <w:t>El escrutinio consiste en realizar un</w:t>
            </w:r>
            <w:r w:rsidR="0034084C">
              <w:rPr>
                <w:rFonts w:ascii="Arial" w:hAnsi="Arial" w:cs="Arial"/>
                <w:sz w:val="20"/>
                <w:szCs w:val="20"/>
              </w:rPr>
              <w:t xml:space="preserve"> PPD</w:t>
            </w:r>
            <w:r w:rsidRPr="0068632C">
              <w:rPr>
                <w:rFonts w:ascii="Arial" w:hAnsi="Arial" w:cs="Arial"/>
                <w:sz w:val="20"/>
                <w:szCs w:val="20"/>
              </w:rPr>
              <w:t xml:space="preserve"> y una teleradiografía de tórax</w:t>
            </w:r>
            <w:r w:rsidR="00F0314D">
              <w:rPr>
                <w:rFonts w:ascii="Arial" w:hAnsi="Arial" w:cs="Arial"/>
                <w:sz w:val="20"/>
                <w:szCs w:val="20"/>
              </w:rPr>
              <w:t xml:space="preserve"> </w:t>
            </w:r>
            <w:r w:rsidRPr="0068632C">
              <w:rPr>
                <w:rFonts w:ascii="Arial" w:hAnsi="Arial" w:cs="Arial"/>
                <w:sz w:val="20"/>
                <w:szCs w:val="20"/>
              </w:rPr>
              <w:t xml:space="preserve">en población con factores epidemiológicos de riesgo.  Algunos recomiendan la realización </w:t>
            </w:r>
            <w:r w:rsidR="0034084C">
              <w:rPr>
                <w:rFonts w:ascii="Arial" w:hAnsi="Arial" w:cs="Arial"/>
                <w:sz w:val="20"/>
                <w:szCs w:val="20"/>
              </w:rPr>
              <w:t>de quantiferón</w:t>
            </w:r>
            <w:r w:rsidR="0034084C" w:rsidRPr="0068632C">
              <w:rPr>
                <w:rFonts w:ascii="Arial" w:hAnsi="Arial" w:cs="Arial"/>
                <w:sz w:val="20"/>
                <w:szCs w:val="20"/>
              </w:rPr>
              <w:t xml:space="preserve">. </w:t>
            </w:r>
            <w:r w:rsidR="0034084C">
              <w:rPr>
                <w:rFonts w:ascii="Arial" w:hAnsi="Arial" w:cs="Arial"/>
                <w:b/>
                <w:sz w:val="20"/>
                <w:szCs w:val="20"/>
              </w:rPr>
              <w:t>[</w:t>
            </w:r>
            <w:r w:rsidR="0034084C" w:rsidRPr="001A5BEB">
              <w:rPr>
                <w:rFonts w:ascii="Arial" w:hAnsi="Arial" w:cs="Arial"/>
                <w:b/>
                <w:sz w:val="20"/>
                <w:szCs w:val="20"/>
              </w:rPr>
              <w:t xml:space="preserve">NE: </w:t>
            </w:r>
            <w:r w:rsidR="0034084C">
              <w:rPr>
                <w:rFonts w:ascii="Arial" w:hAnsi="Arial" w:cs="Arial"/>
                <w:b/>
                <w:sz w:val="20"/>
                <w:szCs w:val="20"/>
              </w:rPr>
              <w:t>4</w:t>
            </w:r>
            <w:r w:rsidR="0034084C" w:rsidRPr="001A5BEB">
              <w:rPr>
                <w:rFonts w:ascii="Arial" w:hAnsi="Arial" w:cs="Arial"/>
                <w:b/>
                <w:sz w:val="20"/>
                <w:szCs w:val="20"/>
              </w:rPr>
              <w:t xml:space="preserve">, GR: </w:t>
            </w:r>
            <w:r w:rsidR="0034084C">
              <w:rPr>
                <w:rFonts w:ascii="Arial" w:hAnsi="Arial" w:cs="Arial"/>
                <w:b/>
                <w:sz w:val="20"/>
                <w:szCs w:val="20"/>
              </w:rPr>
              <w:t>D]</w:t>
            </w:r>
            <w:r w:rsidR="0034084C">
              <w:rPr>
                <w:rFonts w:ascii="Arial" w:eastAsia="Times-Roman" w:hAnsi="Arial" w:cs="Arial"/>
                <w:color w:val="FF0000"/>
                <w:sz w:val="20"/>
                <w:szCs w:val="20"/>
                <w:vertAlign w:val="superscript"/>
              </w:rPr>
              <w:t>30</w:t>
            </w:r>
          </w:p>
          <w:p w14:paraId="41623DDC" w14:textId="77777777" w:rsidR="0034084C" w:rsidRDefault="0034084C" w:rsidP="007614D7">
            <w:pPr>
              <w:autoSpaceDE w:val="0"/>
              <w:autoSpaceDN w:val="0"/>
              <w:adjustRightInd w:val="0"/>
              <w:contextualSpacing/>
              <w:jc w:val="both"/>
              <w:rPr>
                <w:rFonts w:ascii="Arial" w:hAnsi="Arial" w:cs="Arial"/>
                <w:sz w:val="20"/>
                <w:szCs w:val="20"/>
              </w:rPr>
            </w:pPr>
          </w:p>
          <w:p w14:paraId="70EC02A0" w14:textId="77777777" w:rsidR="0034084C" w:rsidRDefault="00D31B56" w:rsidP="0034084C">
            <w:pPr>
              <w:jc w:val="both"/>
              <w:rPr>
                <w:rFonts w:ascii="Arial" w:eastAsia="Times-Roman" w:hAnsi="Arial" w:cs="Arial"/>
                <w:color w:val="FF0000"/>
                <w:sz w:val="20"/>
                <w:szCs w:val="20"/>
                <w:vertAlign w:val="superscript"/>
              </w:rPr>
            </w:pPr>
            <w:r w:rsidRPr="0068632C">
              <w:rPr>
                <w:rFonts w:ascii="Arial" w:hAnsi="Arial" w:cs="Arial"/>
                <w:sz w:val="20"/>
                <w:szCs w:val="20"/>
              </w:rPr>
              <w:t xml:space="preserve">Los niveles de inmunoglobulina deben determinarse antes de iniciar </w:t>
            </w:r>
            <w:r w:rsidR="00D2135E">
              <w:rPr>
                <w:rFonts w:ascii="Arial" w:hAnsi="Arial" w:cs="Arial"/>
                <w:sz w:val="20"/>
                <w:szCs w:val="20"/>
              </w:rPr>
              <w:t>RTX</w:t>
            </w:r>
            <w:r w:rsidRPr="0068632C">
              <w:rPr>
                <w:rFonts w:ascii="Arial" w:hAnsi="Arial" w:cs="Arial"/>
                <w:sz w:val="20"/>
                <w:szCs w:val="20"/>
              </w:rPr>
              <w:t xml:space="preserve">b, así como 4 a 6 meses después de las infusiones y antes de dar una nueva infusión. </w:t>
            </w:r>
            <w:r w:rsidR="0034084C">
              <w:rPr>
                <w:rFonts w:ascii="Arial" w:hAnsi="Arial" w:cs="Arial"/>
                <w:b/>
                <w:sz w:val="20"/>
                <w:szCs w:val="20"/>
              </w:rPr>
              <w:t>[</w:t>
            </w:r>
            <w:r w:rsidR="0034084C" w:rsidRPr="001A5BEB">
              <w:rPr>
                <w:rFonts w:ascii="Arial" w:hAnsi="Arial" w:cs="Arial"/>
                <w:b/>
                <w:sz w:val="20"/>
                <w:szCs w:val="20"/>
              </w:rPr>
              <w:t xml:space="preserve">NE: </w:t>
            </w:r>
            <w:r w:rsidR="0034084C">
              <w:rPr>
                <w:rFonts w:ascii="Arial" w:hAnsi="Arial" w:cs="Arial"/>
                <w:b/>
                <w:sz w:val="20"/>
                <w:szCs w:val="20"/>
              </w:rPr>
              <w:t>4</w:t>
            </w:r>
            <w:r w:rsidR="0034084C" w:rsidRPr="001A5BEB">
              <w:rPr>
                <w:rFonts w:ascii="Arial" w:hAnsi="Arial" w:cs="Arial"/>
                <w:b/>
                <w:sz w:val="20"/>
                <w:szCs w:val="20"/>
              </w:rPr>
              <w:t xml:space="preserve">, GR: </w:t>
            </w:r>
            <w:r w:rsidR="0034084C">
              <w:rPr>
                <w:rFonts w:ascii="Arial" w:hAnsi="Arial" w:cs="Arial"/>
                <w:b/>
                <w:sz w:val="20"/>
                <w:szCs w:val="20"/>
              </w:rPr>
              <w:t>C]</w:t>
            </w:r>
            <w:r w:rsidR="0034084C">
              <w:rPr>
                <w:rFonts w:ascii="Arial" w:eastAsia="Times-Roman" w:hAnsi="Arial" w:cs="Arial"/>
                <w:color w:val="FF0000"/>
                <w:sz w:val="20"/>
                <w:szCs w:val="20"/>
                <w:vertAlign w:val="superscript"/>
              </w:rPr>
              <w:t>39</w:t>
            </w:r>
          </w:p>
          <w:p w14:paraId="292DAEEF" w14:textId="77777777" w:rsidR="0034084C" w:rsidRDefault="0034084C" w:rsidP="007614D7">
            <w:pPr>
              <w:autoSpaceDE w:val="0"/>
              <w:autoSpaceDN w:val="0"/>
              <w:adjustRightInd w:val="0"/>
              <w:contextualSpacing/>
              <w:jc w:val="both"/>
              <w:rPr>
                <w:rFonts w:ascii="Arial" w:hAnsi="Arial" w:cs="Arial"/>
                <w:sz w:val="20"/>
                <w:szCs w:val="20"/>
              </w:rPr>
            </w:pPr>
          </w:p>
          <w:p w14:paraId="589CD593" w14:textId="77777777" w:rsidR="0034084C" w:rsidRDefault="00D31B56"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Se deben investigar los factores de riesgo para hepatitis B y C en todos los pacientes que vayan a ser tratados con </w:t>
            </w:r>
            <w:r w:rsidR="00D2135E">
              <w:rPr>
                <w:rFonts w:ascii="Arial" w:hAnsi="Arial" w:cs="Arial"/>
                <w:sz w:val="20"/>
                <w:szCs w:val="20"/>
              </w:rPr>
              <w:t>RTX</w:t>
            </w:r>
            <w:r w:rsidRPr="0068632C">
              <w:rPr>
                <w:rFonts w:ascii="Arial" w:hAnsi="Arial" w:cs="Arial"/>
                <w:sz w:val="20"/>
                <w:szCs w:val="20"/>
              </w:rPr>
              <w:t xml:space="preserve">. En los pacientes que sean positivos para el virus de la hepatitis B, se debe valorar el riesgo-beneficio, ya que el tratamiento puede ser seguro si se da un tratamiento antiviral apropiado. El tratamiento con </w:t>
            </w:r>
            <w:r w:rsidR="00D2135E">
              <w:rPr>
                <w:rFonts w:ascii="Arial" w:hAnsi="Arial" w:cs="Arial"/>
                <w:sz w:val="20"/>
                <w:szCs w:val="20"/>
              </w:rPr>
              <w:t>RTX</w:t>
            </w:r>
            <w:r w:rsidRPr="0068632C">
              <w:rPr>
                <w:rFonts w:ascii="Arial" w:hAnsi="Arial" w:cs="Arial"/>
                <w:sz w:val="20"/>
                <w:szCs w:val="20"/>
              </w:rPr>
              <w:t xml:space="preserve"> puede ser seguro en pacientes con hepatitis C, pero hay algunos reportes de reacciones graves a la infusión en hasta el 25% de los pacientes. La serología para hepatitis C debe ser monitorizada en pacientes con evidencia pasada o presente de infección por hepatitis B o C. </w:t>
            </w:r>
            <w:r w:rsidR="0034084C">
              <w:rPr>
                <w:rFonts w:ascii="Arial" w:hAnsi="Arial" w:cs="Arial"/>
                <w:b/>
                <w:sz w:val="20"/>
                <w:szCs w:val="20"/>
              </w:rPr>
              <w:t>[</w:t>
            </w:r>
            <w:r w:rsidR="0034084C" w:rsidRPr="001A5BEB">
              <w:rPr>
                <w:rFonts w:ascii="Arial" w:hAnsi="Arial" w:cs="Arial"/>
                <w:b/>
                <w:sz w:val="20"/>
                <w:szCs w:val="20"/>
              </w:rPr>
              <w:t xml:space="preserve">NE: </w:t>
            </w:r>
            <w:r w:rsidR="0034084C">
              <w:rPr>
                <w:rFonts w:ascii="Arial" w:hAnsi="Arial" w:cs="Arial"/>
                <w:b/>
                <w:sz w:val="20"/>
                <w:szCs w:val="20"/>
              </w:rPr>
              <w:t>4</w:t>
            </w:r>
            <w:r w:rsidR="0034084C" w:rsidRPr="001A5BEB">
              <w:rPr>
                <w:rFonts w:ascii="Arial" w:hAnsi="Arial" w:cs="Arial"/>
                <w:b/>
                <w:sz w:val="20"/>
                <w:szCs w:val="20"/>
              </w:rPr>
              <w:t xml:space="preserve">, GR: </w:t>
            </w:r>
            <w:r w:rsidR="0034084C">
              <w:rPr>
                <w:rFonts w:ascii="Arial" w:hAnsi="Arial" w:cs="Arial"/>
                <w:b/>
                <w:sz w:val="20"/>
                <w:szCs w:val="20"/>
              </w:rPr>
              <w:t>C]</w:t>
            </w:r>
            <w:r w:rsidR="0034084C">
              <w:rPr>
                <w:rFonts w:ascii="Arial" w:eastAsia="Times-Roman" w:hAnsi="Arial" w:cs="Arial"/>
                <w:color w:val="FF0000"/>
                <w:sz w:val="20"/>
                <w:szCs w:val="20"/>
                <w:vertAlign w:val="superscript"/>
              </w:rPr>
              <w:t>39</w:t>
            </w:r>
          </w:p>
          <w:p w14:paraId="13BA3E93" w14:textId="77777777" w:rsidR="0034084C" w:rsidRDefault="0034084C" w:rsidP="007614D7">
            <w:pPr>
              <w:autoSpaceDE w:val="0"/>
              <w:autoSpaceDN w:val="0"/>
              <w:adjustRightInd w:val="0"/>
              <w:contextualSpacing/>
              <w:jc w:val="both"/>
              <w:rPr>
                <w:rFonts w:ascii="Arial" w:eastAsia="Times-Roman" w:hAnsi="Arial" w:cs="Arial"/>
                <w:color w:val="FF0000"/>
                <w:sz w:val="20"/>
                <w:szCs w:val="20"/>
                <w:vertAlign w:val="superscript"/>
              </w:rPr>
            </w:pPr>
          </w:p>
          <w:p w14:paraId="6AFF3C88" w14:textId="77777777" w:rsidR="0034084C" w:rsidRDefault="00D31B56"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lang w:val="es-ES"/>
              </w:rPr>
              <w:t>Se debe realizar escrutinio para VIH en los pacientes con riesgo alto para cont</w:t>
            </w:r>
            <w:r w:rsidR="00400CF3">
              <w:rPr>
                <w:rFonts w:ascii="Arial" w:hAnsi="Arial" w:cs="Arial"/>
                <w:sz w:val="20"/>
                <w:szCs w:val="20"/>
                <w:lang w:val="es-ES"/>
              </w:rPr>
              <w:t>raer la infección.</w:t>
            </w:r>
            <w:r w:rsidRPr="0068632C">
              <w:rPr>
                <w:rFonts w:ascii="Arial" w:hAnsi="Arial" w:cs="Arial"/>
                <w:sz w:val="20"/>
                <w:szCs w:val="20"/>
                <w:lang w:val="es-ES"/>
              </w:rPr>
              <w:t xml:space="preserve"> </w:t>
            </w:r>
            <w:r w:rsidR="0034084C">
              <w:rPr>
                <w:rFonts w:ascii="Arial" w:hAnsi="Arial" w:cs="Arial"/>
                <w:b/>
                <w:sz w:val="20"/>
                <w:szCs w:val="20"/>
              </w:rPr>
              <w:t>[</w:t>
            </w:r>
            <w:r w:rsidR="0034084C" w:rsidRPr="001A5BEB">
              <w:rPr>
                <w:rFonts w:ascii="Arial" w:hAnsi="Arial" w:cs="Arial"/>
                <w:b/>
                <w:sz w:val="20"/>
                <w:szCs w:val="20"/>
              </w:rPr>
              <w:t xml:space="preserve">NE: </w:t>
            </w:r>
            <w:r w:rsidR="0034084C">
              <w:rPr>
                <w:rFonts w:ascii="Arial" w:hAnsi="Arial" w:cs="Arial"/>
                <w:b/>
                <w:sz w:val="20"/>
                <w:szCs w:val="20"/>
              </w:rPr>
              <w:t>4</w:t>
            </w:r>
            <w:r w:rsidR="0034084C" w:rsidRPr="001A5BEB">
              <w:rPr>
                <w:rFonts w:ascii="Arial" w:hAnsi="Arial" w:cs="Arial"/>
                <w:b/>
                <w:sz w:val="20"/>
                <w:szCs w:val="20"/>
              </w:rPr>
              <w:t xml:space="preserve">, GR: </w:t>
            </w:r>
            <w:r w:rsidR="0034084C">
              <w:rPr>
                <w:rFonts w:ascii="Arial" w:hAnsi="Arial" w:cs="Arial"/>
                <w:b/>
                <w:sz w:val="20"/>
                <w:szCs w:val="20"/>
              </w:rPr>
              <w:t>D]</w:t>
            </w:r>
            <w:r w:rsidR="0034084C">
              <w:rPr>
                <w:rFonts w:ascii="Arial" w:eastAsia="Times-Roman" w:hAnsi="Arial" w:cs="Arial"/>
                <w:color w:val="FF0000"/>
                <w:sz w:val="20"/>
                <w:szCs w:val="20"/>
                <w:vertAlign w:val="superscript"/>
              </w:rPr>
              <w:t>40</w:t>
            </w:r>
          </w:p>
          <w:p w14:paraId="5CC210E9" w14:textId="77777777" w:rsidR="0034084C" w:rsidRDefault="0034084C" w:rsidP="007614D7">
            <w:pPr>
              <w:autoSpaceDE w:val="0"/>
              <w:autoSpaceDN w:val="0"/>
              <w:adjustRightInd w:val="0"/>
              <w:contextualSpacing/>
              <w:jc w:val="both"/>
              <w:rPr>
                <w:rFonts w:ascii="Arial" w:eastAsia="Times-Roman" w:hAnsi="Arial" w:cs="Arial"/>
                <w:color w:val="FF0000"/>
                <w:sz w:val="20"/>
                <w:szCs w:val="20"/>
                <w:vertAlign w:val="superscript"/>
              </w:rPr>
            </w:pPr>
          </w:p>
          <w:p w14:paraId="1C0F9CE1" w14:textId="77777777" w:rsidR="00D31B56" w:rsidRPr="0068632C" w:rsidRDefault="00D31B56" w:rsidP="007614D7">
            <w:pPr>
              <w:autoSpaceDE w:val="0"/>
              <w:autoSpaceDN w:val="0"/>
              <w:adjustRightInd w:val="0"/>
              <w:contextualSpacing/>
              <w:jc w:val="both"/>
              <w:rPr>
                <w:rFonts w:ascii="Arial" w:eastAsia="Times-Roman" w:hAnsi="Arial" w:cs="Arial"/>
                <w:sz w:val="20"/>
                <w:szCs w:val="20"/>
              </w:rPr>
            </w:pPr>
            <w:r w:rsidRPr="0068632C">
              <w:rPr>
                <w:rFonts w:ascii="Arial" w:hAnsi="Arial" w:cs="Arial"/>
                <w:sz w:val="20"/>
                <w:szCs w:val="20"/>
                <w:lang w:val="es-ES"/>
              </w:rPr>
              <w:t>Es deseable monitorizar los niveles de células B.</w:t>
            </w:r>
            <w:r w:rsidR="006C2049">
              <w:rPr>
                <w:rFonts w:ascii="Arial" w:hAnsi="Arial" w:cs="Arial"/>
                <w:sz w:val="20"/>
                <w:szCs w:val="20"/>
                <w:lang w:val="es-ES"/>
              </w:rPr>
              <w:t xml:space="preserve"> </w:t>
            </w:r>
            <w:r w:rsidR="006C2049" w:rsidRPr="006C2049">
              <w:rPr>
                <w:rFonts w:ascii="Arial" w:hAnsi="Arial" w:cs="Arial"/>
                <w:b/>
                <w:sz w:val="20"/>
                <w:szCs w:val="20"/>
                <w:lang w:val="es-ES"/>
              </w:rPr>
              <w:t>[</w:t>
            </w:r>
            <w:r w:rsidR="006C2049" w:rsidRPr="001A5BEB">
              <w:rPr>
                <w:rFonts w:ascii="Arial" w:hAnsi="Arial" w:cs="Arial"/>
                <w:b/>
                <w:sz w:val="20"/>
                <w:szCs w:val="20"/>
              </w:rPr>
              <w:t xml:space="preserve">GR: </w:t>
            </w:r>
            <w:r w:rsidR="006C2049">
              <w:rPr>
                <w:rFonts w:ascii="Arial" w:hAnsi="Arial" w:cs="Arial"/>
                <w:b/>
                <w:sz w:val="20"/>
                <w:szCs w:val="20"/>
              </w:rPr>
              <w:t>D]</w:t>
            </w:r>
          </w:p>
          <w:p w14:paraId="1E021C3D" w14:textId="77777777" w:rsidR="00D31B56" w:rsidRPr="0068632C" w:rsidRDefault="00D31B56" w:rsidP="007614D7">
            <w:pPr>
              <w:jc w:val="both"/>
              <w:rPr>
                <w:rFonts w:ascii="Arial" w:hAnsi="Arial" w:cs="Arial"/>
                <w:sz w:val="20"/>
                <w:szCs w:val="20"/>
              </w:rPr>
            </w:pPr>
            <w:r w:rsidRPr="0068632C">
              <w:rPr>
                <w:rFonts w:ascii="Arial" w:eastAsia="Times-Roman" w:hAnsi="Arial" w:cs="Arial"/>
                <w:i/>
                <w:sz w:val="20"/>
                <w:szCs w:val="20"/>
              </w:rPr>
              <w:t>Barreras de implementación</w:t>
            </w:r>
            <w:r w:rsidRPr="0068632C">
              <w:rPr>
                <w:rFonts w:ascii="Arial" w:eastAsia="Times-Roman" w:hAnsi="Arial" w:cs="Arial"/>
                <w:sz w:val="20"/>
                <w:szCs w:val="20"/>
              </w:rPr>
              <w:t>: El quantiferón es caro y está disponible solo en algunos sitios. Los niveles de inmunoglobulinas y los de células B no se realizan en todos los sitios.</w:t>
            </w:r>
          </w:p>
        </w:tc>
      </w:tr>
      <w:tr w:rsidR="00D31B56" w:rsidRPr="0068632C" w14:paraId="3848DB8F" w14:textId="77777777" w:rsidTr="007614D7">
        <w:tc>
          <w:tcPr>
            <w:tcW w:w="3168" w:type="dxa"/>
            <w:tcBorders>
              <w:top w:val="single" w:sz="4" w:space="0" w:color="auto"/>
              <w:left w:val="single" w:sz="4" w:space="0" w:color="auto"/>
              <w:bottom w:val="single" w:sz="4" w:space="0" w:color="auto"/>
              <w:right w:val="single" w:sz="4" w:space="0" w:color="auto"/>
            </w:tcBorders>
          </w:tcPr>
          <w:p w14:paraId="321318BC" w14:textId="77777777" w:rsidR="00D31B56" w:rsidRPr="0068632C" w:rsidRDefault="00D31B56" w:rsidP="007614D7">
            <w:pPr>
              <w:contextualSpacing/>
              <w:jc w:val="both"/>
              <w:rPr>
                <w:rFonts w:ascii="Arial" w:eastAsia="Times-Roman" w:hAnsi="Arial" w:cs="Arial"/>
                <w:b/>
                <w:sz w:val="20"/>
                <w:szCs w:val="20"/>
              </w:rPr>
            </w:pPr>
            <w:r w:rsidRPr="0068632C">
              <w:rPr>
                <w:rFonts w:ascii="Arial" w:hAnsi="Arial" w:cs="Arial"/>
                <w:sz w:val="20"/>
                <w:szCs w:val="20"/>
              </w:rPr>
              <w:lastRenderedPageBreak/>
              <w:t>Monoterapia o en combinaciones (¿cuál es la mejor combinación y secuencia?)</w:t>
            </w:r>
          </w:p>
        </w:tc>
        <w:tc>
          <w:tcPr>
            <w:tcW w:w="6438" w:type="dxa"/>
            <w:tcBorders>
              <w:top w:val="single" w:sz="4" w:space="0" w:color="auto"/>
              <w:left w:val="single" w:sz="4" w:space="0" w:color="auto"/>
              <w:bottom w:val="single" w:sz="4" w:space="0" w:color="auto"/>
              <w:right w:val="single" w:sz="4" w:space="0" w:color="auto"/>
            </w:tcBorders>
          </w:tcPr>
          <w:p w14:paraId="21A8A543" w14:textId="77777777" w:rsidR="00400CF3" w:rsidRDefault="00D31B56"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lang w:val="es-ES"/>
              </w:rPr>
              <w:t xml:space="preserve">El </w:t>
            </w:r>
            <w:r w:rsidR="00D2135E">
              <w:rPr>
                <w:rFonts w:ascii="Arial" w:hAnsi="Arial" w:cs="Arial"/>
                <w:sz w:val="20"/>
                <w:szCs w:val="20"/>
                <w:lang w:val="es-ES"/>
              </w:rPr>
              <w:t>RTX</w:t>
            </w:r>
            <w:r w:rsidRPr="0068632C">
              <w:rPr>
                <w:rFonts w:ascii="Arial" w:hAnsi="Arial" w:cs="Arial"/>
                <w:sz w:val="20"/>
                <w:szCs w:val="20"/>
                <w:lang w:val="es-ES"/>
              </w:rPr>
              <w:t xml:space="preserve"> debe ser administrado junto con MTX. Un curso de </w:t>
            </w:r>
            <w:r w:rsidR="00D2135E">
              <w:rPr>
                <w:rFonts w:ascii="Arial" w:hAnsi="Arial" w:cs="Arial"/>
                <w:sz w:val="20"/>
                <w:szCs w:val="20"/>
                <w:lang w:val="es-ES"/>
              </w:rPr>
              <w:t>RTX</w:t>
            </w:r>
            <w:r w:rsidRPr="0068632C">
              <w:rPr>
                <w:rFonts w:ascii="Arial" w:hAnsi="Arial" w:cs="Arial"/>
                <w:sz w:val="20"/>
                <w:szCs w:val="20"/>
                <w:lang w:val="es-ES"/>
              </w:rPr>
              <w:t xml:space="preserve"> consiste en 2 infusiones intravenosas de 1 g, con un intervalo de 2 semanas entre cada una. </w:t>
            </w:r>
            <w:r w:rsidR="00400CF3">
              <w:rPr>
                <w:rFonts w:ascii="Arial" w:hAnsi="Arial" w:cs="Arial"/>
                <w:b/>
                <w:sz w:val="20"/>
                <w:szCs w:val="20"/>
              </w:rPr>
              <w:t>[</w:t>
            </w:r>
            <w:r w:rsidR="00400CF3" w:rsidRPr="001A5BEB">
              <w:rPr>
                <w:rFonts w:ascii="Arial" w:hAnsi="Arial" w:cs="Arial"/>
                <w:b/>
                <w:sz w:val="20"/>
                <w:szCs w:val="20"/>
              </w:rPr>
              <w:t xml:space="preserve">NE: </w:t>
            </w:r>
            <w:r w:rsidR="00400CF3">
              <w:rPr>
                <w:rFonts w:ascii="Arial" w:hAnsi="Arial" w:cs="Arial"/>
                <w:b/>
                <w:sz w:val="20"/>
                <w:szCs w:val="20"/>
              </w:rPr>
              <w:t>I</w:t>
            </w:r>
            <w:r w:rsidR="00400CF3" w:rsidRPr="001A5BEB">
              <w:rPr>
                <w:rFonts w:ascii="Arial" w:hAnsi="Arial" w:cs="Arial"/>
                <w:b/>
                <w:sz w:val="20"/>
                <w:szCs w:val="20"/>
              </w:rPr>
              <w:t xml:space="preserve">, GR: </w:t>
            </w:r>
            <w:r w:rsidR="00400CF3">
              <w:rPr>
                <w:rFonts w:ascii="Arial" w:hAnsi="Arial" w:cs="Arial"/>
                <w:b/>
                <w:sz w:val="20"/>
                <w:szCs w:val="20"/>
              </w:rPr>
              <w:t>A]</w:t>
            </w:r>
            <w:r w:rsidR="00400CF3">
              <w:rPr>
                <w:rFonts w:ascii="Arial" w:eastAsia="Times-Roman" w:hAnsi="Arial" w:cs="Arial"/>
                <w:color w:val="FF0000"/>
                <w:sz w:val="20"/>
                <w:szCs w:val="20"/>
                <w:vertAlign w:val="superscript"/>
              </w:rPr>
              <w:t>41</w:t>
            </w:r>
          </w:p>
          <w:p w14:paraId="5DD8C152" w14:textId="77777777" w:rsidR="00D31B56" w:rsidRPr="0068632C" w:rsidRDefault="00D31B56" w:rsidP="007614D7">
            <w:pPr>
              <w:autoSpaceDE w:val="0"/>
              <w:autoSpaceDN w:val="0"/>
              <w:adjustRightInd w:val="0"/>
              <w:contextualSpacing/>
              <w:jc w:val="both"/>
              <w:rPr>
                <w:rFonts w:ascii="Arial" w:hAnsi="Arial" w:cs="Arial"/>
                <w:sz w:val="20"/>
                <w:szCs w:val="20"/>
                <w:lang w:val="es-ES"/>
              </w:rPr>
            </w:pPr>
            <w:r w:rsidRPr="0068632C">
              <w:rPr>
                <w:rFonts w:ascii="Arial" w:hAnsi="Arial" w:cs="Arial"/>
                <w:sz w:val="20"/>
                <w:szCs w:val="20"/>
                <w:lang w:val="es-ES"/>
              </w:rPr>
              <w:t>No se debe esperar a que la enfermedad se active para dar un nuevo curso de tratamiento.  El nuevo curso se puede dar tan pronto como a los 6 meses si el paciente tuvo una respuesta inicial, pero tiene sinovitis persistente.</w:t>
            </w:r>
            <w:r w:rsidR="00400CF3">
              <w:rPr>
                <w:rFonts w:ascii="Arial" w:hAnsi="Arial" w:cs="Arial"/>
                <w:b/>
                <w:sz w:val="20"/>
                <w:szCs w:val="20"/>
              </w:rPr>
              <w:t xml:space="preserve"> [</w:t>
            </w:r>
            <w:r w:rsidR="00400CF3" w:rsidRPr="001A5BEB">
              <w:rPr>
                <w:rFonts w:ascii="Arial" w:hAnsi="Arial" w:cs="Arial"/>
                <w:b/>
                <w:sz w:val="20"/>
                <w:szCs w:val="20"/>
              </w:rPr>
              <w:t xml:space="preserve">NE: </w:t>
            </w:r>
            <w:r w:rsidR="00400CF3">
              <w:rPr>
                <w:rFonts w:ascii="Arial" w:hAnsi="Arial" w:cs="Arial"/>
                <w:b/>
                <w:sz w:val="20"/>
                <w:szCs w:val="20"/>
              </w:rPr>
              <w:t>2/4</w:t>
            </w:r>
            <w:r w:rsidR="00400CF3" w:rsidRPr="001A5BEB">
              <w:rPr>
                <w:rFonts w:ascii="Arial" w:hAnsi="Arial" w:cs="Arial"/>
                <w:b/>
                <w:sz w:val="20"/>
                <w:szCs w:val="20"/>
              </w:rPr>
              <w:t xml:space="preserve">, GR: </w:t>
            </w:r>
            <w:r w:rsidR="00400CF3">
              <w:rPr>
                <w:rFonts w:ascii="Arial" w:hAnsi="Arial" w:cs="Arial"/>
                <w:b/>
                <w:sz w:val="20"/>
                <w:szCs w:val="20"/>
              </w:rPr>
              <w:t>C]</w:t>
            </w:r>
            <w:r w:rsidR="00400CF3">
              <w:rPr>
                <w:rFonts w:ascii="Arial" w:eastAsia="Times-Roman" w:hAnsi="Arial" w:cs="Arial"/>
                <w:color w:val="FF0000"/>
                <w:sz w:val="20"/>
                <w:szCs w:val="20"/>
                <w:vertAlign w:val="superscript"/>
              </w:rPr>
              <w:t>6</w:t>
            </w:r>
          </w:p>
          <w:p w14:paraId="5F7D59A7" w14:textId="77777777" w:rsidR="00400CF3" w:rsidRPr="0068632C" w:rsidRDefault="00400CF3" w:rsidP="007614D7">
            <w:pPr>
              <w:autoSpaceDE w:val="0"/>
              <w:autoSpaceDN w:val="0"/>
              <w:adjustRightInd w:val="0"/>
              <w:contextualSpacing/>
              <w:jc w:val="both"/>
              <w:rPr>
                <w:rFonts w:ascii="Arial" w:hAnsi="Arial" w:cs="Arial"/>
                <w:sz w:val="20"/>
                <w:szCs w:val="20"/>
              </w:rPr>
            </w:pPr>
          </w:p>
          <w:p w14:paraId="66E546F7" w14:textId="77777777" w:rsidR="00D31B56" w:rsidRPr="0068632C" w:rsidRDefault="00D31B56" w:rsidP="007614D7">
            <w:pPr>
              <w:autoSpaceDE w:val="0"/>
              <w:autoSpaceDN w:val="0"/>
              <w:adjustRightInd w:val="0"/>
              <w:contextualSpacing/>
              <w:jc w:val="both"/>
              <w:rPr>
                <w:rFonts w:ascii="Arial" w:eastAsia="Times-Roman" w:hAnsi="Arial" w:cs="Arial"/>
                <w:sz w:val="20"/>
                <w:szCs w:val="20"/>
              </w:rPr>
            </w:pPr>
            <w:r w:rsidRPr="0068632C">
              <w:rPr>
                <w:rFonts w:ascii="Arial" w:eastAsia="Times-Roman" w:hAnsi="Arial" w:cs="Arial"/>
                <w:sz w:val="20"/>
                <w:szCs w:val="20"/>
              </w:rPr>
              <w:t xml:space="preserve">Sin embargo, si la AR se mantiene inactiva, se puede llegar a administrar 9 o más meses después del primer curso. Esto permite u ahorro considerable de dinero en nuestro medio. </w:t>
            </w:r>
            <w:r w:rsidR="00400CF3" w:rsidRPr="006C2049">
              <w:rPr>
                <w:rFonts w:ascii="Arial" w:hAnsi="Arial" w:cs="Arial"/>
                <w:b/>
                <w:sz w:val="20"/>
                <w:szCs w:val="20"/>
                <w:lang w:val="es-ES"/>
              </w:rPr>
              <w:t>[</w:t>
            </w:r>
            <w:r w:rsidR="00400CF3" w:rsidRPr="001A5BEB">
              <w:rPr>
                <w:rFonts w:ascii="Arial" w:hAnsi="Arial" w:cs="Arial"/>
                <w:b/>
                <w:sz w:val="20"/>
                <w:szCs w:val="20"/>
              </w:rPr>
              <w:t xml:space="preserve">GR: </w:t>
            </w:r>
            <w:r w:rsidR="00400CF3">
              <w:rPr>
                <w:rFonts w:ascii="Arial" w:hAnsi="Arial" w:cs="Arial"/>
                <w:b/>
                <w:sz w:val="20"/>
                <w:szCs w:val="20"/>
              </w:rPr>
              <w:t>D]</w:t>
            </w:r>
          </w:p>
          <w:p w14:paraId="04E04FC5" w14:textId="77777777" w:rsidR="00D31B56" w:rsidRPr="0068632C" w:rsidRDefault="00D31B56" w:rsidP="007614D7">
            <w:pPr>
              <w:autoSpaceDE w:val="0"/>
              <w:autoSpaceDN w:val="0"/>
              <w:adjustRightInd w:val="0"/>
              <w:contextualSpacing/>
              <w:jc w:val="both"/>
              <w:rPr>
                <w:rFonts w:ascii="Arial" w:eastAsia="Times-Roman" w:hAnsi="Arial" w:cs="Arial"/>
                <w:sz w:val="20"/>
                <w:szCs w:val="20"/>
              </w:rPr>
            </w:pPr>
          </w:p>
          <w:p w14:paraId="2C60EA78" w14:textId="77777777" w:rsidR="00D31B56" w:rsidRDefault="00D31B56" w:rsidP="007614D7">
            <w:pPr>
              <w:jc w:val="both"/>
              <w:rPr>
                <w:rFonts w:ascii="Arial" w:eastAsia="Times-Roman" w:hAnsi="Arial" w:cs="Arial"/>
                <w:color w:val="FF0000"/>
                <w:sz w:val="20"/>
                <w:szCs w:val="20"/>
                <w:vertAlign w:val="superscript"/>
              </w:rPr>
            </w:pPr>
            <w:r w:rsidRPr="0068632C">
              <w:rPr>
                <w:rFonts w:ascii="Arial" w:hAnsi="Arial" w:cs="Arial"/>
                <w:sz w:val="20"/>
                <w:szCs w:val="20"/>
                <w:lang w:val="es-ES"/>
              </w:rPr>
              <w:t xml:space="preserve">El nuevo tratamiento se debe decidir con base en las manifestaciones clínicas, no en el número de células B. </w:t>
            </w:r>
            <w:r w:rsidR="00A213F1">
              <w:rPr>
                <w:rFonts w:ascii="Arial" w:hAnsi="Arial" w:cs="Arial"/>
                <w:b/>
                <w:sz w:val="20"/>
                <w:szCs w:val="20"/>
              </w:rPr>
              <w:t>[</w:t>
            </w:r>
            <w:r w:rsidR="00A213F1" w:rsidRPr="001A5BEB">
              <w:rPr>
                <w:rFonts w:ascii="Arial" w:hAnsi="Arial" w:cs="Arial"/>
                <w:b/>
                <w:sz w:val="20"/>
                <w:szCs w:val="20"/>
              </w:rPr>
              <w:t xml:space="preserve">NE: </w:t>
            </w:r>
            <w:r w:rsidR="00A213F1">
              <w:rPr>
                <w:rFonts w:ascii="Arial" w:hAnsi="Arial" w:cs="Arial"/>
                <w:b/>
                <w:sz w:val="20"/>
                <w:szCs w:val="20"/>
              </w:rPr>
              <w:t>3</w:t>
            </w:r>
            <w:r w:rsidR="00A213F1" w:rsidRPr="001A5BEB">
              <w:rPr>
                <w:rFonts w:ascii="Arial" w:hAnsi="Arial" w:cs="Arial"/>
                <w:b/>
                <w:sz w:val="20"/>
                <w:szCs w:val="20"/>
              </w:rPr>
              <w:t xml:space="preserve">, GR: </w:t>
            </w:r>
            <w:r w:rsidR="00A213F1">
              <w:rPr>
                <w:rFonts w:ascii="Arial" w:hAnsi="Arial" w:cs="Arial"/>
                <w:b/>
                <w:sz w:val="20"/>
                <w:szCs w:val="20"/>
              </w:rPr>
              <w:t>B]</w:t>
            </w:r>
            <w:r w:rsidR="00A213F1">
              <w:rPr>
                <w:rFonts w:ascii="Arial" w:eastAsia="Times-Roman" w:hAnsi="Arial" w:cs="Arial"/>
                <w:color w:val="FF0000"/>
                <w:sz w:val="20"/>
                <w:szCs w:val="20"/>
                <w:vertAlign w:val="superscript"/>
              </w:rPr>
              <w:t>39</w:t>
            </w:r>
          </w:p>
          <w:p w14:paraId="1D0FD663" w14:textId="77777777" w:rsidR="00A213F1" w:rsidRPr="0068632C" w:rsidRDefault="00A213F1" w:rsidP="007614D7">
            <w:pPr>
              <w:jc w:val="both"/>
              <w:rPr>
                <w:rFonts w:ascii="Arial" w:eastAsia="Times-Roman" w:hAnsi="Arial" w:cs="Arial"/>
                <w:b/>
                <w:sz w:val="20"/>
                <w:szCs w:val="20"/>
              </w:rPr>
            </w:pPr>
          </w:p>
          <w:p w14:paraId="03A050D0" w14:textId="77777777" w:rsidR="00D31B56" w:rsidRPr="0068632C" w:rsidRDefault="00D31B56" w:rsidP="00D2135E">
            <w:pPr>
              <w:jc w:val="both"/>
              <w:rPr>
                <w:rFonts w:ascii="Arial" w:eastAsia="Times-Roman" w:hAnsi="Arial" w:cs="Arial"/>
                <w:sz w:val="20"/>
                <w:szCs w:val="20"/>
              </w:rPr>
            </w:pPr>
            <w:r w:rsidRPr="0068632C">
              <w:rPr>
                <w:rFonts w:ascii="Arial" w:hAnsi="Arial" w:cs="Arial"/>
                <w:sz w:val="20"/>
                <w:szCs w:val="20"/>
                <w:lang w:val="es-ES"/>
              </w:rPr>
              <w:t xml:space="preserve">El </w:t>
            </w:r>
            <w:r w:rsidR="00D2135E">
              <w:rPr>
                <w:rFonts w:ascii="Arial" w:hAnsi="Arial" w:cs="Arial"/>
                <w:sz w:val="20"/>
                <w:szCs w:val="20"/>
                <w:lang w:val="es-ES"/>
              </w:rPr>
              <w:t>RTX</w:t>
            </w:r>
            <w:r w:rsidRPr="0068632C">
              <w:rPr>
                <w:rFonts w:ascii="Arial" w:hAnsi="Arial" w:cs="Arial"/>
                <w:sz w:val="20"/>
                <w:szCs w:val="20"/>
                <w:lang w:val="es-ES"/>
              </w:rPr>
              <w:t xml:space="preserve"> se puede utilizar, ya sea solo o en combinación con </w:t>
            </w:r>
            <w:r w:rsidR="00D2135E">
              <w:rPr>
                <w:rFonts w:ascii="Arial" w:hAnsi="Arial" w:cs="Arial"/>
                <w:sz w:val="20"/>
                <w:szCs w:val="20"/>
                <w:lang w:val="es-ES"/>
              </w:rPr>
              <w:t>LEF</w:t>
            </w:r>
            <w:r w:rsidRPr="0068632C">
              <w:rPr>
                <w:rFonts w:ascii="Arial" w:hAnsi="Arial" w:cs="Arial"/>
                <w:sz w:val="20"/>
                <w:szCs w:val="20"/>
                <w:lang w:val="es-ES"/>
              </w:rPr>
              <w:t xml:space="preserve"> si el MTX está contraindicado. </w:t>
            </w:r>
            <w:r w:rsidR="00A213F1">
              <w:rPr>
                <w:rFonts w:ascii="Arial" w:hAnsi="Arial" w:cs="Arial"/>
                <w:b/>
                <w:sz w:val="20"/>
                <w:szCs w:val="20"/>
              </w:rPr>
              <w:t>[</w:t>
            </w:r>
            <w:r w:rsidR="00A213F1" w:rsidRPr="001A5BEB">
              <w:rPr>
                <w:rFonts w:ascii="Arial" w:hAnsi="Arial" w:cs="Arial"/>
                <w:b/>
                <w:sz w:val="20"/>
                <w:szCs w:val="20"/>
              </w:rPr>
              <w:t xml:space="preserve">NE: </w:t>
            </w:r>
            <w:r w:rsidR="00A213F1">
              <w:rPr>
                <w:rFonts w:ascii="Arial" w:hAnsi="Arial" w:cs="Arial"/>
                <w:b/>
                <w:sz w:val="20"/>
                <w:szCs w:val="20"/>
              </w:rPr>
              <w:t>3</w:t>
            </w:r>
            <w:r w:rsidR="00A213F1" w:rsidRPr="001A5BEB">
              <w:rPr>
                <w:rFonts w:ascii="Arial" w:hAnsi="Arial" w:cs="Arial"/>
                <w:b/>
                <w:sz w:val="20"/>
                <w:szCs w:val="20"/>
              </w:rPr>
              <w:t xml:space="preserve">, GR: </w:t>
            </w:r>
            <w:r w:rsidR="00A213F1">
              <w:rPr>
                <w:rFonts w:ascii="Arial" w:hAnsi="Arial" w:cs="Arial"/>
                <w:b/>
                <w:sz w:val="20"/>
                <w:szCs w:val="20"/>
              </w:rPr>
              <w:t>B]</w:t>
            </w:r>
            <w:r w:rsidR="00A213F1">
              <w:rPr>
                <w:rFonts w:ascii="Arial" w:eastAsia="Times-Roman" w:hAnsi="Arial" w:cs="Arial"/>
                <w:color w:val="FF0000"/>
                <w:sz w:val="20"/>
                <w:szCs w:val="20"/>
                <w:vertAlign w:val="superscript"/>
              </w:rPr>
              <w:t>39</w:t>
            </w:r>
          </w:p>
        </w:tc>
      </w:tr>
      <w:tr w:rsidR="00D31B56" w:rsidRPr="0068632C" w14:paraId="535B50F3" w14:textId="77777777" w:rsidTr="007614D7">
        <w:tc>
          <w:tcPr>
            <w:tcW w:w="3168" w:type="dxa"/>
            <w:tcBorders>
              <w:top w:val="single" w:sz="4" w:space="0" w:color="auto"/>
              <w:left w:val="single" w:sz="4" w:space="0" w:color="auto"/>
              <w:bottom w:val="single" w:sz="4" w:space="0" w:color="auto"/>
              <w:right w:val="single" w:sz="4" w:space="0" w:color="auto"/>
            </w:tcBorders>
          </w:tcPr>
          <w:p w14:paraId="5E1BC5EE" w14:textId="77777777" w:rsidR="00D31B56" w:rsidRPr="0068632C" w:rsidRDefault="00D31B56" w:rsidP="007614D7">
            <w:pPr>
              <w:contextualSpacing/>
              <w:jc w:val="both"/>
              <w:rPr>
                <w:rFonts w:ascii="Arial" w:eastAsia="Times-Roman" w:hAnsi="Arial" w:cs="Arial"/>
                <w:b/>
                <w:sz w:val="20"/>
                <w:szCs w:val="20"/>
              </w:rPr>
            </w:pPr>
            <w:r w:rsidRPr="0068632C">
              <w:rPr>
                <w:rFonts w:ascii="Arial" w:hAnsi="Arial" w:cs="Arial"/>
                <w:sz w:val="20"/>
                <w:szCs w:val="20"/>
              </w:rPr>
              <w:t>Tiempo para definir ajuste de dosis y retiro de medicamento</w:t>
            </w:r>
          </w:p>
        </w:tc>
        <w:tc>
          <w:tcPr>
            <w:tcW w:w="6438" w:type="dxa"/>
            <w:tcBorders>
              <w:top w:val="single" w:sz="4" w:space="0" w:color="auto"/>
              <w:left w:val="single" w:sz="4" w:space="0" w:color="auto"/>
              <w:bottom w:val="single" w:sz="4" w:space="0" w:color="auto"/>
              <w:right w:val="single" w:sz="4" w:space="0" w:color="auto"/>
            </w:tcBorders>
          </w:tcPr>
          <w:p w14:paraId="6A851227" w14:textId="77777777" w:rsidR="00A213F1" w:rsidRDefault="00D31B56"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El consenso español de uso de </w:t>
            </w:r>
            <w:r w:rsidR="00D2135E">
              <w:rPr>
                <w:rFonts w:ascii="Arial" w:hAnsi="Arial" w:cs="Arial"/>
                <w:sz w:val="20"/>
                <w:szCs w:val="20"/>
              </w:rPr>
              <w:t>RTX</w:t>
            </w:r>
            <w:r w:rsidRPr="0068632C">
              <w:rPr>
                <w:rFonts w:ascii="Arial" w:hAnsi="Arial" w:cs="Arial"/>
                <w:sz w:val="20"/>
                <w:szCs w:val="20"/>
              </w:rPr>
              <w:t xml:space="preserve"> en AR considera que el momento más adecuado para evaluar la respuesta al </w:t>
            </w:r>
            <w:r w:rsidR="00D2135E">
              <w:rPr>
                <w:rFonts w:ascii="Arial" w:hAnsi="Arial" w:cs="Arial"/>
                <w:sz w:val="20"/>
                <w:szCs w:val="20"/>
              </w:rPr>
              <w:t>RTX</w:t>
            </w:r>
            <w:r w:rsidRPr="0068632C">
              <w:rPr>
                <w:rFonts w:ascii="Arial" w:hAnsi="Arial" w:cs="Arial"/>
                <w:sz w:val="20"/>
                <w:szCs w:val="20"/>
              </w:rPr>
              <w:t xml:space="preserve"> debe ser alrededor de la semana 16. </w:t>
            </w:r>
            <w:r w:rsidR="00A213F1">
              <w:rPr>
                <w:rFonts w:ascii="Arial" w:hAnsi="Arial" w:cs="Arial"/>
                <w:b/>
                <w:sz w:val="20"/>
                <w:szCs w:val="20"/>
              </w:rPr>
              <w:t>[</w:t>
            </w:r>
            <w:r w:rsidR="00A213F1" w:rsidRPr="001A5BEB">
              <w:rPr>
                <w:rFonts w:ascii="Arial" w:hAnsi="Arial" w:cs="Arial"/>
                <w:b/>
                <w:sz w:val="20"/>
                <w:szCs w:val="20"/>
              </w:rPr>
              <w:t xml:space="preserve">NE: </w:t>
            </w:r>
            <w:r w:rsidR="00A213F1">
              <w:rPr>
                <w:rFonts w:ascii="Arial" w:hAnsi="Arial" w:cs="Arial"/>
                <w:b/>
                <w:sz w:val="20"/>
                <w:szCs w:val="20"/>
              </w:rPr>
              <w:t>1</w:t>
            </w:r>
            <w:r w:rsidR="00A213F1" w:rsidRPr="001A5BEB">
              <w:rPr>
                <w:rFonts w:ascii="Arial" w:hAnsi="Arial" w:cs="Arial"/>
                <w:b/>
                <w:sz w:val="20"/>
                <w:szCs w:val="20"/>
              </w:rPr>
              <w:t xml:space="preserve">, GR: </w:t>
            </w:r>
            <w:r w:rsidR="00A213F1">
              <w:rPr>
                <w:rFonts w:ascii="Arial" w:hAnsi="Arial" w:cs="Arial"/>
                <w:b/>
                <w:sz w:val="20"/>
                <w:szCs w:val="20"/>
              </w:rPr>
              <w:t>A]</w:t>
            </w:r>
            <w:r w:rsidR="00A213F1">
              <w:rPr>
                <w:rFonts w:ascii="Arial" w:eastAsia="Times-Roman" w:hAnsi="Arial" w:cs="Arial"/>
                <w:color w:val="FF0000"/>
                <w:sz w:val="20"/>
                <w:szCs w:val="20"/>
                <w:vertAlign w:val="superscript"/>
              </w:rPr>
              <w:t>13</w:t>
            </w:r>
          </w:p>
          <w:p w14:paraId="0E164214" w14:textId="77777777" w:rsidR="00A213F1" w:rsidRDefault="00A213F1" w:rsidP="007614D7">
            <w:pPr>
              <w:autoSpaceDE w:val="0"/>
              <w:autoSpaceDN w:val="0"/>
              <w:adjustRightInd w:val="0"/>
              <w:contextualSpacing/>
              <w:jc w:val="both"/>
              <w:rPr>
                <w:rFonts w:ascii="Arial" w:eastAsia="Times-Roman" w:hAnsi="Arial" w:cs="Arial"/>
                <w:color w:val="FF0000"/>
                <w:sz w:val="20"/>
                <w:szCs w:val="20"/>
                <w:vertAlign w:val="superscript"/>
              </w:rPr>
            </w:pPr>
          </w:p>
          <w:p w14:paraId="06F1BFED" w14:textId="77777777" w:rsidR="00D31B56" w:rsidRDefault="00D31B56" w:rsidP="007614D7">
            <w:pPr>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Sin embargo de, las guías de la Sociedad Británica de Reumatología (BSR) sobre el uso de </w:t>
            </w:r>
            <w:r w:rsidR="00D2135E">
              <w:rPr>
                <w:rFonts w:ascii="Arial" w:hAnsi="Arial" w:cs="Arial"/>
                <w:sz w:val="20"/>
                <w:szCs w:val="20"/>
              </w:rPr>
              <w:t>RTX</w:t>
            </w:r>
            <w:r w:rsidRPr="0068632C">
              <w:rPr>
                <w:rFonts w:ascii="Arial" w:hAnsi="Arial" w:cs="Arial"/>
                <w:sz w:val="20"/>
                <w:szCs w:val="20"/>
              </w:rPr>
              <w:t xml:space="preserve"> en AR consideran que el momento ideal es a la semana 24. </w:t>
            </w:r>
            <w:r w:rsidR="00A213F1">
              <w:rPr>
                <w:rFonts w:ascii="Arial" w:hAnsi="Arial" w:cs="Arial"/>
                <w:b/>
                <w:sz w:val="20"/>
                <w:szCs w:val="20"/>
              </w:rPr>
              <w:t>[</w:t>
            </w:r>
            <w:r w:rsidR="00A213F1" w:rsidRPr="001A5BEB">
              <w:rPr>
                <w:rFonts w:ascii="Arial" w:hAnsi="Arial" w:cs="Arial"/>
                <w:b/>
                <w:sz w:val="20"/>
                <w:szCs w:val="20"/>
              </w:rPr>
              <w:t xml:space="preserve">NE: </w:t>
            </w:r>
            <w:r w:rsidR="00A213F1">
              <w:rPr>
                <w:rFonts w:ascii="Arial" w:hAnsi="Arial" w:cs="Arial"/>
                <w:b/>
                <w:sz w:val="20"/>
                <w:szCs w:val="20"/>
              </w:rPr>
              <w:t>2</w:t>
            </w:r>
            <w:r w:rsidR="00A213F1" w:rsidRPr="001A5BEB">
              <w:rPr>
                <w:rFonts w:ascii="Arial" w:hAnsi="Arial" w:cs="Arial"/>
                <w:b/>
                <w:sz w:val="20"/>
                <w:szCs w:val="20"/>
              </w:rPr>
              <w:t xml:space="preserve">, GR: </w:t>
            </w:r>
            <w:r w:rsidR="00A213F1">
              <w:rPr>
                <w:rFonts w:ascii="Arial" w:hAnsi="Arial" w:cs="Arial"/>
                <w:b/>
                <w:sz w:val="20"/>
                <w:szCs w:val="20"/>
              </w:rPr>
              <w:t>B]</w:t>
            </w:r>
            <w:r w:rsidR="00A213F1">
              <w:rPr>
                <w:rFonts w:ascii="Arial" w:eastAsia="Times-Roman" w:hAnsi="Arial" w:cs="Arial"/>
                <w:color w:val="FF0000"/>
                <w:sz w:val="20"/>
                <w:szCs w:val="20"/>
                <w:vertAlign w:val="superscript"/>
              </w:rPr>
              <w:t>39</w:t>
            </w:r>
          </w:p>
          <w:p w14:paraId="035CA598" w14:textId="77777777" w:rsidR="00A213F1" w:rsidRPr="0068632C" w:rsidRDefault="00A213F1" w:rsidP="007614D7">
            <w:pPr>
              <w:contextualSpacing/>
              <w:jc w:val="both"/>
              <w:rPr>
                <w:rFonts w:ascii="Arial" w:hAnsi="Arial" w:cs="Arial"/>
                <w:sz w:val="20"/>
                <w:szCs w:val="20"/>
              </w:rPr>
            </w:pPr>
          </w:p>
          <w:p w14:paraId="14495811" w14:textId="77777777" w:rsidR="00D31B56" w:rsidRDefault="00D31B56"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Por otro lado, se recomienda que si un paciente tiene todavía actividad moderada o alta después de 6 meses de tratamiento con un agente biológico no anti TNF y la falla se debe a falta de beneficio, se </w:t>
            </w:r>
            <w:r w:rsidRPr="0068632C">
              <w:rPr>
                <w:rFonts w:ascii="Arial" w:hAnsi="Arial" w:cs="Arial"/>
                <w:sz w:val="20"/>
                <w:szCs w:val="20"/>
              </w:rPr>
              <w:lastRenderedPageBreak/>
              <w:t xml:space="preserve">debe cambiar a otro agente biológico no anti TNF o a un agente anti-TNF. </w:t>
            </w:r>
            <w:r w:rsidR="00A213F1">
              <w:rPr>
                <w:rFonts w:ascii="Arial" w:hAnsi="Arial" w:cs="Arial"/>
                <w:b/>
                <w:sz w:val="20"/>
                <w:szCs w:val="20"/>
              </w:rPr>
              <w:t>[</w:t>
            </w:r>
            <w:r w:rsidR="00A213F1" w:rsidRPr="001A5BEB">
              <w:rPr>
                <w:rFonts w:ascii="Arial" w:hAnsi="Arial" w:cs="Arial"/>
                <w:b/>
                <w:sz w:val="20"/>
                <w:szCs w:val="20"/>
              </w:rPr>
              <w:t xml:space="preserve">NE: </w:t>
            </w:r>
            <w:r w:rsidR="00A213F1">
              <w:rPr>
                <w:rFonts w:ascii="Arial" w:hAnsi="Arial" w:cs="Arial"/>
                <w:b/>
                <w:sz w:val="20"/>
                <w:szCs w:val="20"/>
              </w:rPr>
              <w:t>2</w:t>
            </w:r>
            <w:r w:rsidR="00A213F1" w:rsidRPr="001A5BEB">
              <w:rPr>
                <w:rFonts w:ascii="Arial" w:hAnsi="Arial" w:cs="Arial"/>
                <w:b/>
                <w:sz w:val="20"/>
                <w:szCs w:val="20"/>
              </w:rPr>
              <w:t xml:space="preserve">, GR: </w:t>
            </w:r>
            <w:r w:rsidR="00A213F1">
              <w:rPr>
                <w:rFonts w:ascii="Arial" w:hAnsi="Arial" w:cs="Arial"/>
                <w:b/>
                <w:sz w:val="20"/>
                <w:szCs w:val="20"/>
              </w:rPr>
              <w:t>B]</w:t>
            </w:r>
            <w:r w:rsidR="00A213F1">
              <w:rPr>
                <w:rFonts w:ascii="Arial" w:eastAsia="Times-Roman" w:hAnsi="Arial" w:cs="Arial"/>
                <w:color w:val="FF0000"/>
                <w:sz w:val="20"/>
                <w:szCs w:val="20"/>
                <w:vertAlign w:val="superscript"/>
              </w:rPr>
              <w:t>41</w:t>
            </w:r>
          </w:p>
          <w:p w14:paraId="5CC43F38" w14:textId="77777777" w:rsidR="00A213F1" w:rsidRPr="0068632C" w:rsidRDefault="00A213F1" w:rsidP="007614D7">
            <w:pPr>
              <w:autoSpaceDE w:val="0"/>
              <w:autoSpaceDN w:val="0"/>
              <w:adjustRightInd w:val="0"/>
              <w:contextualSpacing/>
              <w:jc w:val="both"/>
              <w:rPr>
                <w:rFonts w:ascii="Arial" w:hAnsi="Arial" w:cs="Arial"/>
                <w:sz w:val="20"/>
                <w:szCs w:val="20"/>
              </w:rPr>
            </w:pPr>
          </w:p>
          <w:p w14:paraId="6FBA2646" w14:textId="77777777" w:rsidR="00D31B56" w:rsidRPr="0068632C" w:rsidRDefault="00D31B56" w:rsidP="007614D7">
            <w:pPr>
              <w:autoSpaceDE w:val="0"/>
              <w:autoSpaceDN w:val="0"/>
              <w:adjustRightInd w:val="0"/>
              <w:contextualSpacing/>
              <w:jc w:val="both"/>
              <w:rPr>
                <w:rFonts w:ascii="Arial" w:hAnsi="Arial" w:cs="Arial"/>
                <w:sz w:val="20"/>
                <w:szCs w:val="20"/>
              </w:rPr>
            </w:pPr>
            <w:r w:rsidRPr="0068632C">
              <w:rPr>
                <w:rFonts w:ascii="Arial" w:hAnsi="Arial" w:cs="Arial"/>
                <w:sz w:val="20"/>
                <w:szCs w:val="20"/>
              </w:rPr>
              <w:t>Se prefiere un período de 6 meses en lugar de 3 meses debido a que se puede requerir un período más largo de tiempo para obtener la eficacia de un agente biológico no anti TNF.</w:t>
            </w:r>
            <w:r w:rsidR="00A213F1">
              <w:rPr>
                <w:rFonts w:ascii="Arial" w:eastAsia="Times-Roman" w:hAnsi="Arial" w:cs="Arial"/>
                <w:color w:val="FF0000"/>
                <w:sz w:val="20"/>
                <w:szCs w:val="20"/>
                <w:vertAlign w:val="superscript"/>
              </w:rPr>
              <w:t xml:space="preserve"> 42</w:t>
            </w:r>
          </w:p>
        </w:tc>
      </w:tr>
      <w:tr w:rsidR="00D31B56" w:rsidRPr="0068632C" w14:paraId="1CB30303" w14:textId="77777777" w:rsidTr="007614D7">
        <w:tc>
          <w:tcPr>
            <w:tcW w:w="3168" w:type="dxa"/>
            <w:tcBorders>
              <w:top w:val="single" w:sz="4" w:space="0" w:color="auto"/>
              <w:left w:val="single" w:sz="4" w:space="0" w:color="auto"/>
              <w:bottom w:val="single" w:sz="4" w:space="0" w:color="auto"/>
              <w:right w:val="single" w:sz="4" w:space="0" w:color="auto"/>
            </w:tcBorders>
          </w:tcPr>
          <w:p w14:paraId="713D6E7D" w14:textId="77777777" w:rsidR="00D31B56" w:rsidRPr="0068632C" w:rsidRDefault="00D31B56" w:rsidP="007614D7">
            <w:pPr>
              <w:contextualSpacing/>
              <w:jc w:val="both"/>
              <w:rPr>
                <w:rFonts w:ascii="Arial" w:eastAsia="Times-Roman" w:hAnsi="Arial" w:cs="Arial"/>
                <w:b/>
                <w:sz w:val="20"/>
                <w:szCs w:val="20"/>
              </w:rPr>
            </w:pPr>
            <w:r w:rsidRPr="0068632C">
              <w:rPr>
                <w:rFonts w:ascii="Arial" w:hAnsi="Arial" w:cs="Arial"/>
                <w:sz w:val="20"/>
                <w:szCs w:val="20"/>
              </w:rPr>
              <w:lastRenderedPageBreak/>
              <w:t>Dosis mínima y máxima</w:t>
            </w:r>
          </w:p>
        </w:tc>
        <w:tc>
          <w:tcPr>
            <w:tcW w:w="6438" w:type="dxa"/>
            <w:tcBorders>
              <w:top w:val="single" w:sz="4" w:space="0" w:color="auto"/>
              <w:left w:val="single" w:sz="4" w:space="0" w:color="auto"/>
              <w:bottom w:val="single" w:sz="4" w:space="0" w:color="auto"/>
              <w:right w:val="single" w:sz="4" w:space="0" w:color="auto"/>
            </w:tcBorders>
          </w:tcPr>
          <w:p w14:paraId="5CC4A70C" w14:textId="77777777" w:rsidR="004C7C73" w:rsidRDefault="00D31B56"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lang w:val="es-ES"/>
              </w:rPr>
              <w:t xml:space="preserve">La dosis consiste en 2 infusiones intravenosas de un gramo, con un intervalo de 2 semanas entre cada una. </w:t>
            </w:r>
            <w:r w:rsidR="004C7C73">
              <w:rPr>
                <w:rFonts w:ascii="Arial" w:hAnsi="Arial" w:cs="Arial"/>
                <w:b/>
                <w:sz w:val="20"/>
                <w:szCs w:val="20"/>
              </w:rPr>
              <w:t>[</w:t>
            </w:r>
            <w:r w:rsidR="004C7C73" w:rsidRPr="001A5BEB">
              <w:rPr>
                <w:rFonts w:ascii="Arial" w:hAnsi="Arial" w:cs="Arial"/>
                <w:b/>
                <w:sz w:val="20"/>
                <w:szCs w:val="20"/>
              </w:rPr>
              <w:t xml:space="preserve">NE: </w:t>
            </w:r>
            <w:r w:rsidR="004C7C73">
              <w:rPr>
                <w:rFonts w:ascii="Arial" w:hAnsi="Arial" w:cs="Arial"/>
                <w:b/>
                <w:sz w:val="20"/>
                <w:szCs w:val="20"/>
              </w:rPr>
              <w:t>1</w:t>
            </w:r>
            <w:r w:rsidR="004C7C73" w:rsidRPr="001A5BEB">
              <w:rPr>
                <w:rFonts w:ascii="Arial" w:hAnsi="Arial" w:cs="Arial"/>
                <w:b/>
                <w:sz w:val="20"/>
                <w:szCs w:val="20"/>
              </w:rPr>
              <w:t xml:space="preserve">, GR: </w:t>
            </w:r>
            <w:r w:rsidR="004C7C73">
              <w:rPr>
                <w:rFonts w:ascii="Arial" w:hAnsi="Arial" w:cs="Arial"/>
                <w:b/>
                <w:sz w:val="20"/>
                <w:szCs w:val="20"/>
              </w:rPr>
              <w:t>A]</w:t>
            </w:r>
            <w:r w:rsidR="004C7C73">
              <w:rPr>
                <w:rFonts w:ascii="Arial" w:eastAsia="Times-Roman" w:hAnsi="Arial" w:cs="Arial"/>
                <w:color w:val="FF0000"/>
                <w:sz w:val="20"/>
                <w:szCs w:val="20"/>
                <w:vertAlign w:val="superscript"/>
              </w:rPr>
              <w:t>41</w:t>
            </w:r>
          </w:p>
          <w:p w14:paraId="7F495817" w14:textId="77777777" w:rsidR="004C7C73" w:rsidRDefault="004C7C73" w:rsidP="007614D7">
            <w:pPr>
              <w:autoSpaceDE w:val="0"/>
              <w:autoSpaceDN w:val="0"/>
              <w:adjustRightInd w:val="0"/>
              <w:contextualSpacing/>
              <w:jc w:val="both"/>
              <w:rPr>
                <w:rFonts w:ascii="Arial" w:eastAsia="Times-Roman" w:hAnsi="Arial" w:cs="Arial"/>
                <w:color w:val="FF0000"/>
                <w:sz w:val="20"/>
                <w:szCs w:val="20"/>
                <w:vertAlign w:val="superscript"/>
              </w:rPr>
            </w:pPr>
          </w:p>
          <w:p w14:paraId="3BC5574D" w14:textId="77777777" w:rsidR="00D31B56" w:rsidRPr="0068632C" w:rsidRDefault="00D31B56" w:rsidP="007614D7">
            <w:pPr>
              <w:contextualSpacing/>
              <w:rPr>
                <w:rFonts w:ascii="Arial" w:hAnsi="Arial" w:cs="Arial"/>
                <w:sz w:val="20"/>
                <w:szCs w:val="20"/>
              </w:rPr>
            </w:pPr>
            <w:r w:rsidRPr="0068632C">
              <w:rPr>
                <w:rFonts w:ascii="Arial" w:hAnsi="Arial" w:cs="Arial"/>
                <w:sz w:val="20"/>
                <w:szCs w:val="20"/>
              </w:rPr>
              <w:t>Sin embargo la administración de 2 dosis intravenosas de 500 mg con un intervalo de 2 semanas se puede considerar particularmente en pacientes con AR activa que hayan tenido una respuesta inadecuada a los FARME tradicionales como el MTX, y que no hayan recibido otro agente biológico. En este contexto se han obtenido resultados similares entre los 2 esquemas terapéuticos.</w:t>
            </w:r>
            <w:r w:rsidR="004C7C73">
              <w:rPr>
                <w:rFonts w:ascii="Arial" w:hAnsi="Arial" w:cs="Arial"/>
                <w:b/>
                <w:sz w:val="20"/>
                <w:szCs w:val="20"/>
              </w:rPr>
              <w:t xml:space="preserve"> [</w:t>
            </w:r>
            <w:r w:rsidR="004C7C73" w:rsidRPr="001A5BEB">
              <w:rPr>
                <w:rFonts w:ascii="Arial" w:hAnsi="Arial" w:cs="Arial"/>
                <w:b/>
                <w:sz w:val="20"/>
                <w:szCs w:val="20"/>
              </w:rPr>
              <w:t xml:space="preserve">NE: </w:t>
            </w:r>
            <w:r w:rsidR="004C7C73">
              <w:rPr>
                <w:rFonts w:ascii="Arial" w:hAnsi="Arial" w:cs="Arial"/>
                <w:b/>
                <w:sz w:val="20"/>
                <w:szCs w:val="20"/>
              </w:rPr>
              <w:t>1</w:t>
            </w:r>
            <w:r w:rsidR="004C7C73" w:rsidRPr="001A5BEB">
              <w:rPr>
                <w:rFonts w:ascii="Arial" w:hAnsi="Arial" w:cs="Arial"/>
                <w:b/>
                <w:sz w:val="20"/>
                <w:szCs w:val="20"/>
              </w:rPr>
              <w:t xml:space="preserve">, GR: </w:t>
            </w:r>
            <w:r w:rsidR="004C7C73">
              <w:rPr>
                <w:rFonts w:ascii="Arial" w:hAnsi="Arial" w:cs="Arial"/>
                <w:b/>
                <w:sz w:val="20"/>
                <w:szCs w:val="20"/>
              </w:rPr>
              <w:t>A]</w:t>
            </w:r>
            <w:r w:rsidR="004C7C73">
              <w:rPr>
                <w:rFonts w:ascii="Arial" w:eastAsia="Times-Roman" w:hAnsi="Arial" w:cs="Arial"/>
                <w:color w:val="FF0000"/>
                <w:sz w:val="20"/>
                <w:szCs w:val="20"/>
                <w:vertAlign w:val="superscript"/>
              </w:rPr>
              <w:t>20</w:t>
            </w:r>
          </w:p>
        </w:tc>
      </w:tr>
      <w:tr w:rsidR="00D31B56" w:rsidRPr="0068632C" w14:paraId="39F13E54" w14:textId="77777777" w:rsidTr="007614D7">
        <w:tc>
          <w:tcPr>
            <w:tcW w:w="3168" w:type="dxa"/>
            <w:tcBorders>
              <w:top w:val="single" w:sz="4" w:space="0" w:color="auto"/>
              <w:left w:val="single" w:sz="4" w:space="0" w:color="auto"/>
              <w:bottom w:val="single" w:sz="4" w:space="0" w:color="auto"/>
              <w:right w:val="single" w:sz="4" w:space="0" w:color="auto"/>
            </w:tcBorders>
          </w:tcPr>
          <w:p w14:paraId="1A873BFF" w14:textId="77777777" w:rsidR="00D31B56" w:rsidRPr="0068632C" w:rsidRDefault="00D31B56" w:rsidP="00D31B56">
            <w:pPr>
              <w:numPr>
                <w:ilvl w:val="0"/>
                <w:numId w:val="2"/>
              </w:numPr>
              <w:ind w:left="0"/>
              <w:contextualSpacing/>
              <w:jc w:val="both"/>
              <w:rPr>
                <w:rFonts w:ascii="Arial" w:hAnsi="Arial" w:cs="Arial"/>
                <w:sz w:val="20"/>
                <w:szCs w:val="20"/>
              </w:rPr>
            </w:pPr>
            <w:r w:rsidRPr="0068632C">
              <w:rPr>
                <w:rFonts w:ascii="Arial" w:hAnsi="Arial" w:cs="Arial"/>
                <w:sz w:val="20"/>
                <w:szCs w:val="20"/>
              </w:rPr>
              <w:t>Contraindicaciones</w:t>
            </w:r>
          </w:p>
        </w:tc>
        <w:tc>
          <w:tcPr>
            <w:tcW w:w="6438" w:type="dxa"/>
            <w:tcBorders>
              <w:top w:val="single" w:sz="4" w:space="0" w:color="auto"/>
              <w:left w:val="single" w:sz="4" w:space="0" w:color="auto"/>
              <w:bottom w:val="single" w:sz="4" w:space="0" w:color="auto"/>
              <w:right w:val="single" w:sz="4" w:space="0" w:color="auto"/>
            </w:tcBorders>
          </w:tcPr>
          <w:p w14:paraId="51155810" w14:textId="77777777" w:rsidR="007A0B57" w:rsidRDefault="00D31B56" w:rsidP="007614D7">
            <w:pPr>
              <w:jc w:val="both"/>
              <w:rPr>
                <w:rFonts w:ascii="Arial" w:eastAsia="Times-Roman" w:hAnsi="Arial" w:cs="Arial"/>
                <w:color w:val="FF0000"/>
                <w:sz w:val="20"/>
                <w:szCs w:val="20"/>
                <w:vertAlign w:val="superscript"/>
              </w:rPr>
            </w:pPr>
            <w:r w:rsidRPr="00F73178">
              <w:rPr>
                <w:rFonts w:ascii="Arial" w:hAnsi="Arial" w:cs="Arial"/>
                <w:sz w:val="20"/>
                <w:szCs w:val="20"/>
              </w:rPr>
              <w:t xml:space="preserve">El </w:t>
            </w:r>
            <w:r w:rsidR="00D2135E">
              <w:rPr>
                <w:rFonts w:ascii="Arial" w:hAnsi="Arial" w:cs="Arial"/>
                <w:sz w:val="20"/>
                <w:szCs w:val="20"/>
              </w:rPr>
              <w:t>RTX</w:t>
            </w:r>
            <w:r w:rsidRPr="00F73178">
              <w:rPr>
                <w:rFonts w:ascii="Arial" w:hAnsi="Arial" w:cs="Arial"/>
                <w:sz w:val="20"/>
                <w:szCs w:val="20"/>
              </w:rPr>
              <w:t xml:space="preserve"> está contraindicado en pacientes con infecciones activas graves u oportunistas o en los que tienen inmunosupresión grave, como es el caso de la hipogammaglobulinemia o cuando los niveles de las células CD4 o CD8 son muy bajos. Se debe tener  cuidado</w:t>
            </w:r>
            <w:r w:rsidR="00D2135E">
              <w:rPr>
                <w:rFonts w:ascii="Arial" w:hAnsi="Arial" w:cs="Arial"/>
                <w:sz w:val="20"/>
                <w:szCs w:val="20"/>
              </w:rPr>
              <w:t xml:space="preserve"> cuando se considere el uso de RTX</w:t>
            </w:r>
            <w:r w:rsidRPr="00F73178">
              <w:rPr>
                <w:rFonts w:ascii="Arial" w:hAnsi="Arial" w:cs="Arial"/>
                <w:sz w:val="20"/>
                <w:szCs w:val="20"/>
              </w:rPr>
              <w:t xml:space="preserve"> en pacientes con historia de infecciones crónicas o recurrentes o con condiciones concomitantes que puedan predisponer a los pacientes a una infección seria. </w:t>
            </w:r>
            <w:r w:rsidR="007A0B57" w:rsidRPr="00F73178">
              <w:rPr>
                <w:rFonts w:ascii="Arial" w:hAnsi="Arial" w:cs="Arial"/>
                <w:b/>
                <w:sz w:val="20"/>
                <w:szCs w:val="20"/>
              </w:rPr>
              <w:t>[NE: 3, GR: B]</w:t>
            </w:r>
            <w:r w:rsidR="007A0B57" w:rsidRPr="00F73178">
              <w:rPr>
                <w:rFonts w:ascii="Arial" w:eastAsia="Times-Roman" w:hAnsi="Arial" w:cs="Arial"/>
                <w:color w:val="FF0000"/>
                <w:sz w:val="20"/>
                <w:szCs w:val="20"/>
                <w:vertAlign w:val="superscript"/>
              </w:rPr>
              <w:t>39</w:t>
            </w:r>
          </w:p>
          <w:p w14:paraId="3AE04105" w14:textId="77777777" w:rsidR="007A0B57" w:rsidRDefault="007A0B57" w:rsidP="007614D7">
            <w:pPr>
              <w:autoSpaceDE w:val="0"/>
              <w:autoSpaceDN w:val="0"/>
              <w:adjustRightInd w:val="0"/>
              <w:contextualSpacing/>
              <w:jc w:val="both"/>
              <w:rPr>
                <w:rFonts w:ascii="Arial" w:eastAsia="Times-Roman" w:hAnsi="Arial" w:cs="Arial"/>
                <w:sz w:val="20"/>
                <w:szCs w:val="20"/>
              </w:rPr>
            </w:pPr>
          </w:p>
          <w:p w14:paraId="482B232D" w14:textId="77777777" w:rsidR="00D31B56" w:rsidRPr="0068632C" w:rsidRDefault="00D31B56" w:rsidP="00D2135E">
            <w:pPr>
              <w:autoSpaceDE w:val="0"/>
              <w:autoSpaceDN w:val="0"/>
              <w:adjustRightInd w:val="0"/>
              <w:contextualSpacing/>
              <w:jc w:val="both"/>
              <w:rPr>
                <w:rFonts w:ascii="Arial" w:hAnsi="Arial" w:cs="Arial"/>
                <w:sz w:val="20"/>
                <w:szCs w:val="20"/>
              </w:rPr>
            </w:pPr>
            <w:r w:rsidRPr="0068632C">
              <w:rPr>
                <w:rFonts w:ascii="Arial" w:hAnsi="Arial" w:cs="Arial"/>
                <w:sz w:val="20"/>
                <w:szCs w:val="20"/>
                <w:lang w:val="es-ES"/>
              </w:rPr>
              <w:t xml:space="preserve">El </w:t>
            </w:r>
            <w:r w:rsidR="00D2135E">
              <w:rPr>
                <w:rFonts w:ascii="Arial" w:hAnsi="Arial" w:cs="Arial"/>
                <w:sz w:val="20"/>
                <w:szCs w:val="20"/>
                <w:lang w:val="es-ES"/>
              </w:rPr>
              <w:t xml:space="preserve">RTX </w:t>
            </w:r>
            <w:r w:rsidRPr="0068632C">
              <w:rPr>
                <w:rFonts w:ascii="Arial" w:hAnsi="Arial" w:cs="Arial"/>
                <w:sz w:val="20"/>
                <w:szCs w:val="20"/>
                <w:lang w:val="es-ES"/>
              </w:rPr>
              <w:t>está contraindicado en pacientes con insuficiencia cardíaca o ca</w:t>
            </w:r>
            <w:r w:rsidR="007A0B57">
              <w:rPr>
                <w:rFonts w:ascii="Arial" w:hAnsi="Arial" w:cs="Arial"/>
                <w:sz w:val="20"/>
                <w:szCs w:val="20"/>
                <w:lang w:val="es-ES"/>
              </w:rPr>
              <w:t>rdiopatía graves no controlada.</w:t>
            </w:r>
            <w:r w:rsidR="007A0B57">
              <w:rPr>
                <w:rFonts w:ascii="Arial" w:eastAsia="Times-Roman" w:hAnsi="Arial" w:cs="Arial"/>
                <w:color w:val="FF0000"/>
                <w:sz w:val="20"/>
                <w:szCs w:val="20"/>
                <w:vertAlign w:val="superscript"/>
              </w:rPr>
              <w:t>41</w:t>
            </w:r>
          </w:p>
        </w:tc>
      </w:tr>
    </w:tbl>
    <w:p w14:paraId="76F0F334" w14:textId="77777777" w:rsidR="00D31B56" w:rsidRPr="0068632C" w:rsidRDefault="00D31B56"/>
    <w:p w14:paraId="14AF182A" w14:textId="77777777" w:rsidR="00D31B56" w:rsidRPr="0068632C" w:rsidRDefault="00D31B56"/>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438"/>
      </w:tblGrid>
      <w:tr w:rsidR="00D31B56" w:rsidRPr="0068632C" w14:paraId="18A8B67F" w14:textId="77777777" w:rsidTr="007614D7">
        <w:tc>
          <w:tcPr>
            <w:tcW w:w="3168" w:type="dxa"/>
            <w:tcBorders>
              <w:top w:val="single" w:sz="4" w:space="0" w:color="auto"/>
              <w:left w:val="single" w:sz="4" w:space="0" w:color="auto"/>
              <w:bottom w:val="single" w:sz="4" w:space="0" w:color="auto"/>
              <w:right w:val="single" w:sz="4" w:space="0" w:color="auto"/>
            </w:tcBorders>
          </w:tcPr>
          <w:p w14:paraId="1C3EC9EB" w14:textId="77777777" w:rsidR="00D31B56" w:rsidRPr="00C53F31" w:rsidRDefault="002C4533" w:rsidP="007614D7">
            <w:pPr>
              <w:contextualSpacing/>
              <w:jc w:val="both"/>
              <w:rPr>
                <w:rFonts w:ascii="Arial" w:hAnsi="Arial" w:cs="Arial"/>
                <w:b/>
                <w:sz w:val="28"/>
                <w:szCs w:val="28"/>
              </w:rPr>
            </w:pPr>
            <w:r w:rsidRPr="00C53F31">
              <w:rPr>
                <w:rFonts w:ascii="Arial" w:eastAsia="Times-Roman" w:hAnsi="Arial" w:cs="Arial"/>
                <w:b/>
                <w:sz w:val="28"/>
                <w:szCs w:val="28"/>
              </w:rPr>
              <w:t>Tocilizumab</w:t>
            </w:r>
          </w:p>
        </w:tc>
        <w:tc>
          <w:tcPr>
            <w:tcW w:w="6438" w:type="dxa"/>
            <w:tcBorders>
              <w:top w:val="single" w:sz="4" w:space="0" w:color="auto"/>
              <w:left w:val="single" w:sz="4" w:space="0" w:color="auto"/>
              <w:bottom w:val="single" w:sz="4" w:space="0" w:color="auto"/>
              <w:right w:val="single" w:sz="4" w:space="0" w:color="auto"/>
            </w:tcBorders>
          </w:tcPr>
          <w:p w14:paraId="2FD4FADD" w14:textId="77777777" w:rsidR="00D31B56" w:rsidRPr="0068632C" w:rsidRDefault="00D31B56" w:rsidP="007614D7">
            <w:pPr>
              <w:contextualSpacing/>
              <w:jc w:val="both"/>
              <w:rPr>
                <w:rFonts w:ascii="Arial" w:eastAsia="Times-Roman" w:hAnsi="Arial" w:cs="Arial"/>
                <w:sz w:val="20"/>
                <w:szCs w:val="20"/>
              </w:rPr>
            </w:pPr>
            <w:r w:rsidRPr="0068632C">
              <w:rPr>
                <w:rFonts w:ascii="Arial" w:eastAsia="Times-Roman" w:hAnsi="Arial" w:cs="Arial"/>
                <w:sz w:val="20"/>
                <w:szCs w:val="20"/>
              </w:rPr>
              <w:t>Anticuerpo monoclonal recombinante humanizado, antihumano, dirigido contra el receptor de la IL-6.</w:t>
            </w:r>
          </w:p>
        </w:tc>
      </w:tr>
      <w:tr w:rsidR="00D31B56" w:rsidRPr="0068632C" w14:paraId="43EC1CE7" w14:textId="77777777" w:rsidTr="007614D7">
        <w:tc>
          <w:tcPr>
            <w:tcW w:w="3168" w:type="dxa"/>
            <w:tcBorders>
              <w:top w:val="single" w:sz="4" w:space="0" w:color="auto"/>
              <w:left w:val="single" w:sz="4" w:space="0" w:color="auto"/>
              <w:bottom w:val="single" w:sz="4" w:space="0" w:color="auto"/>
              <w:right w:val="single" w:sz="4" w:space="0" w:color="auto"/>
            </w:tcBorders>
          </w:tcPr>
          <w:p w14:paraId="1B6DE12F" w14:textId="77777777" w:rsidR="00D31B56" w:rsidRPr="0068632C" w:rsidRDefault="00D31B56" w:rsidP="007614D7">
            <w:pPr>
              <w:contextualSpacing/>
              <w:jc w:val="both"/>
              <w:rPr>
                <w:rFonts w:ascii="Arial" w:hAnsi="Arial" w:cs="Arial"/>
                <w:sz w:val="20"/>
                <w:szCs w:val="20"/>
              </w:rPr>
            </w:pPr>
            <w:r w:rsidRPr="0068632C">
              <w:rPr>
                <w:rFonts w:ascii="Arial" w:hAnsi="Arial" w:cs="Arial"/>
                <w:sz w:val="20"/>
                <w:szCs w:val="20"/>
              </w:rPr>
              <w:t xml:space="preserve">Línea de tratamiento en la que está indicado </w:t>
            </w:r>
          </w:p>
        </w:tc>
        <w:tc>
          <w:tcPr>
            <w:tcW w:w="6438" w:type="dxa"/>
            <w:tcBorders>
              <w:top w:val="single" w:sz="4" w:space="0" w:color="auto"/>
              <w:left w:val="single" w:sz="4" w:space="0" w:color="auto"/>
              <w:bottom w:val="single" w:sz="4" w:space="0" w:color="auto"/>
              <w:right w:val="single" w:sz="4" w:space="0" w:color="auto"/>
            </w:tcBorders>
          </w:tcPr>
          <w:p w14:paraId="616480A5" w14:textId="77777777" w:rsidR="00F73178" w:rsidRDefault="00D31B56" w:rsidP="00F73178">
            <w:pPr>
              <w:jc w:val="both"/>
              <w:rPr>
                <w:rFonts w:ascii="Arial" w:eastAsia="Times-Roman" w:hAnsi="Arial" w:cs="Arial"/>
                <w:color w:val="FF0000"/>
                <w:sz w:val="20"/>
                <w:szCs w:val="20"/>
                <w:vertAlign w:val="superscript"/>
              </w:rPr>
            </w:pPr>
            <w:r w:rsidRPr="0068632C">
              <w:rPr>
                <w:rFonts w:ascii="Arial" w:hAnsi="Arial" w:cs="Arial"/>
                <w:sz w:val="20"/>
                <w:szCs w:val="20"/>
              </w:rPr>
              <w:t xml:space="preserve">El </w:t>
            </w:r>
            <w:r w:rsidR="004B2260">
              <w:rPr>
                <w:rFonts w:ascii="Arial" w:hAnsi="Arial" w:cs="Arial"/>
                <w:sz w:val="20"/>
                <w:szCs w:val="20"/>
              </w:rPr>
              <w:t>TCZ</w:t>
            </w:r>
            <w:r w:rsidRPr="0068632C">
              <w:rPr>
                <w:rFonts w:ascii="Arial" w:hAnsi="Arial" w:cs="Arial"/>
                <w:sz w:val="20"/>
                <w:szCs w:val="20"/>
              </w:rPr>
              <w:t xml:space="preserve"> se recomienda para el tratamiento de pacientes con AR después de una respuesta inadecuada al tratamiento con FARME o con un anti TNF. </w:t>
            </w:r>
            <w:r w:rsidR="00F73178" w:rsidRPr="00F73178">
              <w:rPr>
                <w:rFonts w:ascii="Arial" w:hAnsi="Arial" w:cs="Arial"/>
                <w:b/>
                <w:sz w:val="20"/>
                <w:szCs w:val="20"/>
              </w:rPr>
              <w:t xml:space="preserve">[NE: </w:t>
            </w:r>
            <w:r w:rsidR="00F73178">
              <w:rPr>
                <w:rFonts w:ascii="Arial" w:hAnsi="Arial" w:cs="Arial"/>
                <w:b/>
                <w:sz w:val="20"/>
                <w:szCs w:val="20"/>
              </w:rPr>
              <w:t>1</w:t>
            </w:r>
            <w:r w:rsidR="00F73178" w:rsidRPr="00F73178">
              <w:rPr>
                <w:rFonts w:ascii="Arial" w:hAnsi="Arial" w:cs="Arial"/>
                <w:b/>
                <w:sz w:val="20"/>
                <w:szCs w:val="20"/>
              </w:rPr>
              <w:t xml:space="preserve">, GR: </w:t>
            </w:r>
            <w:r w:rsidR="00F73178">
              <w:rPr>
                <w:rFonts w:ascii="Arial" w:hAnsi="Arial" w:cs="Arial"/>
                <w:b/>
                <w:sz w:val="20"/>
                <w:szCs w:val="20"/>
              </w:rPr>
              <w:t>A</w:t>
            </w:r>
            <w:r w:rsidR="00F73178" w:rsidRPr="00F73178">
              <w:rPr>
                <w:rFonts w:ascii="Arial" w:hAnsi="Arial" w:cs="Arial"/>
                <w:b/>
                <w:sz w:val="20"/>
                <w:szCs w:val="20"/>
              </w:rPr>
              <w:t>]</w:t>
            </w:r>
            <w:r w:rsidR="00F73178">
              <w:rPr>
                <w:rFonts w:ascii="Arial" w:eastAsia="Times-Roman" w:hAnsi="Arial" w:cs="Arial"/>
                <w:color w:val="FF0000"/>
                <w:sz w:val="20"/>
                <w:szCs w:val="20"/>
                <w:vertAlign w:val="superscript"/>
              </w:rPr>
              <w:t>6</w:t>
            </w:r>
          </w:p>
          <w:p w14:paraId="67A81919" w14:textId="77777777" w:rsidR="00D31B56" w:rsidRPr="0068632C" w:rsidRDefault="00D31B56" w:rsidP="007614D7">
            <w:pPr>
              <w:autoSpaceDE w:val="0"/>
              <w:autoSpaceDN w:val="0"/>
              <w:adjustRightInd w:val="0"/>
              <w:contextualSpacing/>
              <w:jc w:val="both"/>
              <w:rPr>
                <w:rFonts w:ascii="Arial" w:hAnsi="Arial" w:cs="Arial"/>
                <w:sz w:val="20"/>
                <w:szCs w:val="20"/>
              </w:rPr>
            </w:pPr>
            <w:r w:rsidRPr="0068632C">
              <w:rPr>
                <w:rFonts w:ascii="Arial" w:hAnsi="Arial" w:cs="Arial"/>
                <w:sz w:val="20"/>
                <w:szCs w:val="20"/>
              </w:rPr>
              <w:t>Se recomienda también que, en pacientes que no han respondido al tratamiento con dos agentes anti TNF, se cambie a un biológico con un mecanismo de acción diferente (</w:t>
            </w:r>
            <w:r w:rsidR="00D2135E">
              <w:rPr>
                <w:rFonts w:ascii="Arial" w:hAnsi="Arial" w:cs="Arial"/>
                <w:sz w:val="20"/>
                <w:szCs w:val="20"/>
              </w:rPr>
              <w:t>RTX</w:t>
            </w:r>
            <w:r w:rsidRPr="0068632C">
              <w:rPr>
                <w:rFonts w:ascii="Arial" w:hAnsi="Arial" w:cs="Arial"/>
                <w:sz w:val="20"/>
                <w:szCs w:val="20"/>
              </w:rPr>
              <w:t>, a</w:t>
            </w:r>
            <w:r w:rsidR="00F73178">
              <w:rPr>
                <w:rFonts w:ascii="Arial" w:hAnsi="Arial" w:cs="Arial"/>
                <w:sz w:val="20"/>
                <w:szCs w:val="20"/>
              </w:rPr>
              <w:t xml:space="preserve">batacept o </w:t>
            </w:r>
            <w:r w:rsidR="004B2260">
              <w:rPr>
                <w:rFonts w:ascii="Arial" w:hAnsi="Arial" w:cs="Arial"/>
                <w:sz w:val="20"/>
                <w:szCs w:val="20"/>
              </w:rPr>
              <w:t>TCZ</w:t>
            </w:r>
            <w:r w:rsidR="00F73178">
              <w:rPr>
                <w:rFonts w:ascii="Arial" w:hAnsi="Arial" w:cs="Arial"/>
                <w:sz w:val="20"/>
                <w:szCs w:val="20"/>
              </w:rPr>
              <w:t>).</w:t>
            </w:r>
            <w:r w:rsidR="00F73178" w:rsidRPr="00F73178">
              <w:rPr>
                <w:rFonts w:ascii="Arial" w:hAnsi="Arial" w:cs="Arial"/>
                <w:b/>
                <w:sz w:val="20"/>
                <w:szCs w:val="20"/>
              </w:rPr>
              <w:t xml:space="preserve"> [NE: </w:t>
            </w:r>
            <w:r w:rsidR="00F73178">
              <w:rPr>
                <w:rFonts w:ascii="Arial" w:hAnsi="Arial" w:cs="Arial"/>
                <w:b/>
                <w:sz w:val="20"/>
                <w:szCs w:val="20"/>
              </w:rPr>
              <w:t>2/4</w:t>
            </w:r>
            <w:r w:rsidR="00F73178" w:rsidRPr="00F73178">
              <w:rPr>
                <w:rFonts w:ascii="Arial" w:hAnsi="Arial" w:cs="Arial"/>
                <w:b/>
                <w:sz w:val="20"/>
                <w:szCs w:val="20"/>
              </w:rPr>
              <w:t xml:space="preserve">, GR: </w:t>
            </w:r>
            <w:r w:rsidR="00F73178">
              <w:rPr>
                <w:rFonts w:ascii="Arial" w:hAnsi="Arial" w:cs="Arial"/>
                <w:b/>
                <w:sz w:val="20"/>
                <w:szCs w:val="20"/>
              </w:rPr>
              <w:t>C</w:t>
            </w:r>
            <w:r w:rsidR="00F73178" w:rsidRPr="00F73178">
              <w:rPr>
                <w:rFonts w:ascii="Arial" w:hAnsi="Arial" w:cs="Arial"/>
                <w:b/>
                <w:sz w:val="20"/>
                <w:szCs w:val="20"/>
              </w:rPr>
              <w:t>]</w:t>
            </w:r>
            <w:r w:rsidR="00F73178">
              <w:rPr>
                <w:rFonts w:ascii="Arial" w:eastAsia="Times-Roman" w:hAnsi="Arial" w:cs="Arial"/>
                <w:color w:val="FF0000"/>
                <w:sz w:val="20"/>
                <w:szCs w:val="20"/>
                <w:vertAlign w:val="superscript"/>
              </w:rPr>
              <w:t>6</w:t>
            </w:r>
          </w:p>
          <w:p w14:paraId="36D7C826" w14:textId="77777777" w:rsidR="008E6850" w:rsidRPr="0068632C" w:rsidRDefault="008E6850" w:rsidP="007614D7">
            <w:pPr>
              <w:autoSpaceDE w:val="0"/>
              <w:autoSpaceDN w:val="0"/>
              <w:adjustRightInd w:val="0"/>
              <w:contextualSpacing/>
              <w:jc w:val="both"/>
              <w:rPr>
                <w:rFonts w:ascii="Arial" w:eastAsia="Times-Roman" w:hAnsi="Arial" w:cs="Arial"/>
                <w:b/>
                <w:sz w:val="20"/>
                <w:szCs w:val="20"/>
              </w:rPr>
            </w:pPr>
          </w:p>
          <w:p w14:paraId="0F261B25" w14:textId="77777777" w:rsidR="00D31B56" w:rsidRPr="0068632C" w:rsidRDefault="00D31B56" w:rsidP="004B2260">
            <w:pPr>
              <w:autoSpaceDE w:val="0"/>
              <w:autoSpaceDN w:val="0"/>
              <w:adjustRightInd w:val="0"/>
              <w:contextualSpacing/>
              <w:jc w:val="both"/>
              <w:rPr>
                <w:rFonts w:ascii="Arial" w:eastAsia="Times-Roman" w:hAnsi="Arial" w:cs="Arial"/>
                <w:sz w:val="20"/>
                <w:szCs w:val="20"/>
              </w:rPr>
            </w:pPr>
            <w:r w:rsidRPr="0068632C">
              <w:rPr>
                <w:rFonts w:ascii="Arial" w:eastAsia="Times-Roman" w:hAnsi="Arial" w:cs="Arial"/>
                <w:sz w:val="20"/>
                <w:szCs w:val="20"/>
              </w:rPr>
              <w:t xml:space="preserve">Barreras de implementación: El </w:t>
            </w:r>
            <w:r w:rsidR="004B2260">
              <w:rPr>
                <w:rFonts w:ascii="Arial" w:eastAsia="Times-Roman" w:hAnsi="Arial" w:cs="Arial"/>
                <w:sz w:val="20"/>
                <w:szCs w:val="20"/>
              </w:rPr>
              <w:t>TCZ</w:t>
            </w:r>
            <w:r w:rsidRPr="0068632C">
              <w:rPr>
                <w:rFonts w:ascii="Arial" w:eastAsia="Times-Roman" w:hAnsi="Arial" w:cs="Arial"/>
                <w:sz w:val="20"/>
                <w:szCs w:val="20"/>
              </w:rPr>
              <w:t xml:space="preserve"> es un medicamento muy caro y no está disponible e todas las instituciones de salud, sólo en el IMSS y en el ISSSTE.  </w:t>
            </w:r>
          </w:p>
        </w:tc>
      </w:tr>
      <w:tr w:rsidR="00D31B56" w:rsidRPr="0068632C" w14:paraId="407C733D" w14:textId="77777777" w:rsidTr="007614D7">
        <w:trPr>
          <w:trHeight w:val="269"/>
        </w:trPr>
        <w:tc>
          <w:tcPr>
            <w:tcW w:w="3168" w:type="dxa"/>
            <w:tcBorders>
              <w:top w:val="single" w:sz="4" w:space="0" w:color="auto"/>
              <w:left w:val="single" w:sz="4" w:space="0" w:color="auto"/>
              <w:bottom w:val="single" w:sz="4" w:space="0" w:color="auto"/>
              <w:right w:val="single" w:sz="4" w:space="0" w:color="auto"/>
            </w:tcBorders>
          </w:tcPr>
          <w:p w14:paraId="541DA82D" w14:textId="77777777" w:rsidR="00D31B56" w:rsidRPr="0068632C" w:rsidRDefault="00D31B56" w:rsidP="007614D7">
            <w:pPr>
              <w:contextualSpacing/>
              <w:jc w:val="both"/>
              <w:rPr>
                <w:rFonts w:ascii="Arial" w:hAnsi="Arial" w:cs="Arial"/>
                <w:sz w:val="20"/>
                <w:szCs w:val="20"/>
              </w:rPr>
            </w:pPr>
            <w:r w:rsidRPr="0068632C">
              <w:rPr>
                <w:rFonts w:ascii="Arial" w:hAnsi="Arial" w:cs="Arial"/>
                <w:sz w:val="20"/>
                <w:szCs w:val="20"/>
              </w:rPr>
              <w:t>Estudios que se requieren antes del tratamiento y durante el seguimiento</w:t>
            </w:r>
          </w:p>
        </w:tc>
        <w:tc>
          <w:tcPr>
            <w:tcW w:w="6438" w:type="dxa"/>
            <w:tcBorders>
              <w:top w:val="single" w:sz="4" w:space="0" w:color="auto"/>
              <w:left w:val="single" w:sz="4" w:space="0" w:color="auto"/>
              <w:bottom w:val="single" w:sz="4" w:space="0" w:color="auto"/>
              <w:right w:val="single" w:sz="4" w:space="0" w:color="auto"/>
            </w:tcBorders>
          </w:tcPr>
          <w:p w14:paraId="10C9B385" w14:textId="77777777" w:rsidR="00F73178" w:rsidRDefault="00D31B56"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Antes de iniciar el tratamiento se deben realizar </w:t>
            </w:r>
            <w:r w:rsidR="00B950EC">
              <w:rPr>
                <w:rFonts w:ascii="Arial" w:hAnsi="Arial" w:cs="Arial"/>
                <w:sz w:val="20"/>
                <w:szCs w:val="20"/>
              </w:rPr>
              <w:t>BH</w:t>
            </w:r>
            <w:r w:rsidRPr="0068632C">
              <w:rPr>
                <w:rFonts w:ascii="Arial" w:hAnsi="Arial" w:cs="Arial"/>
                <w:sz w:val="20"/>
                <w:szCs w:val="20"/>
              </w:rPr>
              <w:t xml:space="preserve">, </w:t>
            </w:r>
            <w:r w:rsidR="00D2135E">
              <w:rPr>
                <w:rFonts w:ascii="Arial" w:hAnsi="Arial" w:cs="Arial"/>
                <w:sz w:val="20"/>
                <w:szCs w:val="20"/>
              </w:rPr>
              <w:t>QS</w:t>
            </w:r>
            <w:r w:rsidRPr="0068632C">
              <w:rPr>
                <w:rFonts w:ascii="Arial" w:hAnsi="Arial" w:cs="Arial"/>
                <w:sz w:val="20"/>
                <w:szCs w:val="20"/>
              </w:rPr>
              <w:t xml:space="preserve">,  </w:t>
            </w:r>
            <w:r w:rsidR="00D2135E">
              <w:rPr>
                <w:rFonts w:ascii="Arial" w:hAnsi="Arial" w:cs="Arial"/>
                <w:sz w:val="20"/>
                <w:szCs w:val="20"/>
              </w:rPr>
              <w:t>PFH</w:t>
            </w:r>
            <w:r w:rsidRPr="0068632C">
              <w:rPr>
                <w:rFonts w:ascii="Arial" w:hAnsi="Arial" w:cs="Arial"/>
                <w:sz w:val="20"/>
                <w:szCs w:val="20"/>
              </w:rPr>
              <w:t xml:space="preserve">, perfil de hepatitis B y C, así como pruebas de escrutinio para TB (latente). </w:t>
            </w:r>
            <w:r w:rsidR="00F73178" w:rsidRPr="00F73178">
              <w:rPr>
                <w:rFonts w:ascii="Arial" w:hAnsi="Arial" w:cs="Arial"/>
                <w:b/>
                <w:sz w:val="20"/>
                <w:szCs w:val="20"/>
              </w:rPr>
              <w:t xml:space="preserve">[NE: </w:t>
            </w:r>
            <w:r w:rsidR="00F73178">
              <w:rPr>
                <w:rFonts w:ascii="Arial" w:hAnsi="Arial" w:cs="Arial"/>
                <w:b/>
                <w:sz w:val="20"/>
                <w:szCs w:val="20"/>
              </w:rPr>
              <w:t>4</w:t>
            </w:r>
            <w:r w:rsidR="00F73178" w:rsidRPr="00F73178">
              <w:rPr>
                <w:rFonts w:ascii="Arial" w:hAnsi="Arial" w:cs="Arial"/>
                <w:b/>
                <w:sz w:val="20"/>
                <w:szCs w:val="20"/>
              </w:rPr>
              <w:t xml:space="preserve">, GR: </w:t>
            </w:r>
            <w:r w:rsidR="00F73178">
              <w:rPr>
                <w:rFonts w:ascii="Arial" w:hAnsi="Arial" w:cs="Arial"/>
                <w:b/>
                <w:sz w:val="20"/>
                <w:szCs w:val="20"/>
              </w:rPr>
              <w:t>D</w:t>
            </w:r>
            <w:r w:rsidR="00F73178" w:rsidRPr="00F73178">
              <w:rPr>
                <w:rFonts w:ascii="Arial" w:hAnsi="Arial" w:cs="Arial"/>
                <w:b/>
                <w:sz w:val="20"/>
                <w:szCs w:val="20"/>
              </w:rPr>
              <w:t>]</w:t>
            </w:r>
            <w:r w:rsidR="00F73178">
              <w:rPr>
                <w:rFonts w:ascii="Arial" w:eastAsia="Times-Roman" w:hAnsi="Arial" w:cs="Arial"/>
                <w:color w:val="FF0000"/>
                <w:sz w:val="20"/>
                <w:szCs w:val="20"/>
                <w:vertAlign w:val="superscript"/>
              </w:rPr>
              <w:t>6</w:t>
            </w:r>
          </w:p>
          <w:p w14:paraId="24F8C1BF" w14:textId="77777777" w:rsidR="00F73178" w:rsidRDefault="00F73178" w:rsidP="007614D7">
            <w:pPr>
              <w:autoSpaceDE w:val="0"/>
              <w:autoSpaceDN w:val="0"/>
              <w:adjustRightInd w:val="0"/>
              <w:contextualSpacing/>
              <w:jc w:val="both"/>
              <w:rPr>
                <w:rFonts w:ascii="Arial" w:hAnsi="Arial" w:cs="Arial"/>
                <w:sz w:val="20"/>
                <w:szCs w:val="20"/>
              </w:rPr>
            </w:pPr>
          </w:p>
          <w:p w14:paraId="762D7A59" w14:textId="77777777" w:rsidR="00D31B56" w:rsidRPr="0068632C" w:rsidRDefault="00D31B56" w:rsidP="007614D7">
            <w:pPr>
              <w:autoSpaceDE w:val="0"/>
              <w:autoSpaceDN w:val="0"/>
              <w:adjustRightInd w:val="0"/>
              <w:contextualSpacing/>
              <w:jc w:val="both"/>
              <w:rPr>
                <w:rFonts w:ascii="Arial" w:hAnsi="Arial" w:cs="Arial"/>
                <w:sz w:val="20"/>
                <w:szCs w:val="20"/>
              </w:rPr>
            </w:pPr>
            <w:r w:rsidRPr="0068632C">
              <w:rPr>
                <w:rFonts w:ascii="Arial" w:hAnsi="Arial" w:cs="Arial"/>
                <w:sz w:val="20"/>
                <w:szCs w:val="20"/>
              </w:rPr>
              <w:t>Algunos recomiendan también la realización de quantiferón. Nuestro grupo recomienda realizar también perfil de lípidos.</w:t>
            </w:r>
          </w:p>
          <w:p w14:paraId="49BBB0DA" w14:textId="77777777" w:rsidR="00D31B56" w:rsidRPr="00F73178" w:rsidRDefault="00D31B56" w:rsidP="005C5AB8">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Durante el seguimiento se recomienda realizar</w:t>
            </w:r>
            <w:r w:rsidR="005C5AB8">
              <w:rPr>
                <w:rFonts w:ascii="Arial" w:hAnsi="Arial" w:cs="Arial"/>
                <w:sz w:val="20"/>
                <w:szCs w:val="20"/>
              </w:rPr>
              <w:t xml:space="preserve"> BH</w:t>
            </w:r>
            <w:r w:rsidRPr="0068632C">
              <w:rPr>
                <w:rFonts w:ascii="Arial" w:hAnsi="Arial" w:cs="Arial"/>
                <w:sz w:val="20"/>
                <w:szCs w:val="20"/>
              </w:rPr>
              <w:t xml:space="preserve">, </w:t>
            </w:r>
            <w:r w:rsidR="005C5AB8">
              <w:rPr>
                <w:rFonts w:ascii="Arial" w:hAnsi="Arial" w:cs="Arial"/>
                <w:sz w:val="20"/>
                <w:szCs w:val="20"/>
              </w:rPr>
              <w:t>QS</w:t>
            </w:r>
            <w:r w:rsidRPr="0068632C">
              <w:rPr>
                <w:rFonts w:ascii="Arial" w:hAnsi="Arial" w:cs="Arial"/>
                <w:sz w:val="20"/>
                <w:szCs w:val="20"/>
              </w:rPr>
              <w:t xml:space="preserve">, </w:t>
            </w:r>
            <w:r w:rsidR="005C5AB8">
              <w:rPr>
                <w:rFonts w:ascii="Arial" w:hAnsi="Arial" w:cs="Arial"/>
                <w:sz w:val="20"/>
                <w:szCs w:val="20"/>
              </w:rPr>
              <w:t>PFH</w:t>
            </w:r>
            <w:r w:rsidR="00D2135E">
              <w:rPr>
                <w:rFonts w:ascii="Arial" w:hAnsi="Arial" w:cs="Arial"/>
                <w:sz w:val="20"/>
                <w:szCs w:val="20"/>
              </w:rPr>
              <w:t xml:space="preserve"> </w:t>
            </w:r>
            <w:r w:rsidRPr="0068632C">
              <w:rPr>
                <w:rFonts w:ascii="Arial" w:hAnsi="Arial" w:cs="Arial"/>
                <w:sz w:val="20"/>
                <w:szCs w:val="20"/>
              </w:rPr>
              <w:t xml:space="preserve">y perfil de lípidos, en forma mensual durante los primeros 3 meses, y posteriormente cada 3 a 4 meses. </w:t>
            </w:r>
            <w:r w:rsidR="00F73178" w:rsidRPr="00F73178">
              <w:rPr>
                <w:rFonts w:ascii="Arial" w:hAnsi="Arial" w:cs="Arial"/>
                <w:b/>
                <w:sz w:val="20"/>
                <w:szCs w:val="20"/>
              </w:rPr>
              <w:t xml:space="preserve">[NE: </w:t>
            </w:r>
            <w:r w:rsidR="00F73178">
              <w:rPr>
                <w:rFonts w:ascii="Arial" w:hAnsi="Arial" w:cs="Arial"/>
                <w:b/>
                <w:sz w:val="20"/>
                <w:szCs w:val="20"/>
              </w:rPr>
              <w:t>4</w:t>
            </w:r>
            <w:r w:rsidR="00F73178" w:rsidRPr="00F73178">
              <w:rPr>
                <w:rFonts w:ascii="Arial" w:hAnsi="Arial" w:cs="Arial"/>
                <w:b/>
                <w:sz w:val="20"/>
                <w:szCs w:val="20"/>
              </w:rPr>
              <w:t xml:space="preserve">, GR: </w:t>
            </w:r>
            <w:r w:rsidR="00F73178">
              <w:rPr>
                <w:rFonts w:ascii="Arial" w:hAnsi="Arial" w:cs="Arial"/>
                <w:b/>
                <w:sz w:val="20"/>
                <w:szCs w:val="20"/>
              </w:rPr>
              <w:t>D</w:t>
            </w:r>
            <w:r w:rsidR="00F73178" w:rsidRPr="00F73178">
              <w:rPr>
                <w:rFonts w:ascii="Arial" w:hAnsi="Arial" w:cs="Arial"/>
                <w:b/>
                <w:sz w:val="20"/>
                <w:szCs w:val="20"/>
              </w:rPr>
              <w:t>]</w:t>
            </w:r>
            <w:r w:rsidR="00F73178">
              <w:rPr>
                <w:rFonts w:ascii="Arial" w:eastAsia="Times-Roman" w:hAnsi="Arial" w:cs="Arial"/>
                <w:color w:val="FF0000"/>
                <w:sz w:val="20"/>
                <w:szCs w:val="20"/>
                <w:vertAlign w:val="superscript"/>
              </w:rPr>
              <w:t>14</w:t>
            </w:r>
          </w:p>
        </w:tc>
      </w:tr>
      <w:tr w:rsidR="00D31B56" w:rsidRPr="0068632C" w14:paraId="03C7C9C5" w14:textId="77777777" w:rsidTr="007614D7">
        <w:tc>
          <w:tcPr>
            <w:tcW w:w="3168" w:type="dxa"/>
            <w:tcBorders>
              <w:top w:val="single" w:sz="4" w:space="0" w:color="auto"/>
              <w:left w:val="single" w:sz="4" w:space="0" w:color="auto"/>
              <w:bottom w:val="single" w:sz="4" w:space="0" w:color="auto"/>
              <w:right w:val="single" w:sz="4" w:space="0" w:color="auto"/>
            </w:tcBorders>
          </w:tcPr>
          <w:p w14:paraId="015DAF0D" w14:textId="77777777" w:rsidR="00D31B56" w:rsidRPr="0068632C" w:rsidRDefault="00D31B56" w:rsidP="007614D7">
            <w:pPr>
              <w:contextualSpacing/>
              <w:jc w:val="both"/>
              <w:rPr>
                <w:rFonts w:ascii="Arial" w:eastAsia="Times-Roman" w:hAnsi="Arial" w:cs="Arial"/>
                <w:b/>
                <w:sz w:val="20"/>
                <w:szCs w:val="20"/>
              </w:rPr>
            </w:pPr>
            <w:r w:rsidRPr="0068632C">
              <w:rPr>
                <w:rFonts w:ascii="Arial" w:hAnsi="Arial" w:cs="Arial"/>
                <w:sz w:val="20"/>
                <w:szCs w:val="20"/>
              </w:rPr>
              <w:t>Monoterapia o en combinaciones (¿cuál es la mejor combinación y secuencia?)</w:t>
            </w:r>
          </w:p>
        </w:tc>
        <w:tc>
          <w:tcPr>
            <w:tcW w:w="6438" w:type="dxa"/>
            <w:tcBorders>
              <w:top w:val="single" w:sz="4" w:space="0" w:color="auto"/>
              <w:left w:val="single" w:sz="4" w:space="0" w:color="auto"/>
              <w:bottom w:val="single" w:sz="4" w:space="0" w:color="auto"/>
              <w:right w:val="single" w:sz="4" w:space="0" w:color="auto"/>
            </w:tcBorders>
          </w:tcPr>
          <w:p w14:paraId="02112892" w14:textId="77777777" w:rsidR="00250AED" w:rsidRDefault="00D31B56"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eastAsia="Times-Roman" w:hAnsi="Arial" w:cs="Arial"/>
                <w:sz w:val="20"/>
                <w:szCs w:val="20"/>
              </w:rPr>
              <w:t>Se recomienda usar</w:t>
            </w:r>
            <w:r w:rsidRPr="0068632C">
              <w:rPr>
                <w:rFonts w:ascii="Arial" w:hAnsi="Arial" w:cs="Arial"/>
                <w:sz w:val="20"/>
                <w:szCs w:val="20"/>
              </w:rPr>
              <w:t xml:space="preserve"> el </w:t>
            </w:r>
            <w:r w:rsidR="004B2260">
              <w:rPr>
                <w:rFonts w:ascii="Arial" w:hAnsi="Arial" w:cs="Arial"/>
                <w:sz w:val="20"/>
                <w:szCs w:val="20"/>
              </w:rPr>
              <w:t>TCZ</w:t>
            </w:r>
            <w:r w:rsidRPr="0068632C">
              <w:rPr>
                <w:rFonts w:ascii="Arial" w:hAnsi="Arial" w:cs="Arial"/>
                <w:sz w:val="20"/>
                <w:szCs w:val="20"/>
              </w:rPr>
              <w:t xml:space="preserve"> en combinación con MTX.</w:t>
            </w:r>
            <w:r w:rsidR="00250AED" w:rsidRPr="00F73178">
              <w:rPr>
                <w:rFonts w:ascii="Arial" w:hAnsi="Arial" w:cs="Arial"/>
                <w:b/>
                <w:sz w:val="20"/>
                <w:szCs w:val="20"/>
              </w:rPr>
              <w:t xml:space="preserve"> [NE:</w:t>
            </w:r>
            <w:r w:rsidR="00BD3FE6">
              <w:rPr>
                <w:rFonts w:ascii="Arial" w:hAnsi="Arial" w:cs="Arial"/>
                <w:b/>
                <w:sz w:val="20"/>
                <w:szCs w:val="20"/>
              </w:rPr>
              <w:t>1++</w:t>
            </w:r>
            <w:r w:rsidR="00250AED" w:rsidRPr="00F73178">
              <w:rPr>
                <w:rFonts w:ascii="Arial" w:hAnsi="Arial" w:cs="Arial"/>
                <w:b/>
                <w:sz w:val="20"/>
                <w:szCs w:val="20"/>
              </w:rPr>
              <w:t xml:space="preserve">, GR: </w:t>
            </w:r>
            <w:r w:rsidR="00BD3FE6">
              <w:rPr>
                <w:rFonts w:ascii="Arial" w:hAnsi="Arial" w:cs="Arial"/>
                <w:b/>
                <w:sz w:val="20"/>
                <w:szCs w:val="20"/>
              </w:rPr>
              <w:t>A</w:t>
            </w:r>
            <w:r w:rsidR="00250AED" w:rsidRPr="00F73178">
              <w:rPr>
                <w:rFonts w:ascii="Arial" w:hAnsi="Arial" w:cs="Arial"/>
                <w:b/>
                <w:sz w:val="20"/>
                <w:szCs w:val="20"/>
              </w:rPr>
              <w:t>]</w:t>
            </w:r>
            <w:r w:rsidR="00B950EC">
              <w:rPr>
                <w:rFonts w:ascii="Arial" w:eastAsia="Times-Roman" w:hAnsi="Arial" w:cs="Arial"/>
                <w:color w:val="FF0000"/>
                <w:sz w:val="20"/>
                <w:szCs w:val="20"/>
                <w:vertAlign w:val="superscript"/>
              </w:rPr>
              <w:t>14</w:t>
            </w:r>
          </w:p>
          <w:p w14:paraId="674E07E9" w14:textId="77777777" w:rsidR="00250AED" w:rsidRDefault="00250AED" w:rsidP="007614D7">
            <w:pPr>
              <w:autoSpaceDE w:val="0"/>
              <w:autoSpaceDN w:val="0"/>
              <w:adjustRightInd w:val="0"/>
              <w:contextualSpacing/>
              <w:jc w:val="both"/>
              <w:rPr>
                <w:rFonts w:ascii="Arial" w:eastAsia="Times-Roman" w:hAnsi="Arial" w:cs="Arial"/>
                <w:color w:val="FF0000"/>
                <w:sz w:val="20"/>
                <w:szCs w:val="20"/>
                <w:vertAlign w:val="superscript"/>
              </w:rPr>
            </w:pPr>
          </w:p>
          <w:p w14:paraId="379254B1" w14:textId="77777777" w:rsidR="00D31B56" w:rsidRPr="0068632C" w:rsidRDefault="00D31B56" w:rsidP="007614D7">
            <w:pPr>
              <w:rPr>
                <w:rFonts w:ascii="Arial" w:eastAsia="Times-Roman" w:hAnsi="Arial" w:cs="Arial"/>
                <w:sz w:val="20"/>
                <w:szCs w:val="20"/>
              </w:rPr>
            </w:pPr>
            <w:r w:rsidRPr="0068632C">
              <w:rPr>
                <w:rFonts w:ascii="Arial" w:hAnsi="Arial" w:cs="Arial"/>
                <w:sz w:val="20"/>
                <w:szCs w:val="20"/>
              </w:rPr>
              <w:t xml:space="preserve">Se puede administrar como monoterapia en caso de que exista </w:t>
            </w:r>
            <w:r w:rsidRPr="0068632C">
              <w:rPr>
                <w:rFonts w:ascii="Arial" w:hAnsi="Arial" w:cs="Arial"/>
                <w:sz w:val="20"/>
                <w:szCs w:val="20"/>
              </w:rPr>
              <w:lastRenderedPageBreak/>
              <w:t xml:space="preserve">intolerancia a MTX, o si el tratamiento continuo con MTX se considera inapropiado.  Algunos estudios han mostrado una eficacia similar con la monoterapia que con la combinación con MTX. </w:t>
            </w:r>
            <w:r w:rsidR="00BD3FE6" w:rsidRPr="00F73178">
              <w:rPr>
                <w:rFonts w:ascii="Arial" w:hAnsi="Arial" w:cs="Arial"/>
                <w:b/>
                <w:sz w:val="20"/>
                <w:szCs w:val="20"/>
              </w:rPr>
              <w:t xml:space="preserve">[NE: </w:t>
            </w:r>
            <w:r w:rsidR="00BD3FE6">
              <w:rPr>
                <w:rFonts w:ascii="Arial" w:hAnsi="Arial" w:cs="Arial"/>
                <w:b/>
                <w:sz w:val="20"/>
                <w:szCs w:val="20"/>
              </w:rPr>
              <w:t>1</w:t>
            </w:r>
            <w:r w:rsidR="00BD3FE6" w:rsidRPr="00F73178">
              <w:rPr>
                <w:rFonts w:ascii="Arial" w:hAnsi="Arial" w:cs="Arial"/>
                <w:b/>
                <w:sz w:val="20"/>
                <w:szCs w:val="20"/>
              </w:rPr>
              <w:t xml:space="preserve">, GR: </w:t>
            </w:r>
            <w:r w:rsidR="00BD3FE6">
              <w:rPr>
                <w:rFonts w:ascii="Arial" w:hAnsi="Arial" w:cs="Arial"/>
                <w:b/>
                <w:sz w:val="20"/>
                <w:szCs w:val="20"/>
              </w:rPr>
              <w:t>A</w:t>
            </w:r>
            <w:r w:rsidR="00BD3FE6" w:rsidRPr="00F73178">
              <w:rPr>
                <w:rFonts w:ascii="Arial" w:hAnsi="Arial" w:cs="Arial"/>
                <w:b/>
                <w:sz w:val="20"/>
                <w:szCs w:val="20"/>
              </w:rPr>
              <w:t>]</w:t>
            </w:r>
            <w:r w:rsidR="00BD3FE6">
              <w:rPr>
                <w:rFonts w:ascii="Arial" w:eastAsia="Times-Roman" w:hAnsi="Arial" w:cs="Arial"/>
                <w:color w:val="FF0000"/>
                <w:sz w:val="20"/>
                <w:szCs w:val="20"/>
                <w:vertAlign w:val="superscript"/>
              </w:rPr>
              <w:t>6</w:t>
            </w:r>
          </w:p>
        </w:tc>
      </w:tr>
      <w:tr w:rsidR="00D31B56" w:rsidRPr="0068632C" w14:paraId="440E88EE" w14:textId="77777777" w:rsidTr="007614D7">
        <w:tc>
          <w:tcPr>
            <w:tcW w:w="3168" w:type="dxa"/>
            <w:tcBorders>
              <w:top w:val="single" w:sz="4" w:space="0" w:color="auto"/>
              <w:left w:val="single" w:sz="4" w:space="0" w:color="auto"/>
              <w:bottom w:val="single" w:sz="4" w:space="0" w:color="auto"/>
              <w:right w:val="single" w:sz="4" w:space="0" w:color="auto"/>
            </w:tcBorders>
          </w:tcPr>
          <w:p w14:paraId="22943846" w14:textId="77777777" w:rsidR="00D31B56" w:rsidRPr="0068632C" w:rsidRDefault="00D31B56" w:rsidP="007614D7">
            <w:pPr>
              <w:contextualSpacing/>
              <w:jc w:val="both"/>
              <w:rPr>
                <w:rFonts w:ascii="Arial" w:eastAsia="Times-Roman" w:hAnsi="Arial" w:cs="Arial"/>
                <w:b/>
                <w:sz w:val="20"/>
                <w:szCs w:val="20"/>
              </w:rPr>
            </w:pPr>
            <w:r w:rsidRPr="0068632C">
              <w:rPr>
                <w:rFonts w:ascii="Arial" w:hAnsi="Arial" w:cs="Arial"/>
                <w:sz w:val="20"/>
                <w:szCs w:val="20"/>
              </w:rPr>
              <w:lastRenderedPageBreak/>
              <w:t>Tiempo para definir ajuste de dosis y retiro de medicamento</w:t>
            </w:r>
          </w:p>
        </w:tc>
        <w:tc>
          <w:tcPr>
            <w:tcW w:w="6438" w:type="dxa"/>
            <w:tcBorders>
              <w:top w:val="single" w:sz="4" w:space="0" w:color="auto"/>
              <w:left w:val="single" w:sz="4" w:space="0" w:color="auto"/>
              <w:bottom w:val="single" w:sz="4" w:space="0" w:color="auto"/>
              <w:right w:val="single" w:sz="4" w:space="0" w:color="auto"/>
            </w:tcBorders>
          </w:tcPr>
          <w:p w14:paraId="2B3FA7A1" w14:textId="77777777" w:rsidR="00D31B56" w:rsidRPr="0068632C" w:rsidRDefault="00D31B56" w:rsidP="002C2727">
            <w:pPr>
              <w:autoSpaceDE w:val="0"/>
              <w:autoSpaceDN w:val="0"/>
              <w:adjustRightInd w:val="0"/>
              <w:contextualSpacing/>
              <w:jc w:val="both"/>
              <w:rPr>
                <w:rFonts w:ascii="Arial" w:hAnsi="Arial" w:cs="Arial"/>
                <w:sz w:val="20"/>
                <w:szCs w:val="20"/>
              </w:rPr>
            </w:pPr>
            <w:r w:rsidRPr="0068632C">
              <w:rPr>
                <w:rFonts w:ascii="Arial" w:hAnsi="Arial" w:cs="Arial"/>
                <w:sz w:val="20"/>
                <w:szCs w:val="20"/>
              </w:rPr>
              <w:t xml:space="preserve">Se recomienda que si un paciente tiene todavía actividad moderada o alta después de 6 meses de tratamiento con un agente biológico no anti TNF y la falla se debe a falta de beneficio, se debe cambiar a otro agente biológico no anti TNF o a un agente anti TNF. </w:t>
            </w:r>
            <w:r w:rsidR="002C2727" w:rsidRPr="00F73178">
              <w:rPr>
                <w:rFonts w:ascii="Arial" w:hAnsi="Arial" w:cs="Arial"/>
                <w:b/>
                <w:sz w:val="20"/>
                <w:szCs w:val="20"/>
              </w:rPr>
              <w:t xml:space="preserve">[NE: </w:t>
            </w:r>
            <w:r w:rsidR="002C2727">
              <w:rPr>
                <w:rFonts w:ascii="Arial" w:hAnsi="Arial" w:cs="Arial"/>
                <w:b/>
                <w:sz w:val="20"/>
                <w:szCs w:val="20"/>
              </w:rPr>
              <w:t>3</w:t>
            </w:r>
            <w:r w:rsidR="002C2727" w:rsidRPr="00F73178">
              <w:rPr>
                <w:rFonts w:ascii="Arial" w:hAnsi="Arial" w:cs="Arial"/>
                <w:b/>
                <w:sz w:val="20"/>
                <w:szCs w:val="20"/>
              </w:rPr>
              <w:t xml:space="preserve">, GR: </w:t>
            </w:r>
            <w:r w:rsidR="002C2727">
              <w:rPr>
                <w:rFonts w:ascii="Arial" w:hAnsi="Arial" w:cs="Arial"/>
                <w:b/>
                <w:sz w:val="20"/>
                <w:szCs w:val="20"/>
              </w:rPr>
              <w:t>B</w:t>
            </w:r>
            <w:r w:rsidR="002C2727" w:rsidRPr="00F73178">
              <w:rPr>
                <w:rFonts w:ascii="Arial" w:hAnsi="Arial" w:cs="Arial"/>
                <w:b/>
                <w:sz w:val="20"/>
                <w:szCs w:val="20"/>
              </w:rPr>
              <w:t>]</w:t>
            </w:r>
            <w:r w:rsidR="002C2727">
              <w:rPr>
                <w:rFonts w:ascii="Arial" w:eastAsia="Times-Roman" w:hAnsi="Arial" w:cs="Arial"/>
                <w:color w:val="FF0000"/>
                <w:sz w:val="20"/>
                <w:szCs w:val="20"/>
                <w:vertAlign w:val="superscript"/>
              </w:rPr>
              <w:t>42</w:t>
            </w:r>
          </w:p>
        </w:tc>
      </w:tr>
      <w:tr w:rsidR="00D31B56" w:rsidRPr="0068632C" w14:paraId="31170473" w14:textId="77777777" w:rsidTr="007614D7">
        <w:tc>
          <w:tcPr>
            <w:tcW w:w="3168" w:type="dxa"/>
            <w:tcBorders>
              <w:top w:val="single" w:sz="4" w:space="0" w:color="auto"/>
              <w:left w:val="single" w:sz="4" w:space="0" w:color="auto"/>
              <w:bottom w:val="single" w:sz="4" w:space="0" w:color="auto"/>
              <w:right w:val="single" w:sz="4" w:space="0" w:color="auto"/>
            </w:tcBorders>
          </w:tcPr>
          <w:p w14:paraId="7CA7EA33" w14:textId="77777777" w:rsidR="00D31B56" w:rsidRPr="0068632C" w:rsidRDefault="00D31B56" w:rsidP="007614D7">
            <w:pPr>
              <w:contextualSpacing/>
              <w:jc w:val="both"/>
              <w:rPr>
                <w:rFonts w:ascii="Arial" w:eastAsia="Times-Roman" w:hAnsi="Arial" w:cs="Arial"/>
                <w:b/>
                <w:sz w:val="20"/>
                <w:szCs w:val="20"/>
              </w:rPr>
            </w:pPr>
            <w:r w:rsidRPr="0068632C">
              <w:rPr>
                <w:rFonts w:ascii="Arial" w:hAnsi="Arial" w:cs="Arial"/>
                <w:sz w:val="20"/>
                <w:szCs w:val="20"/>
              </w:rPr>
              <w:t>Dosis mínima y máxima</w:t>
            </w:r>
          </w:p>
        </w:tc>
        <w:tc>
          <w:tcPr>
            <w:tcW w:w="6438" w:type="dxa"/>
            <w:tcBorders>
              <w:top w:val="single" w:sz="4" w:space="0" w:color="auto"/>
              <w:left w:val="single" w:sz="4" w:space="0" w:color="auto"/>
              <w:bottom w:val="single" w:sz="4" w:space="0" w:color="auto"/>
              <w:right w:val="single" w:sz="4" w:space="0" w:color="auto"/>
            </w:tcBorders>
          </w:tcPr>
          <w:p w14:paraId="50D09B44" w14:textId="77777777" w:rsidR="00D31B56" w:rsidRDefault="00D31B56" w:rsidP="002C272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El </w:t>
            </w:r>
            <w:r w:rsidR="004B2260">
              <w:rPr>
                <w:rFonts w:ascii="Arial" w:hAnsi="Arial" w:cs="Arial"/>
                <w:sz w:val="20"/>
                <w:szCs w:val="20"/>
              </w:rPr>
              <w:t>TCZ</w:t>
            </w:r>
            <w:r w:rsidRPr="0068632C">
              <w:rPr>
                <w:rFonts w:ascii="Arial" w:hAnsi="Arial" w:cs="Arial"/>
                <w:sz w:val="20"/>
                <w:szCs w:val="20"/>
              </w:rPr>
              <w:t xml:space="preserve"> se administra en una infusión intravenosa que dura 1 hora. La dosis recomendada es 8 mg/kg cada 4 semanas. La dosis máxima es de 800 mg por infusión, por lo que no se debe administrar una dosis mayor en pa</w:t>
            </w:r>
            <w:r w:rsidR="002C2727">
              <w:rPr>
                <w:rFonts w:ascii="Arial" w:hAnsi="Arial" w:cs="Arial"/>
                <w:sz w:val="20"/>
                <w:szCs w:val="20"/>
              </w:rPr>
              <w:t>cientes que pesan más de 100 kg</w:t>
            </w:r>
            <w:r w:rsidR="00D731E4">
              <w:rPr>
                <w:rFonts w:ascii="Arial" w:hAnsi="Arial" w:cs="Arial"/>
                <w:sz w:val="20"/>
                <w:szCs w:val="20"/>
              </w:rPr>
              <w:t>.</w:t>
            </w:r>
            <w:r w:rsidR="002C2727">
              <w:rPr>
                <w:rFonts w:ascii="Arial" w:hAnsi="Arial" w:cs="Arial"/>
                <w:color w:val="FF0000"/>
                <w:sz w:val="20"/>
                <w:szCs w:val="20"/>
              </w:rPr>
              <w:t xml:space="preserve"> </w:t>
            </w:r>
            <w:r w:rsidR="002C2727" w:rsidRPr="00F73178">
              <w:rPr>
                <w:rFonts w:ascii="Arial" w:hAnsi="Arial" w:cs="Arial"/>
                <w:b/>
                <w:sz w:val="20"/>
                <w:szCs w:val="20"/>
              </w:rPr>
              <w:t xml:space="preserve">[NE: </w:t>
            </w:r>
            <w:r w:rsidR="002C2727">
              <w:rPr>
                <w:rFonts w:ascii="Arial" w:hAnsi="Arial" w:cs="Arial"/>
                <w:b/>
                <w:sz w:val="20"/>
                <w:szCs w:val="20"/>
              </w:rPr>
              <w:t>1</w:t>
            </w:r>
            <w:r w:rsidR="002C2727" w:rsidRPr="00F73178">
              <w:rPr>
                <w:rFonts w:ascii="Arial" w:hAnsi="Arial" w:cs="Arial"/>
                <w:b/>
                <w:sz w:val="20"/>
                <w:szCs w:val="20"/>
              </w:rPr>
              <w:t xml:space="preserve">, GR: </w:t>
            </w:r>
            <w:r w:rsidR="002C2727">
              <w:rPr>
                <w:rFonts w:ascii="Arial" w:hAnsi="Arial" w:cs="Arial"/>
                <w:b/>
                <w:sz w:val="20"/>
                <w:szCs w:val="20"/>
              </w:rPr>
              <w:t>A</w:t>
            </w:r>
            <w:r w:rsidR="002C2727" w:rsidRPr="00F73178">
              <w:rPr>
                <w:rFonts w:ascii="Arial" w:hAnsi="Arial" w:cs="Arial"/>
                <w:b/>
                <w:sz w:val="20"/>
                <w:szCs w:val="20"/>
              </w:rPr>
              <w:t>]</w:t>
            </w:r>
            <w:r w:rsidR="002C2727">
              <w:rPr>
                <w:rFonts w:ascii="Arial" w:eastAsia="Times-Roman" w:hAnsi="Arial" w:cs="Arial"/>
                <w:color w:val="FF0000"/>
                <w:sz w:val="20"/>
                <w:szCs w:val="20"/>
                <w:vertAlign w:val="superscript"/>
              </w:rPr>
              <w:t>43</w:t>
            </w:r>
          </w:p>
          <w:p w14:paraId="6DE1598A" w14:textId="77777777" w:rsidR="002C2727" w:rsidRPr="0068632C" w:rsidRDefault="002C2727" w:rsidP="002C2727">
            <w:pPr>
              <w:autoSpaceDE w:val="0"/>
              <w:autoSpaceDN w:val="0"/>
              <w:adjustRightInd w:val="0"/>
              <w:contextualSpacing/>
              <w:jc w:val="both"/>
              <w:rPr>
                <w:rFonts w:ascii="Arial" w:eastAsia="Times-Roman" w:hAnsi="Arial" w:cs="Arial"/>
                <w:b/>
                <w:sz w:val="20"/>
                <w:szCs w:val="20"/>
              </w:rPr>
            </w:pPr>
          </w:p>
          <w:p w14:paraId="7934FB2A" w14:textId="77777777" w:rsidR="00D31B56" w:rsidRDefault="00D31B56" w:rsidP="007614D7">
            <w:pPr>
              <w:contextualSpacing/>
              <w:rPr>
                <w:rFonts w:ascii="Arial" w:eastAsia="Times-Roman" w:hAnsi="Arial" w:cs="Arial"/>
                <w:color w:val="FF0000"/>
                <w:sz w:val="20"/>
                <w:szCs w:val="20"/>
                <w:vertAlign w:val="superscript"/>
              </w:rPr>
            </w:pPr>
            <w:r w:rsidRPr="0068632C">
              <w:rPr>
                <w:rFonts w:ascii="Arial" w:eastAsia="Times-Roman" w:hAnsi="Arial" w:cs="Arial"/>
                <w:sz w:val="20"/>
                <w:szCs w:val="20"/>
              </w:rPr>
              <w:t>La dosis de 4 mg/kg cada 4 semanas se puede utilizar también, sin embargo, los ensayos clínicos han mostrado tendencia a la superioridad de la dosis de 8 mg/kg (aunque sin diferencia estadística significativa), sobre todo cuando se utilizan los parámetros más altos de eficacia (ACR70) y en pacientes que no respondieron a un agente anti-TNF.</w:t>
            </w:r>
            <w:r w:rsidR="002C2727" w:rsidRPr="00F73178">
              <w:rPr>
                <w:rFonts w:ascii="Arial" w:hAnsi="Arial" w:cs="Arial"/>
                <w:b/>
                <w:sz w:val="20"/>
                <w:szCs w:val="20"/>
              </w:rPr>
              <w:t xml:space="preserve"> [NE: </w:t>
            </w:r>
            <w:r w:rsidR="002C2727">
              <w:rPr>
                <w:rFonts w:ascii="Arial" w:hAnsi="Arial" w:cs="Arial"/>
                <w:b/>
                <w:sz w:val="20"/>
                <w:szCs w:val="20"/>
              </w:rPr>
              <w:t>1</w:t>
            </w:r>
            <w:r w:rsidR="002C2727" w:rsidRPr="00F73178">
              <w:rPr>
                <w:rFonts w:ascii="Arial" w:hAnsi="Arial" w:cs="Arial"/>
                <w:b/>
                <w:sz w:val="20"/>
                <w:szCs w:val="20"/>
              </w:rPr>
              <w:t xml:space="preserve">, GR: </w:t>
            </w:r>
            <w:r w:rsidR="002C2727">
              <w:rPr>
                <w:rFonts w:ascii="Arial" w:hAnsi="Arial" w:cs="Arial"/>
                <w:b/>
                <w:sz w:val="20"/>
                <w:szCs w:val="20"/>
              </w:rPr>
              <w:t>A</w:t>
            </w:r>
            <w:r w:rsidR="002C2727" w:rsidRPr="00F73178">
              <w:rPr>
                <w:rFonts w:ascii="Arial" w:hAnsi="Arial" w:cs="Arial"/>
                <w:b/>
                <w:sz w:val="20"/>
                <w:szCs w:val="20"/>
              </w:rPr>
              <w:t>]</w:t>
            </w:r>
            <w:r w:rsidR="002C2727">
              <w:rPr>
                <w:rFonts w:ascii="Arial" w:eastAsia="Times-Roman" w:hAnsi="Arial" w:cs="Arial"/>
                <w:color w:val="FF0000"/>
                <w:sz w:val="20"/>
                <w:szCs w:val="20"/>
                <w:vertAlign w:val="superscript"/>
              </w:rPr>
              <w:t>44</w:t>
            </w:r>
          </w:p>
          <w:p w14:paraId="00947A2A" w14:textId="77777777" w:rsidR="002C2727" w:rsidRPr="0068632C" w:rsidRDefault="002C2727" w:rsidP="007614D7">
            <w:pPr>
              <w:contextualSpacing/>
              <w:rPr>
                <w:rFonts w:ascii="Arial" w:hAnsi="Arial" w:cs="Arial"/>
                <w:sz w:val="20"/>
                <w:szCs w:val="20"/>
              </w:rPr>
            </w:pPr>
          </w:p>
          <w:p w14:paraId="5B1F5321" w14:textId="77777777" w:rsidR="00D31B56" w:rsidRPr="0068632C" w:rsidRDefault="00D31B56" w:rsidP="007614D7">
            <w:pPr>
              <w:contextualSpacing/>
              <w:rPr>
                <w:rFonts w:ascii="Arial" w:hAnsi="Arial" w:cs="Arial"/>
                <w:sz w:val="20"/>
                <w:szCs w:val="20"/>
              </w:rPr>
            </w:pPr>
            <w:r w:rsidRPr="0068632C">
              <w:rPr>
                <w:rFonts w:ascii="Arial" w:hAnsi="Arial" w:cs="Arial"/>
                <w:sz w:val="20"/>
                <w:szCs w:val="20"/>
              </w:rPr>
              <w:t>Están por aprobarse para su administración subcutánea dosis estandarizadas.</w:t>
            </w:r>
          </w:p>
          <w:p w14:paraId="5BC509D5" w14:textId="77777777" w:rsidR="00D31B56" w:rsidRPr="0068632C" w:rsidRDefault="00D31B56" w:rsidP="007614D7">
            <w:pPr>
              <w:contextualSpacing/>
              <w:rPr>
                <w:rFonts w:ascii="Arial" w:hAnsi="Arial" w:cs="Arial"/>
                <w:sz w:val="20"/>
                <w:szCs w:val="20"/>
              </w:rPr>
            </w:pPr>
            <w:r w:rsidRPr="0068632C">
              <w:rPr>
                <w:rFonts w:ascii="Arial" w:hAnsi="Arial" w:cs="Arial"/>
                <w:sz w:val="20"/>
                <w:szCs w:val="20"/>
              </w:rPr>
              <w:t>Barreras de implementación: ninguna.</w:t>
            </w:r>
          </w:p>
        </w:tc>
      </w:tr>
      <w:tr w:rsidR="00D31B56" w:rsidRPr="0068632C" w14:paraId="078125B7" w14:textId="77777777" w:rsidTr="007614D7">
        <w:tc>
          <w:tcPr>
            <w:tcW w:w="3168" w:type="dxa"/>
            <w:tcBorders>
              <w:top w:val="single" w:sz="4" w:space="0" w:color="auto"/>
              <w:left w:val="single" w:sz="4" w:space="0" w:color="auto"/>
              <w:bottom w:val="single" w:sz="4" w:space="0" w:color="auto"/>
              <w:right w:val="single" w:sz="4" w:space="0" w:color="auto"/>
            </w:tcBorders>
          </w:tcPr>
          <w:p w14:paraId="5B1281F9" w14:textId="77777777" w:rsidR="00D31B56" w:rsidRPr="0068632C" w:rsidRDefault="00D31B56" w:rsidP="00D31B56">
            <w:pPr>
              <w:numPr>
                <w:ilvl w:val="0"/>
                <w:numId w:val="2"/>
              </w:numPr>
              <w:ind w:left="0"/>
              <w:contextualSpacing/>
              <w:jc w:val="both"/>
              <w:rPr>
                <w:rFonts w:ascii="Arial" w:hAnsi="Arial" w:cs="Arial"/>
                <w:sz w:val="20"/>
                <w:szCs w:val="20"/>
              </w:rPr>
            </w:pPr>
            <w:r w:rsidRPr="0068632C">
              <w:rPr>
                <w:rFonts w:ascii="Arial" w:hAnsi="Arial" w:cs="Arial"/>
                <w:sz w:val="20"/>
                <w:szCs w:val="20"/>
              </w:rPr>
              <w:t>Contraindicaciones</w:t>
            </w:r>
          </w:p>
        </w:tc>
        <w:tc>
          <w:tcPr>
            <w:tcW w:w="6438" w:type="dxa"/>
            <w:tcBorders>
              <w:top w:val="single" w:sz="4" w:space="0" w:color="auto"/>
              <w:left w:val="single" w:sz="4" w:space="0" w:color="auto"/>
              <w:bottom w:val="single" w:sz="4" w:space="0" w:color="auto"/>
              <w:right w:val="single" w:sz="4" w:space="0" w:color="auto"/>
            </w:tcBorders>
          </w:tcPr>
          <w:p w14:paraId="70111142" w14:textId="77777777" w:rsidR="00D31B56" w:rsidRPr="0068632C" w:rsidRDefault="00D31B56" w:rsidP="007614D7">
            <w:pPr>
              <w:autoSpaceDE w:val="0"/>
              <w:autoSpaceDN w:val="0"/>
              <w:adjustRightInd w:val="0"/>
              <w:contextualSpacing/>
              <w:jc w:val="both"/>
              <w:rPr>
                <w:rFonts w:ascii="Arial" w:hAnsi="Arial" w:cs="Arial"/>
                <w:sz w:val="20"/>
                <w:szCs w:val="20"/>
                <w:lang w:val="es-ES"/>
              </w:rPr>
            </w:pPr>
            <w:r w:rsidRPr="0068632C">
              <w:rPr>
                <w:rFonts w:ascii="Arial" w:hAnsi="Arial" w:cs="Arial"/>
                <w:sz w:val="20"/>
                <w:szCs w:val="20"/>
              </w:rPr>
              <w:t xml:space="preserve">El </w:t>
            </w:r>
            <w:r w:rsidR="004B2260">
              <w:rPr>
                <w:rFonts w:ascii="Arial" w:hAnsi="Arial" w:cs="Arial"/>
                <w:sz w:val="20"/>
                <w:szCs w:val="20"/>
              </w:rPr>
              <w:t>TCZ</w:t>
            </w:r>
            <w:r w:rsidRPr="0068632C">
              <w:rPr>
                <w:rFonts w:ascii="Arial" w:hAnsi="Arial" w:cs="Arial"/>
                <w:sz w:val="20"/>
                <w:szCs w:val="20"/>
                <w:lang w:val="es-ES"/>
              </w:rPr>
              <w:t xml:space="preserve"> está contraindicado en pacientes con infecciones activas graves u oportunistas.</w:t>
            </w:r>
            <w:r w:rsidR="002C2727">
              <w:rPr>
                <w:rFonts w:ascii="Arial" w:eastAsia="Times-Roman" w:hAnsi="Arial" w:cs="Arial"/>
                <w:color w:val="FF0000"/>
                <w:sz w:val="20"/>
                <w:szCs w:val="20"/>
                <w:vertAlign w:val="superscript"/>
              </w:rPr>
              <w:t>43</w:t>
            </w:r>
            <w:r w:rsidRPr="0068632C">
              <w:rPr>
                <w:rFonts w:ascii="Arial" w:hAnsi="Arial" w:cs="Arial"/>
                <w:sz w:val="20"/>
                <w:szCs w:val="20"/>
                <w:lang w:val="es-ES"/>
              </w:rPr>
              <w:t xml:space="preserve"> Se debe tener cuidado en pacientes con historia de infecciones recurrentes o crónicas o que tengan comorbilidades (diverticulitis, diabetes y enfermedad pulmonar intersticial) que puedan predisponer a los pacientes a tener infecciones. No se debe iniciar en pacientes con una cuenta absoluta de neutrófilos menor a 2,000/mm</w:t>
            </w:r>
            <w:r w:rsidRPr="0068632C">
              <w:rPr>
                <w:rFonts w:ascii="Arial" w:hAnsi="Arial" w:cs="Arial"/>
                <w:sz w:val="20"/>
                <w:szCs w:val="20"/>
                <w:vertAlign w:val="superscript"/>
                <w:lang w:val="es-ES"/>
              </w:rPr>
              <w:t>3</w:t>
            </w:r>
            <w:r w:rsidRPr="0068632C">
              <w:rPr>
                <w:rFonts w:ascii="Arial" w:hAnsi="Arial" w:cs="Arial"/>
                <w:sz w:val="20"/>
                <w:szCs w:val="20"/>
                <w:lang w:val="es-ES"/>
              </w:rPr>
              <w:t xml:space="preserve">.  </w:t>
            </w:r>
          </w:p>
          <w:p w14:paraId="59D00F14" w14:textId="77777777" w:rsidR="00D31B56" w:rsidRPr="0068632C" w:rsidRDefault="00D31B56" w:rsidP="007614D7">
            <w:pPr>
              <w:autoSpaceDE w:val="0"/>
              <w:autoSpaceDN w:val="0"/>
              <w:adjustRightInd w:val="0"/>
              <w:contextualSpacing/>
              <w:jc w:val="both"/>
              <w:rPr>
                <w:rFonts w:ascii="Arial" w:hAnsi="Arial" w:cs="Arial"/>
                <w:sz w:val="20"/>
                <w:szCs w:val="20"/>
              </w:rPr>
            </w:pPr>
            <w:r w:rsidRPr="0068632C">
              <w:rPr>
                <w:rFonts w:ascii="Arial" w:hAnsi="Arial" w:cs="Arial"/>
                <w:sz w:val="20"/>
                <w:szCs w:val="20"/>
              </w:rPr>
              <w:t>Nivel de evidencia: 1</w:t>
            </w:r>
          </w:p>
          <w:p w14:paraId="1DDF6715" w14:textId="77777777" w:rsidR="00D31B56" w:rsidRPr="0068632C" w:rsidRDefault="00D31B56" w:rsidP="007614D7">
            <w:pPr>
              <w:autoSpaceDE w:val="0"/>
              <w:autoSpaceDN w:val="0"/>
              <w:adjustRightInd w:val="0"/>
              <w:contextualSpacing/>
              <w:jc w:val="both"/>
              <w:rPr>
                <w:rFonts w:ascii="Arial" w:hAnsi="Arial" w:cs="Arial"/>
                <w:sz w:val="20"/>
                <w:szCs w:val="20"/>
              </w:rPr>
            </w:pPr>
            <w:r w:rsidRPr="0068632C">
              <w:rPr>
                <w:rFonts w:ascii="Arial" w:hAnsi="Arial" w:cs="Arial"/>
                <w:sz w:val="20"/>
                <w:szCs w:val="20"/>
              </w:rPr>
              <w:t>Grado de recomendación: A</w:t>
            </w:r>
          </w:p>
          <w:p w14:paraId="1E824AED" w14:textId="77777777" w:rsidR="00D31B56" w:rsidRPr="0068632C" w:rsidRDefault="00D31B56" w:rsidP="007614D7">
            <w:pPr>
              <w:autoSpaceDE w:val="0"/>
              <w:autoSpaceDN w:val="0"/>
              <w:adjustRightInd w:val="0"/>
              <w:contextualSpacing/>
              <w:jc w:val="both"/>
              <w:rPr>
                <w:rFonts w:ascii="Arial" w:hAnsi="Arial" w:cs="Arial"/>
                <w:sz w:val="20"/>
                <w:szCs w:val="20"/>
              </w:rPr>
            </w:pPr>
            <w:r w:rsidRPr="0068632C">
              <w:rPr>
                <w:rFonts w:ascii="Arial" w:hAnsi="Arial" w:cs="Arial"/>
                <w:sz w:val="20"/>
                <w:szCs w:val="20"/>
              </w:rPr>
              <w:t>En caso de que exista elevación de las amino transferasas, la dosis se debe disminuir a 4 mg/kg, si la elevación persiste, se debe suspender el medicamento.</w:t>
            </w:r>
            <w:r w:rsidR="002C2727">
              <w:rPr>
                <w:rFonts w:ascii="Arial" w:eastAsia="Times-Roman" w:hAnsi="Arial" w:cs="Arial"/>
                <w:color w:val="FF0000"/>
                <w:sz w:val="20"/>
                <w:szCs w:val="20"/>
                <w:vertAlign w:val="superscript"/>
              </w:rPr>
              <w:t xml:space="preserve"> 45</w:t>
            </w:r>
          </w:p>
        </w:tc>
      </w:tr>
    </w:tbl>
    <w:p w14:paraId="00909921" w14:textId="77777777" w:rsidR="00D31B56" w:rsidRPr="0068632C" w:rsidRDefault="00D31B56"/>
    <w:p w14:paraId="464F2A94" w14:textId="77777777" w:rsidR="00D31B56" w:rsidRPr="0068632C" w:rsidRDefault="00D31B56"/>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438"/>
      </w:tblGrid>
      <w:tr w:rsidR="00D31B56" w:rsidRPr="0068632C" w14:paraId="2600B927" w14:textId="77777777" w:rsidTr="007614D7">
        <w:tc>
          <w:tcPr>
            <w:tcW w:w="3168" w:type="dxa"/>
            <w:tcBorders>
              <w:top w:val="single" w:sz="4" w:space="0" w:color="auto"/>
              <w:left w:val="single" w:sz="4" w:space="0" w:color="auto"/>
              <w:bottom w:val="single" w:sz="4" w:space="0" w:color="auto"/>
              <w:right w:val="single" w:sz="4" w:space="0" w:color="auto"/>
            </w:tcBorders>
          </w:tcPr>
          <w:p w14:paraId="66215452" w14:textId="77777777" w:rsidR="00D31B56" w:rsidRPr="00C53F31" w:rsidRDefault="002C4533" w:rsidP="007614D7">
            <w:pPr>
              <w:contextualSpacing/>
              <w:jc w:val="both"/>
              <w:rPr>
                <w:rFonts w:ascii="Arial" w:hAnsi="Arial" w:cs="Arial"/>
                <w:b/>
                <w:sz w:val="28"/>
                <w:szCs w:val="28"/>
              </w:rPr>
            </w:pPr>
            <w:r w:rsidRPr="00C53F31">
              <w:rPr>
                <w:rFonts w:ascii="Arial" w:eastAsia="Times-Roman" w:hAnsi="Arial" w:cs="Arial"/>
                <w:b/>
                <w:sz w:val="28"/>
                <w:szCs w:val="28"/>
              </w:rPr>
              <w:t>Abatacept</w:t>
            </w:r>
          </w:p>
        </w:tc>
        <w:tc>
          <w:tcPr>
            <w:tcW w:w="6438" w:type="dxa"/>
            <w:tcBorders>
              <w:top w:val="single" w:sz="4" w:space="0" w:color="auto"/>
              <w:left w:val="single" w:sz="4" w:space="0" w:color="auto"/>
              <w:bottom w:val="single" w:sz="4" w:space="0" w:color="auto"/>
              <w:right w:val="single" w:sz="4" w:space="0" w:color="auto"/>
            </w:tcBorders>
          </w:tcPr>
          <w:p w14:paraId="27ACA9F4" w14:textId="77777777" w:rsidR="00D31B56" w:rsidRPr="0068632C" w:rsidRDefault="00D31B56" w:rsidP="007614D7">
            <w:pPr>
              <w:contextualSpacing/>
              <w:jc w:val="both"/>
              <w:rPr>
                <w:rFonts w:ascii="Arial" w:eastAsia="Times-Roman" w:hAnsi="Arial" w:cs="Arial"/>
                <w:sz w:val="20"/>
                <w:szCs w:val="20"/>
              </w:rPr>
            </w:pPr>
            <w:r w:rsidRPr="0068632C">
              <w:rPr>
                <w:rFonts w:ascii="Arial" w:eastAsia="Times-Roman" w:hAnsi="Arial" w:cs="Arial"/>
                <w:sz w:val="20"/>
                <w:szCs w:val="20"/>
              </w:rPr>
              <w:t>Proteína de fusión completamente humana, diseñada por ingeniería genética que bloquea la coestimulación, proceso clave en la activación de las células T.</w:t>
            </w:r>
          </w:p>
        </w:tc>
      </w:tr>
      <w:tr w:rsidR="00D31B56" w:rsidRPr="0068632C" w14:paraId="6361A60F" w14:textId="77777777" w:rsidTr="007614D7">
        <w:tc>
          <w:tcPr>
            <w:tcW w:w="3168" w:type="dxa"/>
            <w:tcBorders>
              <w:top w:val="single" w:sz="4" w:space="0" w:color="auto"/>
              <w:left w:val="single" w:sz="4" w:space="0" w:color="auto"/>
              <w:bottom w:val="single" w:sz="4" w:space="0" w:color="auto"/>
              <w:right w:val="single" w:sz="4" w:space="0" w:color="auto"/>
            </w:tcBorders>
          </w:tcPr>
          <w:p w14:paraId="04CBD9E6" w14:textId="77777777" w:rsidR="00D31B56" w:rsidRPr="0068632C" w:rsidRDefault="00D31B56" w:rsidP="007614D7">
            <w:pPr>
              <w:contextualSpacing/>
              <w:jc w:val="both"/>
              <w:rPr>
                <w:rFonts w:ascii="Arial" w:hAnsi="Arial" w:cs="Arial"/>
                <w:sz w:val="20"/>
                <w:szCs w:val="20"/>
              </w:rPr>
            </w:pPr>
            <w:r w:rsidRPr="0068632C">
              <w:rPr>
                <w:rFonts w:ascii="Arial" w:hAnsi="Arial" w:cs="Arial"/>
                <w:sz w:val="20"/>
                <w:szCs w:val="20"/>
              </w:rPr>
              <w:t xml:space="preserve">Línea de tratamiento en la que está indicado </w:t>
            </w:r>
          </w:p>
        </w:tc>
        <w:tc>
          <w:tcPr>
            <w:tcW w:w="6438" w:type="dxa"/>
            <w:tcBorders>
              <w:top w:val="single" w:sz="4" w:space="0" w:color="auto"/>
              <w:left w:val="single" w:sz="4" w:space="0" w:color="auto"/>
              <w:bottom w:val="single" w:sz="4" w:space="0" w:color="auto"/>
              <w:right w:val="single" w:sz="4" w:space="0" w:color="auto"/>
            </w:tcBorders>
          </w:tcPr>
          <w:p w14:paraId="1B730008" w14:textId="77777777" w:rsidR="00D731E4" w:rsidRDefault="00D31B56" w:rsidP="00D731E4">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El abatacept se recomienda para el tratamiento de pacientes con AR después de una respuesta inadecuada al tratamiento con FARME o con un agente anti-TNF. </w:t>
            </w:r>
            <w:r w:rsidR="00D731E4" w:rsidRPr="00F73178">
              <w:rPr>
                <w:rFonts w:ascii="Arial" w:hAnsi="Arial" w:cs="Arial"/>
                <w:b/>
                <w:sz w:val="20"/>
                <w:szCs w:val="20"/>
              </w:rPr>
              <w:t xml:space="preserve">[NE: </w:t>
            </w:r>
            <w:r w:rsidR="00D731E4">
              <w:rPr>
                <w:rFonts w:ascii="Arial" w:hAnsi="Arial" w:cs="Arial"/>
                <w:b/>
                <w:sz w:val="20"/>
                <w:szCs w:val="20"/>
              </w:rPr>
              <w:t>1</w:t>
            </w:r>
            <w:r w:rsidR="00D731E4" w:rsidRPr="00F73178">
              <w:rPr>
                <w:rFonts w:ascii="Arial" w:hAnsi="Arial" w:cs="Arial"/>
                <w:b/>
                <w:sz w:val="20"/>
                <w:szCs w:val="20"/>
              </w:rPr>
              <w:t xml:space="preserve">, GR: </w:t>
            </w:r>
            <w:r w:rsidR="00D731E4">
              <w:rPr>
                <w:rFonts w:ascii="Arial" w:hAnsi="Arial" w:cs="Arial"/>
                <w:b/>
                <w:sz w:val="20"/>
                <w:szCs w:val="20"/>
              </w:rPr>
              <w:t>A</w:t>
            </w:r>
            <w:r w:rsidR="00D731E4" w:rsidRPr="00F73178">
              <w:rPr>
                <w:rFonts w:ascii="Arial" w:hAnsi="Arial" w:cs="Arial"/>
                <w:b/>
                <w:sz w:val="20"/>
                <w:szCs w:val="20"/>
              </w:rPr>
              <w:t>]</w:t>
            </w:r>
            <w:r w:rsidR="00D731E4">
              <w:rPr>
                <w:rFonts w:ascii="Arial" w:eastAsia="Times-Roman" w:hAnsi="Arial" w:cs="Arial"/>
                <w:color w:val="FF0000"/>
                <w:sz w:val="20"/>
                <w:szCs w:val="20"/>
                <w:vertAlign w:val="superscript"/>
              </w:rPr>
              <w:t>6</w:t>
            </w:r>
          </w:p>
          <w:p w14:paraId="25D50494" w14:textId="77777777" w:rsidR="00D31B56" w:rsidRPr="0068632C" w:rsidRDefault="00D31B56" w:rsidP="007614D7">
            <w:pPr>
              <w:autoSpaceDE w:val="0"/>
              <w:autoSpaceDN w:val="0"/>
              <w:adjustRightInd w:val="0"/>
              <w:contextualSpacing/>
              <w:jc w:val="both"/>
              <w:rPr>
                <w:rFonts w:ascii="Arial" w:hAnsi="Arial" w:cs="Arial"/>
                <w:sz w:val="20"/>
                <w:szCs w:val="20"/>
              </w:rPr>
            </w:pPr>
          </w:p>
          <w:p w14:paraId="781D7B27" w14:textId="77777777" w:rsidR="00D731E4" w:rsidRDefault="00D31B56" w:rsidP="00D731E4">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Se recomienda también que, en pacientes que no han respondido al tratamiento con dos agentes anti TNF, se cambie a un biológico con un mecanismo de acción diferente (</w:t>
            </w:r>
            <w:r w:rsidR="00D2135E">
              <w:rPr>
                <w:rFonts w:ascii="Arial" w:hAnsi="Arial" w:cs="Arial"/>
                <w:sz w:val="20"/>
                <w:szCs w:val="20"/>
              </w:rPr>
              <w:t>RTX</w:t>
            </w:r>
            <w:r w:rsidRPr="0068632C">
              <w:rPr>
                <w:rFonts w:ascii="Arial" w:hAnsi="Arial" w:cs="Arial"/>
                <w:sz w:val="20"/>
                <w:szCs w:val="20"/>
              </w:rPr>
              <w:t xml:space="preserve">, abatacept o </w:t>
            </w:r>
            <w:r w:rsidR="004B2260">
              <w:rPr>
                <w:rFonts w:ascii="Arial" w:hAnsi="Arial" w:cs="Arial"/>
                <w:sz w:val="20"/>
                <w:szCs w:val="20"/>
              </w:rPr>
              <w:t>TCZ</w:t>
            </w:r>
            <w:r w:rsidRPr="0068632C">
              <w:rPr>
                <w:rFonts w:ascii="Arial" w:hAnsi="Arial" w:cs="Arial"/>
                <w:sz w:val="20"/>
                <w:szCs w:val="20"/>
              </w:rPr>
              <w:t xml:space="preserve">). </w:t>
            </w:r>
            <w:r w:rsidR="00D731E4" w:rsidRPr="00F73178">
              <w:rPr>
                <w:rFonts w:ascii="Arial" w:hAnsi="Arial" w:cs="Arial"/>
                <w:b/>
                <w:sz w:val="20"/>
                <w:szCs w:val="20"/>
              </w:rPr>
              <w:t xml:space="preserve">[NE: </w:t>
            </w:r>
            <w:r w:rsidR="00D731E4">
              <w:rPr>
                <w:rFonts w:ascii="Arial" w:hAnsi="Arial" w:cs="Arial"/>
                <w:b/>
                <w:sz w:val="20"/>
                <w:szCs w:val="20"/>
              </w:rPr>
              <w:t>I</w:t>
            </w:r>
            <w:r w:rsidR="00D731E4" w:rsidRPr="00F73178">
              <w:rPr>
                <w:rFonts w:ascii="Arial" w:hAnsi="Arial" w:cs="Arial"/>
                <w:b/>
                <w:sz w:val="20"/>
                <w:szCs w:val="20"/>
              </w:rPr>
              <w:t xml:space="preserve">, GR: </w:t>
            </w:r>
            <w:r w:rsidR="00D731E4">
              <w:rPr>
                <w:rFonts w:ascii="Arial" w:hAnsi="Arial" w:cs="Arial"/>
                <w:b/>
                <w:sz w:val="20"/>
                <w:szCs w:val="20"/>
              </w:rPr>
              <w:t>B</w:t>
            </w:r>
            <w:r w:rsidR="00D731E4" w:rsidRPr="00F73178">
              <w:rPr>
                <w:rFonts w:ascii="Arial" w:hAnsi="Arial" w:cs="Arial"/>
                <w:b/>
                <w:sz w:val="20"/>
                <w:szCs w:val="20"/>
              </w:rPr>
              <w:t>]</w:t>
            </w:r>
            <w:r w:rsidR="00D731E4">
              <w:rPr>
                <w:rFonts w:ascii="Arial" w:eastAsia="Times-Roman" w:hAnsi="Arial" w:cs="Arial"/>
                <w:color w:val="FF0000"/>
                <w:sz w:val="20"/>
                <w:szCs w:val="20"/>
                <w:vertAlign w:val="superscript"/>
              </w:rPr>
              <w:t>6</w:t>
            </w:r>
          </w:p>
          <w:p w14:paraId="1E0A7BC2" w14:textId="77777777" w:rsidR="00D31B56" w:rsidRPr="0068632C" w:rsidRDefault="00D31B56" w:rsidP="007614D7">
            <w:pPr>
              <w:autoSpaceDE w:val="0"/>
              <w:autoSpaceDN w:val="0"/>
              <w:adjustRightInd w:val="0"/>
              <w:contextualSpacing/>
              <w:jc w:val="both"/>
              <w:rPr>
                <w:rFonts w:ascii="Arial" w:eastAsia="Times-Roman" w:hAnsi="Arial" w:cs="Arial"/>
                <w:b/>
                <w:sz w:val="20"/>
                <w:szCs w:val="20"/>
              </w:rPr>
            </w:pPr>
          </w:p>
          <w:p w14:paraId="133A8D3B" w14:textId="77777777" w:rsidR="00D731E4" w:rsidRDefault="00D31B56"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eastAsia="Times-Roman" w:hAnsi="Arial" w:cs="Arial"/>
                <w:sz w:val="20"/>
                <w:szCs w:val="20"/>
              </w:rPr>
              <w:t>El abatacept se puede usar también como tratamiento de primera línea, en combinación con MTX, de acuerdo a los resultados del</w:t>
            </w:r>
            <w:r w:rsidR="00D731E4">
              <w:rPr>
                <w:rFonts w:ascii="Arial" w:eastAsia="Times-Roman" w:hAnsi="Arial" w:cs="Arial"/>
                <w:sz w:val="20"/>
                <w:szCs w:val="20"/>
              </w:rPr>
              <w:t xml:space="preserve"> estudio AGREE (ensayo clínico) </w:t>
            </w:r>
            <w:r w:rsidR="00D731E4" w:rsidRPr="00F73178">
              <w:rPr>
                <w:rFonts w:ascii="Arial" w:hAnsi="Arial" w:cs="Arial"/>
                <w:b/>
                <w:sz w:val="20"/>
                <w:szCs w:val="20"/>
              </w:rPr>
              <w:t xml:space="preserve">[NE: </w:t>
            </w:r>
            <w:r w:rsidR="00D731E4">
              <w:rPr>
                <w:rFonts w:ascii="Arial" w:hAnsi="Arial" w:cs="Arial"/>
                <w:b/>
                <w:sz w:val="20"/>
                <w:szCs w:val="20"/>
              </w:rPr>
              <w:t>II</w:t>
            </w:r>
            <w:r w:rsidR="00D731E4" w:rsidRPr="00F73178">
              <w:rPr>
                <w:rFonts w:ascii="Arial" w:hAnsi="Arial" w:cs="Arial"/>
                <w:b/>
                <w:sz w:val="20"/>
                <w:szCs w:val="20"/>
              </w:rPr>
              <w:t xml:space="preserve">, GR: </w:t>
            </w:r>
            <w:r w:rsidR="00D731E4">
              <w:rPr>
                <w:rFonts w:ascii="Arial" w:hAnsi="Arial" w:cs="Arial"/>
                <w:b/>
                <w:sz w:val="20"/>
                <w:szCs w:val="20"/>
              </w:rPr>
              <w:t>B</w:t>
            </w:r>
            <w:r w:rsidR="00D731E4" w:rsidRPr="00F73178">
              <w:rPr>
                <w:rFonts w:ascii="Arial" w:hAnsi="Arial" w:cs="Arial"/>
                <w:b/>
                <w:sz w:val="20"/>
                <w:szCs w:val="20"/>
              </w:rPr>
              <w:t>]</w:t>
            </w:r>
            <w:r w:rsidR="00D731E4">
              <w:rPr>
                <w:rFonts w:ascii="Arial" w:eastAsia="Times-Roman" w:hAnsi="Arial" w:cs="Arial"/>
                <w:color w:val="FF0000"/>
                <w:sz w:val="20"/>
                <w:szCs w:val="20"/>
                <w:vertAlign w:val="superscript"/>
              </w:rPr>
              <w:t>46</w:t>
            </w:r>
            <w:r w:rsidRPr="0068632C">
              <w:rPr>
                <w:rFonts w:ascii="Arial" w:eastAsia="Times-Roman" w:hAnsi="Arial" w:cs="Arial"/>
                <w:sz w:val="20"/>
                <w:szCs w:val="20"/>
              </w:rPr>
              <w:t xml:space="preserve"> y del análisis post hoc de los datos de dicho estudio.</w:t>
            </w:r>
            <w:r w:rsidR="00D731E4">
              <w:rPr>
                <w:rFonts w:ascii="Arial" w:eastAsia="Times-Roman" w:hAnsi="Arial" w:cs="Arial"/>
                <w:color w:val="FF0000"/>
                <w:sz w:val="20"/>
                <w:szCs w:val="20"/>
                <w:vertAlign w:val="superscript"/>
              </w:rPr>
              <w:t xml:space="preserve"> 47</w:t>
            </w:r>
          </w:p>
          <w:p w14:paraId="4848DC69" w14:textId="77777777" w:rsidR="008E6850" w:rsidRPr="0068632C" w:rsidRDefault="00D31B56" w:rsidP="007614D7">
            <w:pPr>
              <w:autoSpaceDE w:val="0"/>
              <w:autoSpaceDN w:val="0"/>
              <w:adjustRightInd w:val="0"/>
              <w:contextualSpacing/>
              <w:jc w:val="both"/>
              <w:rPr>
                <w:rFonts w:ascii="Arial" w:hAnsi="Arial" w:cs="Arial"/>
                <w:sz w:val="20"/>
                <w:szCs w:val="20"/>
              </w:rPr>
            </w:pPr>
            <w:r w:rsidRPr="0068632C">
              <w:rPr>
                <w:rFonts w:ascii="Arial" w:eastAsia="Times-Roman" w:hAnsi="Arial" w:cs="Arial"/>
                <w:sz w:val="20"/>
                <w:szCs w:val="20"/>
              </w:rPr>
              <w:t xml:space="preserve"> </w:t>
            </w:r>
          </w:p>
          <w:p w14:paraId="2E3C8907" w14:textId="77777777" w:rsidR="00D31B56" w:rsidRPr="0068632C" w:rsidRDefault="00D31B56" w:rsidP="00B7686B">
            <w:pPr>
              <w:autoSpaceDE w:val="0"/>
              <w:autoSpaceDN w:val="0"/>
              <w:adjustRightInd w:val="0"/>
              <w:contextualSpacing/>
              <w:jc w:val="both"/>
              <w:rPr>
                <w:rFonts w:ascii="Arial" w:hAnsi="Arial" w:cs="Arial"/>
                <w:sz w:val="20"/>
                <w:szCs w:val="20"/>
              </w:rPr>
            </w:pPr>
            <w:r w:rsidRPr="0068632C">
              <w:rPr>
                <w:rFonts w:ascii="Arial" w:hAnsi="Arial" w:cs="Arial"/>
                <w:i/>
                <w:sz w:val="20"/>
                <w:szCs w:val="20"/>
              </w:rPr>
              <w:t>Barreras de implementación</w:t>
            </w:r>
            <w:r w:rsidRPr="0068632C">
              <w:rPr>
                <w:rFonts w:ascii="Arial" w:hAnsi="Arial" w:cs="Arial"/>
                <w:sz w:val="20"/>
                <w:szCs w:val="20"/>
              </w:rPr>
              <w:t xml:space="preserve">: El abatacept es un medicamento muy </w:t>
            </w:r>
            <w:r w:rsidRPr="0068632C">
              <w:rPr>
                <w:rFonts w:ascii="Arial" w:hAnsi="Arial" w:cs="Arial"/>
                <w:sz w:val="20"/>
                <w:szCs w:val="20"/>
              </w:rPr>
              <w:lastRenderedPageBreak/>
              <w:t>caro y no está disponible en todas las instituciones de salud</w:t>
            </w:r>
            <w:r w:rsidR="00B7686B">
              <w:rPr>
                <w:rFonts w:ascii="Arial" w:hAnsi="Arial" w:cs="Arial"/>
                <w:sz w:val="20"/>
                <w:szCs w:val="20"/>
              </w:rPr>
              <w:t>.</w:t>
            </w:r>
          </w:p>
        </w:tc>
      </w:tr>
      <w:tr w:rsidR="00D31B56" w:rsidRPr="0068632C" w14:paraId="367D84E8" w14:textId="77777777" w:rsidTr="007614D7">
        <w:trPr>
          <w:trHeight w:val="269"/>
        </w:trPr>
        <w:tc>
          <w:tcPr>
            <w:tcW w:w="3168" w:type="dxa"/>
            <w:tcBorders>
              <w:top w:val="single" w:sz="4" w:space="0" w:color="auto"/>
              <w:left w:val="single" w:sz="4" w:space="0" w:color="auto"/>
              <w:bottom w:val="single" w:sz="4" w:space="0" w:color="auto"/>
              <w:right w:val="single" w:sz="4" w:space="0" w:color="auto"/>
            </w:tcBorders>
          </w:tcPr>
          <w:p w14:paraId="342C8975" w14:textId="77777777" w:rsidR="00D31B56" w:rsidRPr="0068632C" w:rsidRDefault="00D31B56" w:rsidP="007614D7">
            <w:pPr>
              <w:contextualSpacing/>
              <w:jc w:val="both"/>
              <w:rPr>
                <w:rFonts w:ascii="Arial" w:hAnsi="Arial" w:cs="Arial"/>
                <w:sz w:val="20"/>
                <w:szCs w:val="20"/>
              </w:rPr>
            </w:pPr>
            <w:r w:rsidRPr="0068632C">
              <w:rPr>
                <w:rFonts w:ascii="Arial" w:hAnsi="Arial" w:cs="Arial"/>
                <w:sz w:val="20"/>
                <w:szCs w:val="20"/>
              </w:rPr>
              <w:lastRenderedPageBreak/>
              <w:t>Estudios que se requieren antes del tratamiento y durante el seguimiento</w:t>
            </w:r>
          </w:p>
        </w:tc>
        <w:tc>
          <w:tcPr>
            <w:tcW w:w="6438" w:type="dxa"/>
            <w:tcBorders>
              <w:top w:val="single" w:sz="4" w:space="0" w:color="auto"/>
              <w:left w:val="single" w:sz="4" w:space="0" w:color="auto"/>
              <w:bottom w:val="single" w:sz="4" w:space="0" w:color="auto"/>
              <w:right w:val="single" w:sz="4" w:space="0" w:color="auto"/>
            </w:tcBorders>
          </w:tcPr>
          <w:p w14:paraId="2BA21895" w14:textId="77777777" w:rsidR="005F103B" w:rsidRDefault="00D31B56" w:rsidP="005F103B">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Antes de iniciar el tratamiento se debe realizar </w:t>
            </w:r>
            <w:r w:rsidR="00D731E4">
              <w:rPr>
                <w:rFonts w:ascii="Arial" w:hAnsi="Arial" w:cs="Arial"/>
                <w:sz w:val="20"/>
                <w:szCs w:val="20"/>
              </w:rPr>
              <w:t>BH</w:t>
            </w:r>
            <w:r w:rsidRPr="0068632C">
              <w:rPr>
                <w:rFonts w:ascii="Arial" w:hAnsi="Arial" w:cs="Arial"/>
                <w:sz w:val="20"/>
                <w:szCs w:val="20"/>
              </w:rPr>
              <w:t xml:space="preserve"> completa, </w:t>
            </w:r>
            <w:r w:rsidR="005F103B">
              <w:rPr>
                <w:rFonts w:ascii="Arial" w:hAnsi="Arial" w:cs="Arial"/>
                <w:sz w:val="20"/>
                <w:szCs w:val="20"/>
              </w:rPr>
              <w:t>QS</w:t>
            </w:r>
            <w:r w:rsidRPr="0068632C">
              <w:rPr>
                <w:rFonts w:ascii="Arial" w:hAnsi="Arial" w:cs="Arial"/>
                <w:sz w:val="20"/>
                <w:szCs w:val="20"/>
              </w:rPr>
              <w:t xml:space="preserve">, </w:t>
            </w:r>
            <w:r w:rsidR="005F103B">
              <w:rPr>
                <w:rFonts w:ascii="Arial" w:hAnsi="Arial" w:cs="Arial"/>
                <w:sz w:val="20"/>
                <w:szCs w:val="20"/>
              </w:rPr>
              <w:t>PFH</w:t>
            </w:r>
            <w:r w:rsidRPr="0068632C">
              <w:rPr>
                <w:rFonts w:ascii="Arial" w:hAnsi="Arial" w:cs="Arial"/>
                <w:sz w:val="20"/>
                <w:szCs w:val="20"/>
              </w:rPr>
              <w:t xml:space="preserve">, pruebas de escrutinio para virus de Hepatitis B y C, así como escrutinio para Tb. </w:t>
            </w:r>
            <w:r w:rsidR="005F103B" w:rsidRPr="00F73178">
              <w:rPr>
                <w:rFonts w:ascii="Arial" w:hAnsi="Arial" w:cs="Arial"/>
                <w:b/>
                <w:sz w:val="20"/>
                <w:szCs w:val="20"/>
              </w:rPr>
              <w:t xml:space="preserve">[NE: </w:t>
            </w:r>
            <w:r w:rsidR="005F103B">
              <w:rPr>
                <w:rFonts w:ascii="Arial" w:hAnsi="Arial" w:cs="Arial"/>
                <w:b/>
                <w:sz w:val="20"/>
                <w:szCs w:val="20"/>
              </w:rPr>
              <w:t>4</w:t>
            </w:r>
            <w:r w:rsidR="005F103B" w:rsidRPr="00F73178">
              <w:rPr>
                <w:rFonts w:ascii="Arial" w:hAnsi="Arial" w:cs="Arial"/>
                <w:b/>
                <w:sz w:val="20"/>
                <w:szCs w:val="20"/>
              </w:rPr>
              <w:t xml:space="preserve">, GR: </w:t>
            </w:r>
            <w:r w:rsidR="005F103B">
              <w:rPr>
                <w:rFonts w:ascii="Arial" w:hAnsi="Arial" w:cs="Arial"/>
                <w:b/>
                <w:sz w:val="20"/>
                <w:szCs w:val="20"/>
              </w:rPr>
              <w:t>D</w:t>
            </w:r>
            <w:r w:rsidR="005F103B" w:rsidRPr="00F73178">
              <w:rPr>
                <w:rFonts w:ascii="Arial" w:hAnsi="Arial" w:cs="Arial"/>
                <w:b/>
                <w:sz w:val="20"/>
                <w:szCs w:val="20"/>
              </w:rPr>
              <w:t>]</w:t>
            </w:r>
            <w:r w:rsidR="005F103B">
              <w:rPr>
                <w:rFonts w:ascii="Arial" w:eastAsia="Times-Roman" w:hAnsi="Arial" w:cs="Arial"/>
                <w:color w:val="FF0000"/>
                <w:sz w:val="20"/>
                <w:szCs w:val="20"/>
                <w:vertAlign w:val="superscript"/>
              </w:rPr>
              <w:t>6</w:t>
            </w:r>
          </w:p>
          <w:p w14:paraId="0495E61F" w14:textId="77777777" w:rsidR="00D31B56" w:rsidRPr="0068632C" w:rsidRDefault="00D31B56" w:rsidP="007614D7">
            <w:pPr>
              <w:autoSpaceDE w:val="0"/>
              <w:autoSpaceDN w:val="0"/>
              <w:adjustRightInd w:val="0"/>
              <w:contextualSpacing/>
              <w:jc w:val="both"/>
              <w:rPr>
                <w:rFonts w:ascii="Arial" w:eastAsia="Times-Roman" w:hAnsi="Arial" w:cs="Arial"/>
                <w:b/>
                <w:sz w:val="20"/>
                <w:szCs w:val="20"/>
              </w:rPr>
            </w:pPr>
          </w:p>
          <w:p w14:paraId="05A9EC83" w14:textId="77777777" w:rsidR="005F103B" w:rsidRDefault="00D31B56"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El escrutinio para VIH se recomienda sólo en pacientes de alto riesgo.  </w:t>
            </w:r>
            <w:r w:rsidR="005F103B" w:rsidRPr="00F73178">
              <w:rPr>
                <w:rFonts w:ascii="Arial" w:hAnsi="Arial" w:cs="Arial"/>
                <w:b/>
                <w:sz w:val="20"/>
                <w:szCs w:val="20"/>
              </w:rPr>
              <w:t xml:space="preserve">[NE: </w:t>
            </w:r>
            <w:r w:rsidR="005F103B">
              <w:rPr>
                <w:rFonts w:ascii="Arial" w:hAnsi="Arial" w:cs="Arial"/>
                <w:b/>
                <w:sz w:val="20"/>
                <w:szCs w:val="20"/>
              </w:rPr>
              <w:t>4</w:t>
            </w:r>
            <w:r w:rsidR="005F103B" w:rsidRPr="00F73178">
              <w:rPr>
                <w:rFonts w:ascii="Arial" w:hAnsi="Arial" w:cs="Arial"/>
                <w:b/>
                <w:sz w:val="20"/>
                <w:szCs w:val="20"/>
              </w:rPr>
              <w:t xml:space="preserve">, GR: </w:t>
            </w:r>
            <w:r w:rsidR="005F103B">
              <w:rPr>
                <w:rFonts w:ascii="Arial" w:hAnsi="Arial" w:cs="Arial"/>
                <w:b/>
                <w:sz w:val="20"/>
                <w:szCs w:val="20"/>
              </w:rPr>
              <w:t>D</w:t>
            </w:r>
            <w:r w:rsidR="005F103B" w:rsidRPr="00F73178">
              <w:rPr>
                <w:rFonts w:ascii="Arial" w:hAnsi="Arial" w:cs="Arial"/>
                <w:b/>
                <w:sz w:val="20"/>
                <w:szCs w:val="20"/>
              </w:rPr>
              <w:t>]</w:t>
            </w:r>
            <w:r w:rsidR="005F103B">
              <w:rPr>
                <w:rFonts w:ascii="Arial" w:eastAsia="Times-Roman" w:hAnsi="Arial" w:cs="Arial"/>
                <w:color w:val="FF0000"/>
                <w:sz w:val="20"/>
                <w:szCs w:val="20"/>
                <w:vertAlign w:val="superscript"/>
              </w:rPr>
              <w:t>6</w:t>
            </w:r>
          </w:p>
          <w:p w14:paraId="62E3085F" w14:textId="77777777" w:rsidR="005F103B" w:rsidRDefault="005F103B" w:rsidP="007614D7">
            <w:pPr>
              <w:autoSpaceDE w:val="0"/>
              <w:autoSpaceDN w:val="0"/>
              <w:adjustRightInd w:val="0"/>
              <w:contextualSpacing/>
              <w:jc w:val="both"/>
              <w:rPr>
                <w:rFonts w:ascii="Arial" w:eastAsia="Times-Roman" w:hAnsi="Arial" w:cs="Arial"/>
                <w:color w:val="FF0000"/>
                <w:sz w:val="20"/>
                <w:szCs w:val="20"/>
                <w:vertAlign w:val="superscript"/>
              </w:rPr>
            </w:pPr>
          </w:p>
          <w:p w14:paraId="3AC519DA" w14:textId="77777777" w:rsidR="00D31B56" w:rsidRPr="0068632C" w:rsidRDefault="00D31B56" w:rsidP="007614D7">
            <w:pPr>
              <w:autoSpaceDE w:val="0"/>
              <w:autoSpaceDN w:val="0"/>
              <w:adjustRightInd w:val="0"/>
              <w:contextualSpacing/>
              <w:jc w:val="both"/>
              <w:rPr>
                <w:rFonts w:ascii="Arial" w:eastAsia="Times-Roman" w:hAnsi="Arial" w:cs="Arial"/>
                <w:sz w:val="20"/>
                <w:szCs w:val="20"/>
              </w:rPr>
            </w:pPr>
            <w:r w:rsidRPr="0068632C">
              <w:rPr>
                <w:rFonts w:ascii="Arial" w:eastAsia="Times-Roman" w:hAnsi="Arial" w:cs="Arial"/>
                <w:sz w:val="20"/>
                <w:szCs w:val="20"/>
              </w:rPr>
              <w:t>Barreras de implementación: El quantiferón es muy caro y está disponible sólo en algunos sitios.</w:t>
            </w:r>
          </w:p>
        </w:tc>
      </w:tr>
      <w:tr w:rsidR="00D31B56" w:rsidRPr="0068632C" w14:paraId="47403776" w14:textId="77777777" w:rsidTr="007614D7">
        <w:tc>
          <w:tcPr>
            <w:tcW w:w="3168" w:type="dxa"/>
            <w:tcBorders>
              <w:top w:val="single" w:sz="4" w:space="0" w:color="auto"/>
              <w:left w:val="single" w:sz="4" w:space="0" w:color="auto"/>
              <w:bottom w:val="single" w:sz="4" w:space="0" w:color="auto"/>
              <w:right w:val="single" w:sz="4" w:space="0" w:color="auto"/>
            </w:tcBorders>
          </w:tcPr>
          <w:p w14:paraId="0860816A" w14:textId="77777777" w:rsidR="00D31B56" w:rsidRPr="0068632C" w:rsidRDefault="00D31B56" w:rsidP="007614D7">
            <w:pPr>
              <w:contextualSpacing/>
              <w:jc w:val="both"/>
              <w:rPr>
                <w:rFonts w:ascii="Arial" w:eastAsia="Times-Roman" w:hAnsi="Arial" w:cs="Arial"/>
                <w:b/>
                <w:sz w:val="20"/>
                <w:szCs w:val="20"/>
              </w:rPr>
            </w:pPr>
            <w:r w:rsidRPr="0068632C">
              <w:rPr>
                <w:rFonts w:ascii="Arial" w:hAnsi="Arial" w:cs="Arial"/>
                <w:sz w:val="20"/>
                <w:szCs w:val="20"/>
              </w:rPr>
              <w:t>Monoterapia o en combinaciones (¿cuál es la mejor combinación y secuencia?)</w:t>
            </w:r>
          </w:p>
        </w:tc>
        <w:tc>
          <w:tcPr>
            <w:tcW w:w="6438" w:type="dxa"/>
            <w:tcBorders>
              <w:top w:val="single" w:sz="4" w:space="0" w:color="auto"/>
              <w:left w:val="single" w:sz="4" w:space="0" w:color="auto"/>
              <w:bottom w:val="single" w:sz="4" w:space="0" w:color="auto"/>
              <w:right w:val="single" w:sz="4" w:space="0" w:color="auto"/>
            </w:tcBorders>
          </w:tcPr>
          <w:p w14:paraId="79517DC5" w14:textId="77777777" w:rsidR="00D31B56" w:rsidRPr="0068632C" w:rsidRDefault="00D31B56" w:rsidP="007614D7">
            <w:pPr>
              <w:rPr>
                <w:rFonts w:ascii="Arial" w:hAnsi="Arial" w:cs="Arial"/>
                <w:sz w:val="20"/>
                <w:szCs w:val="20"/>
              </w:rPr>
            </w:pPr>
            <w:r w:rsidRPr="0068632C">
              <w:rPr>
                <w:rFonts w:ascii="Arial" w:hAnsi="Arial" w:cs="Arial"/>
                <w:sz w:val="20"/>
                <w:szCs w:val="20"/>
              </w:rPr>
              <w:t xml:space="preserve">El abatacept debe usarse en combinación con MTX.  </w:t>
            </w:r>
            <w:r w:rsidR="00A85664" w:rsidRPr="00F73178">
              <w:rPr>
                <w:rFonts w:ascii="Arial" w:hAnsi="Arial" w:cs="Arial"/>
                <w:b/>
                <w:sz w:val="20"/>
                <w:szCs w:val="20"/>
              </w:rPr>
              <w:t xml:space="preserve">[NE: </w:t>
            </w:r>
            <w:r w:rsidR="00A85664">
              <w:rPr>
                <w:rFonts w:ascii="Arial" w:hAnsi="Arial" w:cs="Arial"/>
                <w:b/>
                <w:sz w:val="20"/>
                <w:szCs w:val="20"/>
              </w:rPr>
              <w:t>I</w:t>
            </w:r>
            <w:r w:rsidR="00A85664" w:rsidRPr="00F73178">
              <w:rPr>
                <w:rFonts w:ascii="Arial" w:hAnsi="Arial" w:cs="Arial"/>
                <w:b/>
                <w:sz w:val="20"/>
                <w:szCs w:val="20"/>
              </w:rPr>
              <w:t xml:space="preserve">, GR: </w:t>
            </w:r>
            <w:r w:rsidR="00A85664">
              <w:rPr>
                <w:rFonts w:ascii="Arial" w:hAnsi="Arial" w:cs="Arial"/>
                <w:b/>
                <w:sz w:val="20"/>
                <w:szCs w:val="20"/>
              </w:rPr>
              <w:t>B</w:t>
            </w:r>
            <w:r w:rsidR="00A85664" w:rsidRPr="00F73178">
              <w:rPr>
                <w:rFonts w:ascii="Arial" w:hAnsi="Arial" w:cs="Arial"/>
                <w:b/>
                <w:sz w:val="20"/>
                <w:szCs w:val="20"/>
              </w:rPr>
              <w:t>]</w:t>
            </w:r>
            <w:r w:rsidR="00A85664">
              <w:rPr>
                <w:rFonts w:ascii="Arial" w:eastAsia="Times-Roman" w:hAnsi="Arial" w:cs="Arial"/>
                <w:color w:val="FF0000"/>
                <w:sz w:val="20"/>
                <w:szCs w:val="20"/>
                <w:vertAlign w:val="superscript"/>
              </w:rPr>
              <w:t>6</w:t>
            </w:r>
          </w:p>
          <w:p w14:paraId="4652EC99" w14:textId="77777777" w:rsidR="00A85664" w:rsidRDefault="00A85664" w:rsidP="007614D7">
            <w:pPr>
              <w:rPr>
                <w:rFonts w:ascii="Arial" w:hAnsi="Arial" w:cs="Arial"/>
                <w:sz w:val="20"/>
                <w:szCs w:val="20"/>
              </w:rPr>
            </w:pPr>
          </w:p>
          <w:p w14:paraId="764B7123" w14:textId="77777777" w:rsidR="00D31B56" w:rsidRPr="0068632C" w:rsidRDefault="00D31B56" w:rsidP="007614D7">
            <w:pPr>
              <w:rPr>
                <w:rFonts w:ascii="Arial" w:eastAsia="Times-Roman" w:hAnsi="Arial" w:cs="Arial"/>
                <w:sz w:val="20"/>
                <w:szCs w:val="20"/>
              </w:rPr>
            </w:pPr>
            <w:r w:rsidRPr="0068632C">
              <w:rPr>
                <w:rFonts w:ascii="Arial" w:hAnsi="Arial" w:cs="Arial"/>
                <w:sz w:val="20"/>
                <w:szCs w:val="20"/>
              </w:rPr>
              <w:t xml:space="preserve">El abatacept se administra en una infusión intravenosa de 30 minutos.  Después de una infusión inicial (semana 0), se repite a la semana 2, semana 4 y después cada 4 semanas.  Los pacientes requieren un total de 14 infusiones el primer año y 13 infusiones los años siguientes. </w:t>
            </w:r>
            <w:r w:rsidR="00B023B2" w:rsidRPr="00F73178">
              <w:rPr>
                <w:rFonts w:ascii="Arial" w:hAnsi="Arial" w:cs="Arial"/>
                <w:b/>
                <w:sz w:val="20"/>
                <w:szCs w:val="20"/>
              </w:rPr>
              <w:t xml:space="preserve">[NE: </w:t>
            </w:r>
            <w:r w:rsidR="00B023B2">
              <w:rPr>
                <w:rFonts w:ascii="Arial" w:hAnsi="Arial" w:cs="Arial"/>
                <w:b/>
                <w:sz w:val="20"/>
                <w:szCs w:val="20"/>
              </w:rPr>
              <w:t>I</w:t>
            </w:r>
            <w:r w:rsidR="00B023B2" w:rsidRPr="00F73178">
              <w:rPr>
                <w:rFonts w:ascii="Arial" w:hAnsi="Arial" w:cs="Arial"/>
                <w:b/>
                <w:sz w:val="20"/>
                <w:szCs w:val="20"/>
              </w:rPr>
              <w:t xml:space="preserve">, GR: </w:t>
            </w:r>
            <w:r w:rsidR="00B023B2">
              <w:rPr>
                <w:rFonts w:ascii="Arial" w:hAnsi="Arial" w:cs="Arial"/>
                <w:b/>
                <w:sz w:val="20"/>
                <w:szCs w:val="20"/>
              </w:rPr>
              <w:t>B</w:t>
            </w:r>
            <w:r w:rsidR="00B023B2" w:rsidRPr="00F73178">
              <w:rPr>
                <w:rFonts w:ascii="Arial" w:hAnsi="Arial" w:cs="Arial"/>
                <w:b/>
                <w:sz w:val="20"/>
                <w:szCs w:val="20"/>
              </w:rPr>
              <w:t>]</w:t>
            </w:r>
            <w:r w:rsidR="00B023B2">
              <w:rPr>
                <w:rFonts w:ascii="Arial" w:eastAsia="Times-Roman" w:hAnsi="Arial" w:cs="Arial"/>
                <w:color w:val="FF0000"/>
                <w:sz w:val="20"/>
                <w:szCs w:val="20"/>
                <w:vertAlign w:val="superscript"/>
              </w:rPr>
              <w:t>30</w:t>
            </w:r>
          </w:p>
        </w:tc>
      </w:tr>
      <w:tr w:rsidR="00D31B56" w:rsidRPr="0068632C" w14:paraId="649A9B9D" w14:textId="77777777" w:rsidTr="007614D7">
        <w:tc>
          <w:tcPr>
            <w:tcW w:w="3168" w:type="dxa"/>
            <w:tcBorders>
              <w:top w:val="single" w:sz="4" w:space="0" w:color="auto"/>
              <w:left w:val="single" w:sz="4" w:space="0" w:color="auto"/>
              <w:bottom w:val="single" w:sz="4" w:space="0" w:color="auto"/>
              <w:right w:val="single" w:sz="4" w:space="0" w:color="auto"/>
            </w:tcBorders>
          </w:tcPr>
          <w:p w14:paraId="059C8B81" w14:textId="77777777" w:rsidR="00D31B56" w:rsidRPr="0068632C" w:rsidRDefault="00D31B56" w:rsidP="007614D7">
            <w:pPr>
              <w:contextualSpacing/>
              <w:jc w:val="both"/>
              <w:rPr>
                <w:rFonts w:ascii="Arial" w:eastAsia="Times-Roman" w:hAnsi="Arial" w:cs="Arial"/>
                <w:b/>
                <w:sz w:val="20"/>
                <w:szCs w:val="20"/>
              </w:rPr>
            </w:pPr>
            <w:r w:rsidRPr="0068632C">
              <w:rPr>
                <w:rFonts w:ascii="Arial" w:hAnsi="Arial" w:cs="Arial"/>
                <w:sz w:val="20"/>
                <w:szCs w:val="20"/>
              </w:rPr>
              <w:t>Tiempo para definir ajuste de dosis y retiro de medicamento</w:t>
            </w:r>
          </w:p>
        </w:tc>
        <w:tc>
          <w:tcPr>
            <w:tcW w:w="6438" w:type="dxa"/>
            <w:tcBorders>
              <w:top w:val="single" w:sz="4" w:space="0" w:color="auto"/>
              <w:left w:val="single" w:sz="4" w:space="0" w:color="auto"/>
              <w:bottom w:val="single" w:sz="4" w:space="0" w:color="auto"/>
              <w:right w:val="single" w:sz="4" w:space="0" w:color="auto"/>
            </w:tcBorders>
          </w:tcPr>
          <w:p w14:paraId="61A07AF9" w14:textId="77777777" w:rsidR="00D31B56" w:rsidRPr="0068632C" w:rsidRDefault="00D31B56" w:rsidP="00B023B2">
            <w:pPr>
              <w:autoSpaceDE w:val="0"/>
              <w:autoSpaceDN w:val="0"/>
              <w:adjustRightInd w:val="0"/>
              <w:contextualSpacing/>
              <w:jc w:val="both"/>
              <w:rPr>
                <w:rFonts w:ascii="Arial" w:hAnsi="Arial" w:cs="Arial"/>
                <w:sz w:val="20"/>
                <w:szCs w:val="20"/>
              </w:rPr>
            </w:pPr>
            <w:r w:rsidRPr="0068632C">
              <w:rPr>
                <w:rFonts w:ascii="Arial" w:hAnsi="Arial" w:cs="Arial"/>
                <w:sz w:val="20"/>
                <w:szCs w:val="20"/>
              </w:rPr>
              <w:t xml:space="preserve">Se recomienda que si un paciente tiene todavía actividad moderada o alta después de 6 meses de tratamiento con un agente biológico no anti TNF y la falla se debe a falta de beneficio, se debe cambiar a otro agente biológico no anti TNF o a un agente anti TNF. </w:t>
            </w:r>
            <w:r w:rsidR="00B023B2" w:rsidRPr="00F73178">
              <w:rPr>
                <w:rFonts w:ascii="Arial" w:hAnsi="Arial" w:cs="Arial"/>
                <w:b/>
                <w:sz w:val="20"/>
                <w:szCs w:val="20"/>
              </w:rPr>
              <w:t xml:space="preserve">[NE: </w:t>
            </w:r>
            <w:r w:rsidR="00B023B2">
              <w:rPr>
                <w:rFonts w:ascii="Arial" w:hAnsi="Arial" w:cs="Arial"/>
                <w:b/>
                <w:sz w:val="20"/>
                <w:szCs w:val="20"/>
              </w:rPr>
              <w:t>2</w:t>
            </w:r>
            <w:r w:rsidR="00B023B2" w:rsidRPr="00F73178">
              <w:rPr>
                <w:rFonts w:ascii="Arial" w:hAnsi="Arial" w:cs="Arial"/>
                <w:b/>
                <w:sz w:val="20"/>
                <w:szCs w:val="20"/>
              </w:rPr>
              <w:t xml:space="preserve">, GR: </w:t>
            </w:r>
            <w:r w:rsidR="00B023B2">
              <w:rPr>
                <w:rFonts w:ascii="Arial" w:hAnsi="Arial" w:cs="Arial"/>
                <w:b/>
                <w:sz w:val="20"/>
                <w:szCs w:val="20"/>
              </w:rPr>
              <w:t>B</w:t>
            </w:r>
            <w:r w:rsidR="00B023B2" w:rsidRPr="00F73178">
              <w:rPr>
                <w:rFonts w:ascii="Arial" w:hAnsi="Arial" w:cs="Arial"/>
                <w:b/>
                <w:sz w:val="20"/>
                <w:szCs w:val="20"/>
              </w:rPr>
              <w:t>]</w:t>
            </w:r>
            <w:r w:rsidR="00B023B2">
              <w:rPr>
                <w:rFonts w:ascii="Arial" w:eastAsia="Times-Roman" w:hAnsi="Arial" w:cs="Arial"/>
                <w:color w:val="FF0000"/>
                <w:sz w:val="20"/>
                <w:szCs w:val="20"/>
                <w:vertAlign w:val="superscript"/>
              </w:rPr>
              <w:t>6</w:t>
            </w:r>
          </w:p>
        </w:tc>
      </w:tr>
      <w:tr w:rsidR="00D31B56" w:rsidRPr="0068632C" w14:paraId="724A1641" w14:textId="77777777" w:rsidTr="007614D7">
        <w:tc>
          <w:tcPr>
            <w:tcW w:w="3168" w:type="dxa"/>
            <w:tcBorders>
              <w:top w:val="single" w:sz="4" w:space="0" w:color="auto"/>
              <w:left w:val="single" w:sz="4" w:space="0" w:color="auto"/>
              <w:bottom w:val="single" w:sz="4" w:space="0" w:color="auto"/>
              <w:right w:val="single" w:sz="4" w:space="0" w:color="auto"/>
            </w:tcBorders>
          </w:tcPr>
          <w:p w14:paraId="1A50CB3A" w14:textId="77777777" w:rsidR="00D31B56" w:rsidRPr="0068632C" w:rsidRDefault="00D31B56" w:rsidP="007614D7">
            <w:pPr>
              <w:contextualSpacing/>
              <w:jc w:val="both"/>
              <w:rPr>
                <w:rFonts w:ascii="Arial" w:eastAsia="Times-Roman" w:hAnsi="Arial" w:cs="Arial"/>
                <w:b/>
                <w:sz w:val="20"/>
                <w:szCs w:val="20"/>
              </w:rPr>
            </w:pPr>
            <w:r w:rsidRPr="0068632C">
              <w:rPr>
                <w:rFonts w:ascii="Arial" w:hAnsi="Arial" w:cs="Arial"/>
                <w:sz w:val="20"/>
                <w:szCs w:val="20"/>
              </w:rPr>
              <w:t>Dosis mínima y máxima</w:t>
            </w:r>
          </w:p>
        </w:tc>
        <w:tc>
          <w:tcPr>
            <w:tcW w:w="6438" w:type="dxa"/>
            <w:tcBorders>
              <w:top w:val="single" w:sz="4" w:space="0" w:color="auto"/>
              <w:left w:val="single" w:sz="4" w:space="0" w:color="auto"/>
              <w:bottom w:val="single" w:sz="4" w:space="0" w:color="auto"/>
              <w:right w:val="single" w:sz="4" w:space="0" w:color="auto"/>
            </w:tcBorders>
          </w:tcPr>
          <w:p w14:paraId="289126D8" w14:textId="77777777" w:rsidR="00D31B56" w:rsidRPr="0068632C" w:rsidRDefault="00D31B56" w:rsidP="009236E6">
            <w:pPr>
              <w:autoSpaceDE w:val="0"/>
              <w:autoSpaceDN w:val="0"/>
              <w:adjustRightInd w:val="0"/>
              <w:contextualSpacing/>
              <w:jc w:val="both"/>
              <w:rPr>
                <w:rFonts w:ascii="Arial" w:hAnsi="Arial" w:cs="Arial"/>
                <w:sz w:val="20"/>
                <w:szCs w:val="20"/>
              </w:rPr>
            </w:pPr>
            <w:r w:rsidRPr="0068632C">
              <w:rPr>
                <w:rFonts w:ascii="Arial" w:hAnsi="Arial" w:cs="Arial"/>
                <w:sz w:val="20"/>
                <w:szCs w:val="20"/>
              </w:rPr>
              <w:t xml:space="preserve">La dosis del abatacept se administra de acuerdo al peso del paciente: pacientes que pesan menos de 60 kg, aquellos que pesan de 60 a 100 kg y los que pesan más de 100 kg, requieren 500 mg, 750 </w:t>
            </w:r>
            <w:r w:rsidR="009236E6">
              <w:rPr>
                <w:rFonts w:ascii="Arial" w:hAnsi="Arial" w:cs="Arial"/>
                <w:sz w:val="20"/>
                <w:szCs w:val="20"/>
              </w:rPr>
              <w:t xml:space="preserve">mg y 1000 mg, respectivamente. </w:t>
            </w:r>
            <w:r w:rsidR="009236E6" w:rsidRPr="00F73178">
              <w:rPr>
                <w:rFonts w:ascii="Arial" w:hAnsi="Arial" w:cs="Arial"/>
                <w:b/>
                <w:sz w:val="20"/>
                <w:szCs w:val="20"/>
              </w:rPr>
              <w:t xml:space="preserve">[NE: </w:t>
            </w:r>
            <w:r w:rsidR="009236E6">
              <w:rPr>
                <w:rFonts w:ascii="Arial" w:hAnsi="Arial" w:cs="Arial"/>
                <w:b/>
                <w:sz w:val="20"/>
                <w:szCs w:val="20"/>
              </w:rPr>
              <w:t>I</w:t>
            </w:r>
            <w:r w:rsidR="009236E6" w:rsidRPr="00F73178">
              <w:rPr>
                <w:rFonts w:ascii="Arial" w:hAnsi="Arial" w:cs="Arial"/>
                <w:b/>
                <w:sz w:val="20"/>
                <w:szCs w:val="20"/>
              </w:rPr>
              <w:t xml:space="preserve">, GR: </w:t>
            </w:r>
            <w:r w:rsidR="009236E6">
              <w:rPr>
                <w:rFonts w:ascii="Arial" w:hAnsi="Arial" w:cs="Arial"/>
                <w:b/>
                <w:sz w:val="20"/>
                <w:szCs w:val="20"/>
              </w:rPr>
              <w:t>B</w:t>
            </w:r>
            <w:r w:rsidR="009236E6" w:rsidRPr="00F73178">
              <w:rPr>
                <w:rFonts w:ascii="Arial" w:hAnsi="Arial" w:cs="Arial"/>
                <w:b/>
                <w:sz w:val="20"/>
                <w:szCs w:val="20"/>
              </w:rPr>
              <w:t>]</w:t>
            </w:r>
            <w:r w:rsidR="009236E6">
              <w:rPr>
                <w:rFonts w:ascii="Arial" w:eastAsia="Times-Roman" w:hAnsi="Arial" w:cs="Arial"/>
                <w:color w:val="FF0000"/>
                <w:sz w:val="20"/>
                <w:szCs w:val="20"/>
                <w:vertAlign w:val="superscript"/>
              </w:rPr>
              <w:t>30</w:t>
            </w:r>
          </w:p>
          <w:p w14:paraId="638BFDD7" w14:textId="77777777" w:rsidR="009236E6" w:rsidRDefault="009236E6" w:rsidP="007614D7">
            <w:pPr>
              <w:autoSpaceDE w:val="0"/>
              <w:autoSpaceDN w:val="0"/>
              <w:adjustRightInd w:val="0"/>
              <w:contextualSpacing/>
              <w:jc w:val="both"/>
              <w:rPr>
                <w:rFonts w:ascii="Arial" w:hAnsi="Arial" w:cs="Arial"/>
                <w:sz w:val="20"/>
                <w:szCs w:val="20"/>
              </w:rPr>
            </w:pPr>
          </w:p>
          <w:p w14:paraId="0C9604FD" w14:textId="77777777" w:rsidR="00D31B56" w:rsidRPr="009236E6" w:rsidRDefault="00D31B56" w:rsidP="00EB1C49">
            <w:pPr>
              <w:spacing w:after="200"/>
              <w:rPr>
                <w:rFonts w:ascii="Arial" w:eastAsia="Times-Roman" w:hAnsi="Arial" w:cs="Arial"/>
                <w:color w:val="FF0000"/>
                <w:sz w:val="20"/>
                <w:szCs w:val="20"/>
                <w:vertAlign w:val="superscript"/>
              </w:rPr>
            </w:pPr>
            <w:r w:rsidRPr="0068632C">
              <w:rPr>
                <w:rFonts w:ascii="Arial" w:hAnsi="Arial" w:cs="Arial"/>
                <w:sz w:val="20"/>
                <w:szCs w:val="20"/>
              </w:rPr>
              <w:t>La utilización de abatacept por vía subcutánea, se está estudiando en ensayos clínicos.  Hasta ahora, ha sido eficaz por esa vía.  La dosis es de 125 mg semanales.</w:t>
            </w:r>
            <w:r w:rsidRPr="0068632C">
              <w:rPr>
                <w:rFonts w:ascii="Arial" w:hAnsi="Arial" w:cs="Arial"/>
                <w:color w:val="FF0000"/>
                <w:sz w:val="20"/>
                <w:szCs w:val="20"/>
              </w:rPr>
              <w:t xml:space="preserve"> </w:t>
            </w:r>
            <w:r w:rsidR="009236E6" w:rsidRPr="00F73178">
              <w:rPr>
                <w:rFonts w:ascii="Arial" w:hAnsi="Arial" w:cs="Arial"/>
                <w:b/>
                <w:sz w:val="20"/>
                <w:szCs w:val="20"/>
              </w:rPr>
              <w:t xml:space="preserve">[NE: </w:t>
            </w:r>
            <w:r w:rsidR="00EB1C49">
              <w:rPr>
                <w:rFonts w:ascii="Arial" w:hAnsi="Arial" w:cs="Arial"/>
                <w:b/>
                <w:sz w:val="20"/>
                <w:szCs w:val="20"/>
              </w:rPr>
              <w:t>2+</w:t>
            </w:r>
            <w:r w:rsidR="009236E6" w:rsidRPr="00F73178">
              <w:rPr>
                <w:rFonts w:ascii="Arial" w:hAnsi="Arial" w:cs="Arial"/>
                <w:b/>
                <w:sz w:val="20"/>
                <w:szCs w:val="20"/>
              </w:rPr>
              <w:t xml:space="preserve">, GR: </w:t>
            </w:r>
            <w:r w:rsidR="00EB1C49">
              <w:rPr>
                <w:rFonts w:ascii="Arial" w:hAnsi="Arial" w:cs="Arial"/>
                <w:b/>
                <w:sz w:val="20"/>
                <w:szCs w:val="20"/>
              </w:rPr>
              <w:t>C</w:t>
            </w:r>
            <w:r w:rsidR="009236E6" w:rsidRPr="00F73178">
              <w:rPr>
                <w:rFonts w:ascii="Arial" w:hAnsi="Arial" w:cs="Arial"/>
                <w:b/>
                <w:sz w:val="20"/>
                <w:szCs w:val="20"/>
              </w:rPr>
              <w:t>]</w:t>
            </w:r>
            <w:r w:rsidR="009236E6">
              <w:rPr>
                <w:rFonts w:ascii="Arial" w:eastAsia="Times-Roman" w:hAnsi="Arial" w:cs="Arial"/>
                <w:color w:val="FF0000"/>
                <w:sz w:val="20"/>
                <w:szCs w:val="20"/>
                <w:vertAlign w:val="superscript"/>
              </w:rPr>
              <w:t>48</w:t>
            </w:r>
          </w:p>
        </w:tc>
      </w:tr>
      <w:tr w:rsidR="00D31B56" w:rsidRPr="0068632C" w14:paraId="3E312796" w14:textId="77777777" w:rsidTr="007614D7">
        <w:tc>
          <w:tcPr>
            <w:tcW w:w="3168" w:type="dxa"/>
            <w:tcBorders>
              <w:top w:val="single" w:sz="4" w:space="0" w:color="auto"/>
              <w:left w:val="single" w:sz="4" w:space="0" w:color="auto"/>
              <w:bottom w:val="single" w:sz="4" w:space="0" w:color="auto"/>
              <w:right w:val="single" w:sz="4" w:space="0" w:color="auto"/>
            </w:tcBorders>
          </w:tcPr>
          <w:p w14:paraId="1F44AC3C" w14:textId="77777777" w:rsidR="00D31B56" w:rsidRPr="0068632C" w:rsidRDefault="00D31B56" w:rsidP="00D31B56">
            <w:pPr>
              <w:numPr>
                <w:ilvl w:val="0"/>
                <w:numId w:val="2"/>
              </w:numPr>
              <w:ind w:left="0"/>
              <w:contextualSpacing/>
              <w:jc w:val="both"/>
              <w:rPr>
                <w:rFonts w:ascii="Arial" w:hAnsi="Arial" w:cs="Arial"/>
                <w:sz w:val="20"/>
                <w:szCs w:val="20"/>
              </w:rPr>
            </w:pPr>
            <w:r w:rsidRPr="0068632C">
              <w:rPr>
                <w:rFonts w:ascii="Arial" w:hAnsi="Arial" w:cs="Arial"/>
                <w:sz w:val="20"/>
                <w:szCs w:val="20"/>
              </w:rPr>
              <w:t>Contraindicaciones</w:t>
            </w:r>
          </w:p>
        </w:tc>
        <w:tc>
          <w:tcPr>
            <w:tcW w:w="6438" w:type="dxa"/>
            <w:tcBorders>
              <w:top w:val="single" w:sz="4" w:space="0" w:color="auto"/>
              <w:left w:val="single" w:sz="4" w:space="0" w:color="auto"/>
              <w:bottom w:val="single" w:sz="4" w:space="0" w:color="auto"/>
              <w:right w:val="single" w:sz="4" w:space="0" w:color="auto"/>
            </w:tcBorders>
          </w:tcPr>
          <w:p w14:paraId="28902D93" w14:textId="77777777" w:rsidR="00D31B56" w:rsidRPr="0068632C" w:rsidRDefault="00D31B56" w:rsidP="00E05525">
            <w:pPr>
              <w:contextualSpacing/>
              <w:rPr>
                <w:rFonts w:ascii="Arial" w:hAnsi="Arial" w:cs="Arial"/>
                <w:sz w:val="20"/>
                <w:szCs w:val="20"/>
              </w:rPr>
            </w:pPr>
            <w:r w:rsidRPr="0068632C">
              <w:rPr>
                <w:rFonts w:ascii="Arial" w:hAnsi="Arial" w:cs="Arial"/>
                <w:sz w:val="20"/>
                <w:szCs w:val="20"/>
                <w:lang w:val="es-ES"/>
              </w:rPr>
              <w:t>El abatacept está contraindicado en pacientes con infecciones activas graves u oportunistas.</w:t>
            </w:r>
            <w:r w:rsidR="00E05525">
              <w:rPr>
                <w:rFonts w:ascii="Arial" w:eastAsia="Times-Roman" w:hAnsi="Arial" w:cs="Arial"/>
                <w:color w:val="FF0000"/>
                <w:sz w:val="20"/>
                <w:szCs w:val="20"/>
                <w:vertAlign w:val="superscript"/>
              </w:rPr>
              <w:t>13</w:t>
            </w:r>
          </w:p>
        </w:tc>
      </w:tr>
    </w:tbl>
    <w:p w14:paraId="7EC86E65" w14:textId="77777777" w:rsidR="00D31B56" w:rsidRPr="0068632C" w:rsidRDefault="00D31B56"/>
    <w:p w14:paraId="6A400EC7" w14:textId="77777777" w:rsidR="00D31B56" w:rsidRPr="0068632C" w:rsidRDefault="00D31B56"/>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79"/>
      </w:tblGrid>
      <w:tr w:rsidR="00D31B56" w:rsidRPr="0068632C" w14:paraId="2FB6C483" w14:textId="77777777" w:rsidTr="007614D7">
        <w:tc>
          <w:tcPr>
            <w:tcW w:w="3227" w:type="dxa"/>
          </w:tcPr>
          <w:p w14:paraId="3683CC53" w14:textId="77777777" w:rsidR="00D31B56" w:rsidRPr="0068632C" w:rsidRDefault="00D31B56" w:rsidP="007614D7">
            <w:pPr>
              <w:contextualSpacing/>
              <w:jc w:val="both"/>
              <w:rPr>
                <w:rFonts w:ascii="Arial" w:hAnsi="Arial" w:cs="Arial"/>
                <w:sz w:val="20"/>
                <w:szCs w:val="20"/>
              </w:rPr>
            </w:pPr>
            <w:r w:rsidRPr="0068632C">
              <w:rPr>
                <w:rFonts w:ascii="Arial" w:hAnsi="Arial" w:cs="Arial"/>
                <w:sz w:val="20"/>
                <w:szCs w:val="20"/>
              </w:rPr>
              <w:t xml:space="preserve">¿Se pueden suspender y cómo? </w:t>
            </w:r>
          </w:p>
          <w:p w14:paraId="7942526F" w14:textId="77777777" w:rsidR="00D31B56" w:rsidRPr="0068632C" w:rsidRDefault="00D31B56" w:rsidP="007614D7">
            <w:pPr>
              <w:contextualSpacing/>
              <w:jc w:val="both"/>
              <w:rPr>
                <w:rFonts w:ascii="Arial" w:eastAsia="Times-Roman" w:hAnsi="Arial" w:cs="Arial"/>
                <w:b/>
                <w:sz w:val="20"/>
                <w:szCs w:val="20"/>
              </w:rPr>
            </w:pPr>
            <w:r w:rsidRPr="0068632C">
              <w:rPr>
                <w:rFonts w:ascii="Arial" w:hAnsi="Arial" w:cs="Arial"/>
                <w:sz w:val="20"/>
                <w:szCs w:val="20"/>
              </w:rPr>
              <w:t>En caso de suspensión (que no sea por toxicidad), ¿cuál es la estrategia de tratamiento?</w:t>
            </w:r>
          </w:p>
        </w:tc>
        <w:tc>
          <w:tcPr>
            <w:tcW w:w="6379" w:type="dxa"/>
          </w:tcPr>
          <w:p w14:paraId="006154B4" w14:textId="77777777" w:rsidR="00D31B56" w:rsidRPr="0068632C" w:rsidRDefault="00D31B56" w:rsidP="007614D7">
            <w:pPr>
              <w:autoSpaceDE w:val="0"/>
              <w:autoSpaceDN w:val="0"/>
              <w:adjustRightInd w:val="0"/>
              <w:contextualSpacing/>
              <w:jc w:val="both"/>
              <w:rPr>
                <w:rFonts w:ascii="Arial" w:hAnsi="Arial" w:cs="Arial"/>
                <w:sz w:val="20"/>
                <w:szCs w:val="20"/>
              </w:rPr>
            </w:pPr>
            <w:r w:rsidRPr="0068632C">
              <w:rPr>
                <w:rFonts w:ascii="Arial" w:eastAsia="Times-Roman" w:hAnsi="Arial" w:cs="Arial"/>
                <w:sz w:val="20"/>
                <w:szCs w:val="20"/>
              </w:rPr>
              <w:t xml:space="preserve">El </w:t>
            </w:r>
            <w:r w:rsidR="00D2135E">
              <w:rPr>
                <w:rFonts w:ascii="Arial" w:eastAsia="Times-Roman" w:hAnsi="Arial" w:cs="Arial"/>
                <w:sz w:val="20"/>
                <w:szCs w:val="20"/>
              </w:rPr>
              <w:t>RTX</w:t>
            </w:r>
            <w:r w:rsidRPr="0068632C">
              <w:rPr>
                <w:rFonts w:ascii="Arial" w:eastAsia="Times-Roman" w:hAnsi="Arial" w:cs="Arial"/>
                <w:sz w:val="20"/>
                <w:szCs w:val="20"/>
              </w:rPr>
              <w:t xml:space="preserve">, el </w:t>
            </w:r>
            <w:r w:rsidR="004B2260">
              <w:rPr>
                <w:rFonts w:ascii="Arial" w:eastAsia="Times-Roman" w:hAnsi="Arial" w:cs="Arial"/>
                <w:sz w:val="20"/>
                <w:szCs w:val="20"/>
              </w:rPr>
              <w:t>TCZ</w:t>
            </w:r>
            <w:r w:rsidRPr="0068632C">
              <w:rPr>
                <w:rFonts w:ascii="Arial" w:eastAsia="Times-Roman" w:hAnsi="Arial" w:cs="Arial"/>
                <w:sz w:val="20"/>
                <w:szCs w:val="20"/>
              </w:rPr>
              <w:t xml:space="preserve"> y el abatacept se deben suspender </w:t>
            </w:r>
            <w:r w:rsidRPr="0068632C">
              <w:rPr>
                <w:rFonts w:ascii="Arial" w:hAnsi="Arial" w:cs="Arial"/>
                <w:sz w:val="20"/>
                <w:szCs w:val="20"/>
              </w:rPr>
              <w:t xml:space="preserve">cuando exista falta de eficacia o se desarrolle hipersensibilidad o intolerancia al fármaco. </w:t>
            </w:r>
          </w:p>
          <w:p w14:paraId="30FB31EB" w14:textId="77777777" w:rsidR="00D31B56" w:rsidRPr="0068632C" w:rsidRDefault="00D31B56" w:rsidP="00E05525">
            <w:pPr>
              <w:autoSpaceDE w:val="0"/>
              <w:autoSpaceDN w:val="0"/>
              <w:adjustRightInd w:val="0"/>
              <w:contextualSpacing/>
              <w:jc w:val="both"/>
              <w:rPr>
                <w:rFonts w:ascii="Arial" w:eastAsia="Times-Roman" w:hAnsi="Arial" w:cs="Arial"/>
                <w:b/>
                <w:sz w:val="20"/>
                <w:szCs w:val="20"/>
              </w:rPr>
            </w:pPr>
            <w:r w:rsidRPr="0068632C">
              <w:rPr>
                <w:rFonts w:ascii="Arial" w:hAnsi="Arial" w:cs="Arial"/>
                <w:sz w:val="20"/>
                <w:szCs w:val="20"/>
              </w:rPr>
              <w:t>En caso de suspensión por falta de eficacia, se debe cambiar a otro agente biológico no anti-TNF o a un agente anti-TNF.</w:t>
            </w:r>
            <w:r w:rsidR="00E05525">
              <w:rPr>
                <w:rFonts w:ascii="Arial" w:eastAsia="Times-Roman" w:hAnsi="Arial" w:cs="Arial"/>
                <w:color w:val="FF0000"/>
                <w:sz w:val="20"/>
                <w:szCs w:val="20"/>
                <w:vertAlign w:val="superscript"/>
              </w:rPr>
              <w:t>30</w:t>
            </w:r>
          </w:p>
        </w:tc>
      </w:tr>
      <w:tr w:rsidR="00D31B56" w:rsidRPr="0068632C" w14:paraId="6C83E7FE" w14:textId="77777777" w:rsidTr="007614D7">
        <w:tc>
          <w:tcPr>
            <w:tcW w:w="3227" w:type="dxa"/>
          </w:tcPr>
          <w:p w14:paraId="119DAA0A" w14:textId="77777777" w:rsidR="00D31B56" w:rsidRPr="0068632C" w:rsidRDefault="00D31B56" w:rsidP="007614D7">
            <w:pPr>
              <w:contextualSpacing/>
              <w:jc w:val="both"/>
              <w:rPr>
                <w:rFonts w:ascii="Arial" w:hAnsi="Arial" w:cs="Arial"/>
                <w:sz w:val="20"/>
                <w:szCs w:val="20"/>
              </w:rPr>
            </w:pPr>
            <w:r w:rsidRPr="0068632C">
              <w:rPr>
                <w:rFonts w:ascii="Arial" w:hAnsi="Arial" w:cs="Arial"/>
                <w:sz w:val="20"/>
                <w:szCs w:val="20"/>
              </w:rPr>
              <w:t>Casos especiales</w:t>
            </w:r>
          </w:p>
        </w:tc>
        <w:tc>
          <w:tcPr>
            <w:tcW w:w="6379" w:type="dxa"/>
          </w:tcPr>
          <w:p w14:paraId="6890E9F1" w14:textId="77777777" w:rsidR="00D31B56" w:rsidRPr="0068632C" w:rsidRDefault="00D31B56" w:rsidP="007614D7">
            <w:pPr>
              <w:contextualSpacing/>
              <w:jc w:val="both"/>
              <w:rPr>
                <w:rFonts w:ascii="Arial" w:hAnsi="Arial" w:cs="Arial"/>
                <w:sz w:val="20"/>
                <w:szCs w:val="20"/>
              </w:rPr>
            </w:pPr>
            <w:r w:rsidRPr="0068632C">
              <w:rPr>
                <w:rFonts w:ascii="Arial" w:hAnsi="Arial" w:cs="Arial"/>
                <w:sz w:val="20"/>
                <w:szCs w:val="20"/>
              </w:rPr>
              <w:t xml:space="preserve">No hay evidencia suficiente para saber si el </w:t>
            </w:r>
            <w:r w:rsidR="00D2135E">
              <w:rPr>
                <w:rFonts w:ascii="Arial" w:hAnsi="Arial" w:cs="Arial"/>
                <w:sz w:val="20"/>
                <w:szCs w:val="20"/>
              </w:rPr>
              <w:t>RTX</w:t>
            </w:r>
            <w:r w:rsidRPr="0068632C">
              <w:rPr>
                <w:rFonts w:ascii="Arial" w:hAnsi="Arial" w:cs="Arial"/>
                <w:sz w:val="20"/>
                <w:szCs w:val="20"/>
              </w:rPr>
              <w:t xml:space="preserve">, el </w:t>
            </w:r>
            <w:r w:rsidR="004B2260">
              <w:rPr>
                <w:rFonts w:ascii="Arial" w:hAnsi="Arial" w:cs="Arial"/>
                <w:sz w:val="20"/>
                <w:szCs w:val="20"/>
              </w:rPr>
              <w:t>TCZ</w:t>
            </w:r>
            <w:r w:rsidRPr="0068632C">
              <w:rPr>
                <w:rFonts w:ascii="Arial" w:hAnsi="Arial" w:cs="Arial"/>
                <w:sz w:val="20"/>
                <w:szCs w:val="20"/>
              </w:rPr>
              <w:t xml:space="preserve"> o el abatacept afectan la fertilidad, por lo tanto, no h</w:t>
            </w:r>
            <w:r w:rsidR="00E05525">
              <w:rPr>
                <w:rFonts w:ascii="Arial" w:hAnsi="Arial" w:cs="Arial"/>
                <w:sz w:val="20"/>
                <w:szCs w:val="20"/>
              </w:rPr>
              <w:t>ay recomendaciones al respecto.</w:t>
            </w:r>
            <w:r w:rsidR="00E05525">
              <w:rPr>
                <w:rFonts w:ascii="Arial" w:eastAsia="Times-Roman" w:hAnsi="Arial" w:cs="Arial"/>
                <w:color w:val="FF0000"/>
                <w:sz w:val="20"/>
                <w:szCs w:val="20"/>
                <w:vertAlign w:val="superscript"/>
              </w:rPr>
              <w:t>13</w:t>
            </w:r>
          </w:p>
          <w:p w14:paraId="1A6BB81E" w14:textId="77777777" w:rsidR="00D31B56" w:rsidRPr="0068632C" w:rsidRDefault="00D31B56" w:rsidP="007614D7">
            <w:pPr>
              <w:contextualSpacing/>
              <w:jc w:val="both"/>
              <w:rPr>
                <w:rFonts w:ascii="Arial" w:hAnsi="Arial" w:cs="Arial"/>
                <w:sz w:val="20"/>
                <w:szCs w:val="20"/>
              </w:rPr>
            </w:pPr>
          </w:p>
          <w:p w14:paraId="31830A27" w14:textId="77777777" w:rsidR="00D31B56" w:rsidRDefault="00D31B56" w:rsidP="00E05525">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La experiencia con </w:t>
            </w:r>
            <w:r w:rsidR="00D2135E">
              <w:rPr>
                <w:rFonts w:ascii="Arial" w:hAnsi="Arial" w:cs="Arial"/>
                <w:sz w:val="20"/>
                <w:szCs w:val="20"/>
              </w:rPr>
              <w:t>RTX</w:t>
            </w:r>
            <w:r w:rsidRPr="0068632C">
              <w:rPr>
                <w:rFonts w:ascii="Arial" w:hAnsi="Arial" w:cs="Arial"/>
                <w:sz w:val="20"/>
                <w:szCs w:val="20"/>
              </w:rPr>
              <w:t xml:space="preserve"> en pacientes embarazadas es demasiado limitada para permitir cualquier afirmación sobre seguridad durante el embarazo.</w:t>
            </w:r>
            <w:r w:rsidR="00E05525">
              <w:rPr>
                <w:rFonts w:ascii="Arial" w:eastAsia="Times-Roman" w:hAnsi="Arial" w:cs="Arial"/>
                <w:color w:val="FF0000"/>
                <w:sz w:val="20"/>
                <w:szCs w:val="20"/>
                <w:vertAlign w:val="superscript"/>
              </w:rPr>
              <w:t xml:space="preserve">40 </w:t>
            </w:r>
            <w:r w:rsidRPr="0068632C">
              <w:rPr>
                <w:rFonts w:ascii="Arial" w:hAnsi="Arial" w:cs="Arial"/>
                <w:sz w:val="20"/>
                <w:szCs w:val="20"/>
              </w:rPr>
              <w:t xml:space="preserve">Existen reportes de casos de mujeres embarazadas que recibieron </w:t>
            </w:r>
            <w:r w:rsidR="00D2135E">
              <w:rPr>
                <w:rFonts w:ascii="Arial" w:hAnsi="Arial" w:cs="Arial"/>
                <w:sz w:val="20"/>
                <w:szCs w:val="20"/>
              </w:rPr>
              <w:t>RTX</w:t>
            </w:r>
            <w:r w:rsidRPr="0068632C">
              <w:rPr>
                <w:rFonts w:ascii="Arial" w:hAnsi="Arial" w:cs="Arial"/>
                <w:sz w:val="20"/>
                <w:szCs w:val="20"/>
              </w:rPr>
              <w:t>, sobre todo para tratar padecimientos hematológicos.  Se ha reportado que cuando el fármaco se administra durante el segundo y el tercer trimestre, puede ocurrir deficiencia transitoria de células B en el producto en la etapa posnatal.</w:t>
            </w:r>
            <w:r w:rsidR="00E05525">
              <w:rPr>
                <w:rFonts w:ascii="Arial" w:hAnsi="Arial" w:cs="Arial"/>
                <w:color w:val="FF0000"/>
                <w:sz w:val="20"/>
                <w:szCs w:val="20"/>
              </w:rPr>
              <w:t xml:space="preserve"> </w:t>
            </w:r>
            <w:r w:rsidR="00E05525" w:rsidRPr="00F73178">
              <w:rPr>
                <w:rFonts w:ascii="Arial" w:hAnsi="Arial" w:cs="Arial"/>
                <w:b/>
                <w:sz w:val="20"/>
                <w:szCs w:val="20"/>
              </w:rPr>
              <w:t xml:space="preserve">[NE: </w:t>
            </w:r>
            <w:r w:rsidR="00E05525">
              <w:rPr>
                <w:rFonts w:ascii="Arial" w:hAnsi="Arial" w:cs="Arial"/>
                <w:b/>
                <w:sz w:val="20"/>
                <w:szCs w:val="20"/>
              </w:rPr>
              <w:t>4</w:t>
            </w:r>
            <w:r w:rsidR="00E05525" w:rsidRPr="00F73178">
              <w:rPr>
                <w:rFonts w:ascii="Arial" w:hAnsi="Arial" w:cs="Arial"/>
                <w:b/>
                <w:sz w:val="20"/>
                <w:szCs w:val="20"/>
              </w:rPr>
              <w:t xml:space="preserve">, GR: </w:t>
            </w:r>
            <w:r w:rsidR="00E05525">
              <w:rPr>
                <w:rFonts w:ascii="Arial" w:hAnsi="Arial" w:cs="Arial"/>
                <w:b/>
                <w:sz w:val="20"/>
                <w:szCs w:val="20"/>
              </w:rPr>
              <w:t>D</w:t>
            </w:r>
            <w:r w:rsidR="00E05525" w:rsidRPr="00F73178">
              <w:rPr>
                <w:rFonts w:ascii="Arial" w:hAnsi="Arial" w:cs="Arial"/>
                <w:b/>
                <w:sz w:val="20"/>
                <w:szCs w:val="20"/>
              </w:rPr>
              <w:t>]</w:t>
            </w:r>
            <w:r w:rsidR="00E05525">
              <w:rPr>
                <w:rFonts w:ascii="Arial" w:eastAsia="Times-Roman" w:hAnsi="Arial" w:cs="Arial"/>
                <w:color w:val="FF0000"/>
                <w:sz w:val="20"/>
                <w:szCs w:val="20"/>
                <w:vertAlign w:val="superscript"/>
              </w:rPr>
              <w:t>40</w:t>
            </w:r>
          </w:p>
          <w:p w14:paraId="0B2936F0" w14:textId="77777777" w:rsidR="00E05525" w:rsidRPr="0068632C" w:rsidRDefault="00E05525" w:rsidP="00E05525">
            <w:pPr>
              <w:autoSpaceDE w:val="0"/>
              <w:autoSpaceDN w:val="0"/>
              <w:adjustRightInd w:val="0"/>
              <w:contextualSpacing/>
              <w:jc w:val="both"/>
              <w:rPr>
                <w:rFonts w:ascii="Arial" w:eastAsia="Times-Roman" w:hAnsi="Arial" w:cs="Arial"/>
                <w:b/>
                <w:sz w:val="20"/>
                <w:szCs w:val="20"/>
              </w:rPr>
            </w:pPr>
          </w:p>
          <w:p w14:paraId="472D5494" w14:textId="77777777" w:rsidR="00E05525" w:rsidRDefault="00D31B56" w:rsidP="007614D7">
            <w:pPr>
              <w:jc w:val="both"/>
              <w:rPr>
                <w:rFonts w:ascii="Arial" w:eastAsia="Times-Roman" w:hAnsi="Arial" w:cs="Arial"/>
                <w:color w:val="FF0000"/>
                <w:sz w:val="20"/>
                <w:szCs w:val="20"/>
                <w:vertAlign w:val="superscript"/>
              </w:rPr>
            </w:pPr>
            <w:r w:rsidRPr="0068632C">
              <w:rPr>
                <w:rFonts w:ascii="Arial" w:hAnsi="Arial" w:cs="Arial"/>
                <w:sz w:val="20"/>
                <w:szCs w:val="20"/>
              </w:rPr>
              <w:t xml:space="preserve">Debido a la falta de datos definitivos y de acuerdo a las indicaciones del producto, es recomendable suspender el </w:t>
            </w:r>
            <w:r w:rsidR="00D2135E">
              <w:rPr>
                <w:rFonts w:ascii="Arial" w:hAnsi="Arial" w:cs="Arial"/>
                <w:sz w:val="20"/>
                <w:szCs w:val="20"/>
              </w:rPr>
              <w:t>RTX</w:t>
            </w:r>
            <w:r w:rsidRPr="0068632C">
              <w:rPr>
                <w:rFonts w:ascii="Arial" w:hAnsi="Arial" w:cs="Arial"/>
                <w:sz w:val="20"/>
                <w:szCs w:val="20"/>
              </w:rPr>
              <w:t xml:space="preserve"> 52 semanas antes de un embarazo planeado,  por la duración del efecto biológico del fármaco.</w:t>
            </w:r>
            <w:r w:rsidR="00E05525" w:rsidRPr="00F73178">
              <w:rPr>
                <w:rFonts w:ascii="Arial" w:hAnsi="Arial" w:cs="Arial"/>
                <w:b/>
                <w:sz w:val="20"/>
                <w:szCs w:val="20"/>
              </w:rPr>
              <w:t xml:space="preserve"> [NE: </w:t>
            </w:r>
            <w:r w:rsidR="00E05525">
              <w:rPr>
                <w:rFonts w:ascii="Arial" w:hAnsi="Arial" w:cs="Arial"/>
                <w:b/>
                <w:sz w:val="20"/>
                <w:szCs w:val="20"/>
              </w:rPr>
              <w:t>4</w:t>
            </w:r>
            <w:r w:rsidR="00E05525" w:rsidRPr="00F73178">
              <w:rPr>
                <w:rFonts w:ascii="Arial" w:hAnsi="Arial" w:cs="Arial"/>
                <w:b/>
                <w:sz w:val="20"/>
                <w:szCs w:val="20"/>
              </w:rPr>
              <w:t xml:space="preserve">, GR: </w:t>
            </w:r>
            <w:r w:rsidR="00E05525">
              <w:rPr>
                <w:rFonts w:ascii="Arial" w:hAnsi="Arial" w:cs="Arial"/>
                <w:b/>
                <w:sz w:val="20"/>
                <w:szCs w:val="20"/>
              </w:rPr>
              <w:t>D</w:t>
            </w:r>
            <w:r w:rsidR="00E05525" w:rsidRPr="00F73178">
              <w:rPr>
                <w:rFonts w:ascii="Arial" w:hAnsi="Arial" w:cs="Arial"/>
                <w:b/>
                <w:sz w:val="20"/>
                <w:szCs w:val="20"/>
              </w:rPr>
              <w:t>]</w:t>
            </w:r>
            <w:r w:rsidR="00E05525">
              <w:rPr>
                <w:rFonts w:ascii="Arial" w:eastAsia="Times-Roman" w:hAnsi="Arial" w:cs="Arial"/>
                <w:color w:val="FF0000"/>
                <w:sz w:val="20"/>
                <w:szCs w:val="20"/>
                <w:vertAlign w:val="superscript"/>
              </w:rPr>
              <w:t>40</w:t>
            </w:r>
          </w:p>
          <w:p w14:paraId="31127EDE" w14:textId="77777777" w:rsidR="00E05525" w:rsidRDefault="00E05525" w:rsidP="007614D7">
            <w:pPr>
              <w:jc w:val="both"/>
              <w:rPr>
                <w:rFonts w:ascii="Arial" w:eastAsia="Times-Roman" w:hAnsi="Arial" w:cs="Arial"/>
                <w:color w:val="FF0000"/>
                <w:sz w:val="20"/>
                <w:szCs w:val="20"/>
                <w:vertAlign w:val="superscript"/>
              </w:rPr>
            </w:pPr>
          </w:p>
          <w:p w14:paraId="2D99E0F8" w14:textId="77777777" w:rsidR="00D31B56" w:rsidRPr="0068632C" w:rsidRDefault="00D31B56" w:rsidP="007614D7">
            <w:pPr>
              <w:jc w:val="both"/>
              <w:rPr>
                <w:rFonts w:ascii="Arial" w:hAnsi="Arial" w:cs="Arial"/>
                <w:sz w:val="20"/>
                <w:szCs w:val="20"/>
              </w:rPr>
            </w:pPr>
            <w:r w:rsidRPr="0068632C">
              <w:rPr>
                <w:rFonts w:ascii="Arial" w:hAnsi="Arial" w:cs="Arial"/>
                <w:sz w:val="20"/>
                <w:szCs w:val="20"/>
              </w:rPr>
              <w:t xml:space="preserve">No existen datos adecuados sobre el uso de </w:t>
            </w:r>
            <w:r w:rsidR="004B2260">
              <w:rPr>
                <w:rFonts w:ascii="Arial" w:hAnsi="Arial" w:cs="Arial"/>
                <w:sz w:val="20"/>
                <w:szCs w:val="20"/>
              </w:rPr>
              <w:t>TCZ</w:t>
            </w:r>
            <w:r w:rsidRPr="0068632C">
              <w:rPr>
                <w:rFonts w:ascii="Arial" w:hAnsi="Arial" w:cs="Arial"/>
                <w:sz w:val="20"/>
                <w:szCs w:val="20"/>
              </w:rPr>
              <w:t xml:space="preserve"> en mujeres embarazadas.</w:t>
            </w:r>
            <w:r w:rsidR="00E05525">
              <w:rPr>
                <w:rFonts w:ascii="Arial" w:eastAsia="Times-Roman" w:hAnsi="Arial" w:cs="Arial"/>
                <w:color w:val="FF0000"/>
                <w:sz w:val="20"/>
                <w:szCs w:val="20"/>
                <w:vertAlign w:val="superscript"/>
              </w:rPr>
              <w:t xml:space="preserve">45 </w:t>
            </w:r>
            <w:r w:rsidRPr="0068632C">
              <w:rPr>
                <w:rFonts w:ascii="Arial" w:hAnsi="Arial" w:cs="Arial"/>
                <w:sz w:val="20"/>
                <w:szCs w:val="20"/>
              </w:rPr>
              <w:t xml:space="preserve"> El riesgo potencial para los humanos se desconoce, por lo que no se recomienda usarlo durante el embarazo.</w:t>
            </w:r>
          </w:p>
          <w:p w14:paraId="0358472A" w14:textId="77777777" w:rsidR="00D31B56" w:rsidRPr="0068632C" w:rsidRDefault="00D31B56" w:rsidP="007614D7">
            <w:pPr>
              <w:autoSpaceDE w:val="0"/>
              <w:autoSpaceDN w:val="0"/>
              <w:adjustRightInd w:val="0"/>
              <w:contextualSpacing/>
              <w:jc w:val="both"/>
              <w:rPr>
                <w:rFonts w:ascii="Arial" w:hAnsi="Arial" w:cs="Arial"/>
                <w:sz w:val="20"/>
                <w:szCs w:val="20"/>
              </w:rPr>
            </w:pPr>
            <w:r w:rsidRPr="0068632C">
              <w:rPr>
                <w:rFonts w:ascii="Arial" w:hAnsi="Arial" w:cs="Arial"/>
                <w:sz w:val="20"/>
                <w:szCs w:val="20"/>
              </w:rPr>
              <w:t>No hay datos disponibles sobre la exposición a abatacept durante el</w:t>
            </w:r>
            <w:r w:rsidR="00E05525">
              <w:rPr>
                <w:rFonts w:ascii="Arial" w:hAnsi="Arial" w:cs="Arial"/>
                <w:sz w:val="20"/>
                <w:szCs w:val="20"/>
              </w:rPr>
              <w:t xml:space="preserve"> embarazo. </w:t>
            </w:r>
            <w:r w:rsidR="00E05525" w:rsidRPr="00F73178">
              <w:rPr>
                <w:rFonts w:ascii="Arial" w:hAnsi="Arial" w:cs="Arial"/>
                <w:b/>
                <w:sz w:val="20"/>
                <w:szCs w:val="20"/>
              </w:rPr>
              <w:t xml:space="preserve">[NE: </w:t>
            </w:r>
            <w:r w:rsidR="00E05525">
              <w:rPr>
                <w:rFonts w:ascii="Arial" w:hAnsi="Arial" w:cs="Arial"/>
                <w:b/>
                <w:sz w:val="20"/>
                <w:szCs w:val="20"/>
              </w:rPr>
              <w:t>4</w:t>
            </w:r>
            <w:r w:rsidR="00E05525" w:rsidRPr="00F73178">
              <w:rPr>
                <w:rFonts w:ascii="Arial" w:hAnsi="Arial" w:cs="Arial"/>
                <w:b/>
                <w:sz w:val="20"/>
                <w:szCs w:val="20"/>
              </w:rPr>
              <w:t xml:space="preserve">, GR: </w:t>
            </w:r>
            <w:r w:rsidR="00E05525">
              <w:rPr>
                <w:rFonts w:ascii="Arial" w:hAnsi="Arial" w:cs="Arial"/>
                <w:b/>
                <w:sz w:val="20"/>
                <w:szCs w:val="20"/>
              </w:rPr>
              <w:t>D</w:t>
            </w:r>
            <w:r w:rsidR="00E05525" w:rsidRPr="00F73178">
              <w:rPr>
                <w:rFonts w:ascii="Arial" w:hAnsi="Arial" w:cs="Arial"/>
                <w:b/>
                <w:sz w:val="20"/>
                <w:szCs w:val="20"/>
              </w:rPr>
              <w:t>]</w:t>
            </w:r>
            <w:r w:rsidR="00E05525">
              <w:rPr>
                <w:rFonts w:ascii="Arial" w:eastAsia="Times-Roman" w:hAnsi="Arial" w:cs="Arial"/>
                <w:color w:val="FF0000"/>
                <w:sz w:val="20"/>
                <w:szCs w:val="20"/>
                <w:vertAlign w:val="superscript"/>
              </w:rPr>
              <w:t xml:space="preserve">40 </w:t>
            </w:r>
            <w:r w:rsidRPr="0068632C">
              <w:rPr>
                <w:rFonts w:ascii="Arial" w:hAnsi="Arial" w:cs="Arial"/>
                <w:sz w:val="20"/>
                <w:szCs w:val="20"/>
              </w:rPr>
              <w:t>Por lo tanto, el fármaco no se debe emplear en mujeres embarazadas. Se debe suspender 14 semanas antes de un embarazo planeado.</w:t>
            </w:r>
          </w:p>
          <w:p w14:paraId="6CAECB28" w14:textId="77777777" w:rsidR="00D31B56" w:rsidRPr="0068632C" w:rsidRDefault="00D31B56" w:rsidP="007614D7">
            <w:pPr>
              <w:jc w:val="both"/>
              <w:rPr>
                <w:rFonts w:ascii="Arial" w:hAnsi="Arial" w:cs="Arial"/>
                <w:sz w:val="20"/>
                <w:szCs w:val="20"/>
                <w:lang w:val="es-ES"/>
              </w:rPr>
            </w:pPr>
          </w:p>
          <w:p w14:paraId="08B4A084" w14:textId="77777777" w:rsidR="00D31B56" w:rsidRPr="0068632C" w:rsidRDefault="00D31B56" w:rsidP="007614D7">
            <w:pPr>
              <w:jc w:val="both"/>
              <w:rPr>
                <w:rFonts w:ascii="Times New Roman" w:hAnsi="Times New Roman"/>
                <w:lang w:eastAsia="es-MX"/>
              </w:rPr>
            </w:pPr>
            <w:r w:rsidRPr="0068632C">
              <w:rPr>
                <w:rFonts w:ascii="Arial" w:hAnsi="Arial" w:cs="Arial"/>
                <w:sz w:val="20"/>
                <w:szCs w:val="20"/>
                <w:lang w:val="es-ES"/>
              </w:rPr>
              <w:t xml:space="preserve">Con respecto a la lactancia, no se sabe si el </w:t>
            </w:r>
            <w:r w:rsidR="00D2135E">
              <w:rPr>
                <w:rFonts w:ascii="Arial" w:hAnsi="Arial" w:cs="Arial"/>
                <w:sz w:val="20"/>
                <w:szCs w:val="20"/>
                <w:lang w:val="es-ES"/>
              </w:rPr>
              <w:t>RTX</w:t>
            </w:r>
            <w:r w:rsidRPr="0068632C">
              <w:rPr>
                <w:rFonts w:ascii="Arial" w:hAnsi="Arial" w:cs="Arial"/>
                <w:sz w:val="20"/>
                <w:szCs w:val="20"/>
                <w:lang w:val="es-ES"/>
              </w:rPr>
              <w:t xml:space="preserve">, el </w:t>
            </w:r>
            <w:r w:rsidR="004B2260">
              <w:rPr>
                <w:rFonts w:ascii="Arial" w:hAnsi="Arial" w:cs="Arial"/>
                <w:sz w:val="20"/>
                <w:szCs w:val="20"/>
                <w:lang w:val="es-ES"/>
              </w:rPr>
              <w:t>TCZ</w:t>
            </w:r>
            <w:r w:rsidRPr="0068632C">
              <w:rPr>
                <w:rFonts w:ascii="Arial" w:hAnsi="Arial" w:cs="Arial"/>
                <w:sz w:val="20"/>
                <w:szCs w:val="20"/>
                <w:lang w:val="es-ES"/>
              </w:rPr>
              <w:t xml:space="preserve"> y el abatacept se excretan en la leche materna.</w:t>
            </w:r>
            <w:r w:rsidR="00686CED">
              <w:rPr>
                <w:rFonts w:ascii="Arial" w:eastAsia="Times-Roman" w:hAnsi="Arial" w:cs="Arial"/>
                <w:color w:val="FF0000"/>
                <w:sz w:val="20"/>
                <w:szCs w:val="20"/>
                <w:vertAlign w:val="superscript"/>
              </w:rPr>
              <w:t xml:space="preserve">40 </w:t>
            </w:r>
          </w:p>
          <w:p w14:paraId="147E997C" w14:textId="77777777" w:rsidR="00D31B56" w:rsidRPr="0068632C" w:rsidRDefault="00D31B56" w:rsidP="007614D7">
            <w:pPr>
              <w:autoSpaceDE w:val="0"/>
              <w:autoSpaceDN w:val="0"/>
              <w:adjustRightInd w:val="0"/>
              <w:contextualSpacing/>
              <w:jc w:val="both"/>
              <w:rPr>
                <w:rFonts w:ascii="Arial" w:eastAsia="Times-Roman" w:hAnsi="Arial" w:cs="Arial"/>
                <w:sz w:val="20"/>
                <w:szCs w:val="20"/>
              </w:rPr>
            </w:pPr>
          </w:p>
          <w:p w14:paraId="57D2DFFE" w14:textId="77777777" w:rsidR="00D31B56" w:rsidRPr="0068632C" w:rsidRDefault="00D31B56" w:rsidP="007614D7">
            <w:pPr>
              <w:autoSpaceDE w:val="0"/>
              <w:autoSpaceDN w:val="0"/>
              <w:adjustRightInd w:val="0"/>
              <w:contextualSpacing/>
              <w:jc w:val="both"/>
              <w:rPr>
                <w:rFonts w:ascii="Arial" w:eastAsia="Times-Roman" w:hAnsi="Arial" w:cs="Arial"/>
                <w:sz w:val="20"/>
                <w:szCs w:val="20"/>
              </w:rPr>
            </w:pPr>
            <w:r w:rsidRPr="0068632C">
              <w:rPr>
                <w:rFonts w:ascii="Arial" w:eastAsia="Times-Roman" w:hAnsi="Arial" w:cs="Arial"/>
                <w:sz w:val="20"/>
                <w:szCs w:val="20"/>
              </w:rPr>
              <w:t>Los agentes biológicos deben ser suspendidos antes de un procedimiento quirúrgico.</w:t>
            </w:r>
            <w:r w:rsidR="003A03EA">
              <w:rPr>
                <w:rFonts w:ascii="Arial" w:eastAsia="Times-Roman" w:hAnsi="Arial" w:cs="Arial"/>
                <w:color w:val="FF0000"/>
                <w:sz w:val="20"/>
                <w:szCs w:val="20"/>
                <w:vertAlign w:val="superscript"/>
              </w:rPr>
              <w:t>30</w:t>
            </w:r>
          </w:p>
          <w:p w14:paraId="4FE80B15" w14:textId="77777777" w:rsidR="003A03EA" w:rsidRDefault="00D31B56"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La recomendación en todos los pacientes con AR tratados con agentes biológicos y que van a ser sometidos a una cirugía electiva, es suspender el fármaco por un período que va de 2 a 5 veces su vida media, de acuerdo al tipo de cirugía. </w:t>
            </w:r>
            <w:r w:rsidRPr="0068632C">
              <w:rPr>
                <w:rFonts w:ascii="Arial" w:hAnsi="Arial" w:cs="Arial"/>
                <w:color w:val="FF0000"/>
                <w:sz w:val="20"/>
                <w:szCs w:val="20"/>
              </w:rPr>
              <w:t>5</w:t>
            </w:r>
            <w:r w:rsidRPr="0068632C">
              <w:rPr>
                <w:rFonts w:ascii="Arial" w:hAnsi="Arial" w:cs="Arial"/>
                <w:sz w:val="20"/>
                <w:szCs w:val="20"/>
              </w:rPr>
              <w:t xml:space="preserve"> La vida media del </w:t>
            </w:r>
            <w:r w:rsidR="00D2135E">
              <w:rPr>
                <w:rFonts w:ascii="Arial" w:hAnsi="Arial" w:cs="Arial"/>
                <w:sz w:val="20"/>
                <w:szCs w:val="20"/>
              </w:rPr>
              <w:t>RTX</w:t>
            </w:r>
            <w:r w:rsidRPr="0068632C">
              <w:rPr>
                <w:rFonts w:ascii="Arial" w:hAnsi="Arial" w:cs="Arial"/>
                <w:sz w:val="20"/>
                <w:szCs w:val="20"/>
              </w:rPr>
              <w:t xml:space="preserve"> es de 21 días, por lo tanto se debe suspender de 42 a 105 días antes; el </w:t>
            </w:r>
            <w:r w:rsidR="004B2260">
              <w:rPr>
                <w:rFonts w:ascii="Arial" w:hAnsi="Arial" w:cs="Arial"/>
                <w:sz w:val="20"/>
                <w:szCs w:val="20"/>
              </w:rPr>
              <w:t>TCZ</w:t>
            </w:r>
            <w:r w:rsidRPr="0068632C">
              <w:rPr>
                <w:rFonts w:ascii="Arial" w:hAnsi="Arial" w:cs="Arial"/>
                <w:sz w:val="20"/>
                <w:szCs w:val="20"/>
              </w:rPr>
              <w:t xml:space="preserve"> y el abatacept tienen una vida media de 13 días, por lo tanto se deben suspender de 26 a 65 días antes de la cirugía. </w:t>
            </w:r>
            <w:r w:rsidR="003A03EA" w:rsidRPr="00F73178">
              <w:rPr>
                <w:rFonts w:ascii="Arial" w:hAnsi="Arial" w:cs="Arial"/>
                <w:b/>
                <w:sz w:val="20"/>
                <w:szCs w:val="20"/>
              </w:rPr>
              <w:t xml:space="preserve">[NE: </w:t>
            </w:r>
            <w:r w:rsidR="003A03EA">
              <w:rPr>
                <w:rFonts w:ascii="Arial" w:hAnsi="Arial" w:cs="Arial"/>
                <w:b/>
                <w:sz w:val="20"/>
                <w:szCs w:val="20"/>
              </w:rPr>
              <w:t>4</w:t>
            </w:r>
            <w:r w:rsidR="003A03EA" w:rsidRPr="00F73178">
              <w:rPr>
                <w:rFonts w:ascii="Arial" w:hAnsi="Arial" w:cs="Arial"/>
                <w:b/>
                <w:sz w:val="20"/>
                <w:szCs w:val="20"/>
              </w:rPr>
              <w:t xml:space="preserve">, GR: </w:t>
            </w:r>
            <w:r w:rsidR="003A03EA">
              <w:rPr>
                <w:rFonts w:ascii="Arial" w:hAnsi="Arial" w:cs="Arial"/>
                <w:b/>
                <w:sz w:val="20"/>
                <w:szCs w:val="20"/>
              </w:rPr>
              <w:t>C</w:t>
            </w:r>
            <w:r w:rsidR="003A03EA" w:rsidRPr="00F73178">
              <w:rPr>
                <w:rFonts w:ascii="Arial" w:hAnsi="Arial" w:cs="Arial"/>
                <w:b/>
                <w:sz w:val="20"/>
                <w:szCs w:val="20"/>
              </w:rPr>
              <w:t>]</w:t>
            </w:r>
            <w:r w:rsidR="003A03EA">
              <w:rPr>
                <w:rFonts w:ascii="Arial" w:eastAsia="Times-Roman" w:hAnsi="Arial" w:cs="Arial"/>
                <w:color w:val="FF0000"/>
                <w:sz w:val="20"/>
                <w:szCs w:val="20"/>
                <w:vertAlign w:val="superscript"/>
              </w:rPr>
              <w:t xml:space="preserve">30 </w:t>
            </w:r>
          </w:p>
          <w:p w14:paraId="13FE0F7B" w14:textId="77777777" w:rsidR="003A03EA" w:rsidRDefault="003A03EA" w:rsidP="007614D7">
            <w:pPr>
              <w:autoSpaceDE w:val="0"/>
              <w:autoSpaceDN w:val="0"/>
              <w:adjustRightInd w:val="0"/>
              <w:contextualSpacing/>
              <w:jc w:val="both"/>
              <w:rPr>
                <w:rFonts w:ascii="Arial" w:eastAsia="Times-Roman" w:hAnsi="Arial" w:cs="Arial"/>
                <w:color w:val="FF0000"/>
                <w:sz w:val="20"/>
                <w:szCs w:val="20"/>
                <w:vertAlign w:val="superscript"/>
              </w:rPr>
            </w:pPr>
          </w:p>
          <w:p w14:paraId="14A495E9" w14:textId="77777777" w:rsidR="00D31B56" w:rsidRPr="0068632C" w:rsidRDefault="00D31B56" w:rsidP="007614D7">
            <w:pPr>
              <w:autoSpaceDE w:val="0"/>
              <w:autoSpaceDN w:val="0"/>
              <w:adjustRightInd w:val="0"/>
              <w:contextualSpacing/>
              <w:jc w:val="both"/>
              <w:rPr>
                <w:rFonts w:ascii="Arial" w:hAnsi="Arial" w:cs="Arial"/>
                <w:sz w:val="20"/>
                <w:szCs w:val="20"/>
              </w:rPr>
            </w:pPr>
            <w:r w:rsidRPr="0068632C">
              <w:rPr>
                <w:rFonts w:ascii="Arial" w:hAnsi="Arial" w:cs="Arial"/>
                <w:sz w:val="20"/>
                <w:szCs w:val="20"/>
              </w:rPr>
              <w:t>Algunas guías recomiendan una suspensión de 2 vidas medias cuando la cirugía se realiza en un ambiente estéril (ej: cataratas) y 5 vidas medias cuando se trata de cirugías realizadas en un ambiente séptico (ej: colon) o en situaciones de riesgo de sepsis (ej: colocación de prótesis articulares).</w:t>
            </w:r>
            <w:r w:rsidR="003A03EA" w:rsidRPr="00F73178">
              <w:rPr>
                <w:rFonts w:ascii="Arial" w:hAnsi="Arial" w:cs="Arial"/>
                <w:b/>
                <w:sz w:val="20"/>
                <w:szCs w:val="20"/>
              </w:rPr>
              <w:t xml:space="preserve"> [NE: </w:t>
            </w:r>
            <w:r w:rsidR="003A03EA">
              <w:rPr>
                <w:rFonts w:ascii="Arial" w:hAnsi="Arial" w:cs="Arial"/>
                <w:b/>
                <w:sz w:val="20"/>
                <w:szCs w:val="20"/>
              </w:rPr>
              <w:t>3</w:t>
            </w:r>
            <w:r w:rsidR="003A03EA" w:rsidRPr="00F73178">
              <w:rPr>
                <w:rFonts w:ascii="Arial" w:hAnsi="Arial" w:cs="Arial"/>
                <w:b/>
                <w:sz w:val="20"/>
                <w:szCs w:val="20"/>
              </w:rPr>
              <w:t xml:space="preserve">, GR: </w:t>
            </w:r>
            <w:r w:rsidR="003A03EA">
              <w:rPr>
                <w:rFonts w:ascii="Arial" w:hAnsi="Arial" w:cs="Arial"/>
                <w:b/>
                <w:sz w:val="20"/>
                <w:szCs w:val="20"/>
              </w:rPr>
              <w:t>C</w:t>
            </w:r>
            <w:r w:rsidR="003A03EA" w:rsidRPr="00F73178">
              <w:rPr>
                <w:rFonts w:ascii="Arial" w:hAnsi="Arial" w:cs="Arial"/>
                <w:b/>
                <w:sz w:val="20"/>
                <w:szCs w:val="20"/>
              </w:rPr>
              <w:t>]</w:t>
            </w:r>
            <w:r w:rsidR="003A03EA">
              <w:rPr>
                <w:rFonts w:ascii="Arial" w:eastAsia="Times-Roman" w:hAnsi="Arial" w:cs="Arial"/>
                <w:color w:val="FF0000"/>
                <w:sz w:val="20"/>
                <w:szCs w:val="20"/>
                <w:vertAlign w:val="superscript"/>
              </w:rPr>
              <w:t xml:space="preserve">30 </w:t>
            </w:r>
          </w:p>
          <w:p w14:paraId="0917D647" w14:textId="77777777" w:rsidR="003A03EA" w:rsidRDefault="003A03EA" w:rsidP="007614D7">
            <w:pPr>
              <w:autoSpaceDE w:val="0"/>
              <w:autoSpaceDN w:val="0"/>
              <w:adjustRightInd w:val="0"/>
              <w:contextualSpacing/>
              <w:jc w:val="both"/>
              <w:rPr>
                <w:rFonts w:ascii="Arial" w:hAnsi="Arial" w:cs="Arial"/>
                <w:sz w:val="20"/>
                <w:szCs w:val="20"/>
              </w:rPr>
            </w:pPr>
          </w:p>
          <w:p w14:paraId="728411F8" w14:textId="77777777" w:rsidR="00D31B56" w:rsidRPr="0068632C" w:rsidRDefault="00D31B56" w:rsidP="003A03EA">
            <w:pPr>
              <w:autoSpaceDE w:val="0"/>
              <w:autoSpaceDN w:val="0"/>
              <w:adjustRightInd w:val="0"/>
              <w:contextualSpacing/>
              <w:jc w:val="both"/>
              <w:rPr>
                <w:rFonts w:ascii="Arial" w:eastAsia="Times-Roman" w:hAnsi="Arial" w:cs="Arial"/>
                <w:b/>
                <w:sz w:val="20"/>
                <w:szCs w:val="20"/>
              </w:rPr>
            </w:pPr>
            <w:r w:rsidRPr="0068632C">
              <w:rPr>
                <w:rFonts w:ascii="Arial" w:hAnsi="Arial" w:cs="Arial"/>
                <w:sz w:val="20"/>
                <w:szCs w:val="20"/>
              </w:rPr>
              <w:t>El agente biológico debe ser reiniciado en el período posoperatorio si no hay evidencia de infección y la cicatrización de la herida es satisfactoria.</w:t>
            </w:r>
            <w:r w:rsidRPr="0068632C">
              <w:rPr>
                <w:rFonts w:ascii="Arial" w:hAnsi="Arial" w:cs="Arial"/>
                <w:color w:val="FF0000"/>
                <w:sz w:val="20"/>
                <w:szCs w:val="20"/>
              </w:rPr>
              <w:t xml:space="preserve"> </w:t>
            </w:r>
            <w:r w:rsidR="003A03EA" w:rsidRPr="00F73178">
              <w:rPr>
                <w:rFonts w:ascii="Arial" w:hAnsi="Arial" w:cs="Arial"/>
                <w:b/>
                <w:sz w:val="20"/>
                <w:szCs w:val="20"/>
              </w:rPr>
              <w:t xml:space="preserve">[NE: </w:t>
            </w:r>
            <w:r w:rsidR="003A03EA">
              <w:rPr>
                <w:rFonts w:ascii="Arial" w:hAnsi="Arial" w:cs="Arial"/>
                <w:b/>
                <w:sz w:val="20"/>
                <w:szCs w:val="20"/>
              </w:rPr>
              <w:t>4</w:t>
            </w:r>
            <w:r w:rsidR="003A03EA" w:rsidRPr="00F73178">
              <w:rPr>
                <w:rFonts w:ascii="Arial" w:hAnsi="Arial" w:cs="Arial"/>
                <w:b/>
                <w:sz w:val="20"/>
                <w:szCs w:val="20"/>
              </w:rPr>
              <w:t xml:space="preserve">, GR: </w:t>
            </w:r>
            <w:r w:rsidR="003A03EA">
              <w:rPr>
                <w:rFonts w:ascii="Arial" w:hAnsi="Arial" w:cs="Arial"/>
                <w:b/>
                <w:sz w:val="20"/>
                <w:szCs w:val="20"/>
              </w:rPr>
              <w:t>C</w:t>
            </w:r>
            <w:r w:rsidR="003A03EA" w:rsidRPr="00F73178">
              <w:rPr>
                <w:rFonts w:ascii="Arial" w:hAnsi="Arial" w:cs="Arial"/>
                <w:b/>
                <w:sz w:val="20"/>
                <w:szCs w:val="20"/>
              </w:rPr>
              <w:t>]</w:t>
            </w:r>
            <w:r w:rsidR="003A03EA">
              <w:rPr>
                <w:rFonts w:ascii="Arial" w:eastAsia="Times-Roman" w:hAnsi="Arial" w:cs="Arial"/>
                <w:color w:val="FF0000"/>
                <w:sz w:val="20"/>
                <w:szCs w:val="20"/>
                <w:vertAlign w:val="superscript"/>
              </w:rPr>
              <w:t>30</w:t>
            </w:r>
          </w:p>
          <w:p w14:paraId="4FB24F6E" w14:textId="77777777" w:rsidR="00D31B56" w:rsidRPr="0068632C" w:rsidRDefault="00D31B56" w:rsidP="007614D7">
            <w:pPr>
              <w:jc w:val="both"/>
              <w:rPr>
                <w:rFonts w:ascii="Arial" w:eastAsia="Times-Roman" w:hAnsi="Arial" w:cs="Arial"/>
                <w:b/>
                <w:sz w:val="20"/>
                <w:szCs w:val="20"/>
              </w:rPr>
            </w:pPr>
          </w:p>
          <w:p w14:paraId="069DFE04" w14:textId="77777777" w:rsidR="00D31B56" w:rsidRPr="0068632C" w:rsidRDefault="00D31B56" w:rsidP="007614D7">
            <w:pPr>
              <w:autoSpaceDE w:val="0"/>
              <w:autoSpaceDN w:val="0"/>
              <w:adjustRightInd w:val="0"/>
              <w:contextualSpacing/>
              <w:jc w:val="both"/>
              <w:rPr>
                <w:rFonts w:ascii="Arial" w:hAnsi="Arial" w:cs="Arial"/>
                <w:sz w:val="20"/>
                <w:szCs w:val="20"/>
              </w:rPr>
            </w:pPr>
            <w:r w:rsidRPr="0068632C">
              <w:rPr>
                <w:rFonts w:ascii="Arial" w:hAnsi="Arial" w:cs="Arial"/>
                <w:sz w:val="20"/>
                <w:szCs w:val="20"/>
              </w:rPr>
              <w:t xml:space="preserve">El </w:t>
            </w:r>
            <w:r w:rsidR="00D2135E">
              <w:rPr>
                <w:rFonts w:ascii="Arial" w:hAnsi="Arial" w:cs="Arial"/>
                <w:sz w:val="20"/>
                <w:szCs w:val="20"/>
              </w:rPr>
              <w:t>RTX</w:t>
            </w:r>
            <w:r w:rsidRPr="0068632C">
              <w:rPr>
                <w:rFonts w:ascii="Arial" w:hAnsi="Arial" w:cs="Arial"/>
                <w:sz w:val="20"/>
                <w:szCs w:val="20"/>
              </w:rPr>
              <w:t xml:space="preserve">, el </w:t>
            </w:r>
            <w:r w:rsidR="004B2260">
              <w:rPr>
                <w:rFonts w:ascii="Arial" w:hAnsi="Arial" w:cs="Arial"/>
                <w:sz w:val="20"/>
                <w:szCs w:val="20"/>
              </w:rPr>
              <w:t xml:space="preserve">TCZ </w:t>
            </w:r>
            <w:r w:rsidRPr="0068632C">
              <w:rPr>
                <w:rFonts w:ascii="Arial" w:hAnsi="Arial" w:cs="Arial"/>
                <w:sz w:val="20"/>
                <w:szCs w:val="20"/>
              </w:rPr>
              <w:t>y el abatacept están contraindicados en pacientes con infecciones activas graves u oportunistas.</w:t>
            </w:r>
            <w:r w:rsidR="003A03EA">
              <w:rPr>
                <w:rFonts w:ascii="Arial" w:hAnsi="Arial" w:cs="Arial"/>
                <w:sz w:val="20"/>
                <w:szCs w:val="20"/>
              </w:rPr>
              <w:t xml:space="preserve"> </w:t>
            </w:r>
            <w:r w:rsidR="003A03EA" w:rsidRPr="00F73178">
              <w:rPr>
                <w:rFonts w:ascii="Arial" w:hAnsi="Arial" w:cs="Arial"/>
                <w:b/>
                <w:sz w:val="20"/>
                <w:szCs w:val="20"/>
              </w:rPr>
              <w:t xml:space="preserve">[NE: </w:t>
            </w:r>
            <w:r w:rsidR="003A03EA">
              <w:rPr>
                <w:rFonts w:ascii="Arial" w:hAnsi="Arial" w:cs="Arial"/>
                <w:b/>
                <w:sz w:val="20"/>
                <w:szCs w:val="20"/>
              </w:rPr>
              <w:t>1</w:t>
            </w:r>
            <w:r w:rsidR="003A03EA" w:rsidRPr="00F73178">
              <w:rPr>
                <w:rFonts w:ascii="Arial" w:hAnsi="Arial" w:cs="Arial"/>
                <w:b/>
                <w:sz w:val="20"/>
                <w:szCs w:val="20"/>
              </w:rPr>
              <w:t xml:space="preserve">, GR: </w:t>
            </w:r>
            <w:r w:rsidR="003A03EA">
              <w:rPr>
                <w:rFonts w:ascii="Arial" w:hAnsi="Arial" w:cs="Arial"/>
                <w:b/>
                <w:sz w:val="20"/>
                <w:szCs w:val="20"/>
              </w:rPr>
              <w:t>A</w:t>
            </w:r>
            <w:r w:rsidR="003A03EA" w:rsidRPr="00F73178">
              <w:rPr>
                <w:rFonts w:ascii="Arial" w:hAnsi="Arial" w:cs="Arial"/>
                <w:b/>
                <w:sz w:val="20"/>
                <w:szCs w:val="20"/>
              </w:rPr>
              <w:t>]</w:t>
            </w:r>
            <w:r w:rsidR="003A03EA">
              <w:rPr>
                <w:rFonts w:ascii="Arial" w:eastAsia="Times-Roman" w:hAnsi="Arial" w:cs="Arial"/>
                <w:color w:val="FF0000"/>
                <w:sz w:val="20"/>
                <w:szCs w:val="20"/>
                <w:vertAlign w:val="superscript"/>
              </w:rPr>
              <w:t xml:space="preserve">30 </w:t>
            </w:r>
            <w:r w:rsidRPr="0068632C">
              <w:rPr>
                <w:rFonts w:ascii="Arial" w:hAnsi="Arial" w:cs="Arial"/>
                <w:sz w:val="20"/>
                <w:szCs w:val="20"/>
              </w:rPr>
              <w:t>Se debe tener cuidado cuando se considere el uso de éstos fármacos en pacientes con historia de infecciones crónicas o recurrentes o que tengan comorbilidades (diverticulitis, diabetes y enf</w:t>
            </w:r>
            <w:r w:rsidR="003A03EA">
              <w:rPr>
                <w:rFonts w:ascii="Arial" w:hAnsi="Arial" w:cs="Arial"/>
                <w:sz w:val="20"/>
                <w:szCs w:val="20"/>
              </w:rPr>
              <w:t>ermedad pulmonar intersticial).</w:t>
            </w:r>
            <w:r w:rsidR="003A03EA">
              <w:rPr>
                <w:rFonts w:ascii="Arial" w:eastAsia="Times-Roman" w:hAnsi="Arial" w:cs="Arial"/>
                <w:color w:val="FF0000"/>
                <w:sz w:val="20"/>
                <w:szCs w:val="20"/>
                <w:vertAlign w:val="superscript"/>
              </w:rPr>
              <w:t>40</w:t>
            </w:r>
          </w:p>
          <w:p w14:paraId="762684C4" w14:textId="77777777" w:rsidR="00D31B56" w:rsidRDefault="00D31B56" w:rsidP="007614D7">
            <w:pPr>
              <w:jc w:val="both"/>
              <w:rPr>
                <w:rFonts w:ascii="Arial" w:eastAsia="Times-Roman" w:hAnsi="Arial" w:cs="Arial"/>
                <w:sz w:val="20"/>
                <w:szCs w:val="20"/>
              </w:rPr>
            </w:pPr>
          </w:p>
          <w:p w14:paraId="3EC03E93" w14:textId="77777777" w:rsidR="00D31B56" w:rsidRDefault="00D31B56" w:rsidP="001B1D61">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En general, el tratamiento con agentes biológicos debe ser retrasado o suspendido temporalmente en pacientes con AR con una neoplasia maligna, mientras estén recibiendo quimio o radioterapia.  Las decisiones sobre el tratamiento deben ser hechas en cada caso en particular, en conjunto con el paciente y un oncólogo.</w:t>
            </w:r>
            <w:r w:rsidR="001B1D61">
              <w:rPr>
                <w:rFonts w:ascii="Arial" w:eastAsia="Times-Roman" w:hAnsi="Arial" w:cs="Arial"/>
                <w:color w:val="FF0000"/>
                <w:sz w:val="20"/>
                <w:szCs w:val="20"/>
              </w:rPr>
              <w:t xml:space="preserve"> </w:t>
            </w:r>
            <w:r w:rsidR="001B1D61" w:rsidRPr="00F73178">
              <w:rPr>
                <w:rFonts w:ascii="Arial" w:hAnsi="Arial" w:cs="Arial"/>
                <w:b/>
                <w:sz w:val="20"/>
                <w:szCs w:val="20"/>
              </w:rPr>
              <w:t xml:space="preserve">[NE: </w:t>
            </w:r>
            <w:r w:rsidR="001B1D61">
              <w:rPr>
                <w:rFonts w:ascii="Arial" w:hAnsi="Arial" w:cs="Arial"/>
                <w:b/>
                <w:sz w:val="20"/>
                <w:szCs w:val="20"/>
              </w:rPr>
              <w:t>4</w:t>
            </w:r>
            <w:r w:rsidR="001B1D61" w:rsidRPr="00F73178">
              <w:rPr>
                <w:rFonts w:ascii="Arial" w:hAnsi="Arial" w:cs="Arial"/>
                <w:b/>
                <w:sz w:val="20"/>
                <w:szCs w:val="20"/>
              </w:rPr>
              <w:t xml:space="preserve">, GR: </w:t>
            </w:r>
            <w:r w:rsidR="001B1D61">
              <w:rPr>
                <w:rFonts w:ascii="Arial" w:hAnsi="Arial" w:cs="Arial"/>
                <w:b/>
                <w:sz w:val="20"/>
                <w:szCs w:val="20"/>
              </w:rPr>
              <w:t>D</w:t>
            </w:r>
            <w:r w:rsidR="001B1D61" w:rsidRPr="00F73178">
              <w:rPr>
                <w:rFonts w:ascii="Arial" w:hAnsi="Arial" w:cs="Arial"/>
                <w:b/>
                <w:sz w:val="20"/>
                <w:szCs w:val="20"/>
              </w:rPr>
              <w:t>]</w:t>
            </w:r>
            <w:r w:rsidR="001B1D61">
              <w:rPr>
                <w:rFonts w:ascii="Arial" w:eastAsia="Times-Roman" w:hAnsi="Arial" w:cs="Arial"/>
                <w:color w:val="FF0000"/>
                <w:sz w:val="20"/>
                <w:szCs w:val="20"/>
                <w:vertAlign w:val="superscript"/>
              </w:rPr>
              <w:t>30</w:t>
            </w:r>
          </w:p>
          <w:p w14:paraId="702D727A" w14:textId="77777777" w:rsidR="001B1D61" w:rsidRPr="0068632C" w:rsidRDefault="001B1D61" w:rsidP="001B1D61">
            <w:pPr>
              <w:autoSpaceDE w:val="0"/>
              <w:autoSpaceDN w:val="0"/>
              <w:adjustRightInd w:val="0"/>
              <w:contextualSpacing/>
              <w:jc w:val="both"/>
              <w:rPr>
                <w:rFonts w:ascii="Arial" w:eastAsia="Times-Roman" w:hAnsi="Arial" w:cs="Arial"/>
                <w:b/>
                <w:sz w:val="20"/>
                <w:szCs w:val="20"/>
              </w:rPr>
            </w:pPr>
          </w:p>
          <w:p w14:paraId="1A8DB3CD" w14:textId="77777777" w:rsidR="001B1D61" w:rsidRDefault="00D31B56" w:rsidP="001B1D61">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En pacientes con historia de linfoma, se puede usar </w:t>
            </w:r>
            <w:r w:rsidR="00D2135E">
              <w:rPr>
                <w:rFonts w:ascii="Arial" w:hAnsi="Arial" w:cs="Arial"/>
                <w:sz w:val="20"/>
                <w:szCs w:val="20"/>
              </w:rPr>
              <w:t>RTX</w:t>
            </w:r>
            <w:r w:rsidR="004B2260">
              <w:rPr>
                <w:rFonts w:ascii="Arial" w:hAnsi="Arial" w:cs="Arial"/>
                <w:sz w:val="20"/>
                <w:szCs w:val="20"/>
              </w:rPr>
              <w:t>. El TCZ</w:t>
            </w:r>
            <w:r w:rsidRPr="0068632C">
              <w:rPr>
                <w:rFonts w:ascii="Arial" w:hAnsi="Arial" w:cs="Arial"/>
                <w:sz w:val="20"/>
                <w:szCs w:val="20"/>
              </w:rPr>
              <w:t xml:space="preserve"> y el abatacept deben utilizarse con precaución.</w:t>
            </w:r>
            <w:r w:rsidRPr="0068632C">
              <w:rPr>
                <w:rFonts w:ascii="Arial" w:hAnsi="Arial" w:cs="Arial"/>
                <w:color w:val="FF0000"/>
                <w:sz w:val="20"/>
                <w:szCs w:val="20"/>
              </w:rPr>
              <w:t xml:space="preserve"> </w:t>
            </w:r>
            <w:r w:rsidR="001B1D61" w:rsidRPr="00F73178">
              <w:rPr>
                <w:rFonts w:ascii="Arial" w:hAnsi="Arial" w:cs="Arial"/>
                <w:b/>
                <w:sz w:val="20"/>
                <w:szCs w:val="20"/>
              </w:rPr>
              <w:t xml:space="preserve">[NE: </w:t>
            </w:r>
            <w:r w:rsidR="001B1D61">
              <w:rPr>
                <w:rFonts w:ascii="Arial" w:hAnsi="Arial" w:cs="Arial"/>
                <w:b/>
                <w:sz w:val="20"/>
                <w:szCs w:val="20"/>
              </w:rPr>
              <w:t>4</w:t>
            </w:r>
            <w:r w:rsidR="001B1D61" w:rsidRPr="00F73178">
              <w:rPr>
                <w:rFonts w:ascii="Arial" w:hAnsi="Arial" w:cs="Arial"/>
                <w:b/>
                <w:sz w:val="20"/>
                <w:szCs w:val="20"/>
              </w:rPr>
              <w:t xml:space="preserve">, GR: </w:t>
            </w:r>
            <w:r w:rsidR="001B1D61">
              <w:rPr>
                <w:rFonts w:ascii="Arial" w:hAnsi="Arial" w:cs="Arial"/>
                <w:b/>
                <w:sz w:val="20"/>
                <w:szCs w:val="20"/>
              </w:rPr>
              <w:t>C</w:t>
            </w:r>
            <w:r w:rsidR="001B1D61" w:rsidRPr="00F73178">
              <w:rPr>
                <w:rFonts w:ascii="Arial" w:hAnsi="Arial" w:cs="Arial"/>
                <w:b/>
                <w:sz w:val="20"/>
                <w:szCs w:val="20"/>
              </w:rPr>
              <w:t>]</w:t>
            </w:r>
            <w:r w:rsidR="001B1D61">
              <w:rPr>
                <w:rFonts w:ascii="Arial" w:eastAsia="Times-Roman" w:hAnsi="Arial" w:cs="Arial"/>
                <w:color w:val="FF0000"/>
                <w:sz w:val="20"/>
                <w:szCs w:val="20"/>
                <w:vertAlign w:val="superscript"/>
              </w:rPr>
              <w:t>30</w:t>
            </w:r>
          </w:p>
          <w:p w14:paraId="49376E27" w14:textId="77777777" w:rsidR="00D31B56" w:rsidRPr="0068632C" w:rsidRDefault="00D31B56" w:rsidP="007614D7">
            <w:pPr>
              <w:jc w:val="both"/>
              <w:rPr>
                <w:rFonts w:ascii="Arial" w:eastAsia="Times-Roman" w:hAnsi="Arial" w:cs="Arial"/>
                <w:b/>
                <w:sz w:val="20"/>
                <w:szCs w:val="20"/>
              </w:rPr>
            </w:pPr>
          </w:p>
          <w:p w14:paraId="6E89AE39" w14:textId="77777777" w:rsidR="001B1D61" w:rsidRDefault="00D31B56" w:rsidP="001B1D61">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En pacientes con historia de cáncer cutáneo que no sea melanoma o de un tumor sólido, el </w:t>
            </w:r>
            <w:r w:rsidR="00D2135E">
              <w:rPr>
                <w:rFonts w:ascii="Arial" w:hAnsi="Arial" w:cs="Arial"/>
                <w:sz w:val="20"/>
                <w:szCs w:val="20"/>
              </w:rPr>
              <w:t>RTX</w:t>
            </w:r>
            <w:r w:rsidRPr="0068632C">
              <w:rPr>
                <w:rFonts w:ascii="Arial" w:hAnsi="Arial" w:cs="Arial"/>
                <w:sz w:val="20"/>
                <w:szCs w:val="20"/>
              </w:rPr>
              <w:t xml:space="preserve">, el </w:t>
            </w:r>
            <w:r w:rsidR="004B2260">
              <w:rPr>
                <w:rFonts w:ascii="Arial" w:hAnsi="Arial" w:cs="Arial"/>
                <w:sz w:val="20"/>
                <w:szCs w:val="20"/>
              </w:rPr>
              <w:t>TCZ</w:t>
            </w:r>
            <w:r w:rsidRPr="0068632C">
              <w:rPr>
                <w:rFonts w:ascii="Arial" w:hAnsi="Arial" w:cs="Arial"/>
                <w:sz w:val="20"/>
                <w:szCs w:val="20"/>
              </w:rPr>
              <w:t xml:space="preserve">y el abatacept deben ser usados con precaución. </w:t>
            </w:r>
            <w:r w:rsidR="001B1D61" w:rsidRPr="00F73178">
              <w:rPr>
                <w:rFonts w:ascii="Arial" w:hAnsi="Arial" w:cs="Arial"/>
                <w:b/>
                <w:sz w:val="20"/>
                <w:szCs w:val="20"/>
              </w:rPr>
              <w:t xml:space="preserve">[NE: </w:t>
            </w:r>
            <w:r w:rsidR="001B1D61">
              <w:rPr>
                <w:rFonts w:ascii="Arial" w:hAnsi="Arial" w:cs="Arial"/>
                <w:b/>
                <w:sz w:val="20"/>
                <w:szCs w:val="20"/>
              </w:rPr>
              <w:t>2</w:t>
            </w:r>
            <w:r w:rsidR="001B1D61" w:rsidRPr="00F73178">
              <w:rPr>
                <w:rFonts w:ascii="Arial" w:hAnsi="Arial" w:cs="Arial"/>
                <w:b/>
                <w:sz w:val="20"/>
                <w:szCs w:val="20"/>
              </w:rPr>
              <w:t xml:space="preserve">, GR: </w:t>
            </w:r>
            <w:r w:rsidR="001B1D61">
              <w:rPr>
                <w:rFonts w:ascii="Arial" w:hAnsi="Arial" w:cs="Arial"/>
                <w:b/>
                <w:sz w:val="20"/>
                <w:szCs w:val="20"/>
              </w:rPr>
              <w:t>C</w:t>
            </w:r>
            <w:r w:rsidR="001B1D61" w:rsidRPr="00F73178">
              <w:rPr>
                <w:rFonts w:ascii="Arial" w:hAnsi="Arial" w:cs="Arial"/>
                <w:b/>
                <w:sz w:val="20"/>
                <w:szCs w:val="20"/>
              </w:rPr>
              <w:t>]</w:t>
            </w:r>
            <w:r w:rsidR="001B1D61">
              <w:rPr>
                <w:rFonts w:ascii="Arial" w:eastAsia="Times-Roman" w:hAnsi="Arial" w:cs="Arial"/>
                <w:color w:val="FF0000"/>
                <w:sz w:val="20"/>
                <w:szCs w:val="20"/>
                <w:vertAlign w:val="superscript"/>
              </w:rPr>
              <w:t>30</w:t>
            </w:r>
          </w:p>
          <w:p w14:paraId="32EDBBAA" w14:textId="77777777" w:rsidR="001B1D61" w:rsidRDefault="001B1D61" w:rsidP="007614D7">
            <w:pPr>
              <w:autoSpaceDE w:val="0"/>
              <w:autoSpaceDN w:val="0"/>
              <w:adjustRightInd w:val="0"/>
              <w:contextualSpacing/>
              <w:jc w:val="both"/>
              <w:rPr>
                <w:rFonts w:ascii="Arial" w:hAnsi="Arial" w:cs="Arial"/>
                <w:sz w:val="20"/>
                <w:szCs w:val="20"/>
              </w:rPr>
            </w:pPr>
          </w:p>
          <w:p w14:paraId="65454571" w14:textId="77777777" w:rsidR="001B1D61" w:rsidRDefault="00D31B56" w:rsidP="007614D7">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Las recomendaciones de la Asociación Canadiense de Reumatología para el tratamiento de la AR indican la aplicación de </w:t>
            </w:r>
            <w:r w:rsidRPr="0068632C">
              <w:rPr>
                <w:rFonts w:ascii="Arial" w:hAnsi="Arial" w:cs="Arial"/>
                <w:sz w:val="20"/>
                <w:szCs w:val="20"/>
              </w:rPr>
              <w:lastRenderedPageBreak/>
              <w:t xml:space="preserve">las vacunas de la influenza y del neumococo antes o durante el tratamiento con </w:t>
            </w:r>
            <w:r w:rsidR="00D2135E">
              <w:rPr>
                <w:rFonts w:ascii="Arial" w:hAnsi="Arial" w:cs="Arial"/>
                <w:sz w:val="20"/>
                <w:szCs w:val="20"/>
              </w:rPr>
              <w:t>RTX</w:t>
            </w:r>
            <w:r w:rsidRPr="0068632C">
              <w:rPr>
                <w:rFonts w:ascii="Arial" w:hAnsi="Arial" w:cs="Arial"/>
                <w:sz w:val="20"/>
                <w:szCs w:val="20"/>
              </w:rPr>
              <w:t xml:space="preserve">, </w:t>
            </w:r>
            <w:r w:rsidR="004B2260">
              <w:rPr>
                <w:rFonts w:ascii="Arial" w:hAnsi="Arial" w:cs="Arial"/>
                <w:sz w:val="20"/>
                <w:szCs w:val="20"/>
              </w:rPr>
              <w:t>TCZ</w:t>
            </w:r>
            <w:r w:rsidRPr="0068632C">
              <w:rPr>
                <w:rFonts w:ascii="Arial" w:hAnsi="Arial" w:cs="Arial"/>
                <w:sz w:val="20"/>
                <w:szCs w:val="20"/>
              </w:rPr>
              <w:t xml:space="preserve"> o abatacept.</w:t>
            </w:r>
            <w:r w:rsidR="001B1D61" w:rsidRPr="00F73178">
              <w:rPr>
                <w:rFonts w:ascii="Arial" w:hAnsi="Arial" w:cs="Arial"/>
                <w:b/>
                <w:sz w:val="20"/>
                <w:szCs w:val="20"/>
              </w:rPr>
              <w:t xml:space="preserve"> [NE: </w:t>
            </w:r>
            <w:r w:rsidR="001B1D61">
              <w:rPr>
                <w:rFonts w:ascii="Arial" w:hAnsi="Arial" w:cs="Arial"/>
                <w:b/>
                <w:sz w:val="20"/>
                <w:szCs w:val="20"/>
              </w:rPr>
              <w:t>2</w:t>
            </w:r>
            <w:r w:rsidR="001B1D61" w:rsidRPr="00F73178">
              <w:rPr>
                <w:rFonts w:ascii="Arial" w:hAnsi="Arial" w:cs="Arial"/>
                <w:b/>
                <w:sz w:val="20"/>
                <w:szCs w:val="20"/>
              </w:rPr>
              <w:t xml:space="preserve">, GR: </w:t>
            </w:r>
            <w:r w:rsidR="001B1D61">
              <w:rPr>
                <w:rFonts w:ascii="Arial" w:hAnsi="Arial" w:cs="Arial"/>
                <w:b/>
                <w:sz w:val="20"/>
                <w:szCs w:val="20"/>
              </w:rPr>
              <w:t>B</w:t>
            </w:r>
            <w:r w:rsidR="001B1D61" w:rsidRPr="00F73178">
              <w:rPr>
                <w:rFonts w:ascii="Arial" w:hAnsi="Arial" w:cs="Arial"/>
                <w:b/>
                <w:sz w:val="20"/>
                <w:szCs w:val="20"/>
              </w:rPr>
              <w:t>]</w:t>
            </w:r>
            <w:r w:rsidR="001B1D61">
              <w:rPr>
                <w:rFonts w:ascii="Arial" w:eastAsia="Times-Roman" w:hAnsi="Arial" w:cs="Arial"/>
                <w:color w:val="FF0000"/>
                <w:sz w:val="20"/>
                <w:szCs w:val="20"/>
                <w:vertAlign w:val="superscript"/>
              </w:rPr>
              <w:t>30</w:t>
            </w:r>
          </w:p>
          <w:p w14:paraId="2D85F457" w14:textId="77777777" w:rsidR="001B1D61" w:rsidRPr="0068632C" w:rsidRDefault="001B1D61" w:rsidP="007614D7">
            <w:pPr>
              <w:autoSpaceDE w:val="0"/>
              <w:autoSpaceDN w:val="0"/>
              <w:adjustRightInd w:val="0"/>
              <w:contextualSpacing/>
              <w:jc w:val="both"/>
              <w:rPr>
                <w:rFonts w:ascii="Arial" w:hAnsi="Arial" w:cs="Arial"/>
                <w:sz w:val="20"/>
                <w:szCs w:val="20"/>
              </w:rPr>
            </w:pPr>
          </w:p>
          <w:p w14:paraId="06FB83DA" w14:textId="77777777" w:rsidR="001B1D61" w:rsidRDefault="00D31B56" w:rsidP="001B1D61">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La vacuna contra la hepatitis C debe considerarse en pacientes con alto riesgo.</w:t>
            </w:r>
            <w:r w:rsidR="001B1D61" w:rsidRPr="00F73178">
              <w:rPr>
                <w:rFonts w:ascii="Arial" w:hAnsi="Arial" w:cs="Arial"/>
                <w:b/>
                <w:sz w:val="20"/>
                <w:szCs w:val="20"/>
              </w:rPr>
              <w:t xml:space="preserve"> [NE: </w:t>
            </w:r>
            <w:r w:rsidR="001B1D61">
              <w:rPr>
                <w:rFonts w:ascii="Arial" w:hAnsi="Arial" w:cs="Arial"/>
                <w:b/>
                <w:sz w:val="20"/>
                <w:szCs w:val="20"/>
              </w:rPr>
              <w:t>4</w:t>
            </w:r>
            <w:r w:rsidR="001B1D61" w:rsidRPr="00F73178">
              <w:rPr>
                <w:rFonts w:ascii="Arial" w:hAnsi="Arial" w:cs="Arial"/>
                <w:b/>
                <w:sz w:val="20"/>
                <w:szCs w:val="20"/>
              </w:rPr>
              <w:t xml:space="preserve">, GR: </w:t>
            </w:r>
            <w:r w:rsidR="001B1D61">
              <w:rPr>
                <w:rFonts w:ascii="Arial" w:hAnsi="Arial" w:cs="Arial"/>
                <w:b/>
                <w:sz w:val="20"/>
                <w:szCs w:val="20"/>
              </w:rPr>
              <w:t>B</w:t>
            </w:r>
            <w:r w:rsidR="001B1D61" w:rsidRPr="00F73178">
              <w:rPr>
                <w:rFonts w:ascii="Arial" w:hAnsi="Arial" w:cs="Arial"/>
                <w:b/>
                <w:sz w:val="20"/>
                <w:szCs w:val="20"/>
              </w:rPr>
              <w:t>]</w:t>
            </w:r>
            <w:r w:rsidR="001B1D61">
              <w:rPr>
                <w:rFonts w:ascii="Arial" w:eastAsia="Times-Roman" w:hAnsi="Arial" w:cs="Arial"/>
                <w:color w:val="FF0000"/>
                <w:sz w:val="20"/>
                <w:szCs w:val="20"/>
                <w:vertAlign w:val="superscript"/>
              </w:rPr>
              <w:t>13</w:t>
            </w:r>
          </w:p>
          <w:p w14:paraId="79FDF84A" w14:textId="77777777" w:rsidR="00D31B56" w:rsidRPr="0068632C" w:rsidRDefault="00D31B56" w:rsidP="007614D7">
            <w:pPr>
              <w:autoSpaceDE w:val="0"/>
              <w:autoSpaceDN w:val="0"/>
              <w:adjustRightInd w:val="0"/>
              <w:contextualSpacing/>
              <w:jc w:val="both"/>
              <w:rPr>
                <w:rFonts w:ascii="Arial" w:hAnsi="Arial" w:cs="Arial"/>
                <w:sz w:val="20"/>
                <w:szCs w:val="20"/>
              </w:rPr>
            </w:pPr>
          </w:p>
          <w:p w14:paraId="1F2B34A2" w14:textId="77777777" w:rsidR="00D31B56" w:rsidRDefault="00D31B56" w:rsidP="007614D7">
            <w:pPr>
              <w:jc w:val="both"/>
              <w:rPr>
                <w:rFonts w:ascii="Arial" w:eastAsia="Times-Roman" w:hAnsi="Arial" w:cs="Arial"/>
                <w:color w:val="FF0000"/>
                <w:sz w:val="20"/>
                <w:szCs w:val="20"/>
                <w:vertAlign w:val="superscript"/>
              </w:rPr>
            </w:pPr>
            <w:r w:rsidRPr="0068632C">
              <w:rPr>
                <w:rFonts w:ascii="Arial" w:hAnsi="Arial" w:cs="Arial"/>
                <w:sz w:val="20"/>
                <w:szCs w:val="20"/>
              </w:rPr>
              <w:t>La vacuna contra el herpes zoster se debe considerar en pacientes de 60 años o más.</w:t>
            </w:r>
            <w:r w:rsidRPr="0068632C">
              <w:rPr>
                <w:rFonts w:ascii="Arial" w:hAnsi="Arial" w:cs="Arial"/>
                <w:color w:val="FF0000"/>
                <w:sz w:val="20"/>
                <w:szCs w:val="20"/>
              </w:rPr>
              <w:t xml:space="preserve"> </w:t>
            </w:r>
            <w:r w:rsidR="001B1D61" w:rsidRPr="00F73178">
              <w:rPr>
                <w:rFonts w:ascii="Arial" w:hAnsi="Arial" w:cs="Arial"/>
                <w:b/>
                <w:sz w:val="20"/>
                <w:szCs w:val="20"/>
              </w:rPr>
              <w:t xml:space="preserve">[NE: </w:t>
            </w:r>
            <w:r w:rsidR="001B1D61">
              <w:rPr>
                <w:rFonts w:ascii="Arial" w:hAnsi="Arial" w:cs="Arial"/>
                <w:b/>
                <w:sz w:val="20"/>
                <w:szCs w:val="20"/>
              </w:rPr>
              <w:t>2</w:t>
            </w:r>
            <w:r w:rsidR="001B1D61" w:rsidRPr="00F73178">
              <w:rPr>
                <w:rFonts w:ascii="Arial" w:hAnsi="Arial" w:cs="Arial"/>
                <w:b/>
                <w:sz w:val="20"/>
                <w:szCs w:val="20"/>
              </w:rPr>
              <w:t xml:space="preserve">, GR: </w:t>
            </w:r>
            <w:r w:rsidR="001B1D61">
              <w:rPr>
                <w:rFonts w:ascii="Arial" w:hAnsi="Arial" w:cs="Arial"/>
                <w:b/>
                <w:sz w:val="20"/>
                <w:szCs w:val="20"/>
              </w:rPr>
              <w:t>B</w:t>
            </w:r>
            <w:r w:rsidR="001B1D61" w:rsidRPr="00F73178">
              <w:rPr>
                <w:rFonts w:ascii="Arial" w:hAnsi="Arial" w:cs="Arial"/>
                <w:b/>
                <w:sz w:val="20"/>
                <w:szCs w:val="20"/>
              </w:rPr>
              <w:t>]</w:t>
            </w:r>
            <w:r w:rsidR="001B1D61">
              <w:rPr>
                <w:rFonts w:ascii="Arial" w:eastAsia="Times-Roman" w:hAnsi="Arial" w:cs="Arial"/>
                <w:color w:val="FF0000"/>
                <w:sz w:val="20"/>
                <w:szCs w:val="20"/>
                <w:vertAlign w:val="superscript"/>
              </w:rPr>
              <w:t>30</w:t>
            </w:r>
          </w:p>
          <w:p w14:paraId="578EE72B" w14:textId="77777777" w:rsidR="001B1D61" w:rsidRPr="0068632C" w:rsidRDefault="001B1D61" w:rsidP="007614D7">
            <w:pPr>
              <w:jc w:val="both"/>
              <w:rPr>
                <w:rFonts w:ascii="Arial" w:eastAsia="Times-Roman" w:hAnsi="Arial" w:cs="Arial"/>
                <w:b/>
                <w:sz w:val="20"/>
                <w:szCs w:val="20"/>
              </w:rPr>
            </w:pPr>
          </w:p>
          <w:p w14:paraId="20473EEE" w14:textId="77777777" w:rsidR="00D31B56" w:rsidRDefault="00D31B56" w:rsidP="001B1D61">
            <w:pPr>
              <w:autoSpaceDE w:val="0"/>
              <w:autoSpaceDN w:val="0"/>
              <w:adjustRightInd w:val="0"/>
              <w:contextualSpacing/>
              <w:jc w:val="both"/>
              <w:rPr>
                <w:rFonts w:ascii="Arial" w:eastAsia="Times-Roman" w:hAnsi="Arial" w:cs="Arial"/>
                <w:color w:val="FF0000"/>
                <w:sz w:val="20"/>
                <w:szCs w:val="20"/>
                <w:vertAlign w:val="superscript"/>
              </w:rPr>
            </w:pPr>
            <w:r w:rsidRPr="0068632C">
              <w:rPr>
                <w:rFonts w:ascii="Arial" w:hAnsi="Arial" w:cs="Arial"/>
                <w:sz w:val="20"/>
                <w:szCs w:val="20"/>
              </w:rPr>
              <w:t xml:space="preserve">Las guías británicas recomiendan que la vacuna contra en neumococo se administre 4 a 6 semanas antes de iniciar el tratamiento con </w:t>
            </w:r>
            <w:r w:rsidR="00D2135E">
              <w:rPr>
                <w:rFonts w:ascii="Arial" w:hAnsi="Arial" w:cs="Arial"/>
                <w:sz w:val="20"/>
                <w:szCs w:val="20"/>
              </w:rPr>
              <w:t>RTX</w:t>
            </w:r>
            <w:r w:rsidRPr="0068632C">
              <w:rPr>
                <w:rFonts w:ascii="Arial" w:hAnsi="Arial" w:cs="Arial"/>
                <w:sz w:val="20"/>
                <w:szCs w:val="20"/>
              </w:rPr>
              <w:t>.</w:t>
            </w:r>
            <w:r w:rsidR="001B1D61">
              <w:rPr>
                <w:rFonts w:ascii="Arial" w:hAnsi="Arial" w:cs="Arial"/>
                <w:color w:val="FF0000"/>
                <w:sz w:val="20"/>
                <w:szCs w:val="20"/>
              </w:rPr>
              <w:t xml:space="preserve"> </w:t>
            </w:r>
            <w:r w:rsidR="001B1D61" w:rsidRPr="00F73178">
              <w:rPr>
                <w:rFonts w:ascii="Arial" w:hAnsi="Arial" w:cs="Arial"/>
                <w:b/>
                <w:sz w:val="20"/>
                <w:szCs w:val="20"/>
              </w:rPr>
              <w:t xml:space="preserve">[NE: </w:t>
            </w:r>
            <w:r w:rsidR="001B1D61">
              <w:rPr>
                <w:rFonts w:ascii="Arial" w:hAnsi="Arial" w:cs="Arial"/>
                <w:b/>
                <w:sz w:val="20"/>
                <w:szCs w:val="20"/>
              </w:rPr>
              <w:t>2</w:t>
            </w:r>
            <w:r w:rsidR="001B1D61" w:rsidRPr="00F73178">
              <w:rPr>
                <w:rFonts w:ascii="Arial" w:hAnsi="Arial" w:cs="Arial"/>
                <w:b/>
                <w:sz w:val="20"/>
                <w:szCs w:val="20"/>
              </w:rPr>
              <w:t xml:space="preserve">, GR: </w:t>
            </w:r>
            <w:r w:rsidR="001B1D61">
              <w:rPr>
                <w:rFonts w:ascii="Arial" w:hAnsi="Arial" w:cs="Arial"/>
                <w:b/>
                <w:sz w:val="20"/>
                <w:szCs w:val="20"/>
              </w:rPr>
              <w:t>B</w:t>
            </w:r>
            <w:r w:rsidR="001B1D61" w:rsidRPr="00F73178">
              <w:rPr>
                <w:rFonts w:ascii="Arial" w:hAnsi="Arial" w:cs="Arial"/>
                <w:b/>
                <w:sz w:val="20"/>
                <w:szCs w:val="20"/>
              </w:rPr>
              <w:t>]</w:t>
            </w:r>
            <w:r w:rsidR="001B1D61">
              <w:rPr>
                <w:rFonts w:ascii="Arial" w:eastAsia="Times-Roman" w:hAnsi="Arial" w:cs="Arial"/>
                <w:color w:val="FF0000"/>
                <w:sz w:val="20"/>
                <w:szCs w:val="20"/>
                <w:vertAlign w:val="superscript"/>
              </w:rPr>
              <w:t>30</w:t>
            </w:r>
          </w:p>
          <w:p w14:paraId="6845EFEC" w14:textId="77777777" w:rsidR="001B1D61" w:rsidRPr="0068632C" w:rsidRDefault="001B1D61" w:rsidP="001B1D61">
            <w:pPr>
              <w:autoSpaceDE w:val="0"/>
              <w:autoSpaceDN w:val="0"/>
              <w:adjustRightInd w:val="0"/>
              <w:contextualSpacing/>
              <w:jc w:val="both"/>
              <w:rPr>
                <w:rFonts w:ascii="Arial" w:eastAsia="Times-Roman" w:hAnsi="Arial" w:cs="Arial"/>
                <w:b/>
                <w:sz w:val="20"/>
                <w:szCs w:val="20"/>
              </w:rPr>
            </w:pPr>
          </w:p>
          <w:p w14:paraId="5E122B2A" w14:textId="77777777" w:rsidR="00D31B56" w:rsidRDefault="00D31B56" w:rsidP="007614D7">
            <w:pPr>
              <w:jc w:val="both"/>
              <w:rPr>
                <w:rFonts w:ascii="Arial" w:eastAsia="Times-Roman" w:hAnsi="Arial" w:cs="Arial"/>
                <w:color w:val="FF0000"/>
                <w:sz w:val="20"/>
                <w:szCs w:val="20"/>
                <w:vertAlign w:val="superscript"/>
              </w:rPr>
            </w:pPr>
            <w:r w:rsidRPr="0068632C">
              <w:rPr>
                <w:rFonts w:ascii="Arial" w:hAnsi="Arial" w:cs="Arial"/>
                <w:sz w:val="20"/>
                <w:szCs w:val="20"/>
              </w:rPr>
              <w:t xml:space="preserve">Recomiendan también que la vacuna de la influenza se administre antes de que se inicie el tratamiento con </w:t>
            </w:r>
            <w:r w:rsidR="00D2135E">
              <w:rPr>
                <w:rFonts w:ascii="Arial" w:hAnsi="Arial" w:cs="Arial"/>
                <w:sz w:val="20"/>
                <w:szCs w:val="20"/>
              </w:rPr>
              <w:t>RTX</w:t>
            </w:r>
            <w:r w:rsidRPr="0068632C">
              <w:rPr>
                <w:rFonts w:ascii="Arial" w:hAnsi="Arial" w:cs="Arial"/>
                <w:sz w:val="20"/>
                <w:szCs w:val="20"/>
              </w:rPr>
              <w:t>. Se debe administrar después en forma anual en un momento en que las células B se están recuperando.</w:t>
            </w:r>
            <w:r w:rsidRPr="0068632C">
              <w:rPr>
                <w:rFonts w:ascii="Arial" w:hAnsi="Arial" w:cs="Arial"/>
                <w:color w:val="FF0000"/>
                <w:sz w:val="20"/>
                <w:szCs w:val="20"/>
              </w:rPr>
              <w:t xml:space="preserve"> </w:t>
            </w:r>
            <w:r w:rsidR="001B1D61" w:rsidRPr="00F73178">
              <w:rPr>
                <w:rFonts w:ascii="Arial" w:hAnsi="Arial" w:cs="Arial"/>
                <w:b/>
                <w:sz w:val="20"/>
                <w:szCs w:val="20"/>
              </w:rPr>
              <w:t xml:space="preserve">[NE: </w:t>
            </w:r>
            <w:r w:rsidR="001B1D61">
              <w:rPr>
                <w:rFonts w:ascii="Arial" w:hAnsi="Arial" w:cs="Arial"/>
                <w:b/>
                <w:sz w:val="20"/>
                <w:szCs w:val="20"/>
              </w:rPr>
              <w:t>2</w:t>
            </w:r>
            <w:r w:rsidR="001B1D61" w:rsidRPr="00F73178">
              <w:rPr>
                <w:rFonts w:ascii="Arial" w:hAnsi="Arial" w:cs="Arial"/>
                <w:b/>
                <w:sz w:val="20"/>
                <w:szCs w:val="20"/>
              </w:rPr>
              <w:t xml:space="preserve">, GR: </w:t>
            </w:r>
            <w:r w:rsidR="001B1D61">
              <w:rPr>
                <w:rFonts w:ascii="Arial" w:hAnsi="Arial" w:cs="Arial"/>
                <w:b/>
                <w:sz w:val="20"/>
                <w:szCs w:val="20"/>
              </w:rPr>
              <w:t>B</w:t>
            </w:r>
            <w:r w:rsidR="001B1D61" w:rsidRPr="00F73178">
              <w:rPr>
                <w:rFonts w:ascii="Arial" w:hAnsi="Arial" w:cs="Arial"/>
                <w:b/>
                <w:sz w:val="20"/>
                <w:szCs w:val="20"/>
              </w:rPr>
              <w:t>]</w:t>
            </w:r>
            <w:r w:rsidR="001B1D61">
              <w:rPr>
                <w:rFonts w:ascii="Arial" w:eastAsia="Times-Roman" w:hAnsi="Arial" w:cs="Arial"/>
                <w:color w:val="FF0000"/>
                <w:sz w:val="20"/>
                <w:szCs w:val="20"/>
                <w:vertAlign w:val="superscript"/>
              </w:rPr>
              <w:t>40</w:t>
            </w:r>
          </w:p>
          <w:p w14:paraId="7A0EE2D0" w14:textId="77777777" w:rsidR="001B1D61" w:rsidRPr="0068632C" w:rsidRDefault="001B1D61" w:rsidP="007614D7">
            <w:pPr>
              <w:jc w:val="both"/>
              <w:rPr>
                <w:rFonts w:ascii="Arial" w:eastAsia="Times-Roman" w:hAnsi="Arial" w:cs="Arial"/>
                <w:b/>
                <w:sz w:val="20"/>
                <w:szCs w:val="20"/>
              </w:rPr>
            </w:pPr>
          </w:p>
          <w:p w14:paraId="28204FBB" w14:textId="77777777" w:rsidR="00D31B56" w:rsidRPr="0068632C" w:rsidRDefault="00D31B56" w:rsidP="007614D7">
            <w:pPr>
              <w:jc w:val="both"/>
              <w:rPr>
                <w:rFonts w:ascii="Arial" w:eastAsia="Times-Roman" w:hAnsi="Arial" w:cs="Arial"/>
                <w:b/>
                <w:sz w:val="20"/>
                <w:szCs w:val="20"/>
              </w:rPr>
            </w:pPr>
            <w:r w:rsidRPr="0068632C">
              <w:rPr>
                <w:rFonts w:ascii="Arial" w:hAnsi="Arial" w:cs="Arial"/>
                <w:sz w:val="20"/>
                <w:szCs w:val="20"/>
              </w:rPr>
              <w:t xml:space="preserve">Las vacunas con virus inactivados se deben aplicar idealmente antes de iniciar el tratamiento con </w:t>
            </w:r>
            <w:r w:rsidR="00D2135E">
              <w:rPr>
                <w:rFonts w:ascii="Arial" w:hAnsi="Arial" w:cs="Arial"/>
                <w:sz w:val="20"/>
                <w:szCs w:val="20"/>
              </w:rPr>
              <w:t>RTX</w:t>
            </w:r>
            <w:r w:rsidRPr="0068632C">
              <w:rPr>
                <w:rFonts w:ascii="Arial" w:hAnsi="Arial" w:cs="Arial"/>
                <w:sz w:val="20"/>
                <w:szCs w:val="20"/>
              </w:rPr>
              <w:t xml:space="preserve">, </w:t>
            </w:r>
            <w:r w:rsidR="004B2260">
              <w:rPr>
                <w:rFonts w:ascii="Arial" w:hAnsi="Arial" w:cs="Arial"/>
                <w:sz w:val="20"/>
                <w:szCs w:val="20"/>
              </w:rPr>
              <w:t>TCZ</w:t>
            </w:r>
            <w:r w:rsidRPr="0068632C">
              <w:rPr>
                <w:rFonts w:ascii="Arial" w:hAnsi="Arial" w:cs="Arial"/>
                <w:sz w:val="20"/>
                <w:szCs w:val="20"/>
              </w:rPr>
              <w:t xml:space="preserve"> o abatacept, ya que pueden atenuar la respuesta inmune. </w:t>
            </w:r>
            <w:r w:rsidR="001B1D61" w:rsidRPr="00F73178">
              <w:rPr>
                <w:rFonts w:ascii="Arial" w:hAnsi="Arial" w:cs="Arial"/>
                <w:b/>
                <w:sz w:val="20"/>
                <w:szCs w:val="20"/>
              </w:rPr>
              <w:t xml:space="preserve">[NE: </w:t>
            </w:r>
            <w:r w:rsidR="001B1D61">
              <w:rPr>
                <w:rFonts w:ascii="Arial" w:hAnsi="Arial" w:cs="Arial"/>
                <w:b/>
                <w:sz w:val="20"/>
                <w:szCs w:val="20"/>
              </w:rPr>
              <w:t>2</w:t>
            </w:r>
            <w:r w:rsidR="001B1D61" w:rsidRPr="00F73178">
              <w:rPr>
                <w:rFonts w:ascii="Arial" w:hAnsi="Arial" w:cs="Arial"/>
                <w:b/>
                <w:sz w:val="20"/>
                <w:szCs w:val="20"/>
              </w:rPr>
              <w:t xml:space="preserve">, GR: </w:t>
            </w:r>
            <w:r w:rsidR="001B1D61">
              <w:rPr>
                <w:rFonts w:ascii="Arial" w:hAnsi="Arial" w:cs="Arial"/>
                <w:b/>
                <w:sz w:val="20"/>
                <w:szCs w:val="20"/>
              </w:rPr>
              <w:t>B</w:t>
            </w:r>
            <w:r w:rsidR="001B1D61" w:rsidRPr="00F73178">
              <w:rPr>
                <w:rFonts w:ascii="Arial" w:hAnsi="Arial" w:cs="Arial"/>
                <w:b/>
                <w:sz w:val="20"/>
                <w:szCs w:val="20"/>
              </w:rPr>
              <w:t>]</w:t>
            </w:r>
            <w:r w:rsidR="001B1D61">
              <w:rPr>
                <w:rFonts w:ascii="Arial" w:eastAsia="Times-Roman" w:hAnsi="Arial" w:cs="Arial"/>
                <w:color w:val="FF0000"/>
                <w:sz w:val="20"/>
                <w:szCs w:val="20"/>
                <w:vertAlign w:val="superscript"/>
              </w:rPr>
              <w:t>30</w:t>
            </w:r>
          </w:p>
          <w:p w14:paraId="7A9F90AC" w14:textId="77777777" w:rsidR="00D31B56" w:rsidRPr="0068632C" w:rsidRDefault="00D31B56" w:rsidP="007614D7">
            <w:pPr>
              <w:jc w:val="both"/>
              <w:rPr>
                <w:rFonts w:ascii="Arial" w:eastAsia="Times-Roman" w:hAnsi="Arial" w:cs="Arial"/>
                <w:b/>
                <w:sz w:val="20"/>
                <w:szCs w:val="20"/>
              </w:rPr>
            </w:pPr>
          </w:p>
          <w:p w14:paraId="567E0B39" w14:textId="77777777" w:rsidR="00D31B56" w:rsidRDefault="00D31B56" w:rsidP="00292767">
            <w:pPr>
              <w:jc w:val="both"/>
              <w:rPr>
                <w:rFonts w:ascii="Arial" w:eastAsia="Times-Roman" w:hAnsi="Arial" w:cs="Arial"/>
                <w:color w:val="FF0000"/>
                <w:sz w:val="20"/>
                <w:szCs w:val="20"/>
                <w:vertAlign w:val="superscript"/>
              </w:rPr>
            </w:pPr>
            <w:r w:rsidRPr="0068632C">
              <w:rPr>
                <w:rFonts w:ascii="Arial" w:hAnsi="Arial" w:cs="Arial"/>
                <w:sz w:val="20"/>
                <w:szCs w:val="20"/>
              </w:rPr>
              <w:t xml:space="preserve">Las vacunas con virus vivos atenuados se deben administrar al menos 2 semanas (idealmente 4) antes de iniciar el tratamiento con </w:t>
            </w:r>
            <w:r w:rsidR="00D2135E">
              <w:rPr>
                <w:rFonts w:ascii="Arial" w:hAnsi="Arial" w:cs="Arial"/>
                <w:sz w:val="20"/>
                <w:szCs w:val="20"/>
              </w:rPr>
              <w:t>RTX</w:t>
            </w:r>
            <w:r w:rsidR="004B2260">
              <w:rPr>
                <w:rFonts w:ascii="Arial" w:hAnsi="Arial" w:cs="Arial"/>
                <w:sz w:val="20"/>
                <w:szCs w:val="20"/>
              </w:rPr>
              <w:t>, TCZ</w:t>
            </w:r>
            <w:r w:rsidRPr="0068632C">
              <w:rPr>
                <w:rFonts w:ascii="Arial" w:hAnsi="Arial" w:cs="Arial"/>
                <w:sz w:val="20"/>
                <w:szCs w:val="20"/>
              </w:rPr>
              <w:t xml:space="preserve"> o abatacept.</w:t>
            </w:r>
            <w:r w:rsidR="00292767">
              <w:rPr>
                <w:rFonts w:ascii="Arial" w:eastAsia="Times-Roman" w:hAnsi="Arial" w:cs="Arial"/>
                <w:color w:val="FF0000"/>
                <w:sz w:val="20"/>
                <w:szCs w:val="20"/>
                <w:vertAlign w:val="superscript"/>
              </w:rPr>
              <w:t>30</w:t>
            </w:r>
            <w:r w:rsidRPr="0068632C">
              <w:rPr>
                <w:rFonts w:ascii="Arial" w:hAnsi="Arial" w:cs="Arial"/>
                <w:color w:val="FF0000"/>
                <w:sz w:val="20"/>
                <w:szCs w:val="20"/>
              </w:rPr>
              <w:t xml:space="preserve"> </w:t>
            </w:r>
            <w:r w:rsidRPr="0068632C">
              <w:rPr>
                <w:rFonts w:ascii="Arial" w:hAnsi="Arial" w:cs="Arial"/>
                <w:sz w:val="20"/>
                <w:szCs w:val="20"/>
              </w:rPr>
              <w:t>Si ya se administró el ciclo, la vacuna se debe aplicar lo más distanciado posible de dicho ciclo.</w:t>
            </w:r>
            <w:r w:rsidRPr="0068632C">
              <w:rPr>
                <w:rFonts w:ascii="Arial" w:hAnsi="Arial" w:cs="Arial"/>
                <w:color w:val="FF0000"/>
                <w:sz w:val="20"/>
                <w:szCs w:val="20"/>
              </w:rPr>
              <w:t>3</w:t>
            </w:r>
            <w:r w:rsidR="00292767">
              <w:rPr>
                <w:rFonts w:ascii="Arial" w:hAnsi="Arial" w:cs="Arial"/>
                <w:color w:val="FF0000"/>
                <w:sz w:val="20"/>
                <w:szCs w:val="20"/>
              </w:rPr>
              <w:t xml:space="preserve"> </w:t>
            </w:r>
            <w:r w:rsidR="00292767" w:rsidRPr="00F73178">
              <w:rPr>
                <w:rFonts w:ascii="Arial" w:hAnsi="Arial" w:cs="Arial"/>
                <w:b/>
                <w:sz w:val="20"/>
                <w:szCs w:val="20"/>
              </w:rPr>
              <w:t xml:space="preserve">[NE: </w:t>
            </w:r>
            <w:r w:rsidR="00292767">
              <w:rPr>
                <w:rFonts w:ascii="Arial" w:hAnsi="Arial" w:cs="Arial"/>
                <w:b/>
                <w:sz w:val="20"/>
                <w:szCs w:val="20"/>
              </w:rPr>
              <w:t>4</w:t>
            </w:r>
            <w:r w:rsidR="00292767" w:rsidRPr="00F73178">
              <w:rPr>
                <w:rFonts w:ascii="Arial" w:hAnsi="Arial" w:cs="Arial"/>
                <w:b/>
                <w:sz w:val="20"/>
                <w:szCs w:val="20"/>
              </w:rPr>
              <w:t xml:space="preserve">, GR: </w:t>
            </w:r>
            <w:r w:rsidR="00292767">
              <w:rPr>
                <w:rFonts w:ascii="Arial" w:hAnsi="Arial" w:cs="Arial"/>
                <w:b/>
                <w:sz w:val="20"/>
                <w:szCs w:val="20"/>
              </w:rPr>
              <w:t>D</w:t>
            </w:r>
            <w:r w:rsidR="00292767" w:rsidRPr="00F73178">
              <w:rPr>
                <w:rFonts w:ascii="Arial" w:hAnsi="Arial" w:cs="Arial"/>
                <w:b/>
                <w:sz w:val="20"/>
                <w:szCs w:val="20"/>
              </w:rPr>
              <w:t>]</w:t>
            </w:r>
            <w:r w:rsidR="00292767">
              <w:rPr>
                <w:rFonts w:ascii="Arial" w:eastAsia="Times-Roman" w:hAnsi="Arial" w:cs="Arial"/>
                <w:color w:val="FF0000"/>
                <w:sz w:val="20"/>
                <w:szCs w:val="20"/>
                <w:vertAlign w:val="superscript"/>
              </w:rPr>
              <w:t>13</w:t>
            </w:r>
          </w:p>
          <w:p w14:paraId="3C81638C" w14:textId="77777777" w:rsidR="00292767" w:rsidRPr="0068632C" w:rsidRDefault="00292767" w:rsidP="00292767">
            <w:pPr>
              <w:jc w:val="both"/>
              <w:rPr>
                <w:rFonts w:ascii="Arial" w:eastAsia="Times-Roman" w:hAnsi="Arial" w:cs="Arial"/>
                <w:b/>
                <w:sz w:val="20"/>
                <w:szCs w:val="20"/>
              </w:rPr>
            </w:pPr>
          </w:p>
          <w:p w14:paraId="4AD4C388" w14:textId="77777777" w:rsidR="00D31B56" w:rsidRPr="0068632C" w:rsidRDefault="00D31B56" w:rsidP="00292767">
            <w:pPr>
              <w:autoSpaceDE w:val="0"/>
              <w:autoSpaceDN w:val="0"/>
              <w:adjustRightInd w:val="0"/>
              <w:contextualSpacing/>
              <w:jc w:val="both"/>
              <w:rPr>
                <w:rFonts w:ascii="Arial" w:eastAsia="Times-Roman" w:hAnsi="Arial" w:cs="Arial"/>
                <w:sz w:val="20"/>
                <w:szCs w:val="20"/>
              </w:rPr>
            </w:pPr>
            <w:r w:rsidRPr="0068632C">
              <w:rPr>
                <w:rFonts w:ascii="Arial" w:hAnsi="Arial" w:cs="Arial"/>
                <w:sz w:val="20"/>
                <w:szCs w:val="20"/>
              </w:rPr>
              <w:t xml:space="preserve">En los pacientes que ya están recibiendo </w:t>
            </w:r>
            <w:r w:rsidR="004B2260">
              <w:rPr>
                <w:rFonts w:ascii="Arial" w:hAnsi="Arial" w:cs="Arial"/>
                <w:sz w:val="20"/>
                <w:szCs w:val="20"/>
              </w:rPr>
              <w:t>TCZ</w:t>
            </w:r>
            <w:r w:rsidRPr="0068632C">
              <w:rPr>
                <w:rFonts w:ascii="Arial" w:hAnsi="Arial" w:cs="Arial"/>
                <w:sz w:val="20"/>
                <w:szCs w:val="20"/>
              </w:rPr>
              <w:t xml:space="preserve"> o abatacept, el tratamiento se debe suspender y la vacuna se debe aplicar después de un intervalo apropiado de tiempo, tomando en cuenta que la vida media de los fármacos es de 13 días.</w:t>
            </w:r>
            <w:r w:rsidR="00292767">
              <w:rPr>
                <w:rFonts w:ascii="Arial" w:hAnsi="Arial" w:cs="Arial"/>
                <w:color w:val="FF0000"/>
                <w:sz w:val="20"/>
                <w:szCs w:val="20"/>
              </w:rPr>
              <w:t xml:space="preserve"> </w:t>
            </w:r>
            <w:r w:rsidR="00292767" w:rsidRPr="00F73178">
              <w:rPr>
                <w:rFonts w:ascii="Arial" w:hAnsi="Arial" w:cs="Arial"/>
                <w:b/>
                <w:sz w:val="20"/>
                <w:szCs w:val="20"/>
              </w:rPr>
              <w:t xml:space="preserve">[NE: </w:t>
            </w:r>
            <w:r w:rsidR="00292767">
              <w:rPr>
                <w:rFonts w:ascii="Arial" w:hAnsi="Arial" w:cs="Arial"/>
                <w:b/>
                <w:sz w:val="20"/>
                <w:szCs w:val="20"/>
              </w:rPr>
              <w:t>4</w:t>
            </w:r>
            <w:r w:rsidR="00292767" w:rsidRPr="00F73178">
              <w:rPr>
                <w:rFonts w:ascii="Arial" w:hAnsi="Arial" w:cs="Arial"/>
                <w:b/>
                <w:sz w:val="20"/>
                <w:szCs w:val="20"/>
              </w:rPr>
              <w:t xml:space="preserve">, GR: </w:t>
            </w:r>
            <w:r w:rsidR="00292767">
              <w:rPr>
                <w:rFonts w:ascii="Arial" w:hAnsi="Arial" w:cs="Arial"/>
                <w:b/>
                <w:sz w:val="20"/>
                <w:szCs w:val="20"/>
              </w:rPr>
              <w:t>D</w:t>
            </w:r>
            <w:r w:rsidR="00292767" w:rsidRPr="00F73178">
              <w:rPr>
                <w:rFonts w:ascii="Arial" w:hAnsi="Arial" w:cs="Arial"/>
                <w:b/>
                <w:sz w:val="20"/>
                <w:szCs w:val="20"/>
              </w:rPr>
              <w:t>]</w:t>
            </w:r>
            <w:r w:rsidR="00292767">
              <w:rPr>
                <w:rFonts w:ascii="Arial" w:eastAsia="Times-Roman" w:hAnsi="Arial" w:cs="Arial"/>
                <w:color w:val="FF0000"/>
                <w:sz w:val="20"/>
                <w:szCs w:val="20"/>
                <w:vertAlign w:val="superscript"/>
              </w:rPr>
              <w:t>30</w:t>
            </w:r>
          </w:p>
          <w:p w14:paraId="5F5E11CB" w14:textId="77777777" w:rsidR="00292767" w:rsidRDefault="00292767" w:rsidP="007614D7">
            <w:pPr>
              <w:autoSpaceDE w:val="0"/>
              <w:autoSpaceDN w:val="0"/>
              <w:adjustRightInd w:val="0"/>
              <w:contextualSpacing/>
              <w:jc w:val="both"/>
              <w:rPr>
                <w:rFonts w:ascii="Arial" w:eastAsia="Times-Roman" w:hAnsi="Arial" w:cs="Arial"/>
                <w:sz w:val="20"/>
                <w:szCs w:val="20"/>
              </w:rPr>
            </w:pPr>
          </w:p>
          <w:p w14:paraId="36DD8D56" w14:textId="77777777" w:rsidR="00D31B56" w:rsidRPr="0068632C" w:rsidRDefault="00D31B56" w:rsidP="004B2260">
            <w:pPr>
              <w:autoSpaceDE w:val="0"/>
              <w:autoSpaceDN w:val="0"/>
              <w:adjustRightInd w:val="0"/>
              <w:contextualSpacing/>
              <w:jc w:val="both"/>
              <w:rPr>
                <w:rFonts w:ascii="Arial" w:eastAsia="Times-Roman" w:hAnsi="Arial" w:cs="Arial"/>
                <w:b/>
                <w:sz w:val="20"/>
                <w:szCs w:val="20"/>
              </w:rPr>
            </w:pPr>
            <w:r w:rsidRPr="0068632C">
              <w:rPr>
                <w:rFonts w:ascii="Arial" w:hAnsi="Arial" w:cs="Arial"/>
                <w:sz w:val="20"/>
                <w:szCs w:val="20"/>
              </w:rPr>
              <w:t xml:space="preserve">No se recomienda administrar las vacunas durante el tratamiento con </w:t>
            </w:r>
            <w:r w:rsidR="00D2135E">
              <w:rPr>
                <w:rFonts w:ascii="Arial" w:hAnsi="Arial" w:cs="Arial"/>
                <w:sz w:val="20"/>
                <w:szCs w:val="20"/>
              </w:rPr>
              <w:t>RTX</w:t>
            </w:r>
            <w:r w:rsidRPr="0068632C">
              <w:rPr>
                <w:rFonts w:ascii="Arial" w:hAnsi="Arial" w:cs="Arial"/>
                <w:sz w:val="20"/>
                <w:szCs w:val="20"/>
              </w:rPr>
              <w:t xml:space="preserve">, </w:t>
            </w:r>
            <w:r w:rsidR="004B2260">
              <w:rPr>
                <w:rFonts w:ascii="Arial" w:hAnsi="Arial" w:cs="Arial"/>
                <w:sz w:val="20"/>
                <w:szCs w:val="20"/>
              </w:rPr>
              <w:t>TCZ</w:t>
            </w:r>
            <w:r w:rsidRPr="0068632C">
              <w:rPr>
                <w:rFonts w:ascii="Arial" w:hAnsi="Arial" w:cs="Arial"/>
                <w:sz w:val="20"/>
                <w:szCs w:val="20"/>
              </w:rPr>
              <w:t xml:space="preserve"> o abatacept.</w:t>
            </w:r>
            <w:r w:rsidR="00292767">
              <w:rPr>
                <w:rFonts w:ascii="Arial" w:hAnsi="Arial" w:cs="Arial"/>
                <w:color w:val="FF0000"/>
                <w:sz w:val="20"/>
                <w:szCs w:val="20"/>
              </w:rPr>
              <w:t xml:space="preserve"> </w:t>
            </w:r>
            <w:r w:rsidR="00292767" w:rsidRPr="00F73178">
              <w:rPr>
                <w:rFonts w:ascii="Arial" w:hAnsi="Arial" w:cs="Arial"/>
                <w:b/>
                <w:sz w:val="20"/>
                <w:szCs w:val="20"/>
              </w:rPr>
              <w:t xml:space="preserve">[NE: </w:t>
            </w:r>
            <w:r w:rsidR="00292767">
              <w:rPr>
                <w:rFonts w:ascii="Arial" w:hAnsi="Arial" w:cs="Arial"/>
                <w:b/>
                <w:sz w:val="20"/>
                <w:szCs w:val="20"/>
              </w:rPr>
              <w:t>4</w:t>
            </w:r>
            <w:r w:rsidR="00292767" w:rsidRPr="00F73178">
              <w:rPr>
                <w:rFonts w:ascii="Arial" w:hAnsi="Arial" w:cs="Arial"/>
                <w:b/>
                <w:sz w:val="20"/>
                <w:szCs w:val="20"/>
              </w:rPr>
              <w:t xml:space="preserve">, GR: </w:t>
            </w:r>
            <w:r w:rsidR="00292767">
              <w:rPr>
                <w:rFonts w:ascii="Arial" w:hAnsi="Arial" w:cs="Arial"/>
                <w:b/>
                <w:sz w:val="20"/>
                <w:szCs w:val="20"/>
              </w:rPr>
              <w:t>D</w:t>
            </w:r>
            <w:r w:rsidR="00292767" w:rsidRPr="00F73178">
              <w:rPr>
                <w:rFonts w:ascii="Arial" w:hAnsi="Arial" w:cs="Arial"/>
                <w:b/>
                <w:sz w:val="20"/>
                <w:szCs w:val="20"/>
              </w:rPr>
              <w:t>]</w:t>
            </w:r>
            <w:r w:rsidR="00292767">
              <w:rPr>
                <w:rFonts w:ascii="Arial" w:eastAsia="Times-Roman" w:hAnsi="Arial" w:cs="Arial"/>
                <w:color w:val="FF0000"/>
                <w:sz w:val="20"/>
                <w:szCs w:val="20"/>
                <w:vertAlign w:val="superscript"/>
              </w:rPr>
              <w:t>42</w:t>
            </w:r>
          </w:p>
        </w:tc>
      </w:tr>
    </w:tbl>
    <w:p w14:paraId="1B67ED9E" w14:textId="77777777" w:rsidR="00E72FEF" w:rsidRDefault="00E72FEF" w:rsidP="002C4533">
      <w:pPr>
        <w:rPr>
          <w:rFonts w:ascii="Arial" w:hAnsi="Arial" w:cs="Arial"/>
          <w:b/>
          <w:sz w:val="20"/>
          <w:szCs w:val="20"/>
        </w:rPr>
      </w:pPr>
    </w:p>
    <w:p w14:paraId="7D138110" w14:textId="77777777" w:rsidR="002C4533" w:rsidRPr="00D54A7D" w:rsidRDefault="002C4533" w:rsidP="002C4533">
      <w:pPr>
        <w:rPr>
          <w:b/>
          <w:color w:val="4F81BD" w:themeColor="accent1"/>
          <w:sz w:val="28"/>
        </w:rPr>
      </w:pPr>
      <w:r>
        <w:rPr>
          <w:b/>
          <w:color w:val="4F81BD" w:themeColor="accent1"/>
          <w:sz w:val="28"/>
        </w:rPr>
        <w:t>TOFACITINIB</w:t>
      </w:r>
    </w:p>
    <w:p w14:paraId="704B4BA1" w14:textId="77777777" w:rsidR="006D7AE6" w:rsidRPr="0068632C" w:rsidRDefault="006D7AE6">
      <w:pPr>
        <w:rPr>
          <w:lang w:val="en-US"/>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410"/>
      </w:tblGrid>
      <w:tr w:rsidR="006D7AE6" w:rsidRPr="0068632C" w14:paraId="182465A7" w14:textId="77777777" w:rsidTr="00B84BD5">
        <w:tc>
          <w:tcPr>
            <w:tcW w:w="2660" w:type="dxa"/>
          </w:tcPr>
          <w:p w14:paraId="13A15368" w14:textId="77777777" w:rsidR="006D7AE6" w:rsidRPr="00C53F31" w:rsidRDefault="006D7AE6" w:rsidP="006D7AE6">
            <w:pPr>
              <w:numPr>
                <w:ilvl w:val="0"/>
                <w:numId w:val="1"/>
              </w:numPr>
              <w:ind w:left="0"/>
              <w:contextualSpacing/>
              <w:jc w:val="both"/>
              <w:rPr>
                <w:rFonts w:ascii="Arial" w:hAnsi="Arial" w:cs="Arial"/>
                <w:b/>
                <w:sz w:val="28"/>
                <w:szCs w:val="28"/>
              </w:rPr>
            </w:pPr>
            <w:r w:rsidRPr="00C53F31">
              <w:rPr>
                <w:rFonts w:ascii="Arial" w:hAnsi="Arial" w:cs="Arial"/>
                <w:b/>
                <w:sz w:val="28"/>
                <w:szCs w:val="28"/>
              </w:rPr>
              <w:t>Tofacitinib</w:t>
            </w:r>
          </w:p>
        </w:tc>
        <w:tc>
          <w:tcPr>
            <w:tcW w:w="7410" w:type="dxa"/>
          </w:tcPr>
          <w:p w14:paraId="2F097042" w14:textId="77777777" w:rsidR="006D7AE6" w:rsidRPr="0068632C" w:rsidRDefault="006D7AE6" w:rsidP="00B84BD5">
            <w:pPr>
              <w:widowControl w:val="0"/>
              <w:autoSpaceDE w:val="0"/>
              <w:autoSpaceDN w:val="0"/>
              <w:adjustRightInd w:val="0"/>
              <w:jc w:val="both"/>
              <w:rPr>
                <w:rFonts w:ascii="Arial" w:hAnsi="Arial" w:cs="Arial"/>
                <w:color w:val="1A1A1A"/>
                <w:sz w:val="20"/>
                <w:szCs w:val="20"/>
                <w:lang w:val="es-ES"/>
              </w:rPr>
            </w:pPr>
            <w:r w:rsidRPr="0068632C">
              <w:rPr>
                <w:rFonts w:ascii="Arial" w:hAnsi="Arial" w:cs="Arial"/>
                <w:color w:val="1A1A1A"/>
                <w:sz w:val="20"/>
                <w:szCs w:val="20"/>
                <w:lang w:val="es-ES"/>
              </w:rPr>
              <w:t>Es un inhibidor selectivo de la familia de las cinasas de JAK, las cuales se localizan en el citoplasma de las células. La vía de las JAK cinasas es utilizada por receptores de citocinas</w:t>
            </w:r>
            <w:r w:rsidR="006E4A27">
              <w:rPr>
                <w:rFonts w:ascii="Arial" w:hAnsi="Arial" w:cs="Arial"/>
                <w:color w:val="1A1A1A"/>
                <w:sz w:val="20"/>
                <w:szCs w:val="20"/>
                <w:lang w:val="es-ES"/>
              </w:rPr>
              <w:t xml:space="preserve"> </w:t>
            </w:r>
            <w:r w:rsidRPr="0068632C">
              <w:rPr>
                <w:rFonts w:ascii="Arial" w:hAnsi="Arial" w:cs="Arial"/>
                <w:color w:val="1A1A1A"/>
                <w:sz w:val="20"/>
                <w:szCs w:val="20"/>
                <w:lang w:val="es-ES"/>
              </w:rPr>
              <w:t xml:space="preserve">proinflamatorias iniciando la cascada de señalización intracelular que regula la transcripción genética de la respuesta inmunitaria e inflamatoria. </w:t>
            </w:r>
          </w:p>
        </w:tc>
      </w:tr>
      <w:tr w:rsidR="006D7AE6" w:rsidRPr="0068632C" w14:paraId="7EA40DEE" w14:textId="77777777" w:rsidTr="00B84BD5">
        <w:tc>
          <w:tcPr>
            <w:tcW w:w="2660" w:type="dxa"/>
          </w:tcPr>
          <w:p w14:paraId="475C6AB2" w14:textId="77777777" w:rsidR="006D7AE6" w:rsidRPr="0068632C" w:rsidRDefault="006D7AE6" w:rsidP="00B84BD5">
            <w:pPr>
              <w:contextualSpacing/>
              <w:jc w:val="both"/>
              <w:rPr>
                <w:rFonts w:ascii="Arial" w:hAnsi="Arial" w:cs="Arial"/>
                <w:sz w:val="20"/>
                <w:szCs w:val="20"/>
              </w:rPr>
            </w:pPr>
            <w:r w:rsidRPr="0068632C">
              <w:rPr>
                <w:rFonts w:ascii="Arial" w:hAnsi="Arial" w:cs="Arial"/>
                <w:sz w:val="20"/>
                <w:szCs w:val="20"/>
              </w:rPr>
              <w:t>¿En qué línea de tratamiento estaría indicado?</w:t>
            </w:r>
          </w:p>
        </w:tc>
        <w:tc>
          <w:tcPr>
            <w:tcW w:w="7410" w:type="dxa"/>
          </w:tcPr>
          <w:p w14:paraId="3F75FCE4" w14:textId="77777777" w:rsidR="00FE4AFD" w:rsidRDefault="006D7AE6" w:rsidP="00B84BD5">
            <w:pPr>
              <w:widowControl w:val="0"/>
              <w:autoSpaceDE w:val="0"/>
              <w:autoSpaceDN w:val="0"/>
              <w:adjustRightInd w:val="0"/>
              <w:jc w:val="both"/>
              <w:rPr>
                <w:rFonts w:ascii="Arial" w:eastAsia="Times-Roman" w:hAnsi="Arial" w:cs="Arial"/>
                <w:color w:val="FF0000"/>
                <w:sz w:val="20"/>
                <w:szCs w:val="20"/>
                <w:vertAlign w:val="superscript"/>
              </w:rPr>
            </w:pPr>
            <w:r w:rsidRPr="0068632C">
              <w:rPr>
                <w:rFonts w:ascii="Arial" w:hAnsi="Arial" w:cs="Arial"/>
                <w:color w:val="1A1A1A"/>
                <w:sz w:val="20"/>
                <w:szCs w:val="20"/>
              </w:rPr>
              <w:t xml:space="preserve">Es eficaz en pacientes con AR activa que han fallado cuando menos a un FARME. </w:t>
            </w:r>
            <w:r w:rsidR="00FE4AFD" w:rsidRPr="00F73178">
              <w:rPr>
                <w:rFonts w:ascii="Arial" w:hAnsi="Arial" w:cs="Arial"/>
                <w:b/>
                <w:sz w:val="20"/>
                <w:szCs w:val="20"/>
              </w:rPr>
              <w:t xml:space="preserve">[NE: </w:t>
            </w:r>
            <w:r w:rsidR="00FE4AFD">
              <w:rPr>
                <w:rFonts w:ascii="Arial" w:hAnsi="Arial" w:cs="Arial"/>
                <w:b/>
                <w:sz w:val="20"/>
                <w:szCs w:val="20"/>
              </w:rPr>
              <w:t>1</w:t>
            </w:r>
            <w:r w:rsidR="00FE4AFD" w:rsidRPr="00F73178">
              <w:rPr>
                <w:rFonts w:ascii="Arial" w:hAnsi="Arial" w:cs="Arial"/>
                <w:b/>
                <w:sz w:val="20"/>
                <w:szCs w:val="20"/>
              </w:rPr>
              <w:t xml:space="preserve">, GR: </w:t>
            </w:r>
            <w:r w:rsidR="00FE4AFD">
              <w:rPr>
                <w:rFonts w:ascii="Arial" w:hAnsi="Arial" w:cs="Arial"/>
                <w:b/>
                <w:sz w:val="20"/>
                <w:szCs w:val="20"/>
              </w:rPr>
              <w:t>A</w:t>
            </w:r>
            <w:r w:rsidR="00FE4AFD" w:rsidRPr="00F73178">
              <w:rPr>
                <w:rFonts w:ascii="Arial" w:hAnsi="Arial" w:cs="Arial"/>
                <w:b/>
                <w:sz w:val="20"/>
                <w:szCs w:val="20"/>
              </w:rPr>
              <w:t>]</w:t>
            </w:r>
            <w:r w:rsidR="00FE4AFD">
              <w:rPr>
                <w:rFonts w:ascii="Arial" w:eastAsia="Times-Roman" w:hAnsi="Arial" w:cs="Arial"/>
                <w:color w:val="FF0000"/>
                <w:sz w:val="20"/>
                <w:szCs w:val="20"/>
                <w:vertAlign w:val="superscript"/>
              </w:rPr>
              <w:t>49</w:t>
            </w:r>
          </w:p>
          <w:p w14:paraId="2C738295" w14:textId="77777777" w:rsidR="00FE4AFD" w:rsidRDefault="00FE4AFD" w:rsidP="00B84BD5">
            <w:pPr>
              <w:widowControl w:val="0"/>
              <w:autoSpaceDE w:val="0"/>
              <w:autoSpaceDN w:val="0"/>
              <w:adjustRightInd w:val="0"/>
              <w:jc w:val="both"/>
              <w:rPr>
                <w:rFonts w:ascii="Arial" w:eastAsia="Times-Roman" w:hAnsi="Arial" w:cs="Arial"/>
                <w:color w:val="FF0000"/>
                <w:sz w:val="20"/>
                <w:szCs w:val="20"/>
                <w:vertAlign w:val="superscript"/>
              </w:rPr>
            </w:pPr>
          </w:p>
          <w:p w14:paraId="66655A1B" w14:textId="5447C3C6" w:rsidR="006D7AE6" w:rsidRPr="0068632C" w:rsidRDefault="006D7AE6" w:rsidP="00B84BD5">
            <w:pPr>
              <w:widowControl w:val="0"/>
              <w:autoSpaceDE w:val="0"/>
              <w:autoSpaceDN w:val="0"/>
              <w:adjustRightInd w:val="0"/>
              <w:jc w:val="both"/>
              <w:rPr>
                <w:rFonts w:ascii="Arial" w:hAnsi="Arial" w:cs="Arial"/>
                <w:color w:val="1A1A1A"/>
                <w:sz w:val="20"/>
                <w:szCs w:val="20"/>
              </w:rPr>
            </w:pPr>
            <w:r w:rsidRPr="0068632C">
              <w:rPr>
                <w:rFonts w:ascii="Arial" w:hAnsi="Arial" w:cs="Arial"/>
                <w:color w:val="1A1A1A"/>
                <w:sz w:val="20"/>
                <w:szCs w:val="20"/>
              </w:rPr>
              <w:t xml:space="preserve">Sin embargo, este grupo de expertos </w:t>
            </w:r>
            <w:r w:rsidR="000F53E0">
              <w:rPr>
                <w:rFonts w:ascii="Arial" w:hAnsi="Arial" w:cs="Arial"/>
                <w:color w:val="1A1A1A"/>
                <w:sz w:val="20"/>
                <w:szCs w:val="20"/>
              </w:rPr>
              <w:t>recomienda que es una alternativa en pacientes con AR activa que han fallado a cuando menos un FMDE biológico.</w:t>
            </w:r>
            <w:r w:rsidRPr="0068632C">
              <w:rPr>
                <w:rFonts w:ascii="Arial" w:hAnsi="Arial" w:cs="Arial"/>
                <w:color w:val="1A1A1A"/>
                <w:sz w:val="20"/>
                <w:szCs w:val="20"/>
              </w:rPr>
              <w:t xml:space="preserve">es recomendar su uso a partir de la falla al primer biológico por la limitada experiencia (hasta la fecha) en cuanto a seguridad a largo plazo. </w:t>
            </w:r>
            <w:r w:rsidR="00FE4AFD">
              <w:rPr>
                <w:rFonts w:ascii="Arial" w:hAnsi="Arial" w:cs="Arial"/>
                <w:b/>
                <w:sz w:val="20"/>
                <w:szCs w:val="20"/>
              </w:rPr>
              <w:t>[G</w:t>
            </w:r>
            <w:r w:rsidR="00FE4AFD" w:rsidRPr="00F73178">
              <w:rPr>
                <w:rFonts w:ascii="Arial" w:hAnsi="Arial" w:cs="Arial"/>
                <w:b/>
                <w:sz w:val="20"/>
                <w:szCs w:val="20"/>
              </w:rPr>
              <w:t xml:space="preserve">R: </w:t>
            </w:r>
            <w:r w:rsidR="00FE4AFD">
              <w:rPr>
                <w:rFonts w:ascii="Arial" w:hAnsi="Arial" w:cs="Arial"/>
                <w:b/>
                <w:sz w:val="20"/>
                <w:szCs w:val="20"/>
              </w:rPr>
              <w:t>D</w:t>
            </w:r>
            <w:r w:rsidR="00FE4AFD" w:rsidRPr="00F73178">
              <w:rPr>
                <w:rFonts w:ascii="Arial" w:hAnsi="Arial" w:cs="Arial"/>
                <w:b/>
                <w:sz w:val="20"/>
                <w:szCs w:val="20"/>
              </w:rPr>
              <w:t>]</w:t>
            </w:r>
          </w:p>
          <w:p w14:paraId="593E9EB1" w14:textId="77777777" w:rsidR="00FE4AFD" w:rsidRDefault="00FE4AFD" w:rsidP="00B84BD5">
            <w:pPr>
              <w:widowControl w:val="0"/>
              <w:autoSpaceDE w:val="0"/>
              <w:autoSpaceDN w:val="0"/>
              <w:adjustRightInd w:val="0"/>
              <w:jc w:val="both"/>
              <w:rPr>
                <w:rFonts w:ascii="Arial" w:eastAsia="Times-Roman" w:hAnsi="Arial" w:cs="Arial"/>
                <w:sz w:val="20"/>
                <w:szCs w:val="20"/>
              </w:rPr>
            </w:pPr>
          </w:p>
          <w:p w14:paraId="525AC0D2" w14:textId="77777777" w:rsidR="006D7AE6" w:rsidRPr="0068632C" w:rsidRDefault="006D7AE6" w:rsidP="00B84BD5">
            <w:pPr>
              <w:widowControl w:val="0"/>
              <w:autoSpaceDE w:val="0"/>
              <w:autoSpaceDN w:val="0"/>
              <w:adjustRightInd w:val="0"/>
              <w:jc w:val="both"/>
              <w:rPr>
                <w:rFonts w:ascii="Arial" w:hAnsi="Arial" w:cs="Arial"/>
                <w:color w:val="1A1A1A"/>
                <w:sz w:val="20"/>
                <w:szCs w:val="20"/>
                <w:lang w:val="es-ES"/>
              </w:rPr>
            </w:pPr>
            <w:r w:rsidRPr="0068632C">
              <w:rPr>
                <w:rFonts w:ascii="Arial" w:eastAsia="Times-Roman" w:hAnsi="Arial" w:cs="Arial"/>
                <w:sz w:val="20"/>
                <w:szCs w:val="20"/>
              </w:rPr>
              <w:t xml:space="preserve">Barrera de implementación: </w:t>
            </w:r>
            <w:r w:rsidRPr="0068632C">
              <w:rPr>
                <w:rFonts w:ascii="Arial" w:hAnsi="Arial" w:cs="Arial"/>
                <w:color w:val="1A1A1A"/>
                <w:sz w:val="20"/>
                <w:szCs w:val="20"/>
                <w:lang w:val="es-ES"/>
              </w:rPr>
              <w:t>Debe mencionarse que los datos de seguimiento a largo plazo son limitados, se prevé un costo alto (similar al de los anti TNF) y como con otros FARME, hay mayor riesgo de infecciones.</w:t>
            </w:r>
          </w:p>
        </w:tc>
      </w:tr>
      <w:tr w:rsidR="006D7AE6" w:rsidRPr="0068632C" w14:paraId="67C9B2CD" w14:textId="77777777" w:rsidTr="00B84BD5">
        <w:tc>
          <w:tcPr>
            <w:tcW w:w="2660" w:type="dxa"/>
          </w:tcPr>
          <w:p w14:paraId="76B754E6" w14:textId="77777777" w:rsidR="006D7AE6" w:rsidRPr="0068632C" w:rsidRDefault="006D7AE6" w:rsidP="00B84BD5">
            <w:pPr>
              <w:contextualSpacing/>
              <w:jc w:val="both"/>
              <w:rPr>
                <w:rFonts w:ascii="Arial" w:eastAsia="Times-Roman" w:hAnsi="Arial" w:cs="Arial"/>
                <w:b/>
                <w:sz w:val="20"/>
                <w:szCs w:val="20"/>
              </w:rPr>
            </w:pPr>
            <w:r w:rsidRPr="0068632C">
              <w:rPr>
                <w:rFonts w:ascii="Arial" w:hAnsi="Arial" w:cs="Arial"/>
                <w:sz w:val="20"/>
                <w:szCs w:val="20"/>
              </w:rPr>
              <w:t xml:space="preserve">¿Qué estudios se </w:t>
            </w:r>
            <w:r w:rsidRPr="0068632C">
              <w:rPr>
                <w:rFonts w:ascii="Arial" w:hAnsi="Arial" w:cs="Arial"/>
                <w:sz w:val="20"/>
                <w:szCs w:val="20"/>
              </w:rPr>
              <w:lastRenderedPageBreak/>
              <w:t>requieren antes del tratamiento  y durante el seguimiento?</w:t>
            </w:r>
          </w:p>
        </w:tc>
        <w:tc>
          <w:tcPr>
            <w:tcW w:w="7410" w:type="dxa"/>
          </w:tcPr>
          <w:p w14:paraId="7240FC0E" w14:textId="77777777" w:rsidR="006D7AE6" w:rsidRPr="0068632C" w:rsidRDefault="006D7AE6" w:rsidP="00B84BD5">
            <w:pPr>
              <w:widowControl w:val="0"/>
              <w:autoSpaceDE w:val="0"/>
              <w:autoSpaceDN w:val="0"/>
              <w:adjustRightInd w:val="0"/>
              <w:jc w:val="both"/>
              <w:rPr>
                <w:rFonts w:ascii="Arial" w:hAnsi="Arial" w:cs="Arial"/>
                <w:color w:val="1A1A1A"/>
                <w:sz w:val="20"/>
                <w:szCs w:val="20"/>
                <w:lang w:val="es-ES"/>
              </w:rPr>
            </w:pPr>
            <w:r w:rsidRPr="0068632C">
              <w:rPr>
                <w:rFonts w:ascii="Arial" w:hAnsi="Arial" w:cs="Arial"/>
                <w:color w:val="1A1A1A"/>
                <w:sz w:val="20"/>
                <w:szCs w:val="20"/>
                <w:lang w:val="es-ES"/>
              </w:rPr>
              <w:lastRenderedPageBreak/>
              <w:t xml:space="preserve">El perfil de seguridad es similar a lo descrito para otros FARME. Se recomienda </w:t>
            </w:r>
            <w:r w:rsidRPr="0068632C">
              <w:rPr>
                <w:rFonts w:ascii="Arial" w:hAnsi="Arial" w:cs="Arial"/>
                <w:color w:val="1A1A1A"/>
                <w:sz w:val="20"/>
                <w:szCs w:val="20"/>
                <w:lang w:val="es-ES"/>
              </w:rPr>
              <w:lastRenderedPageBreak/>
              <w:t xml:space="preserve">realizar vigilancia especial sobre infecciones y neoplasias (especialmente hematológicas). Se ha demostrado mayor incidencia de tuberculosis en países endémicos, por lo que debe descartarse Tb latente o activa antes de su inicio. Se aplicarán las mismas recomendaciones que para el uso de anti TNF. Los estudios no han incluido pacientes con infección por virus de hepatitis B, C o HIV, por lo que se recomienda escrutinio previo a su inicio. </w:t>
            </w:r>
            <w:r w:rsidR="00B42592" w:rsidRPr="00F73178">
              <w:rPr>
                <w:rFonts w:ascii="Arial" w:hAnsi="Arial" w:cs="Arial"/>
                <w:b/>
                <w:sz w:val="20"/>
                <w:szCs w:val="20"/>
              </w:rPr>
              <w:t xml:space="preserve">[NE: </w:t>
            </w:r>
            <w:r w:rsidR="00B42592">
              <w:rPr>
                <w:rFonts w:ascii="Arial" w:hAnsi="Arial" w:cs="Arial"/>
                <w:b/>
                <w:sz w:val="20"/>
                <w:szCs w:val="20"/>
              </w:rPr>
              <w:t>1</w:t>
            </w:r>
            <w:r w:rsidR="00B42592" w:rsidRPr="00F73178">
              <w:rPr>
                <w:rFonts w:ascii="Arial" w:hAnsi="Arial" w:cs="Arial"/>
                <w:b/>
                <w:sz w:val="20"/>
                <w:szCs w:val="20"/>
              </w:rPr>
              <w:t xml:space="preserve">, GR: </w:t>
            </w:r>
            <w:r w:rsidR="00B42592">
              <w:rPr>
                <w:rFonts w:ascii="Arial" w:hAnsi="Arial" w:cs="Arial"/>
                <w:b/>
                <w:sz w:val="20"/>
                <w:szCs w:val="20"/>
              </w:rPr>
              <w:t>A</w:t>
            </w:r>
            <w:r w:rsidR="00B42592" w:rsidRPr="00F73178">
              <w:rPr>
                <w:rFonts w:ascii="Arial" w:hAnsi="Arial" w:cs="Arial"/>
                <w:b/>
                <w:sz w:val="20"/>
                <w:szCs w:val="20"/>
              </w:rPr>
              <w:t>]</w:t>
            </w:r>
            <w:r w:rsidR="00B42592">
              <w:rPr>
                <w:rFonts w:ascii="Arial" w:eastAsia="Times-Roman" w:hAnsi="Arial" w:cs="Arial"/>
                <w:color w:val="FF0000"/>
                <w:sz w:val="20"/>
                <w:szCs w:val="20"/>
                <w:vertAlign w:val="superscript"/>
              </w:rPr>
              <w:t>50</w:t>
            </w:r>
          </w:p>
          <w:p w14:paraId="421292B5" w14:textId="77777777" w:rsidR="00B42592" w:rsidRDefault="00B42592" w:rsidP="00B84BD5">
            <w:pPr>
              <w:widowControl w:val="0"/>
              <w:autoSpaceDE w:val="0"/>
              <w:autoSpaceDN w:val="0"/>
              <w:adjustRightInd w:val="0"/>
              <w:jc w:val="both"/>
              <w:rPr>
                <w:rFonts w:ascii="Arial" w:eastAsia="Times-Roman" w:hAnsi="Arial" w:cs="Arial"/>
                <w:sz w:val="20"/>
                <w:szCs w:val="20"/>
              </w:rPr>
            </w:pPr>
          </w:p>
          <w:p w14:paraId="5D92F9B3" w14:textId="77777777" w:rsidR="006D7AE6" w:rsidRPr="0068632C" w:rsidRDefault="006D7AE6" w:rsidP="00B84BD5">
            <w:pPr>
              <w:widowControl w:val="0"/>
              <w:autoSpaceDE w:val="0"/>
              <w:autoSpaceDN w:val="0"/>
              <w:adjustRightInd w:val="0"/>
              <w:jc w:val="both"/>
              <w:rPr>
                <w:rFonts w:ascii="Arial" w:hAnsi="Arial" w:cs="Arial"/>
                <w:color w:val="1A1A1A"/>
                <w:sz w:val="20"/>
                <w:szCs w:val="20"/>
                <w:lang w:val="es-ES"/>
              </w:rPr>
            </w:pPr>
            <w:r w:rsidRPr="0068632C">
              <w:rPr>
                <w:rFonts w:ascii="Arial" w:hAnsi="Arial" w:cs="Arial"/>
                <w:color w:val="1A1A1A"/>
                <w:sz w:val="20"/>
                <w:szCs w:val="20"/>
                <w:lang w:val="es-ES"/>
              </w:rPr>
              <w:t>Este fármaco debe clasificarse como B o C, ya que no hay estudios que documenten su riesgo durante el embarazo y la lactancia. No se recomienda su uso durante la lactancia.</w:t>
            </w:r>
          </w:p>
          <w:p w14:paraId="6A8240F6" w14:textId="77777777" w:rsidR="006D7AE6" w:rsidRPr="0068632C" w:rsidRDefault="006D7AE6" w:rsidP="00B84BD5">
            <w:pPr>
              <w:widowControl w:val="0"/>
              <w:autoSpaceDE w:val="0"/>
              <w:autoSpaceDN w:val="0"/>
              <w:adjustRightInd w:val="0"/>
              <w:jc w:val="both"/>
              <w:rPr>
                <w:rFonts w:ascii="Arial" w:hAnsi="Arial" w:cs="Arial"/>
                <w:color w:val="1A1A1A"/>
                <w:sz w:val="20"/>
                <w:szCs w:val="20"/>
                <w:lang w:val="es-ES"/>
              </w:rPr>
            </w:pPr>
          </w:p>
          <w:p w14:paraId="2202FDA7" w14:textId="77777777" w:rsidR="006D7AE6" w:rsidRPr="0068632C" w:rsidRDefault="006D7AE6" w:rsidP="00680065">
            <w:pPr>
              <w:suppressAutoHyphens/>
              <w:spacing w:after="100" w:afterAutospacing="1"/>
              <w:contextualSpacing/>
              <w:jc w:val="both"/>
              <w:rPr>
                <w:rFonts w:ascii="Arial" w:eastAsia="Times-Roman" w:hAnsi="Arial" w:cs="Arial"/>
                <w:b/>
                <w:sz w:val="20"/>
                <w:szCs w:val="20"/>
              </w:rPr>
            </w:pPr>
            <w:r w:rsidRPr="0068632C">
              <w:rPr>
                <w:rFonts w:ascii="Arial" w:hAnsi="Arial" w:cs="Arial"/>
                <w:color w:val="1A1A1A"/>
                <w:sz w:val="20"/>
                <w:szCs w:val="20"/>
                <w:lang w:val="es-ES"/>
              </w:rPr>
              <w:t xml:space="preserve">Durante el seguimiento se recomiendan: </w:t>
            </w:r>
            <w:r w:rsidR="00B42592">
              <w:rPr>
                <w:rFonts w:ascii="Arial" w:hAnsi="Arial" w:cs="Arial"/>
                <w:color w:val="1A1A1A"/>
                <w:sz w:val="20"/>
                <w:szCs w:val="20"/>
                <w:lang w:val="es-ES"/>
              </w:rPr>
              <w:t>BH, PFH</w:t>
            </w:r>
            <w:r w:rsidRPr="0068632C">
              <w:rPr>
                <w:rFonts w:ascii="Arial" w:hAnsi="Arial" w:cs="Arial"/>
                <w:color w:val="1A1A1A"/>
                <w:sz w:val="20"/>
                <w:szCs w:val="20"/>
                <w:lang w:val="es-ES"/>
              </w:rPr>
              <w:t xml:space="preserve"> , perfil de lípidos y evaluación de la función renal. Basados en los estudios fase III, se sugiere una periodicidad de realización de estudios de seguridad inicialmente cada mes y posteriormente cada 2 a 3 meses.</w:t>
            </w:r>
            <w:r w:rsidRPr="0068632C">
              <w:rPr>
                <w:rFonts w:ascii="Arial" w:hAnsi="Arial" w:cs="Arial"/>
                <w:color w:val="FF0000"/>
                <w:sz w:val="20"/>
                <w:szCs w:val="20"/>
                <w:lang w:val="es-ES"/>
              </w:rPr>
              <w:t xml:space="preserve"> </w:t>
            </w:r>
            <w:r w:rsidR="00680065" w:rsidRPr="00F73178">
              <w:rPr>
                <w:rFonts w:ascii="Arial" w:hAnsi="Arial" w:cs="Arial"/>
                <w:b/>
                <w:sz w:val="20"/>
                <w:szCs w:val="20"/>
              </w:rPr>
              <w:t xml:space="preserve">[NE: </w:t>
            </w:r>
            <w:r w:rsidR="00680065">
              <w:rPr>
                <w:rFonts w:ascii="Arial" w:hAnsi="Arial" w:cs="Arial"/>
                <w:b/>
                <w:sz w:val="20"/>
                <w:szCs w:val="20"/>
              </w:rPr>
              <w:t>2</w:t>
            </w:r>
            <w:r w:rsidR="00680065" w:rsidRPr="00F73178">
              <w:rPr>
                <w:rFonts w:ascii="Arial" w:hAnsi="Arial" w:cs="Arial"/>
                <w:b/>
                <w:sz w:val="20"/>
                <w:szCs w:val="20"/>
              </w:rPr>
              <w:t xml:space="preserve">, GR: </w:t>
            </w:r>
            <w:r w:rsidR="00680065">
              <w:rPr>
                <w:rFonts w:ascii="Arial" w:hAnsi="Arial" w:cs="Arial"/>
                <w:b/>
                <w:sz w:val="20"/>
                <w:szCs w:val="20"/>
              </w:rPr>
              <w:t>B</w:t>
            </w:r>
            <w:r w:rsidR="00680065" w:rsidRPr="00F73178">
              <w:rPr>
                <w:rFonts w:ascii="Arial" w:hAnsi="Arial" w:cs="Arial"/>
                <w:b/>
                <w:sz w:val="20"/>
                <w:szCs w:val="20"/>
              </w:rPr>
              <w:t>]</w:t>
            </w:r>
            <w:r w:rsidR="00680065">
              <w:rPr>
                <w:rFonts w:ascii="Arial" w:eastAsia="Times-Roman" w:hAnsi="Arial" w:cs="Arial"/>
                <w:color w:val="FF0000"/>
                <w:sz w:val="20"/>
                <w:szCs w:val="20"/>
                <w:vertAlign w:val="superscript"/>
              </w:rPr>
              <w:t>49</w:t>
            </w:r>
          </w:p>
        </w:tc>
      </w:tr>
      <w:tr w:rsidR="006D7AE6" w:rsidRPr="0068632C" w14:paraId="5E1F275E" w14:textId="77777777" w:rsidTr="00B84BD5">
        <w:tc>
          <w:tcPr>
            <w:tcW w:w="2660" w:type="dxa"/>
          </w:tcPr>
          <w:p w14:paraId="3FDD5916" w14:textId="77777777" w:rsidR="006D7AE6" w:rsidRPr="0068632C" w:rsidRDefault="006D7AE6" w:rsidP="00B84BD5">
            <w:pPr>
              <w:contextualSpacing/>
              <w:jc w:val="both"/>
              <w:rPr>
                <w:rFonts w:ascii="Arial" w:eastAsia="Times-Roman" w:hAnsi="Arial" w:cs="Arial"/>
                <w:b/>
                <w:sz w:val="20"/>
                <w:szCs w:val="20"/>
              </w:rPr>
            </w:pPr>
            <w:r w:rsidRPr="0068632C">
              <w:rPr>
                <w:rFonts w:ascii="Arial" w:hAnsi="Arial" w:cs="Arial"/>
                <w:sz w:val="20"/>
                <w:szCs w:val="20"/>
              </w:rPr>
              <w:lastRenderedPageBreak/>
              <w:t>¿Cuál es la mejor combinación y secuencia?</w:t>
            </w:r>
          </w:p>
        </w:tc>
        <w:tc>
          <w:tcPr>
            <w:tcW w:w="7410" w:type="dxa"/>
          </w:tcPr>
          <w:p w14:paraId="29AF6913" w14:textId="77777777" w:rsidR="00B42592" w:rsidRDefault="006D7AE6" w:rsidP="00B84BD5">
            <w:pPr>
              <w:widowControl w:val="0"/>
              <w:autoSpaceDE w:val="0"/>
              <w:autoSpaceDN w:val="0"/>
              <w:adjustRightInd w:val="0"/>
              <w:jc w:val="both"/>
              <w:rPr>
                <w:rFonts w:ascii="Arial" w:eastAsia="Times-Roman" w:hAnsi="Arial" w:cs="Arial"/>
                <w:color w:val="FF0000"/>
                <w:sz w:val="20"/>
                <w:szCs w:val="20"/>
                <w:vertAlign w:val="superscript"/>
              </w:rPr>
            </w:pPr>
            <w:r w:rsidRPr="0068632C">
              <w:rPr>
                <w:rFonts w:ascii="Arial" w:hAnsi="Arial" w:cs="Arial"/>
                <w:color w:val="1A1A1A"/>
                <w:sz w:val="20"/>
                <w:szCs w:val="20"/>
                <w:lang w:val="es-ES"/>
              </w:rPr>
              <w:t xml:space="preserve">Tofacitinib como monoterapia dos veces al día ha demostrado beneficio clínico  a las dosis propuestas para su aprobación (5 y 10 mg). </w:t>
            </w:r>
            <w:r w:rsidR="00B42592" w:rsidRPr="00F73178">
              <w:rPr>
                <w:rFonts w:ascii="Arial" w:hAnsi="Arial" w:cs="Arial"/>
                <w:b/>
                <w:sz w:val="20"/>
                <w:szCs w:val="20"/>
              </w:rPr>
              <w:t xml:space="preserve">[NE: </w:t>
            </w:r>
            <w:r w:rsidR="00B42592">
              <w:rPr>
                <w:rFonts w:ascii="Arial" w:hAnsi="Arial" w:cs="Arial"/>
                <w:b/>
                <w:sz w:val="20"/>
                <w:szCs w:val="20"/>
              </w:rPr>
              <w:t>1</w:t>
            </w:r>
            <w:r w:rsidR="00B42592" w:rsidRPr="00F73178">
              <w:rPr>
                <w:rFonts w:ascii="Arial" w:hAnsi="Arial" w:cs="Arial"/>
                <w:b/>
                <w:sz w:val="20"/>
                <w:szCs w:val="20"/>
              </w:rPr>
              <w:t xml:space="preserve">, GR: </w:t>
            </w:r>
            <w:r w:rsidR="00B42592">
              <w:rPr>
                <w:rFonts w:ascii="Arial" w:hAnsi="Arial" w:cs="Arial"/>
                <w:b/>
                <w:sz w:val="20"/>
                <w:szCs w:val="20"/>
              </w:rPr>
              <w:t>A</w:t>
            </w:r>
            <w:r w:rsidR="00B42592" w:rsidRPr="00F73178">
              <w:rPr>
                <w:rFonts w:ascii="Arial" w:hAnsi="Arial" w:cs="Arial"/>
                <w:b/>
                <w:sz w:val="20"/>
                <w:szCs w:val="20"/>
              </w:rPr>
              <w:t>]</w:t>
            </w:r>
            <w:r w:rsidR="00B42592">
              <w:rPr>
                <w:rFonts w:ascii="Arial" w:eastAsia="Times-Roman" w:hAnsi="Arial" w:cs="Arial"/>
                <w:color w:val="FF0000"/>
                <w:sz w:val="20"/>
                <w:szCs w:val="20"/>
                <w:vertAlign w:val="superscript"/>
              </w:rPr>
              <w:t>49</w:t>
            </w:r>
          </w:p>
          <w:p w14:paraId="495ECDB3" w14:textId="77777777" w:rsidR="00B42592" w:rsidRDefault="00B42592" w:rsidP="00B84BD5">
            <w:pPr>
              <w:widowControl w:val="0"/>
              <w:autoSpaceDE w:val="0"/>
              <w:autoSpaceDN w:val="0"/>
              <w:adjustRightInd w:val="0"/>
              <w:jc w:val="both"/>
              <w:rPr>
                <w:rFonts w:ascii="Arial" w:eastAsia="Times-Roman" w:hAnsi="Arial" w:cs="Arial"/>
                <w:color w:val="FF0000"/>
                <w:sz w:val="20"/>
                <w:szCs w:val="20"/>
                <w:vertAlign w:val="superscript"/>
              </w:rPr>
            </w:pPr>
          </w:p>
          <w:p w14:paraId="55063706" w14:textId="77777777" w:rsidR="00B42592" w:rsidRDefault="006D7AE6" w:rsidP="00B42592">
            <w:pPr>
              <w:widowControl w:val="0"/>
              <w:autoSpaceDE w:val="0"/>
              <w:autoSpaceDN w:val="0"/>
              <w:adjustRightInd w:val="0"/>
              <w:jc w:val="both"/>
              <w:rPr>
                <w:rFonts w:ascii="Arial" w:eastAsia="Times-Roman" w:hAnsi="Arial" w:cs="Arial"/>
                <w:color w:val="FF0000"/>
                <w:sz w:val="20"/>
                <w:szCs w:val="20"/>
                <w:vertAlign w:val="superscript"/>
              </w:rPr>
            </w:pPr>
            <w:r w:rsidRPr="0068632C">
              <w:rPr>
                <w:rFonts w:ascii="Arial" w:hAnsi="Arial" w:cs="Arial"/>
                <w:color w:val="1A1A1A"/>
                <w:sz w:val="20"/>
                <w:szCs w:val="20"/>
                <w:lang w:val="es-ES"/>
              </w:rPr>
              <w:t>Tofacitinib combinado con MTX ha demostrado beneficio clínico en los pacientes con AR a las dosis propuestas para su aprobación.</w:t>
            </w:r>
            <w:r w:rsidRPr="0068632C">
              <w:rPr>
                <w:rFonts w:ascii="Arial" w:hAnsi="Arial" w:cs="Arial"/>
                <w:color w:val="FF0000"/>
                <w:sz w:val="20"/>
                <w:szCs w:val="20"/>
                <w:lang w:val="es-ES"/>
              </w:rPr>
              <w:t xml:space="preserve"> </w:t>
            </w:r>
            <w:r w:rsidR="00B42592" w:rsidRPr="00F73178">
              <w:rPr>
                <w:rFonts w:ascii="Arial" w:hAnsi="Arial" w:cs="Arial"/>
                <w:b/>
                <w:sz w:val="20"/>
                <w:szCs w:val="20"/>
              </w:rPr>
              <w:t xml:space="preserve">[NE: </w:t>
            </w:r>
            <w:r w:rsidR="00B42592">
              <w:rPr>
                <w:rFonts w:ascii="Arial" w:hAnsi="Arial" w:cs="Arial"/>
                <w:b/>
                <w:sz w:val="20"/>
                <w:szCs w:val="20"/>
              </w:rPr>
              <w:t>1</w:t>
            </w:r>
            <w:r w:rsidR="00B42592" w:rsidRPr="00F73178">
              <w:rPr>
                <w:rFonts w:ascii="Arial" w:hAnsi="Arial" w:cs="Arial"/>
                <w:b/>
                <w:sz w:val="20"/>
                <w:szCs w:val="20"/>
              </w:rPr>
              <w:t xml:space="preserve">, GR: </w:t>
            </w:r>
            <w:r w:rsidR="00B42592">
              <w:rPr>
                <w:rFonts w:ascii="Arial" w:hAnsi="Arial" w:cs="Arial"/>
                <w:b/>
                <w:sz w:val="20"/>
                <w:szCs w:val="20"/>
              </w:rPr>
              <w:t>A</w:t>
            </w:r>
            <w:r w:rsidR="00B42592" w:rsidRPr="00F73178">
              <w:rPr>
                <w:rFonts w:ascii="Arial" w:hAnsi="Arial" w:cs="Arial"/>
                <w:b/>
                <w:sz w:val="20"/>
                <w:szCs w:val="20"/>
              </w:rPr>
              <w:t>]</w:t>
            </w:r>
            <w:r w:rsidR="00B42592">
              <w:rPr>
                <w:rFonts w:ascii="Arial" w:eastAsia="Times-Roman" w:hAnsi="Arial" w:cs="Arial"/>
                <w:color w:val="FF0000"/>
                <w:sz w:val="20"/>
                <w:szCs w:val="20"/>
                <w:vertAlign w:val="superscript"/>
              </w:rPr>
              <w:t>49</w:t>
            </w:r>
          </w:p>
          <w:p w14:paraId="6A79C9B4" w14:textId="77777777" w:rsidR="00B42592" w:rsidRDefault="00B42592" w:rsidP="00B84BD5">
            <w:pPr>
              <w:widowControl w:val="0"/>
              <w:autoSpaceDE w:val="0"/>
              <w:autoSpaceDN w:val="0"/>
              <w:adjustRightInd w:val="0"/>
              <w:jc w:val="both"/>
              <w:rPr>
                <w:rFonts w:ascii="Arial" w:hAnsi="Arial" w:cs="Arial"/>
                <w:color w:val="1A1A1A"/>
                <w:sz w:val="20"/>
                <w:szCs w:val="20"/>
                <w:lang w:val="es-ES"/>
              </w:rPr>
            </w:pPr>
          </w:p>
          <w:p w14:paraId="5D3BE724" w14:textId="77777777" w:rsidR="006D7AE6" w:rsidRPr="0068632C" w:rsidRDefault="006D7AE6" w:rsidP="00B84BD5">
            <w:pPr>
              <w:suppressAutoHyphens/>
              <w:spacing w:after="100" w:afterAutospacing="1"/>
              <w:contextualSpacing/>
              <w:jc w:val="both"/>
              <w:rPr>
                <w:rFonts w:ascii="Arial" w:eastAsia="Times-Roman" w:hAnsi="Arial" w:cs="Arial"/>
                <w:b/>
                <w:sz w:val="20"/>
                <w:szCs w:val="20"/>
              </w:rPr>
            </w:pPr>
            <w:r w:rsidRPr="0068632C">
              <w:rPr>
                <w:rFonts w:ascii="Arial" w:hAnsi="Arial" w:cs="Arial"/>
                <w:color w:val="1A1A1A"/>
                <w:sz w:val="20"/>
                <w:szCs w:val="20"/>
                <w:lang w:val="es-ES"/>
              </w:rPr>
              <w:t xml:space="preserve">Tofacitinib ha sido combinado con otros FARME no biológicos (a excepción de azatioprina y ciclosporina A) con perfil de beneficio/seguridad similar al previo. </w:t>
            </w:r>
            <w:r w:rsidR="00B42592" w:rsidRPr="00F73178">
              <w:rPr>
                <w:rFonts w:ascii="Arial" w:hAnsi="Arial" w:cs="Arial"/>
                <w:b/>
                <w:sz w:val="20"/>
                <w:szCs w:val="20"/>
              </w:rPr>
              <w:t xml:space="preserve">[NE: </w:t>
            </w:r>
            <w:r w:rsidR="00B42592">
              <w:rPr>
                <w:rFonts w:ascii="Arial" w:hAnsi="Arial" w:cs="Arial"/>
                <w:b/>
                <w:sz w:val="20"/>
                <w:szCs w:val="20"/>
              </w:rPr>
              <w:t>1</w:t>
            </w:r>
            <w:r w:rsidR="00B42592" w:rsidRPr="00F73178">
              <w:rPr>
                <w:rFonts w:ascii="Arial" w:hAnsi="Arial" w:cs="Arial"/>
                <w:b/>
                <w:sz w:val="20"/>
                <w:szCs w:val="20"/>
              </w:rPr>
              <w:t xml:space="preserve">, GR: </w:t>
            </w:r>
            <w:r w:rsidR="00B42592">
              <w:rPr>
                <w:rFonts w:ascii="Arial" w:hAnsi="Arial" w:cs="Arial"/>
                <w:b/>
                <w:sz w:val="20"/>
                <w:szCs w:val="20"/>
              </w:rPr>
              <w:t>A</w:t>
            </w:r>
            <w:r w:rsidR="00B42592" w:rsidRPr="00F73178">
              <w:rPr>
                <w:rFonts w:ascii="Arial" w:hAnsi="Arial" w:cs="Arial"/>
                <w:b/>
                <w:sz w:val="20"/>
                <w:szCs w:val="20"/>
              </w:rPr>
              <w:t>]</w:t>
            </w:r>
            <w:r w:rsidR="00B42592">
              <w:rPr>
                <w:rFonts w:ascii="Arial" w:eastAsia="Times-Roman" w:hAnsi="Arial" w:cs="Arial"/>
                <w:color w:val="FF0000"/>
                <w:sz w:val="20"/>
                <w:szCs w:val="20"/>
                <w:vertAlign w:val="superscript"/>
              </w:rPr>
              <w:t>51</w:t>
            </w:r>
          </w:p>
        </w:tc>
      </w:tr>
      <w:tr w:rsidR="006D7AE6" w:rsidRPr="0068632C" w14:paraId="5C6CBE81" w14:textId="77777777" w:rsidTr="00B84BD5">
        <w:tc>
          <w:tcPr>
            <w:tcW w:w="2660" w:type="dxa"/>
          </w:tcPr>
          <w:p w14:paraId="6C363270" w14:textId="77777777" w:rsidR="006D7AE6" w:rsidRPr="0068632C" w:rsidRDefault="006D7AE6" w:rsidP="00B84BD5">
            <w:pPr>
              <w:contextualSpacing/>
              <w:jc w:val="both"/>
              <w:rPr>
                <w:rFonts w:ascii="Arial" w:eastAsia="Times-Roman" w:hAnsi="Arial" w:cs="Arial"/>
                <w:b/>
                <w:sz w:val="20"/>
                <w:szCs w:val="20"/>
              </w:rPr>
            </w:pPr>
            <w:r w:rsidRPr="0068632C">
              <w:rPr>
                <w:rFonts w:ascii="Arial" w:hAnsi="Arial" w:cs="Arial"/>
                <w:sz w:val="20"/>
                <w:szCs w:val="20"/>
              </w:rPr>
              <w:t>¿Cuál es el tiempo para definir ajuste de dosis  y retiro del medicamento?</w:t>
            </w:r>
          </w:p>
        </w:tc>
        <w:tc>
          <w:tcPr>
            <w:tcW w:w="7410" w:type="dxa"/>
          </w:tcPr>
          <w:p w14:paraId="7639E51A" w14:textId="77777777" w:rsidR="00B42592" w:rsidRDefault="006D7AE6" w:rsidP="00B42592">
            <w:pPr>
              <w:widowControl w:val="0"/>
              <w:autoSpaceDE w:val="0"/>
              <w:autoSpaceDN w:val="0"/>
              <w:adjustRightInd w:val="0"/>
              <w:jc w:val="both"/>
              <w:rPr>
                <w:rFonts w:ascii="Arial" w:eastAsia="Times-Roman" w:hAnsi="Arial" w:cs="Arial"/>
                <w:color w:val="FF0000"/>
                <w:sz w:val="20"/>
                <w:szCs w:val="20"/>
                <w:vertAlign w:val="superscript"/>
              </w:rPr>
            </w:pPr>
            <w:r w:rsidRPr="0068632C">
              <w:rPr>
                <w:rFonts w:ascii="Arial" w:hAnsi="Arial" w:cs="Arial"/>
                <w:color w:val="1A1A1A"/>
                <w:sz w:val="20"/>
                <w:szCs w:val="20"/>
                <w:lang w:val="es-ES"/>
              </w:rPr>
              <w:t>Se desconoce el tiempo mínimo de tratamiento, sin embargo, se ha observado respuesta clínica desde la segunda semana de inicio del medicamento.</w:t>
            </w:r>
            <w:r w:rsidRPr="0068632C">
              <w:rPr>
                <w:rFonts w:ascii="Arial" w:hAnsi="Arial" w:cs="Arial"/>
                <w:color w:val="FF0000"/>
                <w:sz w:val="20"/>
                <w:szCs w:val="20"/>
                <w:lang w:val="es-ES"/>
              </w:rPr>
              <w:t xml:space="preserve"> </w:t>
            </w:r>
            <w:r w:rsidR="00B42592" w:rsidRPr="00F73178">
              <w:rPr>
                <w:rFonts w:ascii="Arial" w:hAnsi="Arial" w:cs="Arial"/>
                <w:b/>
                <w:sz w:val="20"/>
                <w:szCs w:val="20"/>
              </w:rPr>
              <w:t xml:space="preserve">[NE: </w:t>
            </w:r>
            <w:r w:rsidR="00B42592">
              <w:rPr>
                <w:rFonts w:ascii="Arial" w:hAnsi="Arial" w:cs="Arial"/>
                <w:b/>
                <w:sz w:val="20"/>
                <w:szCs w:val="20"/>
              </w:rPr>
              <w:t>1</w:t>
            </w:r>
            <w:r w:rsidR="00B42592" w:rsidRPr="00F73178">
              <w:rPr>
                <w:rFonts w:ascii="Arial" w:hAnsi="Arial" w:cs="Arial"/>
                <w:b/>
                <w:sz w:val="20"/>
                <w:szCs w:val="20"/>
              </w:rPr>
              <w:t xml:space="preserve">, GR: </w:t>
            </w:r>
            <w:r w:rsidR="00B42592">
              <w:rPr>
                <w:rFonts w:ascii="Arial" w:hAnsi="Arial" w:cs="Arial"/>
                <w:b/>
                <w:sz w:val="20"/>
                <w:szCs w:val="20"/>
              </w:rPr>
              <w:t>A</w:t>
            </w:r>
            <w:r w:rsidR="00B42592" w:rsidRPr="00F73178">
              <w:rPr>
                <w:rFonts w:ascii="Arial" w:hAnsi="Arial" w:cs="Arial"/>
                <w:b/>
                <w:sz w:val="20"/>
                <w:szCs w:val="20"/>
              </w:rPr>
              <w:t>]</w:t>
            </w:r>
            <w:r w:rsidR="00B42592">
              <w:rPr>
                <w:rFonts w:ascii="Arial" w:eastAsia="Times-Roman" w:hAnsi="Arial" w:cs="Arial"/>
                <w:color w:val="FF0000"/>
                <w:sz w:val="20"/>
                <w:szCs w:val="20"/>
                <w:vertAlign w:val="superscript"/>
              </w:rPr>
              <w:t>50</w:t>
            </w:r>
          </w:p>
          <w:p w14:paraId="2616FE5F" w14:textId="77777777" w:rsidR="006D7AE6" w:rsidRPr="0068632C" w:rsidRDefault="006D7AE6" w:rsidP="00B84BD5">
            <w:pPr>
              <w:contextualSpacing/>
              <w:jc w:val="both"/>
              <w:rPr>
                <w:rFonts w:ascii="Arial" w:eastAsia="Times-Roman" w:hAnsi="Arial" w:cs="Arial"/>
                <w:sz w:val="20"/>
                <w:szCs w:val="20"/>
                <w:lang w:val="es-ES"/>
              </w:rPr>
            </w:pPr>
          </w:p>
          <w:p w14:paraId="5B2959F4" w14:textId="77777777" w:rsidR="006D7AE6" w:rsidRPr="00B42592" w:rsidRDefault="006D7AE6" w:rsidP="00B42592">
            <w:pPr>
              <w:widowControl w:val="0"/>
              <w:autoSpaceDE w:val="0"/>
              <w:autoSpaceDN w:val="0"/>
              <w:adjustRightInd w:val="0"/>
              <w:jc w:val="both"/>
              <w:rPr>
                <w:rFonts w:ascii="Arial" w:hAnsi="Arial" w:cs="Arial"/>
                <w:color w:val="1A1A1A"/>
                <w:sz w:val="20"/>
                <w:szCs w:val="20"/>
              </w:rPr>
            </w:pPr>
            <w:r w:rsidRPr="0068632C">
              <w:rPr>
                <w:rFonts w:ascii="Arial" w:hAnsi="Arial" w:cs="Arial"/>
                <w:color w:val="1A1A1A"/>
                <w:sz w:val="20"/>
                <w:szCs w:val="20"/>
                <w:lang w:val="es-ES"/>
              </w:rPr>
              <w:t>Con base en la duración mínima de los estudios aleatorizados y controlados y con el tiempo en el cual se plantean las estrategias de “escape” cuando no hay una respuesta adecuada, el grupo de expertos sugiere considerar falla a tofacitinib si no hay una adecuada respuesta clínica entre las 12 a 20 semanas de tratamiento.</w:t>
            </w:r>
            <w:r w:rsidR="00B42592">
              <w:rPr>
                <w:rFonts w:ascii="Arial" w:hAnsi="Arial" w:cs="Arial"/>
                <w:color w:val="1A1A1A"/>
                <w:sz w:val="20"/>
                <w:szCs w:val="20"/>
                <w:lang w:val="es-ES"/>
              </w:rPr>
              <w:t xml:space="preserve"> </w:t>
            </w:r>
            <w:r w:rsidR="00B42592">
              <w:rPr>
                <w:rFonts w:ascii="Arial" w:hAnsi="Arial" w:cs="Arial"/>
                <w:b/>
                <w:sz w:val="20"/>
                <w:szCs w:val="20"/>
              </w:rPr>
              <w:t>[G</w:t>
            </w:r>
            <w:r w:rsidR="00B42592" w:rsidRPr="00F73178">
              <w:rPr>
                <w:rFonts w:ascii="Arial" w:hAnsi="Arial" w:cs="Arial"/>
                <w:b/>
                <w:sz w:val="20"/>
                <w:szCs w:val="20"/>
              </w:rPr>
              <w:t xml:space="preserve">R: </w:t>
            </w:r>
            <w:r w:rsidR="00B42592">
              <w:rPr>
                <w:rFonts w:ascii="Arial" w:hAnsi="Arial" w:cs="Arial"/>
                <w:b/>
                <w:sz w:val="20"/>
                <w:szCs w:val="20"/>
              </w:rPr>
              <w:t>D</w:t>
            </w:r>
            <w:r w:rsidR="00B42592" w:rsidRPr="00F73178">
              <w:rPr>
                <w:rFonts w:ascii="Arial" w:hAnsi="Arial" w:cs="Arial"/>
                <w:b/>
                <w:sz w:val="20"/>
                <w:szCs w:val="20"/>
              </w:rPr>
              <w:t>]</w:t>
            </w:r>
          </w:p>
        </w:tc>
      </w:tr>
      <w:tr w:rsidR="006D7AE6" w:rsidRPr="0068632C" w14:paraId="0565FE5F" w14:textId="77777777" w:rsidTr="00B84BD5">
        <w:tc>
          <w:tcPr>
            <w:tcW w:w="2660" w:type="dxa"/>
          </w:tcPr>
          <w:p w14:paraId="52D54509" w14:textId="77777777" w:rsidR="006D7AE6" w:rsidRPr="0068632C" w:rsidRDefault="006D7AE6" w:rsidP="00B84BD5">
            <w:pPr>
              <w:contextualSpacing/>
              <w:jc w:val="both"/>
              <w:rPr>
                <w:rFonts w:ascii="Arial" w:eastAsia="Times-Roman" w:hAnsi="Arial" w:cs="Arial"/>
                <w:b/>
                <w:sz w:val="20"/>
                <w:szCs w:val="20"/>
              </w:rPr>
            </w:pPr>
            <w:r w:rsidRPr="0068632C">
              <w:rPr>
                <w:rFonts w:ascii="Arial" w:hAnsi="Arial" w:cs="Arial"/>
                <w:sz w:val="20"/>
                <w:szCs w:val="20"/>
              </w:rPr>
              <w:t>¿Cuáles son las dosis mínima y máxima recomendadas?</w:t>
            </w:r>
          </w:p>
        </w:tc>
        <w:tc>
          <w:tcPr>
            <w:tcW w:w="7410" w:type="dxa"/>
          </w:tcPr>
          <w:p w14:paraId="5AC652DE" w14:textId="7044A53B" w:rsidR="006D7AE6" w:rsidRPr="0068632C" w:rsidRDefault="006D7AE6" w:rsidP="00837A11">
            <w:pPr>
              <w:widowControl w:val="0"/>
              <w:autoSpaceDE w:val="0"/>
              <w:autoSpaceDN w:val="0"/>
              <w:adjustRightInd w:val="0"/>
              <w:jc w:val="both"/>
              <w:rPr>
                <w:rFonts w:ascii="Arial" w:hAnsi="Arial" w:cs="Arial"/>
                <w:color w:val="1A1A1A"/>
                <w:sz w:val="20"/>
                <w:szCs w:val="20"/>
                <w:lang w:val="es-ES"/>
              </w:rPr>
            </w:pPr>
            <w:r w:rsidRPr="0068632C">
              <w:rPr>
                <w:rFonts w:ascii="Arial" w:hAnsi="Arial" w:cs="Arial"/>
                <w:color w:val="1A1A1A"/>
                <w:sz w:val="20"/>
                <w:szCs w:val="20"/>
                <w:lang w:val="es-ES"/>
              </w:rPr>
              <w:t xml:space="preserve">En EUA la FDA ha aprobado la dosis de 5 mg cada 12 horas. En México </w:t>
            </w:r>
            <w:r w:rsidR="007F5DE6">
              <w:rPr>
                <w:rFonts w:ascii="Arial" w:hAnsi="Arial" w:cs="Arial"/>
                <w:color w:val="1A1A1A"/>
                <w:sz w:val="20"/>
                <w:szCs w:val="20"/>
                <w:lang w:val="es-ES"/>
              </w:rPr>
              <w:t>la</w:t>
            </w:r>
            <w:r w:rsidR="008C3F1D">
              <w:rPr>
                <w:rFonts w:ascii="Arial" w:hAnsi="Arial" w:cs="Arial"/>
                <w:color w:val="1A1A1A"/>
                <w:sz w:val="20"/>
                <w:szCs w:val="20"/>
                <w:lang w:val="es-ES"/>
              </w:rPr>
              <w:t xml:space="preserve"> COPEPRIS </w:t>
            </w:r>
            <w:r w:rsidR="007F5DE6">
              <w:rPr>
                <w:rFonts w:ascii="Arial" w:hAnsi="Arial" w:cs="Arial"/>
                <w:color w:val="1A1A1A"/>
                <w:sz w:val="20"/>
                <w:szCs w:val="20"/>
                <w:lang w:val="es-ES"/>
              </w:rPr>
              <w:t>aprobó recientemente la dosis de 5 mg cada doce horas</w:t>
            </w:r>
            <w:r w:rsidR="008C3F1D">
              <w:rPr>
                <w:rFonts w:ascii="Arial" w:hAnsi="Arial" w:cs="Arial"/>
                <w:color w:val="1A1A1A"/>
                <w:sz w:val="20"/>
                <w:szCs w:val="20"/>
                <w:lang w:val="es-ES"/>
              </w:rPr>
              <w:t xml:space="preserve"> </w:t>
            </w:r>
            <w:r w:rsidR="00837A11">
              <w:rPr>
                <w:rFonts w:ascii="Arial" w:hAnsi="Arial" w:cs="Arial"/>
                <w:color w:val="1A1A1A"/>
                <w:sz w:val="20"/>
                <w:szCs w:val="20"/>
                <w:lang w:val="es-ES"/>
              </w:rPr>
              <w:t>(julio 2013)</w:t>
            </w:r>
            <w:r w:rsidRPr="0068632C">
              <w:rPr>
                <w:rFonts w:ascii="Arial" w:hAnsi="Arial" w:cs="Arial"/>
                <w:color w:val="1A1A1A"/>
                <w:sz w:val="20"/>
                <w:szCs w:val="20"/>
                <w:lang w:val="es-ES"/>
              </w:rPr>
              <w:t>.</w:t>
            </w:r>
            <w:r w:rsidR="00680065" w:rsidRPr="00F73178">
              <w:rPr>
                <w:rFonts w:ascii="Arial" w:hAnsi="Arial" w:cs="Arial"/>
                <w:b/>
                <w:sz w:val="20"/>
                <w:szCs w:val="20"/>
              </w:rPr>
              <w:t xml:space="preserve"> [NE: </w:t>
            </w:r>
            <w:r w:rsidR="00680065">
              <w:rPr>
                <w:rFonts w:ascii="Arial" w:hAnsi="Arial" w:cs="Arial"/>
                <w:b/>
                <w:sz w:val="20"/>
                <w:szCs w:val="20"/>
              </w:rPr>
              <w:t>1</w:t>
            </w:r>
            <w:r w:rsidR="00680065" w:rsidRPr="00F73178">
              <w:rPr>
                <w:rFonts w:ascii="Arial" w:hAnsi="Arial" w:cs="Arial"/>
                <w:b/>
                <w:sz w:val="20"/>
                <w:szCs w:val="20"/>
              </w:rPr>
              <w:t xml:space="preserve">, GR: </w:t>
            </w:r>
            <w:r w:rsidR="00680065">
              <w:rPr>
                <w:rFonts w:ascii="Arial" w:hAnsi="Arial" w:cs="Arial"/>
                <w:b/>
                <w:sz w:val="20"/>
                <w:szCs w:val="20"/>
              </w:rPr>
              <w:t>A</w:t>
            </w:r>
            <w:r w:rsidR="00680065" w:rsidRPr="00F73178">
              <w:rPr>
                <w:rFonts w:ascii="Arial" w:hAnsi="Arial" w:cs="Arial"/>
                <w:b/>
                <w:sz w:val="20"/>
                <w:szCs w:val="20"/>
              </w:rPr>
              <w:t>]</w:t>
            </w:r>
            <w:r w:rsidR="00680065">
              <w:rPr>
                <w:rFonts w:ascii="Arial" w:eastAsia="Times-Roman" w:hAnsi="Arial" w:cs="Arial"/>
                <w:color w:val="FF0000"/>
                <w:sz w:val="20"/>
                <w:szCs w:val="20"/>
                <w:vertAlign w:val="superscript"/>
              </w:rPr>
              <w:t>52</w:t>
            </w:r>
          </w:p>
        </w:tc>
      </w:tr>
      <w:tr w:rsidR="006D7AE6" w:rsidRPr="0068632C" w14:paraId="0A0A4D69" w14:textId="77777777" w:rsidTr="00B84BD5">
        <w:tc>
          <w:tcPr>
            <w:tcW w:w="2660" w:type="dxa"/>
          </w:tcPr>
          <w:p w14:paraId="34DC2F52" w14:textId="77777777" w:rsidR="006D7AE6" w:rsidRPr="0068632C" w:rsidRDefault="006D7AE6" w:rsidP="00B84BD5">
            <w:pPr>
              <w:contextualSpacing/>
              <w:jc w:val="both"/>
              <w:rPr>
                <w:rFonts w:ascii="Arial" w:hAnsi="Arial" w:cs="Arial"/>
                <w:sz w:val="20"/>
                <w:szCs w:val="20"/>
              </w:rPr>
            </w:pPr>
            <w:r w:rsidRPr="0068632C">
              <w:rPr>
                <w:rFonts w:ascii="Arial" w:hAnsi="Arial" w:cs="Arial"/>
                <w:sz w:val="20"/>
                <w:szCs w:val="20"/>
              </w:rPr>
              <w:t>Contraindicaciones</w:t>
            </w:r>
          </w:p>
        </w:tc>
        <w:tc>
          <w:tcPr>
            <w:tcW w:w="7410" w:type="dxa"/>
          </w:tcPr>
          <w:p w14:paraId="7E102817" w14:textId="77777777" w:rsidR="006D7AE6" w:rsidRDefault="006D7AE6" w:rsidP="00B84BD5">
            <w:pPr>
              <w:autoSpaceDE w:val="0"/>
              <w:autoSpaceDN w:val="0"/>
              <w:adjustRightInd w:val="0"/>
              <w:jc w:val="both"/>
              <w:rPr>
                <w:rFonts w:ascii="Arial" w:eastAsia="Times-Roman" w:hAnsi="Arial" w:cs="Arial"/>
                <w:color w:val="FF0000"/>
                <w:sz w:val="20"/>
                <w:szCs w:val="20"/>
                <w:vertAlign w:val="superscript"/>
              </w:rPr>
            </w:pPr>
            <w:r w:rsidRPr="0068632C">
              <w:rPr>
                <w:rFonts w:ascii="Arial" w:hAnsi="Arial" w:cs="Arial"/>
                <w:color w:val="1A1A1A"/>
                <w:sz w:val="20"/>
                <w:szCs w:val="20"/>
                <w:lang w:val="es-ES"/>
              </w:rPr>
              <w:t>Los estudios aleatorizados han excluido su uso en las siguientes entidades: infecciones graves (al momento del tratamiento o antecedente reciente), historia de malignidad, alteraciones hematológicas (leucopenia menor a 3,000/mm³, neutropenia menor a 1,200/mm³, anemia menor a 9 g/</w:t>
            </w:r>
            <w:proofErr w:type="spellStart"/>
            <w:r w:rsidRPr="0068632C">
              <w:rPr>
                <w:rFonts w:ascii="Arial" w:hAnsi="Arial" w:cs="Arial"/>
                <w:color w:val="1A1A1A"/>
                <w:sz w:val="20"/>
                <w:szCs w:val="20"/>
                <w:lang w:val="es-ES"/>
              </w:rPr>
              <w:t>dL</w:t>
            </w:r>
            <w:proofErr w:type="spellEnd"/>
            <w:r w:rsidRPr="0068632C">
              <w:rPr>
                <w:rFonts w:ascii="Arial" w:hAnsi="Arial" w:cs="Arial"/>
                <w:color w:val="1A1A1A"/>
                <w:sz w:val="20"/>
                <w:szCs w:val="20"/>
                <w:lang w:val="es-ES"/>
              </w:rPr>
              <w:t xml:space="preserve">, trombocitopenia menor a 100,000/mm³ y </w:t>
            </w:r>
            <w:proofErr w:type="spellStart"/>
            <w:r w:rsidRPr="0068632C">
              <w:rPr>
                <w:rFonts w:ascii="Arial" w:hAnsi="Arial" w:cs="Arial"/>
                <w:color w:val="1A1A1A"/>
                <w:sz w:val="20"/>
                <w:szCs w:val="20"/>
                <w:lang w:val="es-ES"/>
              </w:rPr>
              <w:t>linfopenia</w:t>
            </w:r>
            <w:proofErr w:type="spellEnd"/>
            <w:r w:rsidRPr="0068632C">
              <w:rPr>
                <w:rFonts w:ascii="Arial" w:hAnsi="Arial" w:cs="Arial"/>
                <w:color w:val="1A1A1A"/>
                <w:sz w:val="20"/>
                <w:szCs w:val="20"/>
                <w:lang w:val="es-ES"/>
              </w:rPr>
              <w:t xml:space="preserve"> menor a 500/mm), alteraciones hepáticas (elevación de transaminasas y de bilirrubinas), depuración de creatinina menor a 40 </w:t>
            </w:r>
            <w:proofErr w:type="spellStart"/>
            <w:r w:rsidRPr="0068632C">
              <w:rPr>
                <w:rFonts w:ascii="Arial" w:hAnsi="Arial" w:cs="Arial"/>
                <w:color w:val="1A1A1A"/>
                <w:sz w:val="20"/>
                <w:szCs w:val="20"/>
                <w:lang w:val="es-ES"/>
              </w:rPr>
              <w:t>mL</w:t>
            </w:r>
            <w:proofErr w:type="spellEnd"/>
            <w:r w:rsidRPr="0068632C">
              <w:rPr>
                <w:rFonts w:ascii="Arial" w:hAnsi="Arial" w:cs="Arial"/>
                <w:color w:val="1A1A1A"/>
                <w:sz w:val="20"/>
                <w:szCs w:val="20"/>
                <w:lang w:val="es-ES"/>
              </w:rPr>
              <w:t>/min], embarazo, lactancia, infección por virus de hepatitis B, C o VIH, historia de comorbilidad clínicamente importante y no controlada, historia de prótesis articular infectada, historia de herpes simple o zoster diseminado, antecedente reciente de aplicación de vacunas con virus vivos o atenuados, trauma grave o cirugía mayor reciente.</w:t>
            </w:r>
            <w:r w:rsidR="00680065">
              <w:rPr>
                <w:rFonts w:ascii="Arial" w:eastAsia="Times-Roman" w:hAnsi="Arial" w:cs="Arial"/>
                <w:color w:val="FF0000"/>
                <w:sz w:val="20"/>
                <w:szCs w:val="20"/>
                <w:vertAlign w:val="superscript"/>
              </w:rPr>
              <w:t>49-52</w:t>
            </w:r>
          </w:p>
          <w:p w14:paraId="1EA70F7F" w14:textId="42675C02" w:rsidR="008C3F1D" w:rsidRPr="00B03E3B" w:rsidRDefault="007F5DE6" w:rsidP="00B84BD5">
            <w:pPr>
              <w:autoSpaceDE w:val="0"/>
              <w:autoSpaceDN w:val="0"/>
              <w:adjustRightInd w:val="0"/>
              <w:jc w:val="both"/>
              <w:rPr>
                <w:rFonts w:ascii="Arial" w:eastAsia="Times-Roman" w:hAnsi="Arial" w:cs="Arial"/>
                <w:color w:val="FF0000"/>
                <w:sz w:val="20"/>
                <w:szCs w:val="20"/>
              </w:rPr>
            </w:pPr>
            <w:r w:rsidRPr="00B03E3B">
              <w:rPr>
                <w:rFonts w:ascii="Arial" w:eastAsia="Times-Roman" w:hAnsi="Arial" w:cs="Arial"/>
                <w:sz w:val="20"/>
                <w:szCs w:val="20"/>
              </w:rPr>
              <w:t xml:space="preserve">Recientemente, los estudios de seguimiento a largo plazo con </w:t>
            </w:r>
            <w:proofErr w:type="spellStart"/>
            <w:r w:rsidRPr="00B03E3B">
              <w:rPr>
                <w:rFonts w:ascii="Arial" w:eastAsia="Times-Roman" w:hAnsi="Arial" w:cs="Arial"/>
                <w:sz w:val="20"/>
                <w:szCs w:val="20"/>
              </w:rPr>
              <w:t>tofacitinib</w:t>
            </w:r>
            <w:proofErr w:type="spellEnd"/>
            <w:r w:rsidRPr="00B03E3B">
              <w:rPr>
                <w:rFonts w:ascii="Arial" w:eastAsia="Times-Roman" w:hAnsi="Arial" w:cs="Arial"/>
                <w:sz w:val="20"/>
                <w:szCs w:val="20"/>
              </w:rPr>
              <w:t xml:space="preserve"> han alertado sobre la presencia de complicaciones graves </w:t>
            </w:r>
            <w:r w:rsidR="00174835" w:rsidRPr="00B03E3B">
              <w:rPr>
                <w:rFonts w:ascii="Arial" w:eastAsia="Times-Roman" w:hAnsi="Arial" w:cs="Arial"/>
                <w:sz w:val="20"/>
                <w:szCs w:val="20"/>
              </w:rPr>
              <w:t xml:space="preserve">(como infecciones oportunistas) </w:t>
            </w:r>
            <w:r w:rsidRPr="00B03E3B">
              <w:rPr>
                <w:rFonts w:ascii="Arial" w:eastAsia="Times-Roman" w:hAnsi="Arial" w:cs="Arial"/>
                <w:sz w:val="20"/>
                <w:szCs w:val="20"/>
              </w:rPr>
              <w:t xml:space="preserve">y de difícil manejo como son ciertos tumores, </w:t>
            </w:r>
            <w:proofErr w:type="spellStart"/>
            <w:r w:rsidRPr="00B03E3B">
              <w:rPr>
                <w:rFonts w:ascii="Arial" w:eastAsia="Times-Roman" w:hAnsi="Arial" w:cs="Arial"/>
                <w:sz w:val="20"/>
                <w:szCs w:val="20"/>
              </w:rPr>
              <w:t>hepatotoxicidad</w:t>
            </w:r>
            <w:proofErr w:type="spellEnd"/>
            <w:r w:rsidRPr="00B03E3B">
              <w:rPr>
                <w:rFonts w:ascii="Arial" w:eastAsia="Times-Roman" w:hAnsi="Arial" w:cs="Arial"/>
                <w:sz w:val="20"/>
                <w:szCs w:val="20"/>
              </w:rPr>
              <w:t xml:space="preserve">, perforación gastrointestinal e infecciones. Por lo anterior, la agencia europea regulatoria de medicamentos (EMA) ha denegado la aprobación para la comercialización de </w:t>
            </w:r>
            <w:proofErr w:type="spellStart"/>
            <w:r w:rsidRPr="00B03E3B">
              <w:rPr>
                <w:rFonts w:ascii="Arial" w:eastAsia="Times-Roman" w:hAnsi="Arial" w:cs="Arial"/>
                <w:sz w:val="20"/>
                <w:szCs w:val="20"/>
              </w:rPr>
              <w:t>tofacitinib</w:t>
            </w:r>
            <w:proofErr w:type="spellEnd"/>
            <w:r w:rsidRPr="00B03E3B">
              <w:rPr>
                <w:rFonts w:ascii="Arial" w:eastAsia="Times-Roman" w:hAnsi="Arial" w:cs="Arial"/>
                <w:sz w:val="20"/>
                <w:szCs w:val="20"/>
              </w:rPr>
              <w:t xml:space="preserve"> en Europa y la FDA (</w:t>
            </w:r>
            <w:proofErr w:type="spellStart"/>
            <w:r w:rsidRPr="00B03E3B">
              <w:rPr>
                <w:rFonts w:ascii="Arial" w:eastAsia="Times-Roman" w:hAnsi="Arial" w:cs="Arial"/>
                <w:sz w:val="20"/>
                <w:szCs w:val="20"/>
              </w:rPr>
              <w:t>Food</w:t>
            </w:r>
            <w:proofErr w:type="spellEnd"/>
            <w:r w:rsidRPr="00B03E3B">
              <w:rPr>
                <w:rFonts w:ascii="Arial" w:eastAsia="Times-Roman" w:hAnsi="Arial" w:cs="Arial"/>
                <w:sz w:val="20"/>
                <w:szCs w:val="20"/>
              </w:rPr>
              <w:t xml:space="preserve"> and </w:t>
            </w:r>
            <w:proofErr w:type="spellStart"/>
            <w:r w:rsidR="00331F24" w:rsidRPr="00B03E3B">
              <w:rPr>
                <w:rFonts w:ascii="Arial" w:eastAsia="Times-Roman" w:hAnsi="Arial" w:cs="Arial"/>
                <w:sz w:val="20"/>
                <w:szCs w:val="20"/>
              </w:rPr>
              <w:t>D</w:t>
            </w:r>
            <w:r w:rsidRPr="00B03E3B">
              <w:rPr>
                <w:rFonts w:ascii="Arial" w:eastAsia="Times-Roman" w:hAnsi="Arial" w:cs="Arial"/>
                <w:sz w:val="20"/>
                <w:szCs w:val="20"/>
              </w:rPr>
              <w:t>ruf</w:t>
            </w:r>
            <w:proofErr w:type="spellEnd"/>
            <w:r w:rsidRPr="00B03E3B">
              <w:rPr>
                <w:rFonts w:ascii="Arial" w:eastAsia="Times-Roman" w:hAnsi="Arial" w:cs="Arial"/>
                <w:sz w:val="20"/>
                <w:szCs w:val="20"/>
              </w:rPr>
              <w:t xml:space="preserve"> </w:t>
            </w:r>
            <w:proofErr w:type="spellStart"/>
            <w:r w:rsidR="00331F24" w:rsidRPr="00B03E3B">
              <w:rPr>
                <w:rFonts w:ascii="Arial" w:eastAsia="Times-Roman" w:hAnsi="Arial" w:cs="Arial"/>
                <w:sz w:val="20"/>
                <w:szCs w:val="20"/>
              </w:rPr>
              <w:t>A</w:t>
            </w:r>
            <w:r w:rsidRPr="00B03E3B">
              <w:rPr>
                <w:rFonts w:ascii="Arial" w:eastAsia="Times-Roman" w:hAnsi="Arial" w:cs="Arial"/>
                <w:sz w:val="20"/>
                <w:szCs w:val="20"/>
              </w:rPr>
              <w:t>dministration</w:t>
            </w:r>
            <w:proofErr w:type="spellEnd"/>
            <w:r w:rsidRPr="00B03E3B">
              <w:rPr>
                <w:rFonts w:ascii="Arial" w:eastAsia="Times-Roman" w:hAnsi="Arial" w:cs="Arial"/>
                <w:sz w:val="20"/>
                <w:szCs w:val="20"/>
              </w:rPr>
              <w:t>) ha emitido una alerta internacional si bien recomienda que los pacientes actualmente involucrados en los estudios a largo plazo, pueden seguir recibiendo el medicamento.</w:t>
            </w:r>
            <w:r w:rsidRPr="00B03E3B">
              <w:rPr>
                <w:rFonts w:ascii="Arial" w:eastAsia="Times-Roman" w:hAnsi="Arial" w:cs="Arial"/>
                <w:sz w:val="20"/>
                <w:szCs w:val="20"/>
                <w:vertAlign w:val="superscript"/>
              </w:rPr>
              <w:t>53,54</w:t>
            </w:r>
          </w:p>
        </w:tc>
      </w:tr>
    </w:tbl>
    <w:p w14:paraId="4848798E" w14:textId="77777777" w:rsidR="0010242C" w:rsidRPr="00680065" w:rsidRDefault="0010242C" w:rsidP="006D7AE6">
      <w:pPr>
        <w:ind w:left="708" w:hanging="708"/>
        <w:contextualSpacing/>
        <w:jc w:val="both"/>
        <w:rPr>
          <w:rFonts w:ascii="Arial" w:hAnsi="Arial" w:cs="Arial"/>
          <w:b/>
          <w:sz w:val="20"/>
          <w:szCs w:val="20"/>
          <w:lang w:val="es-MX"/>
        </w:rPr>
      </w:pPr>
    </w:p>
    <w:p w14:paraId="1F6C1035" w14:textId="77777777" w:rsidR="00680065" w:rsidRPr="00C53F31" w:rsidRDefault="00680065" w:rsidP="00680065">
      <w:pPr>
        <w:autoSpaceDE w:val="0"/>
        <w:autoSpaceDN w:val="0"/>
        <w:adjustRightInd w:val="0"/>
        <w:contextualSpacing/>
        <w:jc w:val="both"/>
        <w:rPr>
          <w:rFonts w:ascii="Arial" w:eastAsia="Times-Roman" w:hAnsi="Arial" w:cs="Arial"/>
          <w:b/>
          <w:sz w:val="20"/>
          <w:szCs w:val="20"/>
          <w:lang w:val="en-US"/>
        </w:rPr>
      </w:pPr>
      <w:proofErr w:type="spellStart"/>
      <w:r w:rsidRPr="00C53F31">
        <w:rPr>
          <w:rFonts w:ascii="Arial" w:eastAsia="Times-Roman" w:hAnsi="Arial" w:cs="Arial"/>
          <w:b/>
          <w:sz w:val="20"/>
          <w:szCs w:val="20"/>
          <w:lang w:val="en-US"/>
        </w:rPr>
        <w:t>Referencias</w:t>
      </w:r>
      <w:proofErr w:type="spellEnd"/>
      <w:r w:rsidRPr="00C53F31">
        <w:rPr>
          <w:rFonts w:ascii="Arial" w:eastAsia="Times-Roman" w:hAnsi="Arial" w:cs="Arial"/>
          <w:b/>
          <w:sz w:val="20"/>
          <w:szCs w:val="20"/>
          <w:lang w:val="en-US"/>
        </w:rPr>
        <w:t>:</w:t>
      </w:r>
    </w:p>
    <w:p w14:paraId="0FB69002" w14:textId="77777777" w:rsidR="00680065" w:rsidRPr="0068632C" w:rsidRDefault="00680065" w:rsidP="00680065">
      <w:pPr>
        <w:autoSpaceDE w:val="0"/>
        <w:autoSpaceDN w:val="0"/>
        <w:adjustRightInd w:val="0"/>
        <w:contextualSpacing/>
        <w:jc w:val="both"/>
        <w:rPr>
          <w:rFonts w:ascii="Arial" w:eastAsia="Times-Roman" w:hAnsi="Arial" w:cs="Arial"/>
          <w:b/>
          <w:sz w:val="20"/>
          <w:szCs w:val="20"/>
          <w:lang w:val="en-US"/>
        </w:rPr>
      </w:pPr>
    </w:p>
    <w:p w14:paraId="69BF4C87" w14:textId="77777777" w:rsidR="00680065" w:rsidRPr="0068632C" w:rsidRDefault="00680065" w:rsidP="00680065">
      <w:pPr>
        <w:numPr>
          <w:ilvl w:val="0"/>
          <w:numId w:val="4"/>
        </w:numPr>
        <w:contextualSpacing/>
        <w:jc w:val="both"/>
        <w:rPr>
          <w:rFonts w:ascii="Arial" w:hAnsi="Arial" w:cs="Arial"/>
          <w:sz w:val="20"/>
          <w:szCs w:val="20"/>
          <w:lang w:val="en-US"/>
        </w:rPr>
      </w:pPr>
      <w:r w:rsidRPr="0068632C">
        <w:rPr>
          <w:rFonts w:ascii="Arial" w:hAnsi="Arial" w:cs="Arial"/>
          <w:sz w:val="20"/>
          <w:szCs w:val="20"/>
          <w:lang w:val="en-US"/>
        </w:rPr>
        <w:t xml:space="preserve">National Collaborating Centre for Chronic Conditions. Rheumatoid arthritis: national clinical guideline for management and treatment in adults. London: Royal College of Physicians, </w:t>
      </w:r>
      <w:proofErr w:type="spellStart"/>
      <w:r w:rsidRPr="0068632C">
        <w:rPr>
          <w:rFonts w:ascii="Arial" w:hAnsi="Arial" w:cs="Arial"/>
          <w:sz w:val="20"/>
          <w:szCs w:val="20"/>
        </w:rPr>
        <w:t>February</w:t>
      </w:r>
      <w:proofErr w:type="spellEnd"/>
      <w:r w:rsidRPr="0068632C">
        <w:rPr>
          <w:rFonts w:ascii="Arial" w:hAnsi="Arial" w:cs="Arial"/>
          <w:sz w:val="20"/>
          <w:szCs w:val="20"/>
        </w:rPr>
        <w:t xml:space="preserve"> 2009.</w:t>
      </w:r>
    </w:p>
    <w:p w14:paraId="6AE7D2E6" w14:textId="77777777" w:rsidR="00680065" w:rsidRDefault="00680065" w:rsidP="00680065">
      <w:pPr>
        <w:numPr>
          <w:ilvl w:val="0"/>
          <w:numId w:val="4"/>
        </w:numPr>
        <w:contextualSpacing/>
        <w:jc w:val="both"/>
        <w:rPr>
          <w:rFonts w:ascii="Arial" w:hAnsi="Arial" w:cs="Arial"/>
          <w:sz w:val="20"/>
          <w:szCs w:val="20"/>
          <w:lang w:val="en-US"/>
        </w:rPr>
      </w:pPr>
      <w:r w:rsidRPr="0068632C">
        <w:rPr>
          <w:rFonts w:ascii="Arial" w:hAnsi="Arial" w:cs="Arial"/>
          <w:sz w:val="20"/>
          <w:szCs w:val="20"/>
          <w:lang w:val="en-US"/>
        </w:rPr>
        <w:t>Agency for Healthcare Research and Quality. National Guideline Clearinghouse. Guideline Summa</w:t>
      </w:r>
      <w:r>
        <w:rPr>
          <w:rFonts w:ascii="Arial" w:hAnsi="Arial" w:cs="Arial"/>
          <w:sz w:val="20"/>
          <w:szCs w:val="20"/>
          <w:lang w:val="en-US"/>
        </w:rPr>
        <w:t>r</w:t>
      </w:r>
      <w:r w:rsidRPr="0068632C">
        <w:rPr>
          <w:rFonts w:ascii="Arial" w:hAnsi="Arial" w:cs="Arial"/>
          <w:sz w:val="20"/>
          <w:szCs w:val="20"/>
          <w:lang w:val="en-US"/>
        </w:rPr>
        <w:t xml:space="preserve">y NGC-9044. Update of </w:t>
      </w:r>
      <w:r>
        <w:rPr>
          <w:rFonts w:ascii="Arial" w:hAnsi="Arial" w:cs="Arial"/>
          <w:sz w:val="20"/>
          <w:szCs w:val="20"/>
          <w:lang w:val="en-US"/>
        </w:rPr>
        <w:t>the clinical practice guideline</w:t>
      </w:r>
      <w:r w:rsidRPr="0068632C">
        <w:rPr>
          <w:rFonts w:ascii="Arial" w:hAnsi="Arial" w:cs="Arial"/>
          <w:sz w:val="20"/>
          <w:szCs w:val="20"/>
          <w:lang w:val="en-US"/>
        </w:rPr>
        <w:t>s for the management of rheumatoid arthritis in Spain. Spanish S</w:t>
      </w:r>
      <w:r w:rsidR="00F0314D">
        <w:rPr>
          <w:rFonts w:ascii="Arial" w:hAnsi="Arial" w:cs="Arial"/>
          <w:sz w:val="20"/>
          <w:szCs w:val="20"/>
          <w:lang w:val="en-US"/>
        </w:rPr>
        <w:t>ociety of Rheumatology: 2011.</w:t>
      </w:r>
    </w:p>
    <w:p w14:paraId="5A92A50F" w14:textId="77777777" w:rsidR="00680065" w:rsidRDefault="00680065" w:rsidP="00680065">
      <w:pPr>
        <w:numPr>
          <w:ilvl w:val="0"/>
          <w:numId w:val="4"/>
        </w:numPr>
        <w:contextualSpacing/>
        <w:jc w:val="both"/>
        <w:rPr>
          <w:rFonts w:ascii="Arial" w:hAnsi="Arial" w:cs="Arial"/>
          <w:sz w:val="20"/>
          <w:szCs w:val="20"/>
          <w:lang w:val="en-US"/>
        </w:rPr>
      </w:pPr>
      <w:r w:rsidRPr="0068632C">
        <w:rPr>
          <w:rFonts w:ascii="Arial" w:hAnsi="Arial" w:cs="Arial"/>
          <w:sz w:val="20"/>
          <w:szCs w:val="20"/>
          <w:lang w:val="en-US"/>
        </w:rPr>
        <w:t>Scottish Intercollegiate Guidelines Network (SIGN). Management of early rheumatoid arthritis. Edinburgh: SIGN; 2011.</w:t>
      </w:r>
    </w:p>
    <w:p w14:paraId="46D312AE" w14:textId="77777777" w:rsidR="00680065" w:rsidRPr="0068632C" w:rsidRDefault="00680065" w:rsidP="00680065">
      <w:pPr>
        <w:numPr>
          <w:ilvl w:val="0"/>
          <w:numId w:val="4"/>
        </w:numPr>
        <w:contextualSpacing/>
        <w:jc w:val="both"/>
        <w:rPr>
          <w:rFonts w:ascii="Arial" w:hAnsi="Arial" w:cs="Arial"/>
          <w:sz w:val="20"/>
          <w:szCs w:val="20"/>
          <w:lang w:val="en-US"/>
        </w:rPr>
      </w:pPr>
      <w:r w:rsidRPr="004273AE">
        <w:rPr>
          <w:rFonts w:ascii="Arial" w:hAnsi="Arial" w:cs="Arial"/>
          <w:sz w:val="20"/>
          <w:szCs w:val="20"/>
          <w:lang w:val="en-US"/>
        </w:rPr>
        <w:t xml:space="preserve">Henrique da </w:t>
      </w:r>
      <w:proofErr w:type="spellStart"/>
      <w:r w:rsidRPr="004273AE">
        <w:rPr>
          <w:rFonts w:ascii="Arial" w:hAnsi="Arial" w:cs="Arial"/>
          <w:sz w:val="20"/>
          <w:szCs w:val="20"/>
          <w:lang w:val="en-US"/>
        </w:rPr>
        <w:t>Mota</w:t>
      </w:r>
      <w:proofErr w:type="spellEnd"/>
      <w:r w:rsidRPr="004273AE">
        <w:rPr>
          <w:rFonts w:ascii="Arial" w:hAnsi="Arial" w:cs="Arial"/>
          <w:sz w:val="20"/>
          <w:szCs w:val="20"/>
          <w:lang w:val="en-US"/>
        </w:rPr>
        <w:t xml:space="preserve"> LM, </w:t>
      </w:r>
      <w:proofErr w:type="spellStart"/>
      <w:r w:rsidRPr="004273AE">
        <w:rPr>
          <w:rFonts w:ascii="Arial" w:hAnsi="Arial" w:cs="Arial"/>
          <w:sz w:val="20"/>
          <w:szCs w:val="20"/>
          <w:lang w:val="en-US"/>
        </w:rPr>
        <w:t>Afonso</w:t>
      </w:r>
      <w:proofErr w:type="spellEnd"/>
      <w:r w:rsidRPr="004273AE">
        <w:rPr>
          <w:rFonts w:ascii="Arial" w:hAnsi="Arial" w:cs="Arial"/>
          <w:sz w:val="20"/>
          <w:szCs w:val="20"/>
          <w:lang w:val="en-US"/>
        </w:rPr>
        <w:t xml:space="preserve"> Cruz B, </w:t>
      </w:r>
      <w:proofErr w:type="spellStart"/>
      <w:r w:rsidRPr="004273AE">
        <w:rPr>
          <w:rFonts w:ascii="Arial" w:hAnsi="Arial" w:cs="Arial"/>
          <w:sz w:val="20"/>
          <w:szCs w:val="20"/>
          <w:lang w:val="en-US"/>
        </w:rPr>
        <w:t>Viegas</w:t>
      </w:r>
      <w:proofErr w:type="spellEnd"/>
      <w:r w:rsidRPr="004273AE">
        <w:rPr>
          <w:rFonts w:ascii="Arial" w:hAnsi="Arial" w:cs="Arial"/>
          <w:sz w:val="20"/>
          <w:szCs w:val="20"/>
          <w:lang w:val="en-US"/>
        </w:rPr>
        <w:t xml:space="preserve"> </w:t>
      </w:r>
      <w:proofErr w:type="spellStart"/>
      <w:r w:rsidRPr="004273AE">
        <w:rPr>
          <w:rFonts w:ascii="Arial" w:hAnsi="Arial" w:cs="Arial"/>
          <w:sz w:val="20"/>
          <w:szCs w:val="20"/>
          <w:lang w:val="en-US"/>
        </w:rPr>
        <w:t>Brenol</w:t>
      </w:r>
      <w:proofErr w:type="spellEnd"/>
      <w:r w:rsidRPr="004273AE">
        <w:rPr>
          <w:rFonts w:ascii="Arial" w:hAnsi="Arial" w:cs="Arial"/>
          <w:sz w:val="20"/>
          <w:szCs w:val="20"/>
          <w:lang w:val="en-US"/>
        </w:rPr>
        <w:t xml:space="preserve"> C, </w:t>
      </w:r>
      <w:proofErr w:type="spellStart"/>
      <w:r w:rsidRPr="004273AE">
        <w:rPr>
          <w:rFonts w:ascii="Arial" w:hAnsi="Arial" w:cs="Arial"/>
          <w:sz w:val="20"/>
          <w:szCs w:val="20"/>
          <w:lang w:val="en-US"/>
        </w:rPr>
        <w:t>Alves</w:t>
      </w:r>
      <w:proofErr w:type="spellEnd"/>
      <w:r w:rsidRPr="004273AE">
        <w:rPr>
          <w:rFonts w:ascii="Arial" w:hAnsi="Arial" w:cs="Arial"/>
          <w:sz w:val="20"/>
          <w:szCs w:val="20"/>
          <w:lang w:val="en-US"/>
        </w:rPr>
        <w:t xml:space="preserve"> Pereira I, </w:t>
      </w:r>
      <w:proofErr w:type="spellStart"/>
      <w:r w:rsidRPr="004273AE">
        <w:rPr>
          <w:rFonts w:ascii="Arial" w:hAnsi="Arial" w:cs="Arial"/>
          <w:sz w:val="20"/>
          <w:szCs w:val="20"/>
          <w:lang w:val="en-US"/>
        </w:rPr>
        <w:t>Rezende-Fronza</w:t>
      </w:r>
      <w:proofErr w:type="spellEnd"/>
      <w:r w:rsidRPr="004273AE">
        <w:rPr>
          <w:rFonts w:ascii="Arial" w:hAnsi="Arial" w:cs="Arial"/>
          <w:sz w:val="20"/>
          <w:szCs w:val="20"/>
          <w:lang w:val="en-US"/>
        </w:rPr>
        <w:t xml:space="preserve"> LS, Barros </w:t>
      </w:r>
      <w:proofErr w:type="spellStart"/>
      <w:r w:rsidRPr="004273AE">
        <w:rPr>
          <w:rFonts w:ascii="Arial" w:hAnsi="Arial" w:cs="Arial"/>
          <w:sz w:val="20"/>
          <w:szCs w:val="20"/>
          <w:lang w:val="en-US"/>
        </w:rPr>
        <w:t>Bertolo</w:t>
      </w:r>
      <w:proofErr w:type="spellEnd"/>
      <w:r w:rsidRPr="004273AE">
        <w:rPr>
          <w:rFonts w:ascii="Arial" w:hAnsi="Arial" w:cs="Arial"/>
          <w:sz w:val="20"/>
          <w:szCs w:val="20"/>
          <w:lang w:val="en-US"/>
        </w:rPr>
        <w:t xml:space="preserve"> M, et al. 2012 Brazilian Society of Rheumatology Consensus for the treatment of rheumatoid arthritis. </w:t>
      </w:r>
      <w:r w:rsidRPr="00F0314D">
        <w:rPr>
          <w:rFonts w:ascii="Arial" w:hAnsi="Arial" w:cs="Arial"/>
          <w:i/>
          <w:sz w:val="20"/>
          <w:szCs w:val="20"/>
          <w:lang w:val="en-US"/>
        </w:rPr>
        <w:t xml:space="preserve">Rev Bras </w:t>
      </w:r>
      <w:proofErr w:type="spellStart"/>
      <w:r w:rsidRPr="00F0314D">
        <w:rPr>
          <w:rFonts w:ascii="Arial" w:hAnsi="Arial" w:cs="Arial"/>
          <w:i/>
          <w:sz w:val="20"/>
          <w:szCs w:val="20"/>
          <w:lang w:val="en-US"/>
        </w:rPr>
        <w:t>Reumatol</w:t>
      </w:r>
      <w:proofErr w:type="spellEnd"/>
      <w:r w:rsidRPr="0068632C">
        <w:rPr>
          <w:rFonts w:ascii="Arial" w:hAnsi="Arial" w:cs="Arial"/>
          <w:sz w:val="20"/>
          <w:szCs w:val="20"/>
          <w:lang w:val="en-US"/>
        </w:rPr>
        <w:t xml:space="preserve"> 2012; 52 (2): 135-74</w:t>
      </w:r>
      <w:r>
        <w:rPr>
          <w:rFonts w:ascii="Arial" w:hAnsi="Arial" w:cs="Arial"/>
          <w:sz w:val="20"/>
          <w:szCs w:val="20"/>
          <w:lang w:val="en-US"/>
        </w:rPr>
        <w:t>.</w:t>
      </w:r>
    </w:p>
    <w:p w14:paraId="2A807C12" w14:textId="77777777" w:rsidR="00680065" w:rsidRDefault="00680065" w:rsidP="00680065">
      <w:pPr>
        <w:numPr>
          <w:ilvl w:val="0"/>
          <w:numId w:val="4"/>
        </w:numPr>
        <w:contextualSpacing/>
        <w:jc w:val="both"/>
        <w:rPr>
          <w:rFonts w:ascii="Arial" w:hAnsi="Arial" w:cs="Arial"/>
          <w:sz w:val="20"/>
          <w:szCs w:val="20"/>
          <w:lang w:val="en-US"/>
        </w:rPr>
      </w:pPr>
      <w:r w:rsidRPr="0068632C">
        <w:rPr>
          <w:rFonts w:ascii="Arial" w:hAnsi="Arial" w:cs="Arial"/>
          <w:sz w:val="20"/>
          <w:szCs w:val="20"/>
          <w:lang w:val="en-US"/>
        </w:rPr>
        <w:t xml:space="preserve">Marks JL, Colebatch AN, </w:t>
      </w:r>
      <w:proofErr w:type="spellStart"/>
      <w:r w:rsidRPr="0068632C">
        <w:rPr>
          <w:rFonts w:ascii="Arial" w:hAnsi="Arial" w:cs="Arial"/>
          <w:sz w:val="20"/>
          <w:szCs w:val="20"/>
          <w:lang w:val="en-US"/>
        </w:rPr>
        <w:t>Buchbinder</w:t>
      </w:r>
      <w:proofErr w:type="spellEnd"/>
      <w:r w:rsidRPr="0068632C">
        <w:rPr>
          <w:rFonts w:ascii="Arial" w:hAnsi="Arial" w:cs="Arial"/>
          <w:sz w:val="20"/>
          <w:szCs w:val="20"/>
          <w:lang w:val="en-US"/>
        </w:rPr>
        <w:t xml:space="preserve"> R, Edwards CJ. Pain management for rheumatoid arthritis and cardiovascular o</w:t>
      </w:r>
      <w:r>
        <w:rPr>
          <w:rFonts w:ascii="Arial" w:hAnsi="Arial" w:cs="Arial"/>
          <w:sz w:val="20"/>
          <w:szCs w:val="20"/>
          <w:lang w:val="en-US"/>
        </w:rPr>
        <w:t>r</w:t>
      </w:r>
      <w:r w:rsidRPr="0068632C">
        <w:rPr>
          <w:rFonts w:ascii="Arial" w:hAnsi="Arial" w:cs="Arial"/>
          <w:sz w:val="20"/>
          <w:szCs w:val="20"/>
          <w:lang w:val="en-US"/>
        </w:rPr>
        <w:t xml:space="preserve"> renal comorbidity. </w:t>
      </w:r>
      <w:r w:rsidRPr="0068632C">
        <w:rPr>
          <w:rFonts w:ascii="Arial" w:hAnsi="Arial" w:cs="Arial"/>
          <w:i/>
          <w:iCs/>
          <w:sz w:val="20"/>
          <w:szCs w:val="20"/>
          <w:lang w:val="en-US"/>
        </w:rPr>
        <w:t xml:space="preserve">Cochrane Database of Systematic Reviews </w:t>
      </w:r>
      <w:r w:rsidRPr="0068632C">
        <w:rPr>
          <w:rFonts w:ascii="Arial" w:hAnsi="Arial" w:cs="Arial"/>
          <w:sz w:val="20"/>
          <w:szCs w:val="20"/>
          <w:lang w:val="en-US"/>
        </w:rPr>
        <w:t>2011, Issue 10. Art.</w:t>
      </w:r>
      <w:r>
        <w:rPr>
          <w:rFonts w:ascii="Arial" w:hAnsi="Arial" w:cs="Arial"/>
          <w:sz w:val="20"/>
          <w:szCs w:val="20"/>
          <w:lang w:val="en-US"/>
        </w:rPr>
        <w:t xml:space="preserve"> </w:t>
      </w:r>
      <w:r w:rsidRPr="0068632C">
        <w:rPr>
          <w:rFonts w:ascii="Arial" w:hAnsi="Arial" w:cs="Arial"/>
          <w:sz w:val="20"/>
          <w:szCs w:val="20"/>
          <w:lang w:val="en-US"/>
        </w:rPr>
        <w:t>No.: CD008952. DOI: 10.1002/14651858.CD008952.pub2</w:t>
      </w:r>
    </w:p>
    <w:p w14:paraId="1E2496BB" w14:textId="77777777" w:rsidR="00680065" w:rsidRDefault="00680065" w:rsidP="00680065">
      <w:pPr>
        <w:numPr>
          <w:ilvl w:val="0"/>
          <w:numId w:val="4"/>
        </w:numPr>
        <w:contextualSpacing/>
        <w:jc w:val="both"/>
        <w:rPr>
          <w:rFonts w:ascii="Arial" w:hAnsi="Arial" w:cs="Arial"/>
          <w:sz w:val="20"/>
          <w:szCs w:val="20"/>
          <w:lang w:val="en-US"/>
        </w:rPr>
      </w:pPr>
      <w:proofErr w:type="spellStart"/>
      <w:r w:rsidRPr="0068632C">
        <w:rPr>
          <w:rFonts w:ascii="Arial" w:hAnsi="Arial" w:cs="Arial"/>
          <w:sz w:val="20"/>
          <w:szCs w:val="20"/>
          <w:lang w:val="en-US"/>
        </w:rPr>
        <w:t>Bykerk</w:t>
      </w:r>
      <w:proofErr w:type="spellEnd"/>
      <w:r w:rsidRPr="0068632C">
        <w:rPr>
          <w:rFonts w:ascii="Arial" w:hAnsi="Arial" w:cs="Arial"/>
          <w:sz w:val="20"/>
          <w:szCs w:val="20"/>
          <w:lang w:val="en-US"/>
        </w:rPr>
        <w:t xml:space="preserve"> VP, </w:t>
      </w:r>
      <w:proofErr w:type="spellStart"/>
      <w:r w:rsidRPr="0068632C">
        <w:rPr>
          <w:rFonts w:ascii="Arial" w:hAnsi="Arial" w:cs="Arial"/>
          <w:sz w:val="20"/>
          <w:szCs w:val="20"/>
          <w:lang w:val="en-US"/>
        </w:rPr>
        <w:t>Akhavan</w:t>
      </w:r>
      <w:proofErr w:type="spellEnd"/>
      <w:r w:rsidRPr="0068632C">
        <w:rPr>
          <w:rFonts w:ascii="Arial" w:hAnsi="Arial" w:cs="Arial"/>
          <w:sz w:val="20"/>
          <w:szCs w:val="20"/>
          <w:lang w:val="en-US"/>
        </w:rPr>
        <w:t xml:space="preserve"> P, </w:t>
      </w:r>
      <w:proofErr w:type="spellStart"/>
      <w:r w:rsidRPr="0068632C">
        <w:rPr>
          <w:rFonts w:ascii="Arial" w:hAnsi="Arial" w:cs="Arial"/>
          <w:sz w:val="20"/>
          <w:szCs w:val="20"/>
          <w:lang w:val="en-US"/>
        </w:rPr>
        <w:t>Hazlewood</w:t>
      </w:r>
      <w:proofErr w:type="spellEnd"/>
      <w:r w:rsidRPr="0068632C">
        <w:rPr>
          <w:rFonts w:ascii="Arial" w:hAnsi="Arial" w:cs="Arial"/>
          <w:sz w:val="20"/>
          <w:szCs w:val="20"/>
          <w:lang w:val="en-US"/>
        </w:rPr>
        <w:t xml:space="preserve"> GS, </w:t>
      </w:r>
      <w:proofErr w:type="spellStart"/>
      <w:r w:rsidRPr="0068632C">
        <w:rPr>
          <w:rFonts w:ascii="Arial" w:hAnsi="Arial" w:cs="Arial"/>
          <w:sz w:val="20"/>
          <w:szCs w:val="20"/>
          <w:lang w:val="en-US"/>
        </w:rPr>
        <w:t>Schieir</w:t>
      </w:r>
      <w:proofErr w:type="spellEnd"/>
      <w:r w:rsidRPr="0068632C">
        <w:rPr>
          <w:rFonts w:ascii="Arial" w:hAnsi="Arial" w:cs="Arial"/>
          <w:sz w:val="20"/>
          <w:szCs w:val="20"/>
          <w:lang w:val="en-US"/>
        </w:rPr>
        <w:t xml:space="preserve"> O, Dooley A, </w:t>
      </w:r>
      <w:proofErr w:type="spellStart"/>
      <w:r w:rsidRPr="0068632C">
        <w:rPr>
          <w:rFonts w:ascii="Arial" w:hAnsi="Arial" w:cs="Arial"/>
          <w:sz w:val="20"/>
          <w:szCs w:val="20"/>
          <w:lang w:val="en-US"/>
        </w:rPr>
        <w:t>Haraoui</w:t>
      </w:r>
      <w:proofErr w:type="spellEnd"/>
      <w:r w:rsidRPr="0068632C">
        <w:rPr>
          <w:rFonts w:ascii="Arial" w:hAnsi="Arial" w:cs="Arial"/>
          <w:sz w:val="20"/>
          <w:szCs w:val="20"/>
          <w:lang w:val="en-US"/>
        </w:rPr>
        <w:t xml:space="preserve"> B, et al. Canadian Rheumatology Association Recommendations for Pharmacological Management of Rheumatoid Arthritis with Traditional and Biological Disease-modifying </w:t>
      </w:r>
      <w:proofErr w:type="spellStart"/>
      <w:r w:rsidRPr="0068632C">
        <w:rPr>
          <w:rFonts w:ascii="Arial" w:hAnsi="Arial" w:cs="Arial"/>
          <w:sz w:val="20"/>
          <w:szCs w:val="20"/>
          <w:lang w:val="en-US"/>
        </w:rPr>
        <w:t>Antirheumatic</w:t>
      </w:r>
      <w:proofErr w:type="spellEnd"/>
      <w:r w:rsidRPr="0068632C">
        <w:rPr>
          <w:rFonts w:ascii="Arial" w:hAnsi="Arial" w:cs="Arial"/>
          <w:sz w:val="20"/>
          <w:szCs w:val="20"/>
          <w:lang w:val="en-US"/>
        </w:rPr>
        <w:t xml:space="preserve"> Drugs. </w:t>
      </w:r>
      <w:r w:rsidRPr="00F0314D">
        <w:rPr>
          <w:rFonts w:ascii="Arial" w:hAnsi="Arial" w:cs="Arial"/>
          <w:i/>
          <w:sz w:val="20"/>
          <w:szCs w:val="20"/>
          <w:lang w:val="en-US"/>
        </w:rPr>
        <w:t xml:space="preserve">J </w:t>
      </w:r>
      <w:proofErr w:type="spellStart"/>
      <w:r w:rsidRPr="00F0314D">
        <w:rPr>
          <w:rFonts w:ascii="Arial" w:hAnsi="Arial" w:cs="Arial"/>
          <w:i/>
          <w:sz w:val="20"/>
          <w:szCs w:val="20"/>
          <w:lang w:val="en-US"/>
        </w:rPr>
        <w:t>Rheumatol</w:t>
      </w:r>
      <w:proofErr w:type="spellEnd"/>
      <w:r w:rsidRPr="0068632C">
        <w:rPr>
          <w:rFonts w:ascii="Arial" w:hAnsi="Arial" w:cs="Arial"/>
          <w:sz w:val="20"/>
          <w:szCs w:val="20"/>
          <w:lang w:val="en-US"/>
        </w:rPr>
        <w:t xml:space="preserve"> 2012; 39: 1559-1582.</w:t>
      </w:r>
    </w:p>
    <w:p w14:paraId="7CB755C0" w14:textId="77777777" w:rsidR="00680065" w:rsidRPr="004273AE" w:rsidRDefault="00680065" w:rsidP="00680065">
      <w:pPr>
        <w:numPr>
          <w:ilvl w:val="0"/>
          <w:numId w:val="4"/>
        </w:numPr>
        <w:contextualSpacing/>
        <w:jc w:val="both"/>
        <w:rPr>
          <w:rFonts w:ascii="Arial" w:hAnsi="Arial" w:cs="Arial"/>
          <w:sz w:val="20"/>
          <w:szCs w:val="20"/>
          <w:lang w:val="en-US"/>
        </w:rPr>
      </w:pPr>
      <w:r w:rsidRPr="0068632C">
        <w:rPr>
          <w:rFonts w:ascii="Arial" w:hAnsi="Arial" w:cs="Arial"/>
          <w:sz w:val="20"/>
          <w:szCs w:val="20"/>
          <w:lang w:val="en-US"/>
        </w:rPr>
        <w:t xml:space="preserve">Roux CH, </w:t>
      </w:r>
      <w:proofErr w:type="spellStart"/>
      <w:r w:rsidRPr="0068632C">
        <w:rPr>
          <w:rFonts w:ascii="Arial" w:hAnsi="Arial" w:cs="Arial"/>
          <w:sz w:val="20"/>
          <w:szCs w:val="20"/>
          <w:lang w:val="en-US"/>
        </w:rPr>
        <w:t>Breuil</w:t>
      </w:r>
      <w:proofErr w:type="spellEnd"/>
      <w:r w:rsidRPr="0068632C">
        <w:rPr>
          <w:rFonts w:ascii="Arial" w:hAnsi="Arial" w:cs="Arial"/>
          <w:sz w:val="20"/>
          <w:szCs w:val="20"/>
          <w:lang w:val="en-US"/>
        </w:rPr>
        <w:t xml:space="preserve"> V, Valerio L, Amoretti N, </w:t>
      </w:r>
      <w:proofErr w:type="spellStart"/>
      <w:r w:rsidRPr="0068632C">
        <w:rPr>
          <w:rFonts w:ascii="Arial" w:hAnsi="Arial" w:cs="Arial"/>
          <w:sz w:val="20"/>
          <w:szCs w:val="20"/>
          <w:lang w:val="en-US"/>
        </w:rPr>
        <w:t>Brocq</w:t>
      </w:r>
      <w:proofErr w:type="spellEnd"/>
      <w:r w:rsidRPr="0068632C">
        <w:rPr>
          <w:rFonts w:ascii="Arial" w:hAnsi="Arial" w:cs="Arial"/>
          <w:sz w:val="20"/>
          <w:szCs w:val="20"/>
          <w:lang w:val="en-US"/>
        </w:rPr>
        <w:t xml:space="preserve"> O, Albert C, </w:t>
      </w:r>
      <w:proofErr w:type="spellStart"/>
      <w:r w:rsidRPr="0068632C">
        <w:rPr>
          <w:rFonts w:ascii="Arial" w:hAnsi="Arial" w:cs="Arial"/>
          <w:sz w:val="20"/>
          <w:szCs w:val="20"/>
          <w:lang w:val="en-US"/>
        </w:rPr>
        <w:t>Grisot</w:t>
      </w:r>
      <w:proofErr w:type="spellEnd"/>
      <w:r w:rsidRPr="0068632C">
        <w:rPr>
          <w:rFonts w:ascii="Arial" w:hAnsi="Arial" w:cs="Arial"/>
          <w:sz w:val="20"/>
          <w:szCs w:val="20"/>
          <w:lang w:val="en-US"/>
        </w:rPr>
        <w:t xml:space="preserve"> C, </w:t>
      </w:r>
      <w:proofErr w:type="spellStart"/>
      <w:r w:rsidRPr="0068632C">
        <w:rPr>
          <w:rFonts w:ascii="Arial" w:hAnsi="Arial" w:cs="Arial"/>
          <w:sz w:val="20"/>
          <w:szCs w:val="20"/>
          <w:lang w:val="en-US"/>
        </w:rPr>
        <w:t>Allam</w:t>
      </w:r>
      <w:proofErr w:type="spellEnd"/>
      <w:r w:rsidRPr="0068632C">
        <w:rPr>
          <w:rFonts w:ascii="Arial" w:hAnsi="Arial" w:cs="Arial"/>
          <w:sz w:val="20"/>
          <w:szCs w:val="20"/>
          <w:lang w:val="en-US"/>
        </w:rPr>
        <w:t xml:space="preserve"> Y, Chevalier P, </w:t>
      </w:r>
      <w:proofErr w:type="spellStart"/>
      <w:r w:rsidRPr="0068632C">
        <w:rPr>
          <w:rFonts w:ascii="Arial" w:hAnsi="Arial" w:cs="Arial"/>
          <w:sz w:val="20"/>
          <w:szCs w:val="20"/>
          <w:lang w:val="en-US"/>
        </w:rPr>
        <w:t>Pradier</w:t>
      </w:r>
      <w:proofErr w:type="spellEnd"/>
      <w:r w:rsidRPr="0068632C">
        <w:rPr>
          <w:rFonts w:ascii="Arial" w:hAnsi="Arial" w:cs="Arial"/>
          <w:sz w:val="20"/>
          <w:szCs w:val="20"/>
          <w:lang w:val="en-US"/>
        </w:rPr>
        <w:t xml:space="preserve"> C, </w:t>
      </w:r>
      <w:proofErr w:type="spellStart"/>
      <w:r w:rsidRPr="0068632C">
        <w:rPr>
          <w:rFonts w:ascii="Arial" w:hAnsi="Arial" w:cs="Arial"/>
          <w:sz w:val="20"/>
          <w:szCs w:val="20"/>
          <w:lang w:val="en-US"/>
        </w:rPr>
        <w:t>Euller</w:t>
      </w:r>
      <w:proofErr w:type="spellEnd"/>
      <w:r w:rsidRPr="0068632C">
        <w:rPr>
          <w:rFonts w:ascii="Arial" w:hAnsi="Arial" w:cs="Arial"/>
          <w:sz w:val="20"/>
          <w:szCs w:val="20"/>
          <w:lang w:val="en-US"/>
        </w:rPr>
        <w:t xml:space="preserve">-Ziegler L. </w:t>
      </w:r>
      <w:proofErr w:type="spellStart"/>
      <w:r w:rsidRPr="0068632C">
        <w:rPr>
          <w:rFonts w:ascii="Arial" w:hAnsi="Arial" w:cs="Arial"/>
          <w:sz w:val="20"/>
          <w:szCs w:val="20"/>
          <w:lang w:val="en-US"/>
        </w:rPr>
        <w:t>Etanercept</w:t>
      </w:r>
      <w:proofErr w:type="spellEnd"/>
      <w:r w:rsidRPr="0068632C">
        <w:rPr>
          <w:rFonts w:ascii="Arial" w:hAnsi="Arial" w:cs="Arial"/>
          <w:sz w:val="20"/>
          <w:szCs w:val="20"/>
          <w:lang w:val="en-US"/>
        </w:rPr>
        <w:t xml:space="preserve"> compared to </w:t>
      </w:r>
      <w:proofErr w:type="spellStart"/>
      <w:r w:rsidRPr="0068632C">
        <w:rPr>
          <w:rFonts w:ascii="Arial" w:hAnsi="Arial" w:cs="Arial"/>
          <w:sz w:val="20"/>
          <w:szCs w:val="20"/>
          <w:lang w:val="en-US"/>
        </w:rPr>
        <w:t>intraarticular</w:t>
      </w:r>
      <w:proofErr w:type="spellEnd"/>
      <w:r>
        <w:rPr>
          <w:rFonts w:ascii="Arial" w:hAnsi="Arial" w:cs="Arial"/>
          <w:sz w:val="20"/>
          <w:szCs w:val="20"/>
          <w:lang w:val="en-US"/>
        </w:rPr>
        <w:t xml:space="preserve"> </w:t>
      </w:r>
      <w:proofErr w:type="spellStart"/>
      <w:r w:rsidRPr="0068632C">
        <w:rPr>
          <w:rFonts w:ascii="Arial" w:hAnsi="Arial" w:cs="Arial"/>
          <w:sz w:val="20"/>
          <w:szCs w:val="20"/>
          <w:lang w:val="en-US"/>
        </w:rPr>
        <w:t>corticoesteroid</w:t>
      </w:r>
      <w:proofErr w:type="spellEnd"/>
      <w:r w:rsidRPr="0068632C">
        <w:rPr>
          <w:rFonts w:ascii="Arial" w:hAnsi="Arial" w:cs="Arial"/>
          <w:sz w:val="20"/>
          <w:szCs w:val="20"/>
          <w:lang w:val="en-US"/>
        </w:rPr>
        <w:t xml:space="preserve"> injection in rheumatoid arthritis: double-blind, randomized pilot study. </w:t>
      </w:r>
      <w:r w:rsidRPr="00516653">
        <w:rPr>
          <w:rFonts w:ascii="Arial" w:hAnsi="Arial" w:cs="Arial"/>
          <w:i/>
          <w:iCs/>
          <w:sz w:val="20"/>
          <w:szCs w:val="20"/>
          <w:lang w:val="en-US"/>
        </w:rPr>
        <w:t xml:space="preserve">J </w:t>
      </w:r>
      <w:proofErr w:type="spellStart"/>
      <w:r w:rsidRPr="00516653">
        <w:rPr>
          <w:rFonts w:ascii="Arial" w:hAnsi="Arial" w:cs="Arial"/>
          <w:i/>
          <w:iCs/>
          <w:sz w:val="20"/>
          <w:szCs w:val="20"/>
          <w:lang w:val="en-US"/>
        </w:rPr>
        <w:t>Rheumatol</w:t>
      </w:r>
      <w:proofErr w:type="spellEnd"/>
      <w:r w:rsidR="00F0314D">
        <w:rPr>
          <w:rFonts w:ascii="Arial" w:hAnsi="Arial" w:cs="Arial"/>
          <w:i/>
          <w:iCs/>
          <w:sz w:val="20"/>
          <w:szCs w:val="20"/>
          <w:lang w:val="en-US"/>
        </w:rPr>
        <w:t xml:space="preserve"> </w:t>
      </w:r>
      <w:r w:rsidRPr="00516653">
        <w:rPr>
          <w:rFonts w:ascii="Arial" w:hAnsi="Arial" w:cs="Arial"/>
          <w:sz w:val="20"/>
          <w:szCs w:val="20"/>
          <w:lang w:val="en-US"/>
        </w:rPr>
        <w:t>2011; 38: 1009-11</w:t>
      </w:r>
      <w:r w:rsidR="00F0314D">
        <w:rPr>
          <w:rFonts w:ascii="Arial" w:hAnsi="Arial" w:cs="Arial"/>
          <w:sz w:val="20"/>
          <w:szCs w:val="20"/>
          <w:lang w:val="en-US"/>
        </w:rPr>
        <w:t>.</w:t>
      </w:r>
    </w:p>
    <w:p w14:paraId="2061B471" w14:textId="77777777" w:rsidR="00680065" w:rsidRDefault="00680065" w:rsidP="00680065">
      <w:pPr>
        <w:numPr>
          <w:ilvl w:val="0"/>
          <w:numId w:val="4"/>
        </w:numPr>
        <w:contextualSpacing/>
        <w:jc w:val="both"/>
        <w:rPr>
          <w:rFonts w:ascii="Arial" w:hAnsi="Arial" w:cs="Arial"/>
          <w:sz w:val="20"/>
          <w:szCs w:val="20"/>
          <w:lang w:val="en-US"/>
        </w:rPr>
      </w:pPr>
      <w:r w:rsidRPr="0068632C">
        <w:rPr>
          <w:rFonts w:ascii="Arial" w:hAnsi="Arial" w:cs="Arial"/>
          <w:sz w:val="20"/>
          <w:szCs w:val="20"/>
          <w:lang w:val="en-US"/>
        </w:rPr>
        <w:t>Den</w:t>
      </w:r>
      <w:r>
        <w:rPr>
          <w:rFonts w:ascii="Arial" w:hAnsi="Arial" w:cs="Arial"/>
          <w:sz w:val="20"/>
          <w:szCs w:val="20"/>
          <w:lang w:val="en-US"/>
        </w:rPr>
        <w:t xml:space="preserve"> </w:t>
      </w:r>
      <w:proofErr w:type="spellStart"/>
      <w:r w:rsidRPr="0068632C">
        <w:rPr>
          <w:rFonts w:ascii="Arial" w:hAnsi="Arial" w:cs="Arial"/>
          <w:sz w:val="20"/>
          <w:szCs w:val="20"/>
          <w:lang w:val="en-US"/>
        </w:rPr>
        <w:t>Uyl</w:t>
      </w:r>
      <w:proofErr w:type="spellEnd"/>
      <w:r w:rsidRPr="0068632C">
        <w:rPr>
          <w:rFonts w:ascii="Arial" w:hAnsi="Arial" w:cs="Arial"/>
          <w:sz w:val="20"/>
          <w:szCs w:val="20"/>
          <w:lang w:val="en-US"/>
        </w:rPr>
        <w:t xml:space="preserve"> D, van </w:t>
      </w:r>
      <w:proofErr w:type="spellStart"/>
      <w:r w:rsidRPr="0068632C">
        <w:rPr>
          <w:rFonts w:ascii="Arial" w:hAnsi="Arial" w:cs="Arial"/>
          <w:sz w:val="20"/>
          <w:szCs w:val="20"/>
          <w:lang w:val="en-US"/>
        </w:rPr>
        <w:t>Raalte</w:t>
      </w:r>
      <w:proofErr w:type="spellEnd"/>
      <w:r w:rsidRPr="0068632C">
        <w:rPr>
          <w:rFonts w:ascii="Arial" w:hAnsi="Arial" w:cs="Arial"/>
          <w:sz w:val="20"/>
          <w:szCs w:val="20"/>
          <w:lang w:val="en-US"/>
        </w:rPr>
        <w:t xml:space="preserve"> DH, </w:t>
      </w:r>
      <w:proofErr w:type="spellStart"/>
      <w:r w:rsidRPr="0068632C">
        <w:rPr>
          <w:rFonts w:ascii="Arial" w:hAnsi="Arial" w:cs="Arial"/>
          <w:sz w:val="20"/>
          <w:szCs w:val="20"/>
          <w:lang w:val="en-US"/>
        </w:rPr>
        <w:t>Nurmohamed</w:t>
      </w:r>
      <w:proofErr w:type="spellEnd"/>
      <w:r w:rsidRPr="0068632C">
        <w:rPr>
          <w:rFonts w:ascii="Arial" w:hAnsi="Arial" w:cs="Arial"/>
          <w:sz w:val="20"/>
          <w:szCs w:val="20"/>
          <w:lang w:val="en-US"/>
        </w:rPr>
        <w:t xml:space="preserve"> MT, </w:t>
      </w:r>
      <w:proofErr w:type="spellStart"/>
      <w:r w:rsidRPr="0068632C">
        <w:rPr>
          <w:rFonts w:ascii="Arial" w:hAnsi="Arial" w:cs="Arial"/>
          <w:sz w:val="20"/>
          <w:szCs w:val="20"/>
          <w:lang w:val="en-US"/>
        </w:rPr>
        <w:t>Lems</w:t>
      </w:r>
      <w:proofErr w:type="spellEnd"/>
      <w:r w:rsidRPr="0068632C">
        <w:rPr>
          <w:rFonts w:ascii="Arial" w:hAnsi="Arial" w:cs="Arial"/>
          <w:sz w:val="20"/>
          <w:szCs w:val="20"/>
          <w:lang w:val="en-US"/>
        </w:rPr>
        <w:t xml:space="preserve"> WF, </w:t>
      </w:r>
      <w:proofErr w:type="spellStart"/>
      <w:r w:rsidRPr="0068632C">
        <w:rPr>
          <w:rFonts w:ascii="Arial" w:hAnsi="Arial" w:cs="Arial"/>
          <w:sz w:val="20"/>
          <w:szCs w:val="20"/>
          <w:lang w:val="en-US"/>
        </w:rPr>
        <w:t>Bijlsma</w:t>
      </w:r>
      <w:proofErr w:type="spellEnd"/>
      <w:r w:rsidRPr="0068632C">
        <w:rPr>
          <w:rFonts w:ascii="Arial" w:hAnsi="Arial" w:cs="Arial"/>
          <w:sz w:val="20"/>
          <w:szCs w:val="20"/>
          <w:lang w:val="en-US"/>
        </w:rPr>
        <w:t xml:space="preserve"> JWJ, Hoes JN, </w:t>
      </w:r>
      <w:proofErr w:type="spellStart"/>
      <w:r w:rsidRPr="0068632C">
        <w:rPr>
          <w:rFonts w:ascii="Arial" w:hAnsi="Arial" w:cs="Arial"/>
          <w:sz w:val="20"/>
          <w:szCs w:val="20"/>
          <w:lang w:val="en-US"/>
        </w:rPr>
        <w:t>Dijkmans</w:t>
      </w:r>
      <w:proofErr w:type="spellEnd"/>
      <w:r w:rsidRPr="0068632C">
        <w:rPr>
          <w:rFonts w:ascii="Arial" w:hAnsi="Arial" w:cs="Arial"/>
          <w:sz w:val="20"/>
          <w:szCs w:val="20"/>
          <w:lang w:val="en-US"/>
        </w:rPr>
        <w:t xml:space="preserve"> BAC, </w:t>
      </w:r>
      <w:proofErr w:type="spellStart"/>
      <w:r w:rsidRPr="0068632C">
        <w:rPr>
          <w:rFonts w:ascii="Arial" w:hAnsi="Arial" w:cs="Arial"/>
          <w:sz w:val="20"/>
          <w:szCs w:val="20"/>
          <w:lang w:val="en-US"/>
        </w:rPr>
        <w:t>D</w:t>
      </w:r>
      <w:r>
        <w:rPr>
          <w:rFonts w:ascii="Arial" w:hAnsi="Arial" w:cs="Arial"/>
          <w:sz w:val="20"/>
          <w:szCs w:val="20"/>
          <w:lang w:val="en-US"/>
        </w:rPr>
        <w:t>iamant</w:t>
      </w:r>
      <w:proofErr w:type="spellEnd"/>
      <w:r>
        <w:rPr>
          <w:rFonts w:ascii="Arial" w:hAnsi="Arial" w:cs="Arial"/>
          <w:sz w:val="20"/>
          <w:szCs w:val="20"/>
          <w:lang w:val="en-US"/>
        </w:rPr>
        <w:t xml:space="preserve"> M. Metabolic effects of h</w:t>
      </w:r>
      <w:r w:rsidRPr="0068632C">
        <w:rPr>
          <w:rFonts w:ascii="Arial" w:hAnsi="Arial" w:cs="Arial"/>
          <w:sz w:val="20"/>
          <w:szCs w:val="20"/>
          <w:lang w:val="en-US"/>
        </w:rPr>
        <w:t>igh-dose prednisolone treatment in early rhe</w:t>
      </w:r>
      <w:r>
        <w:rPr>
          <w:rFonts w:ascii="Arial" w:hAnsi="Arial" w:cs="Arial"/>
          <w:sz w:val="20"/>
          <w:szCs w:val="20"/>
          <w:lang w:val="en-US"/>
        </w:rPr>
        <w:t>u</w:t>
      </w:r>
      <w:r w:rsidRPr="0068632C">
        <w:rPr>
          <w:rFonts w:ascii="Arial" w:hAnsi="Arial" w:cs="Arial"/>
          <w:sz w:val="20"/>
          <w:szCs w:val="20"/>
          <w:lang w:val="en-US"/>
        </w:rPr>
        <w:t xml:space="preserve">matoid arthritis. </w:t>
      </w:r>
      <w:r w:rsidRPr="004273AE">
        <w:rPr>
          <w:rFonts w:ascii="Arial" w:hAnsi="Arial" w:cs="Arial"/>
          <w:i/>
          <w:iCs/>
          <w:sz w:val="20"/>
          <w:szCs w:val="20"/>
          <w:lang w:val="en-US"/>
        </w:rPr>
        <w:t>Arthritis</w:t>
      </w:r>
      <w:r>
        <w:rPr>
          <w:rFonts w:ascii="Arial" w:hAnsi="Arial" w:cs="Arial"/>
          <w:i/>
          <w:iCs/>
          <w:sz w:val="20"/>
          <w:szCs w:val="20"/>
          <w:lang w:val="en-US"/>
        </w:rPr>
        <w:t xml:space="preserve"> </w:t>
      </w:r>
      <w:r w:rsidRPr="004273AE">
        <w:rPr>
          <w:rFonts w:ascii="Arial" w:hAnsi="Arial" w:cs="Arial"/>
          <w:i/>
          <w:iCs/>
          <w:sz w:val="20"/>
          <w:szCs w:val="20"/>
          <w:lang w:val="en-US"/>
        </w:rPr>
        <w:t>&amp;</w:t>
      </w:r>
      <w:r>
        <w:rPr>
          <w:rFonts w:ascii="Arial" w:hAnsi="Arial" w:cs="Arial"/>
          <w:i/>
          <w:iCs/>
          <w:sz w:val="20"/>
          <w:szCs w:val="20"/>
          <w:lang w:val="en-US"/>
        </w:rPr>
        <w:t xml:space="preserve"> </w:t>
      </w:r>
      <w:r w:rsidRPr="004273AE">
        <w:rPr>
          <w:rFonts w:ascii="Arial" w:hAnsi="Arial" w:cs="Arial"/>
          <w:i/>
          <w:iCs/>
          <w:sz w:val="20"/>
          <w:szCs w:val="20"/>
          <w:lang w:val="en-US"/>
        </w:rPr>
        <w:t>Rheumatism</w:t>
      </w:r>
      <w:r w:rsidRPr="004273AE">
        <w:rPr>
          <w:rFonts w:ascii="Arial" w:hAnsi="Arial" w:cs="Arial"/>
          <w:sz w:val="20"/>
          <w:szCs w:val="20"/>
          <w:lang w:val="en-US"/>
        </w:rPr>
        <w:t xml:space="preserve"> 2012; 64 (3): 639-646.</w:t>
      </w:r>
    </w:p>
    <w:p w14:paraId="5F54191B" w14:textId="77777777" w:rsidR="00680065" w:rsidRDefault="00680065" w:rsidP="00680065">
      <w:pPr>
        <w:numPr>
          <w:ilvl w:val="0"/>
          <w:numId w:val="4"/>
        </w:numPr>
        <w:contextualSpacing/>
        <w:jc w:val="both"/>
        <w:rPr>
          <w:rFonts w:ascii="Arial" w:hAnsi="Arial" w:cs="Arial"/>
          <w:sz w:val="20"/>
          <w:szCs w:val="20"/>
          <w:lang w:val="en-US"/>
        </w:rPr>
      </w:pPr>
      <w:r>
        <w:rPr>
          <w:rFonts w:ascii="Arial" w:hAnsi="Arial" w:cs="Arial"/>
          <w:sz w:val="20"/>
          <w:szCs w:val="20"/>
          <w:lang w:val="en-US"/>
        </w:rPr>
        <w:t>Davis III JM, Matteson EL. My t</w:t>
      </w:r>
      <w:r w:rsidRPr="00BA2D3E">
        <w:rPr>
          <w:rFonts w:ascii="Arial" w:hAnsi="Arial" w:cs="Arial"/>
          <w:sz w:val="20"/>
          <w:szCs w:val="20"/>
          <w:lang w:val="en-US"/>
        </w:rPr>
        <w:t>re</w:t>
      </w:r>
      <w:r>
        <w:rPr>
          <w:rFonts w:ascii="Arial" w:hAnsi="Arial" w:cs="Arial"/>
          <w:sz w:val="20"/>
          <w:szCs w:val="20"/>
          <w:lang w:val="en-US"/>
        </w:rPr>
        <w:t>atment approach to rheumatoid a</w:t>
      </w:r>
      <w:r w:rsidRPr="00BA2D3E">
        <w:rPr>
          <w:rFonts w:ascii="Arial" w:hAnsi="Arial" w:cs="Arial"/>
          <w:sz w:val="20"/>
          <w:szCs w:val="20"/>
          <w:lang w:val="en-US"/>
        </w:rPr>
        <w:t xml:space="preserve">rthritis. </w:t>
      </w:r>
      <w:r w:rsidR="00F0314D" w:rsidRPr="00F0314D">
        <w:rPr>
          <w:rFonts w:ascii="Arial" w:hAnsi="Arial" w:cs="Arial"/>
          <w:i/>
          <w:sz w:val="20"/>
          <w:szCs w:val="20"/>
          <w:lang w:val="en-US"/>
        </w:rPr>
        <w:t xml:space="preserve">Mayo </w:t>
      </w:r>
      <w:proofErr w:type="spellStart"/>
      <w:r w:rsidR="00F0314D" w:rsidRPr="00F0314D">
        <w:rPr>
          <w:rFonts w:ascii="Arial" w:hAnsi="Arial" w:cs="Arial"/>
          <w:i/>
          <w:sz w:val="20"/>
          <w:szCs w:val="20"/>
          <w:lang w:val="en-US"/>
        </w:rPr>
        <w:t>Clin</w:t>
      </w:r>
      <w:proofErr w:type="spellEnd"/>
      <w:r w:rsidR="00F0314D" w:rsidRPr="00F0314D">
        <w:rPr>
          <w:rFonts w:ascii="Arial" w:hAnsi="Arial" w:cs="Arial"/>
          <w:i/>
          <w:sz w:val="20"/>
          <w:szCs w:val="20"/>
          <w:lang w:val="en-US"/>
        </w:rPr>
        <w:t xml:space="preserve"> </w:t>
      </w:r>
      <w:proofErr w:type="spellStart"/>
      <w:r w:rsidR="00F0314D" w:rsidRPr="00F0314D">
        <w:rPr>
          <w:rFonts w:ascii="Arial" w:hAnsi="Arial" w:cs="Arial"/>
          <w:i/>
          <w:sz w:val="20"/>
          <w:szCs w:val="20"/>
          <w:lang w:val="en-US"/>
        </w:rPr>
        <w:t>Proc</w:t>
      </w:r>
      <w:proofErr w:type="spellEnd"/>
      <w:r w:rsidRPr="00516653">
        <w:rPr>
          <w:rFonts w:ascii="Arial" w:hAnsi="Arial" w:cs="Arial"/>
          <w:sz w:val="20"/>
          <w:szCs w:val="20"/>
          <w:lang w:val="en-US"/>
        </w:rPr>
        <w:t xml:space="preserve"> 2012; 87(7): 659-673.</w:t>
      </w:r>
    </w:p>
    <w:p w14:paraId="38541AA5" w14:textId="77777777" w:rsidR="00680065" w:rsidRDefault="00680065" w:rsidP="00680065">
      <w:pPr>
        <w:numPr>
          <w:ilvl w:val="0"/>
          <w:numId w:val="4"/>
        </w:numPr>
        <w:contextualSpacing/>
        <w:jc w:val="both"/>
        <w:rPr>
          <w:rFonts w:ascii="Arial" w:hAnsi="Arial" w:cs="Arial"/>
          <w:sz w:val="20"/>
          <w:szCs w:val="20"/>
          <w:lang w:val="en-US"/>
        </w:rPr>
      </w:pPr>
      <w:proofErr w:type="spellStart"/>
      <w:r w:rsidRPr="00CC0BDF">
        <w:rPr>
          <w:rFonts w:ascii="Arial" w:eastAsia="Times-Roman" w:hAnsi="Arial" w:cs="Arial"/>
          <w:sz w:val="20"/>
          <w:szCs w:val="20"/>
          <w:lang w:val="en-US"/>
        </w:rPr>
        <w:t>Smolen</w:t>
      </w:r>
      <w:proofErr w:type="spellEnd"/>
      <w:r w:rsidRPr="00CC0BDF">
        <w:rPr>
          <w:rFonts w:ascii="Arial" w:eastAsia="Times-Roman" w:hAnsi="Arial" w:cs="Arial"/>
          <w:sz w:val="20"/>
          <w:szCs w:val="20"/>
          <w:lang w:val="en-US"/>
        </w:rPr>
        <w:t xml:space="preserve"> JS, </w:t>
      </w:r>
      <w:proofErr w:type="spellStart"/>
      <w:r w:rsidRPr="00CC0BDF">
        <w:rPr>
          <w:rFonts w:ascii="Arial" w:eastAsia="Times-Roman" w:hAnsi="Arial" w:cs="Arial"/>
          <w:sz w:val="20"/>
          <w:szCs w:val="20"/>
          <w:lang w:val="en-US"/>
        </w:rPr>
        <w:t>Landewe</w:t>
      </w:r>
      <w:proofErr w:type="spellEnd"/>
      <w:r w:rsidRPr="00CC0BDF">
        <w:rPr>
          <w:rFonts w:ascii="Arial" w:eastAsia="Times-Roman" w:hAnsi="Arial" w:cs="Arial"/>
          <w:sz w:val="20"/>
          <w:szCs w:val="20"/>
          <w:lang w:val="en-US"/>
        </w:rPr>
        <w:t xml:space="preserve"> R, </w:t>
      </w:r>
      <w:proofErr w:type="spellStart"/>
      <w:r w:rsidRPr="00CC0BDF">
        <w:rPr>
          <w:rFonts w:ascii="Arial" w:eastAsia="Times-Roman" w:hAnsi="Arial" w:cs="Arial"/>
          <w:sz w:val="20"/>
          <w:szCs w:val="20"/>
          <w:lang w:val="en-US"/>
        </w:rPr>
        <w:t>Breedveld</w:t>
      </w:r>
      <w:proofErr w:type="spellEnd"/>
      <w:r w:rsidRPr="00CC0BDF">
        <w:rPr>
          <w:rFonts w:ascii="Arial" w:eastAsia="Times-Roman" w:hAnsi="Arial" w:cs="Arial"/>
          <w:sz w:val="20"/>
          <w:szCs w:val="20"/>
          <w:lang w:val="en-US"/>
        </w:rPr>
        <w:t xml:space="preserve"> FC, </w:t>
      </w:r>
      <w:proofErr w:type="spellStart"/>
      <w:r w:rsidRPr="00CC0BDF">
        <w:rPr>
          <w:rFonts w:ascii="Arial" w:eastAsia="Times-Roman" w:hAnsi="Arial" w:cs="Arial"/>
          <w:sz w:val="20"/>
          <w:szCs w:val="20"/>
          <w:lang w:val="en-US"/>
        </w:rPr>
        <w:t>Dougados</w:t>
      </w:r>
      <w:proofErr w:type="spellEnd"/>
      <w:r w:rsidRPr="00CC0BDF">
        <w:rPr>
          <w:rFonts w:ascii="Arial" w:eastAsia="Times-Roman" w:hAnsi="Arial" w:cs="Arial"/>
          <w:sz w:val="20"/>
          <w:szCs w:val="20"/>
          <w:lang w:val="en-US"/>
        </w:rPr>
        <w:t xml:space="preserve"> M, Emery P, </w:t>
      </w:r>
      <w:proofErr w:type="spellStart"/>
      <w:r w:rsidRPr="00CC0BDF">
        <w:rPr>
          <w:rFonts w:ascii="Arial" w:eastAsia="Times-Roman" w:hAnsi="Arial" w:cs="Arial"/>
          <w:sz w:val="20"/>
          <w:szCs w:val="20"/>
          <w:lang w:val="en-US"/>
        </w:rPr>
        <w:t>Gaujoux-Viala</w:t>
      </w:r>
      <w:proofErr w:type="spellEnd"/>
      <w:r w:rsidRPr="00CC0BDF">
        <w:rPr>
          <w:rFonts w:ascii="Arial" w:eastAsia="Times-Roman" w:hAnsi="Arial" w:cs="Arial"/>
          <w:sz w:val="20"/>
          <w:szCs w:val="20"/>
          <w:lang w:val="en-US"/>
        </w:rPr>
        <w:t xml:space="preserve"> C, </w:t>
      </w:r>
      <w:r w:rsidRPr="00F0314D">
        <w:rPr>
          <w:rFonts w:ascii="Arial" w:eastAsia="Times-Roman" w:hAnsi="Arial" w:cs="Arial"/>
          <w:i/>
          <w:sz w:val="20"/>
          <w:szCs w:val="20"/>
          <w:lang w:val="en-US"/>
        </w:rPr>
        <w:t>et al</w:t>
      </w:r>
      <w:r w:rsidRPr="00CC0BDF">
        <w:rPr>
          <w:rFonts w:ascii="Arial" w:eastAsia="Times-Roman" w:hAnsi="Arial" w:cs="Arial"/>
          <w:sz w:val="20"/>
          <w:szCs w:val="20"/>
          <w:lang w:val="en-US"/>
        </w:rPr>
        <w:t xml:space="preserve">. EULAR recommendations for the management of rheumatoid arthritis with synthetic and biological disease-modifying </w:t>
      </w:r>
      <w:proofErr w:type="spellStart"/>
      <w:r w:rsidRPr="00CC0BDF">
        <w:rPr>
          <w:rFonts w:ascii="Arial" w:eastAsia="Times-Roman" w:hAnsi="Arial" w:cs="Arial"/>
          <w:sz w:val="20"/>
          <w:szCs w:val="20"/>
          <w:lang w:val="en-US"/>
        </w:rPr>
        <w:t>antirheumatic</w:t>
      </w:r>
      <w:proofErr w:type="spellEnd"/>
      <w:r w:rsidRPr="00CC0BDF">
        <w:rPr>
          <w:rFonts w:ascii="Arial" w:eastAsia="Times-Roman" w:hAnsi="Arial" w:cs="Arial"/>
          <w:sz w:val="20"/>
          <w:szCs w:val="20"/>
          <w:lang w:val="en-US"/>
        </w:rPr>
        <w:t xml:space="preserve"> drugs. </w:t>
      </w:r>
      <w:r w:rsidRPr="00F0314D">
        <w:rPr>
          <w:rFonts w:ascii="Arial" w:eastAsia="Times-Roman" w:hAnsi="Arial" w:cs="Arial"/>
          <w:i/>
          <w:sz w:val="20"/>
          <w:szCs w:val="20"/>
          <w:lang w:val="en-US"/>
        </w:rPr>
        <w:t>Ann Rheum Dis</w:t>
      </w:r>
      <w:r w:rsidRPr="00CC0BDF">
        <w:rPr>
          <w:rFonts w:ascii="Arial" w:eastAsia="Times-Roman" w:hAnsi="Arial" w:cs="Arial"/>
          <w:sz w:val="20"/>
          <w:szCs w:val="20"/>
          <w:lang w:val="en-US"/>
        </w:rPr>
        <w:t xml:space="preserve"> 2010</w:t>
      </w:r>
      <w:proofErr w:type="gramStart"/>
      <w:r w:rsidRPr="00CC0BDF">
        <w:rPr>
          <w:rFonts w:ascii="Arial" w:eastAsia="Times-Roman" w:hAnsi="Arial" w:cs="Arial"/>
          <w:sz w:val="20"/>
          <w:szCs w:val="20"/>
          <w:lang w:val="en-US"/>
        </w:rPr>
        <w:t>;69:964</w:t>
      </w:r>
      <w:proofErr w:type="gramEnd"/>
      <w:r w:rsidRPr="00CC0BDF">
        <w:rPr>
          <w:rFonts w:ascii="Arial" w:eastAsia="Times-Roman" w:hAnsi="Arial" w:cs="Arial"/>
          <w:sz w:val="20"/>
          <w:szCs w:val="20"/>
          <w:lang w:val="en-US"/>
        </w:rPr>
        <w:t xml:space="preserve">-75. </w:t>
      </w:r>
    </w:p>
    <w:p w14:paraId="0D8EECC2" w14:textId="77777777" w:rsidR="00680065" w:rsidRPr="00CC0BDF" w:rsidRDefault="00680065" w:rsidP="00680065">
      <w:pPr>
        <w:numPr>
          <w:ilvl w:val="0"/>
          <w:numId w:val="4"/>
        </w:numPr>
        <w:contextualSpacing/>
        <w:jc w:val="both"/>
        <w:rPr>
          <w:rFonts w:ascii="Arial" w:hAnsi="Arial" w:cs="Arial"/>
          <w:sz w:val="20"/>
          <w:szCs w:val="20"/>
          <w:lang w:val="en-US"/>
        </w:rPr>
      </w:pPr>
      <w:proofErr w:type="spellStart"/>
      <w:r w:rsidRPr="00CC0BDF">
        <w:rPr>
          <w:rFonts w:ascii="Arial" w:eastAsia="Times-Roman" w:hAnsi="Arial" w:cs="Arial"/>
          <w:sz w:val="20"/>
          <w:szCs w:val="20"/>
          <w:lang w:val="en-US"/>
        </w:rPr>
        <w:t>Salliot</w:t>
      </w:r>
      <w:proofErr w:type="spellEnd"/>
      <w:r w:rsidRPr="00CC0BDF">
        <w:rPr>
          <w:rFonts w:ascii="Arial" w:eastAsia="Times-Roman" w:hAnsi="Arial" w:cs="Arial"/>
          <w:sz w:val="20"/>
          <w:szCs w:val="20"/>
          <w:lang w:val="en-US"/>
        </w:rPr>
        <w:t xml:space="preserve"> C, van der </w:t>
      </w:r>
      <w:proofErr w:type="spellStart"/>
      <w:r w:rsidRPr="00CC0BDF">
        <w:rPr>
          <w:rFonts w:ascii="Arial" w:eastAsia="Times-Roman" w:hAnsi="Arial" w:cs="Arial"/>
          <w:sz w:val="20"/>
          <w:szCs w:val="20"/>
          <w:lang w:val="en-US"/>
        </w:rPr>
        <w:t>Heijde</w:t>
      </w:r>
      <w:proofErr w:type="spellEnd"/>
      <w:r w:rsidRPr="00CC0BDF">
        <w:rPr>
          <w:rFonts w:ascii="Arial" w:eastAsia="Times-Roman" w:hAnsi="Arial" w:cs="Arial"/>
          <w:sz w:val="20"/>
          <w:szCs w:val="20"/>
          <w:lang w:val="en-US"/>
        </w:rPr>
        <w:t xml:space="preserve"> D. Long-term safety of methotrexate </w:t>
      </w:r>
      <w:proofErr w:type="spellStart"/>
      <w:r w:rsidRPr="00CC0BDF">
        <w:rPr>
          <w:rFonts w:ascii="Arial" w:eastAsia="Times-Roman" w:hAnsi="Arial" w:cs="Arial"/>
          <w:sz w:val="20"/>
          <w:szCs w:val="20"/>
          <w:lang w:val="en-US"/>
        </w:rPr>
        <w:t>monotherapy</w:t>
      </w:r>
      <w:proofErr w:type="spellEnd"/>
      <w:r w:rsidRPr="00CC0BDF">
        <w:rPr>
          <w:rFonts w:ascii="Arial" w:eastAsia="Times-Roman" w:hAnsi="Arial" w:cs="Arial"/>
          <w:sz w:val="20"/>
          <w:szCs w:val="20"/>
          <w:lang w:val="en-US"/>
        </w:rPr>
        <w:t xml:space="preserve"> in patients with rheumatoid arthritis: a systematic literature research. </w:t>
      </w:r>
      <w:r w:rsidRPr="00F0314D">
        <w:rPr>
          <w:rFonts w:ascii="Arial" w:eastAsia="Times-Roman" w:hAnsi="Arial" w:cs="Arial"/>
          <w:i/>
          <w:sz w:val="20"/>
          <w:szCs w:val="20"/>
          <w:lang w:val="en-US"/>
        </w:rPr>
        <w:t>Ann Rheum Dis</w:t>
      </w:r>
      <w:r w:rsidRPr="00CC0BDF">
        <w:rPr>
          <w:rFonts w:ascii="Arial" w:eastAsia="Times-Roman" w:hAnsi="Arial" w:cs="Arial"/>
          <w:sz w:val="20"/>
          <w:szCs w:val="20"/>
          <w:lang w:val="en-US"/>
        </w:rPr>
        <w:t xml:space="preserve"> 2009</w:t>
      </w:r>
      <w:proofErr w:type="gramStart"/>
      <w:r w:rsidRPr="00CC0BDF">
        <w:rPr>
          <w:rFonts w:ascii="Arial" w:eastAsia="Times-Roman" w:hAnsi="Arial" w:cs="Arial"/>
          <w:sz w:val="20"/>
          <w:szCs w:val="20"/>
          <w:lang w:val="en-US"/>
        </w:rPr>
        <w:t>;68:1100</w:t>
      </w:r>
      <w:proofErr w:type="gramEnd"/>
      <w:r w:rsidRPr="00CC0BDF">
        <w:rPr>
          <w:rFonts w:ascii="Arial" w:eastAsia="Times-Roman" w:hAnsi="Arial" w:cs="Arial"/>
          <w:sz w:val="20"/>
          <w:szCs w:val="20"/>
          <w:lang w:val="en-US"/>
        </w:rPr>
        <w:t>-4.</w:t>
      </w:r>
    </w:p>
    <w:p w14:paraId="3F1D8686" w14:textId="77777777" w:rsidR="00680065" w:rsidRPr="00CC0BDF" w:rsidRDefault="00680065" w:rsidP="00680065">
      <w:pPr>
        <w:pStyle w:val="Prrafodelista"/>
        <w:numPr>
          <w:ilvl w:val="0"/>
          <w:numId w:val="4"/>
        </w:numPr>
        <w:spacing w:after="200" w:line="276" w:lineRule="auto"/>
        <w:jc w:val="both"/>
        <w:rPr>
          <w:rFonts w:ascii="Arial" w:eastAsia="Calibri" w:hAnsi="Arial" w:cs="Arial"/>
          <w:sz w:val="20"/>
          <w:szCs w:val="20"/>
          <w:lang w:val="en-US"/>
        </w:rPr>
      </w:pPr>
      <w:proofErr w:type="spellStart"/>
      <w:r w:rsidRPr="00CC0BDF">
        <w:rPr>
          <w:rFonts w:ascii="Arial" w:eastAsia="Times-Roman" w:hAnsi="Arial" w:cs="Arial"/>
          <w:sz w:val="20"/>
          <w:szCs w:val="20"/>
          <w:lang w:val="en-US"/>
        </w:rPr>
        <w:t>Katchamart</w:t>
      </w:r>
      <w:proofErr w:type="spellEnd"/>
      <w:r w:rsidRPr="00CC0BDF">
        <w:rPr>
          <w:rFonts w:ascii="Arial" w:eastAsia="Times-Roman" w:hAnsi="Arial" w:cs="Arial"/>
          <w:sz w:val="20"/>
          <w:szCs w:val="20"/>
          <w:lang w:val="en-US"/>
        </w:rPr>
        <w:t xml:space="preserve"> W, Trudeau J, </w:t>
      </w:r>
      <w:proofErr w:type="spellStart"/>
      <w:r w:rsidRPr="00CC0BDF">
        <w:rPr>
          <w:rFonts w:ascii="Arial" w:eastAsia="Times-Roman" w:hAnsi="Arial" w:cs="Arial"/>
          <w:sz w:val="20"/>
          <w:szCs w:val="20"/>
          <w:lang w:val="en-US"/>
        </w:rPr>
        <w:t>Phumethum</w:t>
      </w:r>
      <w:proofErr w:type="spellEnd"/>
      <w:r w:rsidRPr="00CC0BDF">
        <w:rPr>
          <w:rFonts w:ascii="Arial" w:eastAsia="Times-Roman" w:hAnsi="Arial" w:cs="Arial"/>
          <w:sz w:val="20"/>
          <w:szCs w:val="20"/>
          <w:lang w:val="en-US"/>
        </w:rPr>
        <w:t xml:space="preserve"> V, Bombardier C. Methotrexate </w:t>
      </w:r>
      <w:proofErr w:type="spellStart"/>
      <w:r w:rsidRPr="00CC0BDF">
        <w:rPr>
          <w:rFonts w:ascii="Arial" w:eastAsia="Times-Roman" w:hAnsi="Arial" w:cs="Arial"/>
          <w:sz w:val="20"/>
          <w:szCs w:val="20"/>
          <w:lang w:val="en-US"/>
        </w:rPr>
        <w:t>monotherapy</w:t>
      </w:r>
      <w:proofErr w:type="spellEnd"/>
      <w:r w:rsidRPr="00CC0BDF">
        <w:rPr>
          <w:rFonts w:ascii="Arial" w:eastAsia="Times-Roman" w:hAnsi="Arial" w:cs="Arial"/>
          <w:sz w:val="20"/>
          <w:szCs w:val="20"/>
          <w:lang w:val="en-US"/>
        </w:rPr>
        <w:t xml:space="preserve"> versus methotrexate combination therapy with non-biologic disease modifying anti-rheumatic drugs for rheumatoid arthritis</w:t>
      </w:r>
      <w:r w:rsidRPr="00F0314D">
        <w:rPr>
          <w:rFonts w:ascii="Arial" w:eastAsia="Times-Roman" w:hAnsi="Arial" w:cs="Arial"/>
          <w:i/>
          <w:sz w:val="20"/>
          <w:szCs w:val="20"/>
          <w:lang w:val="en-US"/>
        </w:rPr>
        <w:t xml:space="preserve">. Cochrane Database </w:t>
      </w:r>
      <w:proofErr w:type="spellStart"/>
      <w:r w:rsidRPr="00F0314D">
        <w:rPr>
          <w:rFonts w:ascii="Arial" w:eastAsia="Times-Roman" w:hAnsi="Arial" w:cs="Arial"/>
          <w:i/>
          <w:sz w:val="20"/>
          <w:szCs w:val="20"/>
          <w:lang w:val="en-US"/>
        </w:rPr>
        <w:t>Syst</w:t>
      </w:r>
      <w:proofErr w:type="spellEnd"/>
      <w:r w:rsidRPr="00F0314D">
        <w:rPr>
          <w:rFonts w:ascii="Arial" w:eastAsia="Times-Roman" w:hAnsi="Arial" w:cs="Arial"/>
          <w:i/>
          <w:sz w:val="20"/>
          <w:szCs w:val="20"/>
          <w:lang w:val="en-US"/>
        </w:rPr>
        <w:t xml:space="preserve"> Rev</w:t>
      </w:r>
      <w:r w:rsidRPr="00CC0BDF">
        <w:rPr>
          <w:rFonts w:ascii="Arial" w:eastAsia="Times-Roman" w:hAnsi="Arial" w:cs="Arial"/>
          <w:sz w:val="20"/>
          <w:szCs w:val="20"/>
          <w:lang w:val="en-US"/>
        </w:rPr>
        <w:t xml:space="preserve"> 2010</w:t>
      </w:r>
      <w:r w:rsidR="00F0314D">
        <w:rPr>
          <w:rFonts w:ascii="Arial" w:eastAsia="Times-Roman" w:hAnsi="Arial" w:cs="Arial"/>
          <w:sz w:val="20"/>
          <w:szCs w:val="20"/>
          <w:lang w:val="en-US"/>
        </w:rPr>
        <w:t>.</w:t>
      </w:r>
    </w:p>
    <w:p w14:paraId="6ABE976C" w14:textId="77777777" w:rsidR="00680065" w:rsidRPr="00D968F3" w:rsidRDefault="00680065" w:rsidP="00680065">
      <w:pPr>
        <w:pStyle w:val="Prrafodelista"/>
        <w:numPr>
          <w:ilvl w:val="0"/>
          <w:numId w:val="4"/>
        </w:numPr>
        <w:spacing w:after="200" w:line="276" w:lineRule="auto"/>
        <w:jc w:val="both"/>
        <w:rPr>
          <w:rFonts w:ascii="Arial" w:hAnsi="Arial" w:cs="Arial"/>
          <w:sz w:val="20"/>
          <w:szCs w:val="20"/>
          <w:lang w:val="en-US"/>
        </w:rPr>
      </w:pPr>
      <w:r w:rsidRPr="00042136">
        <w:rPr>
          <w:rFonts w:ascii="Arial" w:hAnsi="Arial" w:cs="Arial"/>
          <w:sz w:val="20"/>
          <w:szCs w:val="20"/>
          <w:lang w:val="en-US"/>
        </w:rPr>
        <w:t xml:space="preserve">Bombardier C, </w:t>
      </w:r>
      <w:proofErr w:type="spellStart"/>
      <w:r w:rsidRPr="00042136">
        <w:rPr>
          <w:rFonts w:ascii="Arial" w:hAnsi="Arial" w:cs="Arial"/>
          <w:sz w:val="20"/>
          <w:szCs w:val="20"/>
          <w:lang w:val="en-US"/>
        </w:rPr>
        <w:t>Hazlewood</w:t>
      </w:r>
      <w:proofErr w:type="spellEnd"/>
      <w:r w:rsidRPr="00042136">
        <w:rPr>
          <w:rFonts w:ascii="Arial" w:hAnsi="Arial" w:cs="Arial"/>
          <w:sz w:val="20"/>
          <w:szCs w:val="20"/>
          <w:lang w:val="en-US"/>
        </w:rPr>
        <w:t xml:space="preserve"> GS, </w:t>
      </w:r>
      <w:proofErr w:type="spellStart"/>
      <w:r w:rsidRPr="00042136">
        <w:rPr>
          <w:rFonts w:ascii="Arial" w:hAnsi="Arial" w:cs="Arial"/>
          <w:sz w:val="20"/>
          <w:szCs w:val="20"/>
          <w:lang w:val="en-US"/>
        </w:rPr>
        <w:t>Akhavan</w:t>
      </w:r>
      <w:proofErr w:type="spellEnd"/>
      <w:r w:rsidRPr="00042136">
        <w:rPr>
          <w:rFonts w:ascii="Arial" w:hAnsi="Arial" w:cs="Arial"/>
          <w:sz w:val="20"/>
          <w:szCs w:val="20"/>
          <w:lang w:val="en-US"/>
        </w:rPr>
        <w:t xml:space="preserve"> P, </w:t>
      </w:r>
      <w:r w:rsidRPr="00F0314D">
        <w:rPr>
          <w:rFonts w:ascii="Arial" w:hAnsi="Arial" w:cs="Arial"/>
          <w:i/>
          <w:sz w:val="20"/>
          <w:szCs w:val="20"/>
          <w:lang w:val="en-US"/>
        </w:rPr>
        <w:t>et al</w:t>
      </w:r>
      <w:r w:rsidRPr="00042136">
        <w:rPr>
          <w:rFonts w:ascii="Arial" w:hAnsi="Arial" w:cs="Arial"/>
          <w:sz w:val="20"/>
          <w:szCs w:val="20"/>
          <w:lang w:val="en-US"/>
        </w:rPr>
        <w:t xml:space="preserve">. Canadian Rheumatology Association recommendations or the pharmacological management of rheumatoid arthritis with traditional and biologic disease-modifying </w:t>
      </w:r>
      <w:proofErr w:type="spellStart"/>
      <w:r w:rsidRPr="00042136">
        <w:rPr>
          <w:rFonts w:ascii="Arial" w:hAnsi="Arial" w:cs="Arial"/>
          <w:sz w:val="20"/>
          <w:szCs w:val="20"/>
          <w:lang w:val="en-US"/>
        </w:rPr>
        <w:t>antirheumatic</w:t>
      </w:r>
      <w:proofErr w:type="spellEnd"/>
      <w:r w:rsidRPr="00042136">
        <w:rPr>
          <w:rFonts w:ascii="Arial" w:hAnsi="Arial" w:cs="Arial"/>
          <w:sz w:val="20"/>
          <w:szCs w:val="20"/>
          <w:lang w:val="en-US"/>
        </w:rPr>
        <w:t xml:space="preserve"> drugs: Part II. Safety. </w:t>
      </w:r>
      <w:r w:rsidRPr="00042136">
        <w:rPr>
          <w:rFonts w:ascii="Arial" w:hAnsi="Arial" w:cs="Arial"/>
          <w:i/>
          <w:sz w:val="20"/>
          <w:szCs w:val="20"/>
          <w:lang w:val="en-US"/>
        </w:rPr>
        <w:t xml:space="preserve">J </w:t>
      </w:r>
      <w:proofErr w:type="spellStart"/>
      <w:r w:rsidRPr="00042136">
        <w:rPr>
          <w:rFonts w:ascii="Arial" w:hAnsi="Arial" w:cs="Arial"/>
          <w:i/>
          <w:sz w:val="20"/>
          <w:szCs w:val="20"/>
          <w:lang w:val="en-US"/>
        </w:rPr>
        <w:t>Rheumatol</w:t>
      </w:r>
      <w:proofErr w:type="spellEnd"/>
      <w:r w:rsidR="00F0314D">
        <w:rPr>
          <w:rFonts w:ascii="Arial" w:hAnsi="Arial" w:cs="Arial"/>
          <w:sz w:val="20"/>
          <w:szCs w:val="20"/>
          <w:lang w:val="en-US"/>
        </w:rPr>
        <w:t xml:space="preserve"> 2012</w:t>
      </w:r>
      <w:proofErr w:type="gramStart"/>
      <w:r w:rsidR="00F0314D">
        <w:rPr>
          <w:rFonts w:ascii="Arial" w:hAnsi="Arial" w:cs="Arial"/>
          <w:sz w:val="20"/>
          <w:szCs w:val="20"/>
          <w:lang w:val="en-US"/>
        </w:rPr>
        <w:t>;</w:t>
      </w:r>
      <w:r w:rsidRPr="00042136">
        <w:rPr>
          <w:rFonts w:ascii="Arial" w:hAnsi="Arial" w:cs="Arial"/>
          <w:sz w:val="20"/>
          <w:szCs w:val="20"/>
          <w:lang w:val="en-US"/>
        </w:rPr>
        <w:t>39</w:t>
      </w:r>
      <w:proofErr w:type="gramEnd"/>
      <w:r w:rsidRPr="00042136">
        <w:rPr>
          <w:rFonts w:ascii="Arial" w:hAnsi="Arial" w:cs="Arial"/>
          <w:sz w:val="20"/>
          <w:szCs w:val="20"/>
          <w:lang w:val="en-US"/>
        </w:rPr>
        <w:t>(8</w:t>
      </w:r>
      <w:r w:rsidRPr="00D968F3">
        <w:rPr>
          <w:rFonts w:ascii="Arial" w:hAnsi="Arial" w:cs="Arial"/>
          <w:sz w:val="20"/>
          <w:szCs w:val="20"/>
          <w:lang w:val="en-US"/>
        </w:rPr>
        <w:t xml:space="preserve">):1383-1602. </w:t>
      </w:r>
    </w:p>
    <w:p w14:paraId="2CC3F4C9" w14:textId="77777777" w:rsidR="00680065" w:rsidRPr="00D968F3" w:rsidRDefault="00680065" w:rsidP="00680065">
      <w:pPr>
        <w:pStyle w:val="Prrafodelista"/>
        <w:numPr>
          <w:ilvl w:val="0"/>
          <w:numId w:val="4"/>
        </w:numPr>
        <w:autoSpaceDE w:val="0"/>
        <w:autoSpaceDN w:val="0"/>
        <w:adjustRightInd w:val="0"/>
        <w:jc w:val="both"/>
        <w:rPr>
          <w:rFonts w:ascii="Arial" w:eastAsia="Times-Roman" w:hAnsi="Arial" w:cs="Arial"/>
          <w:sz w:val="20"/>
          <w:szCs w:val="20"/>
          <w:lang w:val="en-US"/>
        </w:rPr>
      </w:pPr>
      <w:r w:rsidRPr="00D968F3">
        <w:rPr>
          <w:rFonts w:ascii="Arial" w:hAnsi="Arial" w:cs="Arial"/>
          <w:sz w:val="20"/>
          <w:szCs w:val="20"/>
          <w:lang w:val="en-US"/>
        </w:rPr>
        <w:t xml:space="preserve">GUIPCAR group. </w:t>
      </w:r>
      <w:proofErr w:type="spellStart"/>
      <w:r w:rsidRPr="00D968F3">
        <w:rPr>
          <w:rFonts w:ascii="Arial" w:hAnsi="Arial" w:cs="Arial"/>
          <w:sz w:val="20"/>
          <w:szCs w:val="20"/>
          <w:lang w:val="en-US"/>
        </w:rPr>
        <w:t>Updte</w:t>
      </w:r>
      <w:proofErr w:type="spellEnd"/>
      <w:r w:rsidRPr="00D968F3">
        <w:rPr>
          <w:rFonts w:ascii="Arial" w:hAnsi="Arial" w:cs="Arial"/>
          <w:sz w:val="20"/>
          <w:szCs w:val="20"/>
          <w:lang w:val="en-US"/>
        </w:rPr>
        <w:t xml:space="preserve"> of the clinical practice guideline for the management of rheumatoid arthritis in Spain. Spanish Society of Rheumatology. AHRQ National Guideline Clearinghouse. Guideline summary NCG-9044, 2011:367.</w:t>
      </w:r>
    </w:p>
    <w:p w14:paraId="749281BB" w14:textId="77777777" w:rsidR="00680065" w:rsidRDefault="00680065" w:rsidP="00680065">
      <w:pPr>
        <w:pStyle w:val="Prrafodelista"/>
        <w:numPr>
          <w:ilvl w:val="0"/>
          <w:numId w:val="4"/>
        </w:numPr>
        <w:spacing w:after="200" w:line="276" w:lineRule="auto"/>
        <w:jc w:val="both"/>
        <w:rPr>
          <w:rFonts w:ascii="Arial" w:hAnsi="Arial" w:cs="Arial"/>
          <w:sz w:val="20"/>
          <w:szCs w:val="20"/>
          <w:lang w:val="en-US"/>
        </w:rPr>
      </w:pPr>
      <w:proofErr w:type="spellStart"/>
      <w:r w:rsidRPr="006164D6">
        <w:rPr>
          <w:rFonts w:ascii="Arial" w:hAnsi="Arial" w:cs="Arial"/>
          <w:sz w:val="20"/>
          <w:szCs w:val="20"/>
          <w:lang w:val="en-US"/>
        </w:rPr>
        <w:t>Marmor</w:t>
      </w:r>
      <w:proofErr w:type="spellEnd"/>
      <w:r w:rsidRPr="006164D6">
        <w:rPr>
          <w:rFonts w:ascii="Arial" w:hAnsi="Arial" w:cs="Arial"/>
          <w:sz w:val="20"/>
          <w:szCs w:val="20"/>
          <w:lang w:val="en-US"/>
        </w:rPr>
        <w:t xml:space="preserve"> MF, </w:t>
      </w:r>
      <w:proofErr w:type="spellStart"/>
      <w:r w:rsidRPr="006164D6">
        <w:rPr>
          <w:rFonts w:ascii="Arial" w:hAnsi="Arial" w:cs="Arial"/>
          <w:sz w:val="20"/>
          <w:szCs w:val="20"/>
          <w:lang w:val="en-US"/>
        </w:rPr>
        <w:t>Kellner</w:t>
      </w:r>
      <w:proofErr w:type="spellEnd"/>
      <w:r w:rsidRPr="006164D6">
        <w:rPr>
          <w:rFonts w:ascii="Arial" w:hAnsi="Arial" w:cs="Arial"/>
          <w:sz w:val="20"/>
          <w:szCs w:val="20"/>
          <w:lang w:val="en-US"/>
        </w:rPr>
        <w:t xml:space="preserve"> U, Lai TY, </w:t>
      </w:r>
      <w:proofErr w:type="spellStart"/>
      <w:proofErr w:type="gramStart"/>
      <w:r w:rsidRPr="006164D6">
        <w:rPr>
          <w:rFonts w:ascii="Arial" w:hAnsi="Arial" w:cs="Arial"/>
          <w:sz w:val="20"/>
          <w:szCs w:val="20"/>
          <w:lang w:val="en-US"/>
        </w:rPr>
        <w:t>lyons</w:t>
      </w:r>
      <w:proofErr w:type="spellEnd"/>
      <w:proofErr w:type="gramEnd"/>
      <w:r w:rsidRPr="006164D6">
        <w:rPr>
          <w:rFonts w:ascii="Arial" w:hAnsi="Arial" w:cs="Arial"/>
          <w:sz w:val="20"/>
          <w:szCs w:val="20"/>
          <w:lang w:val="en-US"/>
        </w:rPr>
        <w:t xml:space="preserve"> JS, </w:t>
      </w:r>
      <w:proofErr w:type="spellStart"/>
      <w:r w:rsidRPr="006164D6">
        <w:rPr>
          <w:rFonts w:ascii="Arial" w:hAnsi="Arial" w:cs="Arial"/>
          <w:sz w:val="20"/>
          <w:szCs w:val="20"/>
          <w:lang w:val="en-US"/>
        </w:rPr>
        <w:t>Mieler</w:t>
      </w:r>
      <w:proofErr w:type="spellEnd"/>
      <w:r w:rsidRPr="006164D6">
        <w:rPr>
          <w:rFonts w:ascii="Arial" w:hAnsi="Arial" w:cs="Arial"/>
          <w:sz w:val="20"/>
          <w:szCs w:val="20"/>
          <w:lang w:val="en-US"/>
        </w:rPr>
        <w:t xml:space="preserve"> WF. Revised recommendations on screening for </w:t>
      </w:r>
      <w:proofErr w:type="spellStart"/>
      <w:r w:rsidRPr="006164D6">
        <w:rPr>
          <w:rFonts w:ascii="Arial" w:hAnsi="Arial" w:cs="Arial"/>
          <w:sz w:val="20"/>
          <w:szCs w:val="20"/>
          <w:lang w:val="en-US"/>
        </w:rPr>
        <w:t>cloroquine</w:t>
      </w:r>
      <w:proofErr w:type="spellEnd"/>
      <w:r w:rsidRPr="006164D6">
        <w:rPr>
          <w:rFonts w:ascii="Arial" w:hAnsi="Arial" w:cs="Arial"/>
          <w:sz w:val="20"/>
          <w:szCs w:val="20"/>
          <w:lang w:val="en-US"/>
        </w:rPr>
        <w:t xml:space="preserve"> and </w:t>
      </w:r>
      <w:proofErr w:type="spellStart"/>
      <w:r w:rsidRPr="006164D6">
        <w:rPr>
          <w:rFonts w:ascii="Arial" w:hAnsi="Arial" w:cs="Arial"/>
          <w:sz w:val="20"/>
          <w:szCs w:val="20"/>
          <w:lang w:val="en-US"/>
        </w:rPr>
        <w:t>hydroxicloroquine</w:t>
      </w:r>
      <w:proofErr w:type="spellEnd"/>
      <w:r w:rsidRPr="006164D6">
        <w:rPr>
          <w:rFonts w:ascii="Arial" w:hAnsi="Arial" w:cs="Arial"/>
          <w:sz w:val="20"/>
          <w:szCs w:val="20"/>
          <w:lang w:val="en-US"/>
        </w:rPr>
        <w:t xml:space="preserve"> </w:t>
      </w:r>
      <w:proofErr w:type="spellStart"/>
      <w:r w:rsidRPr="006164D6">
        <w:rPr>
          <w:rFonts w:ascii="Arial" w:hAnsi="Arial" w:cs="Arial"/>
          <w:sz w:val="20"/>
          <w:szCs w:val="20"/>
          <w:lang w:val="en-US"/>
        </w:rPr>
        <w:t>retinopaty</w:t>
      </w:r>
      <w:proofErr w:type="spellEnd"/>
      <w:r w:rsidRPr="006164D6">
        <w:rPr>
          <w:rFonts w:ascii="Arial" w:hAnsi="Arial" w:cs="Arial"/>
          <w:sz w:val="20"/>
          <w:szCs w:val="20"/>
          <w:lang w:val="en-US"/>
        </w:rPr>
        <w:t xml:space="preserve">. </w:t>
      </w:r>
      <w:proofErr w:type="spellStart"/>
      <w:r w:rsidRPr="00F0314D">
        <w:rPr>
          <w:rFonts w:ascii="Arial" w:hAnsi="Arial" w:cs="Arial"/>
          <w:i/>
          <w:sz w:val="20"/>
          <w:szCs w:val="20"/>
          <w:lang w:val="en-US"/>
        </w:rPr>
        <w:t>Ophtalm</w:t>
      </w:r>
      <w:proofErr w:type="spellEnd"/>
      <w:r w:rsidRPr="006164D6">
        <w:rPr>
          <w:rFonts w:ascii="Arial" w:hAnsi="Arial" w:cs="Arial"/>
          <w:sz w:val="20"/>
          <w:szCs w:val="20"/>
          <w:lang w:val="en-US"/>
        </w:rPr>
        <w:t xml:space="preserve"> 2011:118(2):415-422.</w:t>
      </w:r>
    </w:p>
    <w:p w14:paraId="3387E469" w14:textId="77777777" w:rsidR="00680065" w:rsidRDefault="00680065" w:rsidP="00680065">
      <w:pPr>
        <w:pStyle w:val="Prrafodelista"/>
        <w:numPr>
          <w:ilvl w:val="0"/>
          <w:numId w:val="4"/>
        </w:numPr>
        <w:spacing w:after="200" w:line="276" w:lineRule="auto"/>
        <w:jc w:val="both"/>
        <w:rPr>
          <w:rFonts w:ascii="Arial" w:hAnsi="Arial" w:cs="Arial"/>
          <w:sz w:val="20"/>
          <w:szCs w:val="20"/>
          <w:lang w:val="en-US"/>
        </w:rPr>
      </w:pPr>
      <w:proofErr w:type="spellStart"/>
      <w:r>
        <w:rPr>
          <w:rFonts w:ascii="Arial" w:hAnsi="Arial" w:cs="Arial"/>
          <w:sz w:val="20"/>
          <w:szCs w:val="20"/>
          <w:lang w:val="en-US"/>
        </w:rPr>
        <w:t>R</w:t>
      </w:r>
      <w:r w:rsidRPr="006164D6">
        <w:rPr>
          <w:rFonts w:ascii="Arial" w:hAnsi="Arial" w:cs="Arial"/>
          <w:sz w:val="20"/>
          <w:szCs w:val="20"/>
          <w:lang w:val="en-US"/>
        </w:rPr>
        <w:t>ozman</w:t>
      </w:r>
      <w:proofErr w:type="spellEnd"/>
      <w:r w:rsidRPr="006164D6">
        <w:rPr>
          <w:rFonts w:ascii="Arial" w:hAnsi="Arial" w:cs="Arial"/>
          <w:sz w:val="20"/>
          <w:szCs w:val="20"/>
          <w:lang w:val="en-US"/>
        </w:rPr>
        <w:t xml:space="preserve"> B. Clinical pharmacokinetics of </w:t>
      </w:r>
      <w:proofErr w:type="spellStart"/>
      <w:r w:rsidRPr="006164D6">
        <w:rPr>
          <w:rFonts w:ascii="Arial" w:hAnsi="Arial" w:cs="Arial"/>
          <w:sz w:val="20"/>
          <w:szCs w:val="20"/>
          <w:lang w:val="en-US"/>
        </w:rPr>
        <w:t>leflunomide</w:t>
      </w:r>
      <w:proofErr w:type="spellEnd"/>
      <w:r w:rsidRPr="006164D6">
        <w:rPr>
          <w:rFonts w:ascii="Arial" w:hAnsi="Arial" w:cs="Arial"/>
          <w:sz w:val="20"/>
          <w:szCs w:val="20"/>
          <w:lang w:val="en-US"/>
        </w:rPr>
        <w:t xml:space="preserve">. </w:t>
      </w:r>
      <w:proofErr w:type="spellStart"/>
      <w:r w:rsidR="00F0314D">
        <w:rPr>
          <w:rFonts w:ascii="Arial" w:hAnsi="Arial" w:cs="Arial"/>
          <w:i/>
          <w:sz w:val="20"/>
          <w:szCs w:val="20"/>
          <w:lang w:val="en-US"/>
        </w:rPr>
        <w:t>Clin</w:t>
      </w:r>
      <w:proofErr w:type="spellEnd"/>
      <w:r w:rsidR="00F0314D">
        <w:rPr>
          <w:rFonts w:ascii="Arial" w:hAnsi="Arial" w:cs="Arial"/>
          <w:i/>
          <w:sz w:val="20"/>
          <w:szCs w:val="20"/>
          <w:lang w:val="en-US"/>
        </w:rPr>
        <w:t xml:space="preserve"> </w:t>
      </w:r>
      <w:proofErr w:type="spellStart"/>
      <w:r w:rsidR="00F0314D">
        <w:rPr>
          <w:rFonts w:ascii="Arial" w:hAnsi="Arial" w:cs="Arial"/>
          <w:i/>
          <w:sz w:val="20"/>
          <w:szCs w:val="20"/>
          <w:lang w:val="en-US"/>
        </w:rPr>
        <w:t>Pharmacokinet</w:t>
      </w:r>
      <w:proofErr w:type="spellEnd"/>
      <w:r w:rsidR="00F0314D">
        <w:rPr>
          <w:rFonts w:ascii="Arial" w:hAnsi="Arial" w:cs="Arial"/>
          <w:i/>
          <w:sz w:val="20"/>
          <w:szCs w:val="20"/>
          <w:lang w:val="en-US"/>
        </w:rPr>
        <w:t xml:space="preserve"> </w:t>
      </w:r>
      <w:r w:rsidRPr="006164D6">
        <w:rPr>
          <w:rFonts w:ascii="Arial" w:hAnsi="Arial" w:cs="Arial"/>
          <w:sz w:val="20"/>
          <w:szCs w:val="20"/>
          <w:lang w:val="en-US"/>
        </w:rPr>
        <w:t>2002</w:t>
      </w:r>
      <w:proofErr w:type="gramStart"/>
      <w:r w:rsidRPr="006164D6">
        <w:rPr>
          <w:rFonts w:ascii="Arial" w:hAnsi="Arial" w:cs="Arial"/>
          <w:sz w:val="20"/>
          <w:szCs w:val="20"/>
          <w:lang w:val="en-US"/>
        </w:rPr>
        <w:t>;41</w:t>
      </w:r>
      <w:proofErr w:type="gramEnd"/>
      <w:r w:rsidRPr="006164D6">
        <w:rPr>
          <w:rFonts w:ascii="Arial" w:hAnsi="Arial" w:cs="Arial"/>
          <w:sz w:val="20"/>
          <w:szCs w:val="20"/>
          <w:lang w:val="en-US"/>
        </w:rPr>
        <w:t>(6):421-30</w:t>
      </w:r>
      <w:r>
        <w:rPr>
          <w:rFonts w:ascii="Arial" w:hAnsi="Arial" w:cs="Arial"/>
          <w:sz w:val="20"/>
          <w:szCs w:val="20"/>
          <w:lang w:val="en-US"/>
        </w:rPr>
        <w:t>.</w:t>
      </w:r>
    </w:p>
    <w:p w14:paraId="7F52652F" w14:textId="77777777" w:rsidR="00680065" w:rsidRDefault="00680065" w:rsidP="00680065">
      <w:pPr>
        <w:pStyle w:val="Prrafodelista"/>
        <w:numPr>
          <w:ilvl w:val="0"/>
          <w:numId w:val="4"/>
        </w:numPr>
        <w:spacing w:after="200" w:line="276" w:lineRule="auto"/>
        <w:jc w:val="both"/>
        <w:rPr>
          <w:rFonts w:ascii="Arial" w:hAnsi="Arial" w:cs="Arial"/>
          <w:sz w:val="20"/>
          <w:szCs w:val="20"/>
          <w:lang w:val="en-US"/>
        </w:rPr>
      </w:pPr>
      <w:r w:rsidRPr="006164D6">
        <w:rPr>
          <w:rFonts w:ascii="Arial" w:hAnsi="Arial" w:cs="Arial"/>
          <w:sz w:val="20"/>
          <w:szCs w:val="20"/>
          <w:lang w:val="es-MX"/>
        </w:rPr>
        <w:t xml:space="preserve">Osiri M, Shea B, Robinson V, </w:t>
      </w:r>
      <w:r w:rsidRPr="00F0314D">
        <w:rPr>
          <w:rFonts w:ascii="Arial" w:hAnsi="Arial" w:cs="Arial"/>
          <w:i/>
          <w:sz w:val="20"/>
          <w:szCs w:val="20"/>
          <w:lang w:val="es-MX"/>
        </w:rPr>
        <w:t>et al</w:t>
      </w:r>
      <w:r w:rsidRPr="006164D6">
        <w:rPr>
          <w:rFonts w:ascii="Arial" w:hAnsi="Arial" w:cs="Arial"/>
          <w:sz w:val="20"/>
          <w:szCs w:val="20"/>
          <w:lang w:val="es-MX"/>
        </w:rPr>
        <w:t xml:space="preserve">. </w:t>
      </w:r>
      <w:proofErr w:type="spellStart"/>
      <w:r w:rsidRPr="006164D6">
        <w:rPr>
          <w:rFonts w:ascii="Arial" w:hAnsi="Arial" w:cs="Arial"/>
          <w:sz w:val="20"/>
          <w:szCs w:val="20"/>
          <w:lang w:val="en-US"/>
        </w:rPr>
        <w:t>Leflunomide</w:t>
      </w:r>
      <w:proofErr w:type="spellEnd"/>
      <w:r w:rsidRPr="006164D6">
        <w:rPr>
          <w:rFonts w:ascii="Arial" w:hAnsi="Arial" w:cs="Arial"/>
          <w:sz w:val="20"/>
          <w:szCs w:val="20"/>
          <w:lang w:val="en-US"/>
        </w:rPr>
        <w:t xml:space="preserve"> for the treatment of rheumatoid arthritis: a systematic review and </w:t>
      </w:r>
      <w:proofErr w:type="spellStart"/>
      <w:r w:rsidRPr="006164D6">
        <w:rPr>
          <w:rFonts w:ascii="Arial" w:hAnsi="Arial" w:cs="Arial"/>
          <w:sz w:val="20"/>
          <w:szCs w:val="20"/>
          <w:lang w:val="en-US"/>
        </w:rPr>
        <w:t>metaanalysis</w:t>
      </w:r>
      <w:proofErr w:type="spellEnd"/>
      <w:r w:rsidRPr="006164D6">
        <w:rPr>
          <w:rFonts w:ascii="Arial" w:hAnsi="Arial" w:cs="Arial"/>
          <w:sz w:val="20"/>
          <w:szCs w:val="20"/>
          <w:lang w:val="en-US"/>
        </w:rPr>
        <w:t xml:space="preserve">. </w:t>
      </w:r>
      <w:r w:rsidR="00F0314D">
        <w:rPr>
          <w:rFonts w:ascii="Arial" w:hAnsi="Arial" w:cs="Arial"/>
          <w:i/>
          <w:sz w:val="20"/>
          <w:szCs w:val="20"/>
          <w:lang w:val="en-US"/>
        </w:rPr>
        <w:t xml:space="preserve">J </w:t>
      </w:r>
      <w:proofErr w:type="spellStart"/>
      <w:proofErr w:type="gramStart"/>
      <w:r w:rsidR="00F0314D">
        <w:rPr>
          <w:rFonts w:ascii="Arial" w:hAnsi="Arial" w:cs="Arial"/>
          <w:i/>
          <w:sz w:val="20"/>
          <w:szCs w:val="20"/>
          <w:lang w:val="en-US"/>
        </w:rPr>
        <w:t>Rheumatol</w:t>
      </w:r>
      <w:proofErr w:type="spellEnd"/>
      <w:r w:rsidR="00F0314D">
        <w:rPr>
          <w:rFonts w:ascii="Arial" w:hAnsi="Arial" w:cs="Arial"/>
          <w:i/>
          <w:sz w:val="20"/>
          <w:szCs w:val="20"/>
          <w:lang w:val="en-US"/>
        </w:rPr>
        <w:t xml:space="preserve"> </w:t>
      </w:r>
      <w:r w:rsidRPr="006164D6">
        <w:rPr>
          <w:rFonts w:ascii="Arial" w:hAnsi="Arial" w:cs="Arial"/>
          <w:sz w:val="20"/>
          <w:szCs w:val="20"/>
          <w:lang w:val="en-US"/>
        </w:rPr>
        <w:t xml:space="preserve"> 2003</w:t>
      </w:r>
      <w:proofErr w:type="gramEnd"/>
      <w:r w:rsidRPr="006164D6">
        <w:rPr>
          <w:rFonts w:ascii="Arial" w:hAnsi="Arial" w:cs="Arial"/>
          <w:sz w:val="20"/>
          <w:szCs w:val="20"/>
          <w:lang w:val="en-US"/>
        </w:rPr>
        <w:t xml:space="preserve">;30(6):1182-1190. </w:t>
      </w:r>
    </w:p>
    <w:p w14:paraId="1700C280" w14:textId="77777777" w:rsidR="00680065" w:rsidRDefault="00680065" w:rsidP="00680065">
      <w:pPr>
        <w:pStyle w:val="Prrafodelista"/>
        <w:numPr>
          <w:ilvl w:val="0"/>
          <w:numId w:val="4"/>
        </w:numPr>
        <w:spacing w:after="200" w:line="276" w:lineRule="auto"/>
        <w:jc w:val="both"/>
        <w:rPr>
          <w:rFonts w:ascii="Arial" w:hAnsi="Arial" w:cs="Arial"/>
          <w:sz w:val="20"/>
          <w:szCs w:val="20"/>
          <w:lang w:val="en-US"/>
        </w:rPr>
      </w:pPr>
      <w:r w:rsidRPr="00680065">
        <w:rPr>
          <w:rFonts w:ascii="Arial" w:hAnsi="Arial" w:cs="Arial"/>
          <w:sz w:val="20"/>
          <w:szCs w:val="20"/>
          <w:lang w:val="en-US"/>
        </w:rPr>
        <w:t xml:space="preserve">Kremer JM, Genovese MC, Cannon GW, </w:t>
      </w:r>
      <w:r w:rsidRPr="00F0314D">
        <w:rPr>
          <w:rFonts w:ascii="Arial" w:hAnsi="Arial" w:cs="Arial"/>
          <w:i/>
          <w:sz w:val="20"/>
          <w:szCs w:val="20"/>
          <w:lang w:val="en-US"/>
        </w:rPr>
        <w:t>et al</w:t>
      </w:r>
      <w:r w:rsidRPr="00680065">
        <w:rPr>
          <w:rFonts w:ascii="Arial" w:hAnsi="Arial" w:cs="Arial"/>
          <w:sz w:val="20"/>
          <w:szCs w:val="20"/>
          <w:lang w:val="en-US"/>
        </w:rPr>
        <w:t xml:space="preserve">. Concomitant </w:t>
      </w:r>
      <w:proofErr w:type="spellStart"/>
      <w:r w:rsidRPr="00680065">
        <w:rPr>
          <w:rFonts w:ascii="Arial" w:hAnsi="Arial" w:cs="Arial"/>
          <w:sz w:val="20"/>
          <w:szCs w:val="20"/>
          <w:lang w:val="en-US"/>
        </w:rPr>
        <w:t>leflunomide</w:t>
      </w:r>
      <w:proofErr w:type="spellEnd"/>
      <w:r w:rsidRPr="00680065">
        <w:rPr>
          <w:rFonts w:ascii="Arial" w:hAnsi="Arial" w:cs="Arial"/>
          <w:sz w:val="20"/>
          <w:szCs w:val="20"/>
          <w:lang w:val="en-US"/>
        </w:rPr>
        <w:t xml:space="preserve"> therapy in patients with active rheumatoid arthritis despite stable doses of methotrexate. A randomized, double-blind, placebo-controlled trial. </w:t>
      </w:r>
      <w:r w:rsidRPr="00680065">
        <w:rPr>
          <w:rFonts w:ascii="Arial" w:hAnsi="Arial" w:cs="Arial"/>
          <w:i/>
          <w:sz w:val="20"/>
          <w:szCs w:val="20"/>
          <w:lang w:val="en-US"/>
        </w:rPr>
        <w:t>Ann Intern Med</w:t>
      </w:r>
      <w:r w:rsidRPr="00680065">
        <w:rPr>
          <w:rFonts w:ascii="Arial" w:hAnsi="Arial" w:cs="Arial"/>
          <w:sz w:val="20"/>
          <w:szCs w:val="20"/>
          <w:lang w:val="en-US"/>
        </w:rPr>
        <w:t xml:space="preserve"> 2002</w:t>
      </w:r>
      <w:proofErr w:type="gramStart"/>
      <w:r w:rsidRPr="00680065">
        <w:rPr>
          <w:rFonts w:ascii="Arial" w:hAnsi="Arial" w:cs="Arial"/>
          <w:sz w:val="20"/>
          <w:szCs w:val="20"/>
          <w:lang w:val="en-US"/>
        </w:rPr>
        <w:t>;137</w:t>
      </w:r>
      <w:proofErr w:type="gramEnd"/>
      <w:r w:rsidRPr="00680065">
        <w:rPr>
          <w:rFonts w:ascii="Arial" w:hAnsi="Arial" w:cs="Arial"/>
          <w:sz w:val="20"/>
          <w:szCs w:val="20"/>
          <w:lang w:val="en-US"/>
        </w:rPr>
        <w:t>(9):726-733.</w:t>
      </w:r>
    </w:p>
    <w:p w14:paraId="133256E2" w14:textId="77777777" w:rsidR="00680065" w:rsidRPr="00680065" w:rsidRDefault="00680065" w:rsidP="00680065">
      <w:pPr>
        <w:pStyle w:val="Prrafodelista"/>
        <w:numPr>
          <w:ilvl w:val="0"/>
          <w:numId w:val="4"/>
        </w:numPr>
        <w:spacing w:after="200" w:line="276" w:lineRule="auto"/>
        <w:jc w:val="both"/>
        <w:rPr>
          <w:rFonts w:ascii="Arial" w:hAnsi="Arial" w:cs="Arial"/>
          <w:sz w:val="20"/>
          <w:szCs w:val="20"/>
          <w:lang w:val="en-US"/>
        </w:rPr>
      </w:pPr>
      <w:r w:rsidRPr="00680065">
        <w:rPr>
          <w:rFonts w:ascii="Arial" w:eastAsia="Times-Roman" w:hAnsi="Arial" w:cs="Arial"/>
          <w:sz w:val="20"/>
          <w:szCs w:val="20"/>
          <w:lang w:val="es-MX"/>
        </w:rPr>
        <w:lastRenderedPageBreak/>
        <w:t xml:space="preserve">Visser K, Katchamart W, Loza E, </w:t>
      </w:r>
      <w:r w:rsidRPr="00F0314D">
        <w:rPr>
          <w:rFonts w:ascii="Arial" w:eastAsia="Times-Roman" w:hAnsi="Arial" w:cs="Arial"/>
          <w:i/>
          <w:sz w:val="20"/>
          <w:szCs w:val="20"/>
          <w:lang w:val="es-MX"/>
        </w:rPr>
        <w:t>et al.</w:t>
      </w:r>
      <w:r w:rsidRPr="00680065">
        <w:rPr>
          <w:rFonts w:ascii="Arial" w:eastAsia="Times-Roman" w:hAnsi="Arial" w:cs="Arial"/>
          <w:sz w:val="20"/>
          <w:szCs w:val="20"/>
          <w:lang w:val="es-MX"/>
        </w:rPr>
        <w:t xml:space="preserve"> </w:t>
      </w:r>
      <w:r w:rsidRPr="00680065">
        <w:rPr>
          <w:rFonts w:ascii="Arial" w:eastAsia="Times-Roman" w:hAnsi="Arial" w:cs="Arial"/>
          <w:sz w:val="20"/>
          <w:szCs w:val="20"/>
          <w:lang w:val="en-US"/>
        </w:rPr>
        <w:t xml:space="preserve">Multinational evidence-based recommendations for the use of methotrexate in rheumatic disorders with a focus on rheumatoid arthritis: integrating systematic literature research and expert opinion of a broad international panel of rheumatologists in the 3E Initiative. </w:t>
      </w:r>
      <w:r w:rsidRPr="00F0314D">
        <w:rPr>
          <w:rFonts w:ascii="Arial" w:eastAsia="Times-Roman" w:hAnsi="Arial" w:cs="Arial"/>
          <w:i/>
          <w:sz w:val="20"/>
          <w:szCs w:val="20"/>
          <w:lang w:val="en-US"/>
        </w:rPr>
        <w:t>Ann Rheum Dis</w:t>
      </w:r>
      <w:r w:rsidRPr="00680065">
        <w:rPr>
          <w:rFonts w:ascii="Arial" w:eastAsia="Times-Roman" w:hAnsi="Arial" w:cs="Arial"/>
          <w:sz w:val="20"/>
          <w:szCs w:val="20"/>
          <w:lang w:val="en-US"/>
        </w:rPr>
        <w:t xml:space="preserve"> 2009</w:t>
      </w:r>
      <w:proofErr w:type="gramStart"/>
      <w:r w:rsidRPr="00680065">
        <w:rPr>
          <w:rFonts w:ascii="Arial" w:eastAsia="Times-Roman" w:hAnsi="Arial" w:cs="Arial"/>
          <w:sz w:val="20"/>
          <w:szCs w:val="20"/>
          <w:lang w:val="en-US"/>
        </w:rPr>
        <w:t>;68:1086</w:t>
      </w:r>
      <w:proofErr w:type="gramEnd"/>
      <w:r w:rsidRPr="00680065">
        <w:rPr>
          <w:rFonts w:ascii="Arial" w:eastAsia="Times-Roman" w:hAnsi="Arial" w:cs="Arial"/>
          <w:sz w:val="20"/>
          <w:szCs w:val="20"/>
          <w:lang w:val="en-US"/>
        </w:rPr>
        <w:t>-93.</w:t>
      </w:r>
    </w:p>
    <w:p w14:paraId="0D3BE04A" w14:textId="77777777" w:rsidR="00680065" w:rsidRDefault="00680065" w:rsidP="00680065">
      <w:pPr>
        <w:pStyle w:val="Prrafodelista"/>
        <w:numPr>
          <w:ilvl w:val="0"/>
          <w:numId w:val="4"/>
        </w:numPr>
        <w:spacing w:after="200" w:line="276" w:lineRule="auto"/>
        <w:jc w:val="both"/>
        <w:rPr>
          <w:rFonts w:ascii="Arial" w:hAnsi="Arial" w:cs="Arial"/>
          <w:sz w:val="20"/>
          <w:szCs w:val="20"/>
          <w:lang w:val="en-US"/>
        </w:rPr>
      </w:pPr>
      <w:proofErr w:type="spellStart"/>
      <w:r w:rsidRPr="00680065">
        <w:rPr>
          <w:rFonts w:ascii="Arial" w:eastAsia="Times-Roman" w:hAnsi="Arial" w:cs="Arial"/>
          <w:sz w:val="20"/>
          <w:szCs w:val="20"/>
          <w:lang w:val="en-US"/>
        </w:rPr>
        <w:t>Saag</w:t>
      </w:r>
      <w:proofErr w:type="spellEnd"/>
      <w:r w:rsidRPr="00680065">
        <w:rPr>
          <w:rFonts w:ascii="Arial" w:eastAsia="Times-Roman" w:hAnsi="Arial" w:cs="Arial"/>
          <w:sz w:val="20"/>
          <w:szCs w:val="20"/>
          <w:lang w:val="en-US"/>
        </w:rPr>
        <w:t xml:space="preserve"> KG, </w:t>
      </w:r>
      <w:proofErr w:type="spellStart"/>
      <w:r w:rsidRPr="00680065">
        <w:rPr>
          <w:rFonts w:ascii="Arial" w:eastAsia="Times-Roman" w:hAnsi="Arial" w:cs="Arial"/>
          <w:sz w:val="20"/>
          <w:szCs w:val="20"/>
          <w:lang w:val="en-US"/>
        </w:rPr>
        <w:t>Teng</w:t>
      </w:r>
      <w:proofErr w:type="spellEnd"/>
      <w:r w:rsidRPr="00680065">
        <w:rPr>
          <w:rFonts w:ascii="Arial" w:eastAsia="Times-Roman" w:hAnsi="Arial" w:cs="Arial"/>
          <w:sz w:val="20"/>
          <w:szCs w:val="20"/>
          <w:lang w:val="en-US"/>
        </w:rPr>
        <w:t xml:space="preserve"> GG, </w:t>
      </w:r>
      <w:proofErr w:type="spellStart"/>
      <w:r w:rsidRPr="00680065">
        <w:rPr>
          <w:rFonts w:ascii="Arial" w:eastAsia="Times-Roman" w:hAnsi="Arial" w:cs="Arial"/>
          <w:sz w:val="20"/>
          <w:szCs w:val="20"/>
          <w:lang w:val="en-US"/>
        </w:rPr>
        <w:t>Patkar</w:t>
      </w:r>
      <w:proofErr w:type="spellEnd"/>
      <w:r w:rsidRPr="00680065">
        <w:rPr>
          <w:rFonts w:ascii="Arial" w:eastAsia="Times-Roman" w:hAnsi="Arial" w:cs="Arial"/>
          <w:sz w:val="20"/>
          <w:szCs w:val="20"/>
          <w:lang w:val="en-US"/>
        </w:rPr>
        <w:t xml:space="preserve"> NM, </w:t>
      </w:r>
      <w:proofErr w:type="spellStart"/>
      <w:r w:rsidRPr="00680065">
        <w:rPr>
          <w:rFonts w:ascii="Arial" w:eastAsia="Times-Roman" w:hAnsi="Arial" w:cs="Arial"/>
          <w:sz w:val="20"/>
          <w:szCs w:val="20"/>
          <w:lang w:val="en-US"/>
        </w:rPr>
        <w:t>Anuntiyo</w:t>
      </w:r>
      <w:proofErr w:type="spellEnd"/>
      <w:r w:rsidRPr="00680065">
        <w:rPr>
          <w:rFonts w:ascii="Arial" w:eastAsia="Times-Roman" w:hAnsi="Arial" w:cs="Arial"/>
          <w:sz w:val="20"/>
          <w:szCs w:val="20"/>
          <w:lang w:val="en-US"/>
        </w:rPr>
        <w:t xml:space="preserve"> J, Finney C, Curtis JR, </w:t>
      </w:r>
      <w:r w:rsidRPr="00F0314D">
        <w:rPr>
          <w:rFonts w:ascii="Arial" w:eastAsia="Times-Roman" w:hAnsi="Arial" w:cs="Arial"/>
          <w:i/>
          <w:sz w:val="20"/>
          <w:szCs w:val="20"/>
          <w:lang w:val="en-US"/>
        </w:rPr>
        <w:t>et al</w:t>
      </w:r>
      <w:r w:rsidRPr="00680065">
        <w:rPr>
          <w:rFonts w:ascii="Arial" w:eastAsia="Times-Roman" w:hAnsi="Arial" w:cs="Arial"/>
          <w:sz w:val="20"/>
          <w:szCs w:val="20"/>
          <w:lang w:val="en-US"/>
        </w:rPr>
        <w:t xml:space="preserve">. American College of Rheumatology 2008 recommendations for the use of </w:t>
      </w:r>
      <w:proofErr w:type="spellStart"/>
      <w:r w:rsidRPr="00680065">
        <w:rPr>
          <w:rFonts w:ascii="Arial" w:eastAsia="Times-Roman" w:hAnsi="Arial" w:cs="Arial"/>
          <w:sz w:val="20"/>
          <w:szCs w:val="20"/>
          <w:lang w:val="en-US"/>
        </w:rPr>
        <w:t>nonbiologic</w:t>
      </w:r>
      <w:proofErr w:type="spellEnd"/>
      <w:r w:rsidRPr="00680065">
        <w:rPr>
          <w:rFonts w:ascii="Arial" w:eastAsia="Times-Roman" w:hAnsi="Arial" w:cs="Arial"/>
          <w:sz w:val="20"/>
          <w:szCs w:val="20"/>
          <w:lang w:val="en-US"/>
        </w:rPr>
        <w:t xml:space="preserve"> and biologic disease-modifying </w:t>
      </w:r>
      <w:proofErr w:type="spellStart"/>
      <w:r w:rsidRPr="00680065">
        <w:rPr>
          <w:rFonts w:ascii="Arial" w:eastAsia="Times-Roman" w:hAnsi="Arial" w:cs="Arial"/>
          <w:sz w:val="20"/>
          <w:szCs w:val="20"/>
          <w:lang w:val="en-US"/>
        </w:rPr>
        <w:t>antirheumatic</w:t>
      </w:r>
      <w:proofErr w:type="spellEnd"/>
      <w:r w:rsidRPr="00680065">
        <w:rPr>
          <w:rFonts w:ascii="Arial" w:eastAsia="Times-Roman" w:hAnsi="Arial" w:cs="Arial"/>
          <w:sz w:val="20"/>
          <w:szCs w:val="20"/>
          <w:lang w:val="en-US"/>
        </w:rPr>
        <w:t xml:space="preserve"> drugs in rheumatoid arthritis. </w:t>
      </w:r>
      <w:r w:rsidRPr="00F0314D">
        <w:rPr>
          <w:rFonts w:ascii="Arial" w:eastAsia="Times-Roman" w:hAnsi="Arial" w:cs="Arial"/>
          <w:i/>
          <w:sz w:val="20"/>
          <w:szCs w:val="20"/>
          <w:lang w:val="en-US"/>
        </w:rPr>
        <w:t>Arthritis Care Res</w:t>
      </w:r>
      <w:r w:rsidRPr="00680065">
        <w:rPr>
          <w:rFonts w:ascii="Arial" w:eastAsia="Times-Roman" w:hAnsi="Arial" w:cs="Arial"/>
          <w:sz w:val="20"/>
          <w:szCs w:val="20"/>
          <w:lang w:val="en-US"/>
        </w:rPr>
        <w:t xml:space="preserve"> 2008</w:t>
      </w:r>
      <w:proofErr w:type="gramStart"/>
      <w:r w:rsidRPr="00680065">
        <w:rPr>
          <w:rFonts w:ascii="Arial" w:eastAsia="Times-Roman" w:hAnsi="Arial" w:cs="Arial"/>
          <w:sz w:val="20"/>
          <w:szCs w:val="20"/>
          <w:lang w:val="en-US"/>
        </w:rPr>
        <w:t>;59:762</w:t>
      </w:r>
      <w:proofErr w:type="gramEnd"/>
      <w:r w:rsidRPr="00680065">
        <w:rPr>
          <w:rFonts w:ascii="Arial" w:eastAsia="Times-Roman" w:hAnsi="Arial" w:cs="Arial"/>
          <w:sz w:val="20"/>
          <w:szCs w:val="20"/>
          <w:lang w:val="en-US"/>
        </w:rPr>
        <w:t>-84.</w:t>
      </w:r>
      <w:r w:rsidRPr="00680065">
        <w:rPr>
          <w:rFonts w:ascii="Arial" w:hAnsi="Arial" w:cs="Arial"/>
          <w:sz w:val="20"/>
          <w:szCs w:val="20"/>
          <w:lang w:val="en-US"/>
        </w:rPr>
        <w:t xml:space="preserve"> </w:t>
      </w:r>
    </w:p>
    <w:p w14:paraId="4D183599" w14:textId="77777777" w:rsidR="00680065" w:rsidRDefault="00680065" w:rsidP="00680065">
      <w:pPr>
        <w:pStyle w:val="Prrafodelista"/>
        <w:numPr>
          <w:ilvl w:val="0"/>
          <w:numId w:val="4"/>
        </w:numPr>
        <w:spacing w:after="200" w:line="276" w:lineRule="auto"/>
        <w:jc w:val="both"/>
        <w:rPr>
          <w:rFonts w:ascii="Arial" w:hAnsi="Arial" w:cs="Arial"/>
          <w:sz w:val="20"/>
          <w:szCs w:val="20"/>
          <w:lang w:val="en-US"/>
        </w:rPr>
      </w:pPr>
      <w:proofErr w:type="spellStart"/>
      <w:r w:rsidRPr="00680065">
        <w:rPr>
          <w:rFonts w:ascii="Arial" w:eastAsia="Times-Roman" w:hAnsi="Arial" w:cs="Arial"/>
          <w:sz w:val="20"/>
          <w:szCs w:val="20"/>
          <w:lang w:val="en-US"/>
        </w:rPr>
        <w:t>Dendooven</w:t>
      </w:r>
      <w:proofErr w:type="spellEnd"/>
      <w:r w:rsidRPr="00680065">
        <w:rPr>
          <w:rFonts w:ascii="Arial" w:eastAsia="Times-Roman" w:hAnsi="Arial" w:cs="Arial"/>
          <w:sz w:val="20"/>
          <w:szCs w:val="20"/>
          <w:lang w:val="en-US"/>
        </w:rPr>
        <w:t xml:space="preserve"> A, De </w:t>
      </w:r>
      <w:proofErr w:type="spellStart"/>
      <w:r w:rsidRPr="00680065">
        <w:rPr>
          <w:rFonts w:ascii="Arial" w:eastAsia="Times-Roman" w:hAnsi="Arial" w:cs="Arial"/>
          <w:sz w:val="20"/>
          <w:szCs w:val="20"/>
          <w:lang w:val="en-US"/>
        </w:rPr>
        <w:t>Rycke</w:t>
      </w:r>
      <w:proofErr w:type="spellEnd"/>
      <w:r w:rsidRPr="00680065">
        <w:rPr>
          <w:rFonts w:ascii="Arial" w:eastAsia="Times-Roman" w:hAnsi="Arial" w:cs="Arial"/>
          <w:sz w:val="20"/>
          <w:szCs w:val="20"/>
          <w:lang w:val="en-US"/>
        </w:rPr>
        <w:t xml:space="preserve"> L, </w:t>
      </w:r>
      <w:proofErr w:type="spellStart"/>
      <w:r w:rsidRPr="00680065">
        <w:rPr>
          <w:rFonts w:ascii="Arial" w:eastAsia="Times-Roman" w:hAnsi="Arial" w:cs="Arial"/>
          <w:sz w:val="20"/>
          <w:szCs w:val="20"/>
          <w:lang w:val="en-US"/>
        </w:rPr>
        <w:t>Verhelst</w:t>
      </w:r>
      <w:proofErr w:type="spellEnd"/>
      <w:r w:rsidRPr="00680065">
        <w:rPr>
          <w:rFonts w:ascii="Arial" w:eastAsia="Times-Roman" w:hAnsi="Arial" w:cs="Arial"/>
          <w:sz w:val="20"/>
          <w:szCs w:val="20"/>
          <w:lang w:val="en-US"/>
        </w:rPr>
        <w:t xml:space="preserve"> X, </w:t>
      </w:r>
      <w:proofErr w:type="spellStart"/>
      <w:r w:rsidRPr="00680065">
        <w:rPr>
          <w:rFonts w:ascii="Arial" w:eastAsia="Times-Roman" w:hAnsi="Arial" w:cs="Arial"/>
          <w:sz w:val="20"/>
          <w:szCs w:val="20"/>
          <w:lang w:val="en-US"/>
        </w:rPr>
        <w:t>Mielants</w:t>
      </w:r>
      <w:proofErr w:type="spellEnd"/>
      <w:r w:rsidRPr="00680065">
        <w:rPr>
          <w:rFonts w:ascii="Arial" w:eastAsia="Times-Roman" w:hAnsi="Arial" w:cs="Arial"/>
          <w:sz w:val="20"/>
          <w:szCs w:val="20"/>
          <w:lang w:val="en-US"/>
        </w:rPr>
        <w:t xml:space="preserve"> H, </w:t>
      </w:r>
      <w:proofErr w:type="spellStart"/>
      <w:r w:rsidRPr="00680065">
        <w:rPr>
          <w:rFonts w:ascii="Arial" w:eastAsia="Times-Roman" w:hAnsi="Arial" w:cs="Arial"/>
          <w:sz w:val="20"/>
          <w:szCs w:val="20"/>
          <w:lang w:val="en-US"/>
        </w:rPr>
        <w:t>Veys</w:t>
      </w:r>
      <w:proofErr w:type="spellEnd"/>
      <w:r w:rsidRPr="00680065">
        <w:rPr>
          <w:rFonts w:ascii="Arial" w:eastAsia="Times-Roman" w:hAnsi="Arial" w:cs="Arial"/>
          <w:sz w:val="20"/>
          <w:szCs w:val="20"/>
          <w:lang w:val="en-US"/>
        </w:rPr>
        <w:t xml:space="preserve"> EM, De Keyser F. </w:t>
      </w:r>
      <w:proofErr w:type="spellStart"/>
      <w:r w:rsidRPr="00680065">
        <w:rPr>
          <w:rFonts w:ascii="Arial" w:eastAsia="Times-Roman" w:hAnsi="Arial" w:cs="Arial"/>
          <w:sz w:val="20"/>
          <w:szCs w:val="20"/>
          <w:lang w:val="en-US"/>
        </w:rPr>
        <w:t>Leflunomide</w:t>
      </w:r>
      <w:proofErr w:type="spellEnd"/>
      <w:r w:rsidRPr="00680065">
        <w:rPr>
          <w:rFonts w:ascii="Arial" w:eastAsia="Times-Roman" w:hAnsi="Arial" w:cs="Arial"/>
          <w:sz w:val="20"/>
          <w:szCs w:val="20"/>
          <w:lang w:val="en-US"/>
        </w:rPr>
        <w:t xml:space="preserve"> and methotrexate combination therapy in daily clinical practice. </w:t>
      </w:r>
      <w:r w:rsidRPr="00F0314D">
        <w:rPr>
          <w:rFonts w:ascii="Arial" w:eastAsia="Times-Roman" w:hAnsi="Arial" w:cs="Arial"/>
          <w:i/>
          <w:sz w:val="20"/>
          <w:szCs w:val="20"/>
          <w:lang w:val="en-US"/>
        </w:rPr>
        <w:t>Ann Rheum Dis</w:t>
      </w:r>
      <w:r w:rsidRPr="00680065">
        <w:rPr>
          <w:rFonts w:ascii="Arial" w:eastAsia="Times-Roman" w:hAnsi="Arial" w:cs="Arial"/>
          <w:sz w:val="20"/>
          <w:szCs w:val="20"/>
          <w:lang w:val="en-US"/>
        </w:rPr>
        <w:t xml:space="preserve"> 2006 Jun</w:t>
      </w:r>
      <w:proofErr w:type="gramStart"/>
      <w:r w:rsidRPr="00680065">
        <w:rPr>
          <w:rFonts w:ascii="Arial" w:eastAsia="Times-Roman" w:hAnsi="Arial" w:cs="Arial"/>
          <w:sz w:val="20"/>
          <w:szCs w:val="20"/>
          <w:lang w:val="en-US"/>
        </w:rPr>
        <w:t>;65</w:t>
      </w:r>
      <w:proofErr w:type="gramEnd"/>
      <w:r w:rsidRPr="00680065">
        <w:rPr>
          <w:rFonts w:ascii="Arial" w:eastAsia="Times-Roman" w:hAnsi="Arial" w:cs="Arial"/>
          <w:sz w:val="20"/>
          <w:szCs w:val="20"/>
          <w:lang w:val="en-US"/>
        </w:rPr>
        <w:t>(6):833-4.</w:t>
      </w:r>
      <w:r w:rsidRPr="00680065">
        <w:rPr>
          <w:rFonts w:ascii="Arial" w:hAnsi="Arial" w:cs="Arial"/>
          <w:sz w:val="20"/>
          <w:szCs w:val="20"/>
          <w:lang w:val="en-US"/>
        </w:rPr>
        <w:t xml:space="preserve"> </w:t>
      </w:r>
    </w:p>
    <w:p w14:paraId="34CD09B2" w14:textId="77777777" w:rsidR="00680065" w:rsidRDefault="00680065" w:rsidP="00680065">
      <w:pPr>
        <w:pStyle w:val="Prrafodelista"/>
        <w:numPr>
          <w:ilvl w:val="0"/>
          <w:numId w:val="4"/>
        </w:numPr>
        <w:spacing w:after="200" w:line="276" w:lineRule="auto"/>
        <w:jc w:val="both"/>
        <w:rPr>
          <w:rFonts w:ascii="Arial" w:hAnsi="Arial" w:cs="Arial"/>
          <w:sz w:val="20"/>
          <w:szCs w:val="20"/>
          <w:lang w:val="en-US"/>
        </w:rPr>
      </w:pPr>
      <w:r w:rsidRPr="00680065">
        <w:rPr>
          <w:rFonts w:ascii="Arial" w:hAnsi="Arial" w:cs="Arial"/>
          <w:sz w:val="20"/>
          <w:szCs w:val="20"/>
          <w:lang w:val="en-US"/>
        </w:rPr>
        <w:t xml:space="preserve">Brent RL. Teratogen update: reproductive risks of </w:t>
      </w:r>
      <w:proofErr w:type="spellStart"/>
      <w:r w:rsidRPr="00680065">
        <w:rPr>
          <w:rFonts w:ascii="Arial" w:hAnsi="Arial" w:cs="Arial"/>
          <w:sz w:val="20"/>
          <w:szCs w:val="20"/>
          <w:lang w:val="en-US"/>
        </w:rPr>
        <w:t>leflunomide</w:t>
      </w:r>
      <w:proofErr w:type="spellEnd"/>
      <w:r w:rsidRPr="00680065">
        <w:rPr>
          <w:rFonts w:ascii="Arial" w:hAnsi="Arial" w:cs="Arial"/>
          <w:sz w:val="20"/>
          <w:szCs w:val="20"/>
          <w:lang w:val="en-US"/>
        </w:rPr>
        <w:t xml:space="preserve"> (</w:t>
      </w:r>
      <w:proofErr w:type="spellStart"/>
      <w:r w:rsidRPr="00680065">
        <w:rPr>
          <w:rFonts w:ascii="Arial" w:hAnsi="Arial" w:cs="Arial"/>
          <w:sz w:val="20"/>
          <w:szCs w:val="20"/>
          <w:lang w:val="en-US"/>
        </w:rPr>
        <w:t>Arava</w:t>
      </w:r>
      <w:proofErr w:type="spellEnd"/>
      <w:r w:rsidRPr="00680065">
        <w:rPr>
          <w:rFonts w:ascii="Arial" w:hAnsi="Arial" w:cs="Arial"/>
          <w:sz w:val="20"/>
          <w:szCs w:val="20"/>
          <w:lang w:val="en-US"/>
        </w:rPr>
        <w:t xml:space="preserve">); a pyrimidine synthesis inhibitor: counseling women taking </w:t>
      </w:r>
      <w:proofErr w:type="spellStart"/>
      <w:r w:rsidRPr="00680065">
        <w:rPr>
          <w:rFonts w:ascii="Arial" w:hAnsi="Arial" w:cs="Arial"/>
          <w:sz w:val="20"/>
          <w:szCs w:val="20"/>
          <w:lang w:val="en-US"/>
        </w:rPr>
        <w:t>leflunomide</w:t>
      </w:r>
      <w:proofErr w:type="spellEnd"/>
      <w:r w:rsidRPr="00680065">
        <w:rPr>
          <w:rFonts w:ascii="Arial" w:hAnsi="Arial" w:cs="Arial"/>
          <w:sz w:val="20"/>
          <w:szCs w:val="20"/>
          <w:lang w:val="en-US"/>
        </w:rPr>
        <w:t xml:space="preserve"> before or during pregnancy and men taking </w:t>
      </w:r>
      <w:proofErr w:type="spellStart"/>
      <w:r w:rsidRPr="00680065">
        <w:rPr>
          <w:rFonts w:ascii="Arial" w:hAnsi="Arial" w:cs="Arial"/>
          <w:sz w:val="20"/>
          <w:szCs w:val="20"/>
          <w:lang w:val="en-US"/>
        </w:rPr>
        <w:t>leflunomide</w:t>
      </w:r>
      <w:proofErr w:type="spellEnd"/>
      <w:r w:rsidRPr="00680065">
        <w:rPr>
          <w:rFonts w:ascii="Arial" w:hAnsi="Arial" w:cs="Arial"/>
          <w:sz w:val="20"/>
          <w:szCs w:val="20"/>
          <w:lang w:val="en-US"/>
        </w:rPr>
        <w:t xml:space="preserve"> who are contemplating fathering a child. </w:t>
      </w:r>
      <w:r w:rsidRPr="00680065">
        <w:rPr>
          <w:rFonts w:ascii="Arial" w:hAnsi="Arial" w:cs="Arial"/>
          <w:i/>
          <w:sz w:val="20"/>
          <w:szCs w:val="20"/>
          <w:lang w:val="en-US"/>
        </w:rPr>
        <w:t>Teratology</w:t>
      </w:r>
      <w:r w:rsidRPr="00680065">
        <w:rPr>
          <w:rFonts w:ascii="Arial" w:hAnsi="Arial" w:cs="Arial"/>
          <w:sz w:val="20"/>
          <w:szCs w:val="20"/>
          <w:lang w:val="en-US"/>
        </w:rPr>
        <w:t xml:space="preserve"> 2001</w:t>
      </w:r>
      <w:proofErr w:type="gramStart"/>
      <w:r w:rsidRPr="00680065">
        <w:rPr>
          <w:rFonts w:ascii="Arial" w:hAnsi="Arial" w:cs="Arial"/>
          <w:sz w:val="20"/>
          <w:szCs w:val="20"/>
          <w:lang w:val="en-US"/>
        </w:rPr>
        <w:t>;63</w:t>
      </w:r>
      <w:proofErr w:type="gramEnd"/>
      <w:r w:rsidRPr="00680065">
        <w:rPr>
          <w:rFonts w:ascii="Arial" w:hAnsi="Arial" w:cs="Arial"/>
          <w:sz w:val="20"/>
          <w:szCs w:val="20"/>
          <w:lang w:val="en-US"/>
        </w:rPr>
        <w:t xml:space="preserve">(2):106-112. </w:t>
      </w:r>
    </w:p>
    <w:p w14:paraId="38F9C6B5" w14:textId="77777777" w:rsidR="00680065" w:rsidRDefault="00680065" w:rsidP="00680065">
      <w:pPr>
        <w:pStyle w:val="Prrafodelista"/>
        <w:numPr>
          <w:ilvl w:val="0"/>
          <w:numId w:val="4"/>
        </w:numPr>
        <w:spacing w:after="200" w:line="276" w:lineRule="auto"/>
        <w:jc w:val="both"/>
        <w:rPr>
          <w:rFonts w:ascii="Arial" w:hAnsi="Arial" w:cs="Arial"/>
          <w:sz w:val="20"/>
          <w:szCs w:val="20"/>
          <w:lang w:val="en-US"/>
        </w:rPr>
      </w:pPr>
      <w:proofErr w:type="spellStart"/>
      <w:r w:rsidRPr="00680065">
        <w:rPr>
          <w:rFonts w:ascii="Arial" w:hAnsi="Arial" w:cs="Arial"/>
          <w:sz w:val="20"/>
          <w:szCs w:val="20"/>
          <w:lang w:val="en-US"/>
        </w:rPr>
        <w:t>Fuerst</w:t>
      </w:r>
      <w:proofErr w:type="spellEnd"/>
      <w:r w:rsidRPr="00680065">
        <w:rPr>
          <w:rFonts w:ascii="Arial" w:hAnsi="Arial" w:cs="Arial"/>
          <w:sz w:val="20"/>
          <w:szCs w:val="20"/>
          <w:lang w:val="en-US"/>
        </w:rPr>
        <w:t xml:space="preserve"> M, </w:t>
      </w:r>
      <w:proofErr w:type="spellStart"/>
      <w:r w:rsidRPr="00680065">
        <w:rPr>
          <w:rFonts w:ascii="Arial" w:hAnsi="Arial" w:cs="Arial"/>
          <w:sz w:val="20"/>
          <w:szCs w:val="20"/>
          <w:lang w:val="en-US"/>
        </w:rPr>
        <w:t>Möhl</w:t>
      </w:r>
      <w:proofErr w:type="spellEnd"/>
      <w:r w:rsidRPr="00680065">
        <w:rPr>
          <w:rFonts w:ascii="Arial" w:hAnsi="Arial" w:cs="Arial"/>
          <w:sz w:val="20"/>
          <w:szCs w:val="20"/>
          <w:lang w:val="en-US"/>
        </w:rPr>
        <w:t xml:space="preserve"> H, </w:t>
      </w:r>
      <w:proofErr w:type="spellStart"/>
      <w:r w:rsidRPr="00680065">
        <w:rPr>
          <w:rFonts w:ascii="Arial" w:hAnsi="Arial" w:cs="Arial"/>
          <w:sz w:val="20"/>
          <w:szCs w:val="20"/>
          <w:lang w:val="en-US"/>
        </w:rPr>
        <w:t>Baumgärtel</w:t>
      </w:r>
      <w:proofErr w:type="spellEnd"/>
      <w:r w:rsidRPr="00680065">
        <w:rPr>
          <w:rFonts w:ascii="Arial" w:hAnsi="Arial" w:cs="Arial"/>
          <w:sz w:val="20"/>
          <w:szCs w:val="20"/>
          <w:lang w:val="en-US"/>
        </w:rPr>
        <w:t xml:space="preserve"> K, </w:t>
      </w:r>
      <w:r w:rsidRPr="00F0314D">
        <w:rPr>
          <w:rFonts w:ascii="Arial" w:hAnsi="Arial" w:cs="Arial"/>
          <w:i/>
          <w:sz w:val="20"/>
          <w:szCs w:val="20"/>
          <w:lang w:val="en-US"/>
        </w:rPr>
        <w:t>et al</w:t>
      </w:r>
      <w:r w:rsidRPr="00680065">
        <w:rPr>
          <w:rFonts w:ascii="Arial" w:hAnsi="Arial" w:cs="Arial"/>
          <w:sz w:val="20"/>
          <w:szCs w:val="20"/>
          <w:lang w:val="en-US"/>
        </w:rPr>
        <w:t xml:space="preserve">. </w:t>
      </w:r>
      <w:proofErr w:type="spellStart"/>
      <w:r w:rsidRPr="00680065">
        <w:rPr>
          <w:rFonts w:ascii="Arial" w:hAnsi="Arial" w:cs="Arial"/>
          <w:sz w:val="20"/>
          <w:szCs w:val="20"/>
          <w:lang w:val="en-US"/>
        </w:rPr>
        <w:t>Leflunomide</w:t>
      </w:r>
      <w:proofErr w:type="spellEnd"/>
      <w:r w:rsidRPr="00680065">
        <w:rPr>
          <w:rFonts w:ascii="Arial" w:hAnsi="Arial" w:cs="Arial"/>
          <w:sz w:val="20"/>
          <w:szCs w:val="20"/>
          <w:lang w:val="en-US"/>
        </w:rPr>
        <w:t xml:space="preserve"> increases the risk of early healing complications in patients with rheumatoid arthritis undergoing selective orthopedic surgery. </w:t>
      </w:r>
      <w:proofErr w:type="spellStart"/>
      <w:r w:rsidRPr="00680065">
        <w:rPr>
          <w:rFonts w:ascii="Arial" w:hAnsi="Arial" w:cs="Arial"/>
          <w:i/>
          <w:sz w:val="20"/>
          <w:szCs w:val="20"/>
          <w:lang w:val="en-US"/>
        </w:rPr>
        <w:t>Rheumatol</w:t>
      </w:r>
      <w:proofErr w:type="spellEnd"/>
      <w:r w:rsidRPr="00680065">
        <w:rPr>
          <w:rFonts w:ascii="Arial" w:hAnsi="Arial" w:cs="Arial"/>
          <w:i/>
          <w:sz w:val="20"/>
          <w:szCs w:val="20"/>
          <w:lang w:val="en-US"/>
        </w:rPr>
        <w:t xml:space="preserve"> </w:t>
      </w:r>
      <w:proofErr w:type="spellStart"/>
      <w:r w:rsidRPr="00680065">
        <w:rPr>
          <w:rFonts w:ascii="Arial" w:hAnsi="Arial" w:cs="Arial"/>
          <w:i/>
          <w:sz w:val="20"/>
          <w:szCs w:val="20"/>
          <w:lang w:val="en-US"/>
        </w:rPr>
        <w:t>Int</w:t>
      </w:r>
      <w:proofErr w:type="spellEnd"/>
      <w:r w:rsidRPr="00680065">
        <w:rPr>
          <w:rFonts w:ascii="Arial" w:hAnsi="Arial" w:cs="Arial"/>
          <w:sz w:val="20"/>
          <w:szCs w:val="20"/>
          <w:lang w:val="en-US"/>
        </w:rPr>
        <w:t xml:space="preserve"> 2006</w:t>
      </w:r>
      <w:proofErr w:type="gramStart"/>
      <w:r w:rsidRPr="00680065">
        <w:rPr>
          <w:rFonts w:ascii="Arial" w:hAnsi="Arial" w:cs="Arial"/>
          <w:sz w:val="20"/>
          <w:szCs w:val="20"/>
          <w:lang w:val="en-US"/>
        </w:rPr>
        <w:t>;26</w:t>
      </w:r>
      <w:proofErr w:type="gramEnd"/>
      <w:r w:rsidRPr="00680065">
        <w:rPr>
          <w:rFonts w:ascii="Arial" w:hAnsi="Arial" w:cs="Arial"/>
          <w:sz w:val="20"/>
          <w:szCs w:val="20"/>
          <w:lang w:val="en-US"/>
        </w:rPr>
        <w:t>(12):1138-1142.</w:t>
      </w:r>
    </w:p>
    <w:p w14:paraId="6148EDCF" w14:textId="77777777" w:rsidR="00680065" w:rsidRDefault="00680065" w:rsidP="00680065">
      <w:pPr>
        <w:pStyle w:val="Prrafodelista"/>
        <w:numPr>
          <w:ilvl w:val="0"/>
          <w:numId w:val="4"/>
        </w:numPr>
        <w:spacing w:after="200" w:line="276" w:lineRule="auto"/>
        <w:jc w:val="both"/>
        <w:rPr>
          <w:rFonts w:ascii="Arial" w:hAnsi="Arial" w:cs="Arial"/>
          <w:sz w:val="20"/>
          <w:szCs w:val="20"/>
          <w:lang w:val="en-US"/>
        </w:rPr>
      </w:pPr>
      <w:proofErr w:type="spellStart"/>
      <w:r w:rsidRPr="00680065">
        <w:rPr>
          <w:rFonts w:ascii="Arial" w:hAnsi="Arial" w:cs="Arial"/>
          <w:sz w:val="20"/>
          <w:szCs w:val="20"/>
          <w:lang w:val="en-US"/>
        </w:rPr>
        <w:t>Pieringer</w:t>
      </w:r>
      <w:proofErr w:type="spellEnd"/>
      <w:r w:rsidRPr="00680065">
        <w:rPr>
          <w:rFonts w:ascii="Arial" w:hAnsi="Arial" w:cs="Arial"/>
          <w:sz w:val="20"/>
          <w:szCs w:val="20"/>
          <w:lang w:val="en-US"/>
        </w:rPr>
        <w:t xml:space="preserve"> H, </w:t>
      </w:r>
      <w:proofErr w:type="spellStart"/>
      <w:r w:rsidRPr="00680065">
        <w:rPr>
          <w:rFonts w:ascii="Arial" w:hAnsi="Arial" w:cs="Arial"/>
          <w:sz w:val="20"/>
          <w:szCs w:val="20"/>
          <w:lang w:val="en-US"/>
        </w:rPr>
        <w:t>Stuby</w:t>
      </w:r>
      <w:proofErr w:type="spellEnd"/>
      <w:r w:rsidRPr="00680065">
        <w:rPr>
          <w:rFonts w:ascii="Arial" w:hAnsi="Arial" w:cs="Arial"/>
          <w:sz w:val="20"/>
          <w:szCs w:val="20"/>
          <w:lang w:val="en-US"/>
        </w:rPr>
        <w:t xml:space="preserve"> U, </w:t>
      </w:r>
      <w:proofErr w:type="spellStart"/>
      <w:r w:rsidRPr="00680065">
        <w:rPr>
          <w:rFonts w:ascii="Arial" w:hAnsi="Arial" w:cs="Arial"/>
          <w:sz w:val="20"/>
          <w:szCs w:val="20"/>
          <w:lang w:val="en-US"/>
        </w:rPr>
        <w:t>Biesenbach</w:t>
      </w:r>
      <w:proofErr w:type="spellEnd"/>
      <w:r w:rsidRPr="00680065">
        <w:rPr>
          <w:rFonts w:ascii="Arial" w:hAnsi="Arial" w:cs="Arial"/>
          <w:sz w:val="20"/>
          <w:szCs w:val="20"/>
          <w:lang w:val="en-US"/>
        </w:rPr>
        <w:t xml:space="preserve"> G. Patients with rheumatoid arthritis undergoing surgery: how should we deal with </w:t>
      </w:r>
      <w:proofErr w:type="spellStart"/>
      <w:r w:rsidRPr="00680065">
        <w:rPr>
          <w:rFonts w:ascii="Arial" w:hAnsi="Arial" w:cs="Arial"/>
          <w:sz w:val="20"/>
          <w:szCs w:val="20"/>
          <w:lang w:val="en-US"/>
        </w:rPr>
        <w:t>antirheumatic</w:t>
      </w:r>
      <w:proofErr w:type="spellEnd"/>
      <w:r w:rsidRPr="00680065">
        <w:rPr>
          <w:rFonts w:ascii="Arial" w:hAnsi="Arial" w:cs="Arial"/>
          <w:sz w:val="20"/>
          <w:szCs w:val="20"/>
          <w:lang w:val="en-US"/>
        </w:rPr>
        <w:t xml:space="preserve"> treatment? </w:t>
      </w:r>
      <w:proofErr w:type="spellStart"/>
      <w:r w:rsidRPr="00680065">
        <w:rPr>
          <w:rFonts w:ascii="Arial" w:hAnsi="Arial" w:cs="Arial"/>
          <w:i/>
          <w:sz w:val="20"/>
          <w:szCs w:val="20"/>
          <w:lang w:val="en-US"/>
        </w:rPr>
        <w:t>Semin</w:t>
      </w:r>
      <w:proofErr w:type="spellEnd"/>
      <w:r w:rsidRPr="00680065">
        <w:rPr>
          <w:rFonts w:ascii="Arial" w:hAnsi="Arial" w:cs="Arial"/>
          <w:i/>
          <w:sz w:val="20"/>
          <w:szCs w:val="20"/>
          <w:lang w:val="en-US"/>
        </w:rPr>
        <w:t xml:space="preserve"> Arthritis Rheum</w:t>
      </w:r>
      <w:r w:rsidRPr="00680065">
        <w:rPr>
          <w:rFonts w:ascii="Arial" w:hAnsi="Arial" w:cs="Arial"/>
          <w:sz w:val="20"/>
          <w:szCs w:val="20"/>
          <w:lang w:val="en-US"/>
        </w:rPr>
        <w:t xml:space="preserve"> 2007</w:t>
      </w:r>
      <w:proofErr w:type="gramStart"/>
      <w:r w:rsidRPr="00680065">
        <w:rPr>
          <w:rFonts w:ascii="Arial" w:hAnsi="Arial" w:cs="Arial"/>
          <w:sz w:val="20"/>
          <w:szCs w:val="20"/>
          <w:lang w:val="en-US"/>
        </w:rPr>
        <w:t>;36</w:t>
      </w:r>
      <w:proofErr w:type="gramEnd"/>
      <w:r w:rsidRPr="00680065">
        <w:rPr>
          <w:rFonts w:ascii="Arial" w:hAnsi="Arial" w:cs="Arial"/>
          <w:sz w:val="20"/>
          <w:szCs w:val="20"/>
          <w:lang w:val="en-US"/>
        </w:rPr>
        <w:t>(5):278-286.</w:t>
      </w:r>
    </w:p>
    <w:p w14:paraId="45D81928" w14:textId="77777777" w:rsidR="00680065" w:rsidRDefault="00680065" w:rsidP="00680065">
      <w:pPr>
        <w:pStyle w:val="Prrafodelista"/>
        <w:numPr>
          <w:ilvl w:val="0"/>
          <w:numId w:val="4"/>
        </w:numPr>
        <w:spacing w:after="200" w:line="276" w:lineRule="auto"/>
        <w:jc w:val="both"/>
        <w:rPr>
          <w:rFonts w:ascii="Arial" w:hAnsi="Arial" w:cs="Arial"/>
          <w:sz w:val="20"/>
          <w:szCs w:val="20"/>
          <w:lang w:val="en-US"/>
        </w:rPr>
      </w:pPr>
      <w:r w:rsidRPr="00680065">
        <w:rPr>
          <w:rFonts w:ascii="Arial" w:hAnsi="Arial" w:cs="Arial"/>
          <w:sz w:val="20"/>
          <w:szCs w:val="20"/>
          <w:lang w:val="en-US"/>
        </w:rPr>
        <w:t xml:space="preserve">Gaffney K, Scott DG. Azathioprine and cyclophosphamide in the treatment of rheumatoid arthritis. </w:t>
      </w:r>
      <w:r w:rsidRPr="00680065">
        <w:rPr>
          <w:rFonts w:ascii="Arial" w:hAnsi="Arial" w:cs="Arial"/>
          <w:i/>
          <w:sz w:val="20"/>
          <w:szCs w:val="20"/>
          <w:lang w:val="en-US"/>
        </w:rPr>
        <w:t xml:space="preserve">Br J </w:t>
      </w:r>
      <w:proofErr w:type="spellStart"/>
      <w:r w:rsidRPr="00680065">
        <w:rPr>
          <w:rFonts w:ascii="Arial" w:hAnsi="Arial" w:cs="Arial"/>
          <w:i/>
          <w:sz w:val="20"/>
          <w:szCs w:val="20"/>
          <w:lang w:val="en-US"/>
        </w:rPr>
        <w:t>Rheumatol</w:t>
      </w:r>
      <w:proofErr w:type="spellEnd"/>
      <w:r w:rsidRPr="00680065">
        <w:rPr>
          <w:rFonts w:ascii="Arial" w:hAnsi="Arial" w:cs="Arial"/>
          <w:sz w:val="20"/>
          <w:szCs w:val="20"/>
          <w:lang w:val="en-US"/>
        </w:rPr>
        <w:t xml:space="preserve"> 1998</w:t>
      </w:r>
      <w:proofErr w:type="gramStart"/>
      <w:r w:rsidRPr="00680065">
        <w:rPr>
          <w:rFonts w:ascii="Arial" w:hAnsi="Arial" w:cs="Arial"/>
          <w:sz w:val="20"/>
          <w:szCs w:val="20"/>
          <w:lang w:val="en-US"/>
        </w:rPr>
        <w:t>;37</w:t>
      </w:r>
      <w:proofErr w:type="gramEnd"/>
      <w:r w:rsidRPr="00680065">
        <w:rPr>
          <w:rFonts w:ascii="Arial" w:hAnsi="Arial" w:cs="Arial"/>
          <w:sz w:val="20"/>
          <w:szCs w:val="20"/>
          <w:lang w:val="en-US"/>
        </w:rPr>
        <w:t>(8):824-36.</w:t>
      </w:r>
    </w:p>
    <w:p w14:paraId="0E49F025" w14:textId="77777777" w:rsidR="00680065" w:rsidRDefault="00680065" w:rsidP="00680065">
      <w:pPr>
        <w:pStyle w:val="Prrafodelista"/>
        <w:numPr>
          <w:ilvl w:val="0"/>
          <w:numId w:val="4"/>
        </w:numPr>
        <w:spacing w:after="200" w:line="276" w:lineRule="auto"/>
        <w:jc w:val="both"/>
        <w:rPr>
          <w:rFonts w:ascii="Arial" w:hAnsi="Arial" w:cs="Arial"/>
          <w:sz w:val="20"/>
          <w:szCs w:val="20"/>
          <w:lang w:val="en-US"/>
        </w:rPr>
      </w:pPr>
      <w:r w:rsidRPr="00680065">
        <w:rPr>
          <w:rFonts w:ascii="Arial" w:hAnsi="Arial" w:cs="Arial"/>
          <w:sz w:val="20"/>
          <w:szCs w:val="20"/>
          <w:lang w:val="en-US"/>
        </w:rPr>
        <w:t>Suarez-</w:t>
      </w:r>
      <w:proofErr w:type="spellStart"/>
      <w:r w:rsidRPr="00680065">
        <w:rPr>
          <w:rFonts w:ascii="Arial" w:hAnsi="Arial" w:cs="Arial"/>
          <w:sz w:val="20"/>
          <w:szCs w:val="20"/>
          <w:lang w:val="en-US"/>
        </w:rPr>
        <w:t>Almazor</w:t>
      </w:r>
      <w:proofErr w:type="spellEnd"/>
      <w:r w:rsidRPr="00680065">
        <w:rPr>
          <w:rFonts w:ascii="Arial" w:hAnsi="Arial" w:cs="Arial"/>
          <w:sz w:val="20"/>
          <w:szCs w:val="20"/>
          <w:lang w:val="en-US"/>
        </w:rPr>
        <w:t xml:space="preserve"> ME, </w:t>
      </w:r>
      <w:proofErr w:type="spellStart"/>
      <w:r w:rsidRPr="00680065">
        <w:rPr>
          <w:rFonts w:ascii="Arial" w:hAnsi="Arial" w:cs="Arial"/>
          <w:sz w:val="20"/>
          <w:szCs w:val="20"/>
          <w:lang w:val="en-US"/>
        </w:rPr>
        <w:t>Belseck</w:t>
      </w:r>
      <w:proofErr w:type="spellEnd"/>
      <w:r w:rsidRPr="00680065">
        <w:rPr>
          <w:rFonts w:ascii="Arial" w:hAnsi="Arial" w:cs="Arial"/>
          <w:sz w:val="20"/>
          <w:szCs w:val="20"/>
          <w:lang w:val="en-US"/>
        </w:rPr>
        <w:t xml:space="preserve"> E, Shea B, </w:t>
      </w:r>
      <w:r w:rsidRPr="00680065">
        <w:rPr>
          <w:rFonts w:ascii="Arial" w:hAnsi="Arial" w:cs="Arial"/>
          <w:i/>
          <w:sz w:val="20"/>
          <w:szCs w:val="20"/>
          <w:lang w:val="en-US"/>
        </w:rPr>
        <w:t>et al</w:t>
      </w:r>
      <w:r w:rsidRPr="00680065">
        <w:rPr>
          <w:rFonts w:ascii="Arial" w:hAnsi="Arial" w:cs="Arial"/>
          <w:sz w:val="20"/>
          <w:szCs w:val="20"/>
          <w:lang w:val="en-US"/>
        </w:rPr>
        <w:t xml:space="preserve">. Cyclophosphamide for rheumatoid arthritis. </w:t>
      </w:r>
      <w:r w:rsidRPr="00680065">
        <w:rPr>
          <w:rFonts w:ascii="Arial" w:hAnsi="Arial" w:cs="Arial"/>
          <w:i/>
          <w:sz w:val="20"/>
          <w:szCs w:val="20"/>
          <w:lang w:val="en-US"/>
        </w:rPr>
        <w:t xml:space="preserve">Cochrane Database </w:t>
      </w:r>
      <w:proofErr w:type="spellStart"/>
      <w:r w:rsidRPr="00680065">
        <w:rPr>
          <w:rFonts w:ascii="Arial" w:hAnsi="Arial" w:cs="Arial"/>
          <w:i/>
          <w:sz w:val="20"/>
          <w:szCs w:val="20"/>
          <w:lang w:val="en-US"/>
        </w:rPr>
        <w:t>Syst</w:t>
      </w:r>
      <w:proofErr w:type="spellEnd"/>
      <w:r w:rsidR="00F0314D">
        <w:rPr>
          <w:rFonts w:ascii="Arial" w:hAnsi="Arial" w:cs="Arial"/>
          <w:sz w:val="20"/>
          <w:szCs w:val="20"/>
          <w:lang w:val="en-US"/>
        </w:rPr>
        <w:t xml:space="preserve"> Rev</w:t>
      </w:r>
      <w:r w:rsidRPr="00680065">
        <w:rPr>
          <w:rFonts w:ascii="Arial" w:hAnsi="Arial" w:cs="Arial"/>
          <w:sz w:val="20"/>
          <w:szCs w:val="20"/>
          <w:lang w:val="en-US"/>
        </w:rPr>
        <w:t xml:space="preserve"> </w:t>
      </w:r>
      <w:proofErr w:type="gramStart"/>
      <w:r w:rsidRPr="00680065">
        <w:rPr>
          <w:rFonts w:ascii="Arial" w:hAnsi="Arial" w:cs="Arial"/>
          <w:sz w:val="20"/>
          <w:szCs w:val="20"/>
          <w:lang w:val="en-US"/>
        </w:rPr>
        <w:t>2000;</w:t>
      </w:r>
      <w:proofErr w:type="gramEnd"/>
      <w:r w:rsidRPr="00680065">
        <w:rPr>
          <w:rFonts w:ascii="Arial" w:hAnsi="Arial" w:cs="Arial"/>
          <w:sz w:val="20"/>
          <w:szCs w:val="20"/>
          <w:lang w:val="en-US"/>
        </w:rPr>
        <w:t xml:space="preserve">(2):CD001157. </w:t>
      </w:r>
    </w:p>
    <w:p w14:paraId="458E8266" w14:textId="77777777" w:rsidR="00680065" w:rsidRDefault="00680065" w:rsidP="00680065">
      <w:pPr>
        <w:pStyle w:val="Prrafodelista"/>
        <w:numPr>
          <w:ilvl w:val="0"/>
          <w:numId w:val="4"/>
        </w:numPr>
        <w:spacing w:after="200" w:line="276" w:lineRule="auto"/>
        <w:jc w:val="both"/>
        <w:rPr>
          <w:rFonts w:ascii="Arial" w:hAnsi="Arial" w:cs="Arial"/>
          <w:sz w:val="20"/>
          <w:szCs w:val="20"/>
          <w:lang w:val="en-US"/>
        </w:rPr>
      </w:pPr>
      <w:r w:rsidRPr="00680065">
        <w:rPr>
          <w:rFonts w:ascii="Arial" w:hAnsi="Arial" w:cs="Arial"/>
          <w:sz w:val="20"/>
          <w:szCs w:val="20"/>
          <w:lang w:val="en-US"/>
        </w:rPr>
        <w:t xml:space="preserve">Jain V, Gordon C. Managing pregnancy in inflammatory </w:t>
      </w:r>
      <w:proofErr w:type="spellStart"/>
      <w:r w:rsidRPr="00680065">
        <w:rPr>
          <w:rFonts w:ascii="Arial" w:hAnsi="Arial" w:cs="Arial"/>
          <w:sz w:val="20"/>
          <w:szCs w:val="20"/>
          <w:lang w:val="en-US"/>
        </w:rPr>
        <w:t>rheumatological</w:t>
      </w:r>
      <w:proofErr w:type="spellEnd"/>
      <w:r w:rsidRPr="00680065">
        <w:rPr>
          <w:rFonts w:ascii="Arial" w:hAnsi="Arial" w:cs="Arial"/>
          <w:sz w:val="20"/>
          <w:szCs w:val="20"/>
          <w:lang w:val="en-US"/>
        </w:rPr>
        <w:t xml:space="preserve"> diseases. </w:t>
      </w:r>
      <w:r w:rsidRPr="00680065">
        <w:rPr>
          <w:rFonts w:ascii="Arial" w:hAnsi="Arial" w:cs="Arial"/>
          <w:i/>
          <w:sz w:val="20"/>
          <w:szCs w:val="20"/>
          <w:lang w:val="en-US"/>
        </w:rPr>
        <w:t xml:space="preserve">Arthritis Res </w:t>
      </w:r>
      <w:proofErr w:type="spellStart"/>
      <w:r w:rsidRPr="00680065">
        <w:rPr>
          <w:rFonts w:ascii="Arial" w:hAnsi="Arial" w:cs="Arial"/>
          <w:i/>
          <w:sz w:val="20"/>
          <w:szCs w:val="20"/>
          <w:lang w:val="en-US"/>
        </w:rPr>
        <w:t>Ther</w:t>
      </w:r>
      <w:proofErr w:type="spellEnd"/>
      <w:r w:rsidRPr="00680065">
        <w:rPr>
          <w:rFonts w:ascii="Arial" w:hAnsi="Arial" w:cs="Arial"/>
          <w:sz w:val="20"/>
          <w:szCs w:val="20"/>
          <w:lang w:val="en-US"/>
        </w:rPr>
        <w:t xml:space="preserve"> 2011</w:t>
      </w:r>
      <w:proofErr w:type="gramStart"/>
      <w:r w:rsidRPr="00680065">
        <w:rPr>
          <w:rFonts w:ascii="Arial" w:hAnsi="Arial" w:cs="Arial"/>
          <w:sz w:val="20"/>
          <w:szCs w:val="20"/>
          <w:lang w:val="en-US"/>
        </w:rPr>
        <w:t>;13</w:t>
      </w:r>
      <w:proofErr w:type="gramEnd"/>
      <w:r w:rsidRPr="00680065">
        <w:rPr>
          <w:rFonts w:ascii="Arial" w:hAnsi="Arial" w:cs="Arial"/>
          <w:sz w:val="20"/>
          <w:szCs w:val="20"/>
          <w:lang w:val="en-US"/>
        </w:rPr>
        <w:t>(1):206.</w:t>
      </w:r>
    </w:p>
    <w:p w14:paraId="072D5D6C" w14:textId="77777777" w:rsidR="00680065" w:rsidRPr="00680065" w:rsidRDefault="00680065" w:rsidP="00680065">
      <w:pPr>
        <w:pStyle w:val="Prrafodelista"/>
        <w:numPr>
          <w:ilvl w:val="0"/>
          <w:numId w:val="4"/>
        </w:numPr>
        <w:spacing w:after="200" w:line="276" w:lineRule="auto"/>
        <w:jc w:val="both"/>
        <w:rPr>
          <w:rFonts w:ascii="Arial" w:hAnsi="Arial" w:cs="Arial"/>
          <w:sz w:val="20"/>
          <w:szCs w:val="20"/>
          <w:lang w:val="en-US"/>
        </w:rPr>
      </w:pPr>
      <w:proofErr w:type="spellStart"/>
      <w:r w:rsidRPr="00680065">
        <w:rPr>
          <w:rFonts w:ascii="Arial" w:eastAsia="Times-Roman" w:hAnsi="Arial" w:cs="Arial"/>
          <w:sz w:val="20"/>
          <w:szCs w:val="20"/>
        </w:rPr>
        <w:t>Munro</w:t>
      </w:r>
      <w:proofErr w:type="spellEnd"/>
      <w:r w:rsidRPr="00680065">
        <w:rPr>
          <w:rFonts w:ascii="Arial" w:eastAsia="Times-Roman" w:hAnsi="Arial" w:cs="Arial"/>
          <w:sz w:val="20"/>
          <w:szCs w:val="20"/>
        </w:rPr>
        <w:t xml:space="preserve"> R, </w:t>
      </w:r>
      <w:proofErr w:type="spellStart"/>
      <w:r w:rsidRPr="00680065">
        <w:rPr>
          <w:rFonts w:ascii="Arial" w:eastAsia="Times-Roman" w:hAnsi="Arial" w:cs="Arial"/>
          <w:sz w:val="20"/>
          <w:szCs w:val="20"/>
        </w:rPr>
        <w:t>Capell</w:t>
      </w:r>
      <w:proofErr w:type="spellEnd"/>
      <w:r w:rsidRPr="00680065">
        <w:rPr>
          <w:rFonts w:ascii="Arial" w:eastAsia="Times-Roman" w:hAnsi="Arial" w:cs="Arial"/>
          <w:sz w:val="20"/>
          <w:szCs w:val="20"/>
        </w:rPr>
        <w:t xml:space="preserve"> HA</w:t>
      </w:r>
      <w:r w:rsidR="00F0314D">
        <w:rPr>
          <w:rFonts w:ascii="Arial" w:eastAsia="Times-Roman" w:hAnsi="Arial" w:cs="Arial"/>
          <w:sz w:val="20"/>
          <w:szCs w:val="20"/>
        </w:rPr>
        <w:t xml:space="preserve">. </w:t>
      </w:r>
      <w:proofErr w:type="spellStart"/>
      <w:r w:rsidR="00F0314D">
        <w:rPr>
          <w:rFonts w:ascii="Arial" w:eastAsia="Times-Roman" w:hAnsi="Arial" w:cs="Arial"/>
          <w:sz w:val="20"/>
          <w:szCs w:val="20"/>
        </w:rPr>
        <w:t>Penicillamine</w:t>
      </w:r>
      <w:proofErr w:type="spellEnd"/>
      <w:r w:rsidR="00F0314D">
        <w:rPr>
          <w:rFonts w:ascii="Arial" w:eastAsia="Times-Roman" w:hAnsi="Arial" w:cs="Arial"/>
          <w:sz w:val="20"/>
          <w:szCs w:val="20"/>
        </w:rPr>
        <w:t xml:space="preserve">. </w:t>
      </w:r>
      <w:r w:rsidR="00F0314D" w:rsidRPr="00F0314D">
        <w:rPr>
          <w:rFonts w:ascii="Arial" w:eastAsia="Times-Roman" w:hAnsi="Arial" w:cs="Arial"/>
          <w:i/>
          <w:sz w:val="20"/>
          <w:szCs w:val="20"/>
        </w:rPr>
        <w:t xml:space="preserve">Br J </w:t>
      </w:r>
      <w:proofErr w:type="spellStart"/>
      <w:r w:rsidR="00F0314D" w:rsidRPr="00F0314D">
        <w:rPr>
          <w:rFonts w:ascii="Arial" w:eastAsia="Times-Roman" w:hAnsi="Arial" w:cs="Arial"/>
          <w:i/>
          <w:sz w:val="20"/>
          <w:szCs w:val="20"/>
        </w:rPr>
        <w:t>Rheumatol</w:t>
      </w:r>
      <w:proofErr w:type="spellEnd"/>
      <w:r w:rsidR="00F0314D">
        <w:rPr>
          <w:rFonts w:ascii="Arial" w:eastAsia="Times-Roman" w:hAnsi="Arial" w:cs="Arial"/>
          <w:sz w:val="20"/>
          <w:szCs w:val="20"/>
        </w:rPr>
        <w:t xml:space="preserve"> 1997;</w:t>
      </w:r>
      <w:r w:rsidRPr="00680065">
        <w:rPr>
          <w:rFonts w:ascii="Arial" w:eastAsia="Times-Roman" w:hAnsi="Arial" w:cs="Arial"/>
          <w:sz w:val="20"/>
          <w:szCs w:val="20"/>
        </w:rPr>
        <w:t>36(1):104-9.</w:t>
      </w:r>
    </w:p>
    <w:p w14:paraId="7265ADF5" w14:textId="77777777" w:rsidR="00680065" w:rsidRPr="00680065" w:rsidRDefault="00680065" w:rsidP="00680065">
      <w:pPr>
        <w:pStyle w:val="Prrafodelista"/>
        <w:numPr>
          <w:ilvl w:val="0"/>
          <w:numId w:val="4"/>
        </w:numPr>
        <w:spacing w:after="200" w:line="276" w:lineRule="auto"/>
        <w:jc w:val="both"/>
        <w:rPr>
          <w:rFonts w:ascii="Arial" w:hAnsi="Arial" w:cs="Arial"/>
          <w:sz w:val="20"/>
          <w:szCs w:val="20"/>
          <w:lang w:val="en-US"/>
        </w:rPr>
      </w:pPr>
      <w:r w:rsidRPr="00680065">
        <w:rPr>
          <w:rFonts w:ascii="Arial" w:eastAsia="Times-Roman" w:hAnsi="Arial" w:cs="Arial"/>
          <w:sz w:val="20"/>
          <w:szCs w:val="20"/>
          <w:lang w:val="en-US"/>
        </w:rPr>
        <w:t>Suarez-</w:t>
      </w:r>
      <w:proofErr w:type="spellStart"/>
      <w:r w:rsidRPr="00680065">
        <w:rPr>
          <w:rFonts w:ascii="Arial" w:eastAsia="Times-Roman" w:hAnsi="Arial" w:cs="Arial"/>
          <w:sz w:val="20"/>
          <w:szCs w:val="20"/>
          <w:lang w:val="en-US"/>
        </w:rPr>
        <w:t>Almazor</w:t>
      </w:r>
      <w:proofErr w:type="spellEnd"/>
      <w:r w:rsidRPr="00680065">
        <w:rPr>
          <w:rFonts w:ascii="Arial" w:eastAsia="Times-Roman" w:hAnsi="Arial" w:cs="Arial"/>
          <w:sz w:val="20"/>
          <w:szCs w:val="20"/>
          <w:lang w:val="en-US"/>
        </w:rPr>
        <w:t xml:space="preserve"> ME, Spooner C, </w:t>
      </w:r>
      <w:proofErr w:type="spellStart"/>
      <w:r w:rsidRPr="00680065">
        <w:rPr>
          <w:rFonts w:ascii="Arial" w:eastAsia="Times-Roman" w:hAnsi="Arial" w:cs="Arial"/>
          <w:sz w:val="20"/>
          <w:szCs w:val="20"/>
          <w:lang w:val="en-US"/>
        </w:rPr>
        <w:t>Belseck</w:t>
      </w:r>
      <w:proofErr w:type="spellEnd"/>
      <w:r w:rsidRPr="00680065">
        <w:rPr>
          <w:rFonts w:ascii="Arial" w:eastAsia="Times-Roman" w:hAnsi="Arial" w:cs="Arial"/>
          <w:sz w:val="20"/>
          <w:szCs w:val="20"/>
          <w:lang w:val="en-US"/>
        </w:rPr>
        <w:t xml:space="preserve"> E. </w:t>
      </w:r>
      <w:proofErr w:type="spellStart"/>
      <w:r w:rsidRPr="00680065">
        <w:rPr>
          <w:rFonts w:ascii="Arial" w:eastAsia="Times-Roman" w:hAnsi="Arial" w:cs="Arial"/>
          <w:sz w:val="20"/>
          <w:szCs w:val="20"/>
          <w:lang w:val="en-US"/>
        </w:rPr>
        <w:t>Penicillamine</w:t>
      </w:r>
      <w:proofErr w:type="spellEnd"/>
      <w:r w:rsidRPr="00680065">
        <w:rPr>
          <w:rFonts w:ascii="Arial" w:eastAsia="Times-Roman" w:hAnsi="Arial" w:cs="Arial"/>
          <w:sz w:val="20"/>
          <w:szCs w:val="20"/>
          <w:lang w:val="en-US"/>
        </w:rPr>
        <w:t xml:space="preserve"> for treating rheumatoid arthritis. </w:t>
      </w:r>
      <w:r w:rsidRPr="00F0314D">
        <w:rPr>
          <w:rFonts w:ascii="Arial" w:eastAsia="Times-Roman" w:hAnsi="Arial" w:cs="Arial"/>
          <w:i/>
          <w:sz w:val="20"/>
          <w:szCs w:val="20"/>
          <w:lang w:val="en-US"/>
        </w:rPr>
        <w:t xml:space="preserve">Cochrane Database </w:t>
      </w:r>
      <w:proofErr w:type="spellStart"/>
      <w:r w:rsidRPr="00F0314D">
        <w:rPr>
          <w:rFonts w:ascii="Arial" w:eastAsia="Times-Roman" w:hAnsi="Arial" w:cs="Arial"/>
          <w:i/>
          <w:sz w:val="20"/>
          <w:szCs w:val="20"/>
          <w:lang w:val="en-US"/>
        </w:rPr>
        <w:t>Syst</w:t>
      </w:r>
      <w:proofErr w:type="spellEnd"/>
      <w:r w:rsidRPr="00F0314D">
        <w:rPr>
          <w:rFonts w:ascii="Arial" w:eastAsia="Times-Roman" w:hAnsi="Arial" w:cs="Arial"/>
          <w:i/>
          <w:sz w:val="20"/>
          <w:szCs w:val="20"/>
          <w:lang w:val="en-US"/>
        </w:rPr>
        <w:t xml:space="preserve"> Rev</w:t>
      </w:r>
      <w:r w:rsidRPr="00680065">
        <w:rPr>
          <w:rFonts w:ascii="Arial" w:eastAsia="Times-Roman" w:hAnsi="Arial" w:cs="Arial"/>
          <w:sz w:val="20"/>
          <w:szCs w:val="20"/>
          <w:lang w:val="en-US"/>
        </w:rPr>
        <w:t xml:space="preserve"> 2000;(4):CD001460</w:t>
      </w:r>
    </w:p>
    <w:p w14:paraId="41CF72E9" w14:textId="77777777" w:rsidR="00680065" w:rsidRDefault="00680065" w:rsidP="00680065">
      <w:pPr>
        <w:pStyle w:val="Prrafodelista"/>
        <w:numPr>
          <w:ilvl w:val="0"/>
          <w:numId w:val="4"/>
        </w:numPr>
        <w:spacing w:after="200" w:line="276" w:lineRule="auto"/>
        <w:jc w:val="both"/>
        <w:rPr>
          <w:rFonts w:ascii="Arial" w:hAnsi="Arial" w:cs="Arial"/>
          <w:sz w:val="20"/>
          <w:szCs w:val="20"/>
          <w:lang w:val="en-US"/>
        </w:rPr>
      </w:pPr>
      <w:proofErr w:type="spellStart"/>
      <w:r w:rsidRPr="00680065">
        <w:rPr>
          <w:rFonts w:ascii="Arial" w:hAnsi="Arial" w:cs="Arial"/>
          <w:sz w:val="20"/>
          <w:szCs w:val="20"/>
          <w:lang w:val="en-US"/>
        </w:rPr>
        <w:t>Adalimumab</w:t>
      </w:r>
      <w:proofErr w:type="spellEnd"/>
      <w:r w:rsidRPr="00680065">
        <w:rPr>
          <w:rFonts w:ascii="Arial" w:hAnsi="Arial" w:cs="Arial"/>
          <w:sz w:val="20"/>
          <w:szCs w:val="20"/>
          <w:lang w:val="en-US"/>
        </w:rPr>
        <w:t xml:space="preserve">, </w:t>
      </w:r>
      <w:proofErr w:type="spellStart"/>
      <w:r w:rsidRPr="00680065">
        <w:rPr>
          <w:rFonts w:ascii="Arial" w:hAnsi="Arial" w:cs="Arial"/>
          <w:sz w:val="20"/>
          <w:szCs w:val="20"/>
          <w:lang w:val="en-US"/>
        </w:rPr>
        <w:t>Etanercept</w:t>
      </w:r>
      <w:proofErr w:type="spellEnd"/>
      <w:r w:rsidRPr="00680065">
        <w:rPr>
          <w:rFonts w:ascii="Arial" w:hAnsi="Arial" w:cs="Arial"/>
          <w:sz w:val="20"/>
          <w:szCs w:val="20"/>
          <w:lang w:val="en-US"/>
        </w:rPr>
        <w:t xml:space="preserve">, Infliximab, Rituximab and </w:t>
      </w:r>
      <w:proofErr w:type="spellStart"/>
      <w:r w:rsidRPr="00680065">
        <w:rPr>
          <w:rFonts w:ascii="Arial" w:hAnsi="Arial" w:cs="Arial"/>
          <w:sz w:val="20"/>
          <w:szCs w:val="20"/>
          <w:lang w:val="en-US"/>
        </w:rPr>
        <w:t>Abatacept</w:t>
      </w:r>
      <w:proofErr w:type="spellEnd"/>
      <w:r w:rsidRPr="00680065">
        <w:rPr>
          <w:rFonts w:ascii="Arial" w:hAnsi="Arial" w:cs="Arial"/>
          <w:sz w:val="20"/>
          <w:szCs w:val="20"/>
          <w:lang w:val="en-US"/>
        </w:rPr>
        <w:t xml:space="preserve"> for the treatment of rheumatoid arthritis after the f</w:t>
      </w:r>
      <w:r w:rsidR="00F0314D">
        <w:rPr>
          <w:rFonts w:ascii="Arial" w:hAnsi="Arial" w:cs="Arial"/>
          <w:sz w:val="20"/>
          <w:szCs w:val="20"/>
          <w:lang w:val="en-US"/>
        </w:rPr>
        <w:t>ailure of a TNF inhibitor, part</w:t>
      </w:r>
      <w:r w:rsidRPr="00680065">
        <w:rPr>
          <w:rFonts w:ascii="Arial" w:hAnsi="Arial" w:cs="Arial"/>
          <w:sz w:val="20"/>
          <w:szCs w:val="20"/>
          <w:lang w:val="en-US"/>
        </w:rPr>
        <w:t xml:space="preserve"> review of NICE technology appraisal guidance 195. August 2010.</w:t>
      </w:r>
    </w:p>
    <w:p w14:paraId="4E78257E" w14:textId="77777777" w:rsidR="00680065" w:rsidRPr="00680065" w:rsidRDefault="00680065" w:rsidP="00680065">
      <w:pPr>
        <w:pStyle w:val="Prrafodelista"/>
        <w:numPr>
          <w:ilvl w:val="0"/>
          <w:numId w:val="4"/>
        </w:numPr>
        <w:spacing w:after="200" w:line="276" w:lineRule="auto"/>
        <w:jc w:val="both"/>
        <w:rPr>
          <w:rFonts w:ascii="Arial" w:hAnsi="Arial" w:cs="Arial"/>
          <w:sz w:val="20"/>
          <w:szCs w:val="20"/>
          <w:lang w:val="en-US"/>
        </w:rPr>
      </w:pPr>
      <w:r w:rsidRPr="00680065">
        <w:rPr>
          <w:rFonts w:ascii="Arial" w:hAnsi="Arial" w:cs="Arial"/>
          <w:sz w:val="20"/>
          <w:szCs w:val="20"/>
          <w:lang w:val="pt-BR"/>
        </w:rPr>
        <w:t xml:space="preserve">Joao Eurico Fonseca, Miguel Bernardes, Helena </w:t>
      </w:r>
      <w:proofErr w:type="spellStart"/>
      <w:r w:rsidRPr="00680065">
        <w:rPr>
          <w:rFonts w:ascii="Arial" w:hAnsi="Arial" w:cs="Arial"/>
          <w:sz w:val="20"/>
          <w:szCs w:val="20"/>
          <w:lang w:val="pt-BR"/>
        </w:rPr>
        <w:t>Canhao</w:t>
      </w:r>
      <w:proofErr w:type="spellEnd"/>
      <w:r w:rsidRPr="00680065">
        <w:rPr>
          <w:rFonts w:ascii="Arial" w:hAnsi="Arial" w:cs="Arial"/>
          <w:sz w:val="20"/>
          <w:szCs w:val="20"/>
          <w:lang w:val="pt-BR"/>
        </w:rPr>
        <w:t>. P</w:t>
      </w:r>
      <w:proofErr w:type="spellStart"/>
      <w:r w:rsidRPr="00680065">
        <w:rPr>
          <w:rFonts w:ascii="Arial" w:hAnsi="Arial" w:cs="Arial"/>
          <w:sz w:val="20"/>
          <w:szCs w:val="20"/>
          <w:lang w:val="en-US"/>
        </w:rPr>
        <w:t>ortuguese</w:t>
      </w:r>
      <w:proofErr w:type="spellEnd"/>
      <w:r w:rsidRPr="00680065">
        <w:rPr>
          <w:rFonts w:ascii="Arial" w:hAnsi="Arial" w:cs="Arial"/>
          <w:sz w:val="20"/>
          <w:szCs w:val="20"/>
          <w:lang w:val="en-US"/>
        </w:rPr>
        <w:t xml:space="preserve"> guidelines for the use of biological agents in RA. </w:t>
      </w:r>
      <w:r w:rsidR="00F0314D" w:rsidRPr="00F0314D">
        <w:rPr>
          <w:rFonts w:ascii="Arial" w:hAnsi="Arial" w:cs="Arial"/>
          <w:i/>
          <w:sz w:val="20"/>
          <w:szCs w:val="20"/>
          <w:lang w:val="es-MX"/>
        </w:rPr>
        <w:t>Acta Reumatol P</w:t>
      </w:r>
      <w:r w:rsidRPr="00F0314D">
        <w:rPr>
          <w:rFonts w:ascii="Arial" w:hAnsi="Arial" w:cs="Arial"/>
          <w:i/>
          <w:sz w:val="20"/>
          <w:szCs w:val="20"/>
          <w:lang w:val="es-MX"/>
        </w:rPr>
        <w:t>ort</w:t>
      </w:r>
      <w:r w:rsidRPr="00680065">
        <w:rPr>
          <w:rFonts w:ascii="Arial" w:hAnsi="Arial" w:cs="Arial"/>
          <w:sz w:val="20"/>
          <w:szCs w:val="20"/>
          <w:lang w:val="es-MX"/>
        </w:rPr>
        <w:t xml:space="preserve"> 2011;36:385-388.</w:t>
      </w:r>
    </w:p>
    <w:p w14:paraId="72432C3C" w14:textId="77777777" w:rsidR="00F0314D" w:rsidRDefault="00680065" w:rsidP="00680065">
      <w:pPr>
        <w:pStyle w:val="Prrafodelista"/>
        <w:numPr>
          <w:ilvl w:val="0"/>
          <w:numId w:val="4"/>
        </w:numPr>
        <w:spacing w:after="200" w:line="276" w:lineRule="auto"/>
        <w:jc w:val="both"/>
        <w:rPr>
          <w:rFonts w:ascii="Arial" w:hAnsi="Arial" w:cs="Arial"/>
          <w:sz w:val="20"/>
          <w:szCs w:val="20"/>
          <w:lang w:val="en-US"/>
        </w:rPr>
      </w:pPr>
      <w:r w:rsidRPr="00F0314D">
        <w:rPr>
          <w:rFonts w:ascii="Arial" w:hAnsi="Arial" w:cs="Arial"/>
          <w:sz w:val="20"/>
          <w:szCs w:val="20"/>
          <w:lang w:val="en-US"/>
        </w:rPr>
        <w:t xml:space="preserve">Strand V, </w:t>
      </w:r>
      <w:proofErr w:type="spellStart"/>
      <w:r w:rsidRPr="00F0314D">
        <w:rPr>
          <w:rFonts w:ascii="Arial" w:hAnsi="Arial" w:cs="Arial"/>
          <w:sz w:val="20"/>
          <w:szCs w:val="20"/>
          <w:lang w:val="en-US"/>
        </w:rPr>
        <w:t>Smolen</w:t>
      </w:r>
      <w:proofErr w:type="spellEnd"/>
      <w:r w:rsidRPr="00F0314D">
        <w:rPr>
          <w:rFonts w:ascii="Arial" w:hAnsi="Arial" w:cs="Arial"/>
          <w:sz w:val="20"/>
          <w:szCs w:val="20"/>
          <w:lang w:val="en-US"/>
        </w:rPr>
        <w:t xml:space="preserve"> JS, van </w:t>
      </w:r>
      <w:proofErr w:type="spellStart"/>
      <w:r w:rsidRPr="00F0314D">
        <w:rPr>
          <w:rFonts w:ascii="Arial" w:hAnsi="Arial" w:cs="Arial"/>
          <w:sz w:val="20"/>
          <w:szCs w:val="20"/>
          <w:lang w:val="en-US"/>
        </w:rPr>
        <w:t>Vollenhoven</w:t>
      </w:r>
      <w:proofErr w:type="spellEnd"/>
      <w:r w:rsidRPr="00F0314D">
        <w:rPr>
          <w:rFonts w:ascii="Arial" w:hAnsi="Arial" w:cs="Arial"/>
          <w:sz w:val="20"/>
          <w:szCs w:val="20"/>
          <w:lang w:val="en-US"/>
        </w:rPr>
        <w:t xml:space="preserve"> RF</w:t>
      </w:r>
      <w:r w:rsidR="00F0314D">
        <w:rPr>
          <w:rFonts w:ascii="Arial" w:hAnsi="Arial" w:cs="Arial"/>
          <w:sz w:val="20"/>
          <w:szCs w:val="20"/>
          <w:lang w:val="en-US"/>
        </w:rPr>
        <w:t>,</w:t>
      </w:r>
      <w:r w:rsidRPr="00F0314D">
        <w:rPr>
          <w:rFonts w:ascii="Arial" w:hAnsi="Arial" w:cs="Arial"/>
          <w:sz w:val="20"/>
          <w:szCs w:val="20"/>
          <w:lang w:val="en-US"/>
        </w:rPr>
        <w:t xml:space="preserve"> </w:t>
      </w:r>
      <w:r w:rsidRPr="00F0314D">
        <w:rPr>
          <w:rFonts w:ascii="Arial" w:hAnsi="Arial" w:cs="Arial"/>
          <w:i/>
          <w:sz w:val="20"/>
          <w:szCs w:val="20"/>
          <w:lang w:val="en-US"/>
        </w:rPr>
        <w:t>et al</w:t>
      </w:r>
      <w:r w:rsidRPr="00F0314D">
        <w:rPr>
          <w:rFonts w:ascii="Arial" w:hAnsi="Arial" w:cs="Arial"/>
          <w:sz w:val="20"/>
          <w:szCs w:val="20"/>
          <w:lang w:val="en-US"/>
        </w:rPr>
        <w:t xml:space="preserve">. </w:t>
      </w:r>
      <w:proofErr w:type="spellStart"/>
      <w:r w:rsidRPr="00F0314D">
        <w:rPr>
          <w:rFonts w:ascii="Arial" w:hAnsi="Arial" w:cs="Arial"/>
          <w:sz w:val="20"/>
          <w:szCs w:val="20"/>
          <w:lang w:val="en-US"/>
        </w:rPr>
        <w:t>Certolizumab</w:t>
      </w:r>
      <w:proofErr w:type="spellEnd"/>
      <w:r w:rsidRPr="00F0314D">
        <w:rPr>
          <w:rFonts w:ascii="Arial" w:hAnsi="Arial" w:cs="Arial"/>
          <w:sz w:val="20"/>
          <w:szCs w:val="20"/>
          <w:lang w:val="en-US"/>
        </w:rPr>
        <w:t xml:space="preserve"> </w:t>
      </w:r>
      <w:proofErr w:type="spellStart"/>
      <w:r w:rsidRPr="00F0314D">
        <w:rPr>
          <w:rFonts w:ascii="Arial" w:hAnsi="Arial" w:cs="Arial"/>
          <w:sz w:val="20"/>
          <w:szCs w:val="20"/>
          <w:lang w:val="en-US"/>
        </w:rPr>
        <w:t>pegol</w:t>
      </w:r>
      <w:proofErr w:type="spellEnd"/>
      <w:r w:rsidRPr="00F0314D">
        <w:rPr>
          <w:rFonts w:ascii="Arial" w:hAnsi="Arial" w:cs="Arial"/>
          <w:sz w:val="20"/>
          <w:szCs w:val="20"/>
          <w:lang w:val="en-US"/>
        </w:rPr>
        <w:t xml:space="preserve"> plus methotrexate provides broad relief from the burden of rheumatoid arthritis: analysis of patient-reported outcomes from the RAPID 2 trial. </w:t>
      </w:r>
      <w:r w:rsidRPr="00F0314D">
        <w:rPr>
          <w:rFonts w:ascii="Arial" w:hAnsi="Arial" w:cs="Arial"/>
          <w:i/>
          <w:sz w:val="20"/>
          <w:szCs w:val="20"/>
          <w:lang w:val="en-US"/>
        </w:rPr>
        <w:t>Ann Rheum Dis</w:t>
      </w:r>
      <w:r w:rsidRPr="00F0314D">
        <w:rPr>
          <w:rFonts w:ascii="Arial" w:hAnsi="Arial" w:cs="Arial"/>
          <w:sz w:val="20"/>
          <w:szCs w:val="20"/>
          <w:lang w:val="en-US"/>
        </w:rPr>
        <w:t xml:space="preserve"> 2011</w:t>
      </w:r>
      <w:proofErr w:type="gramStart"/>
      <w:r w:rsidRPr="00F0314D">
        <w:rPr>
          <w:rFonts w:ascii="Arial" w:hAnsi="Arial" w:cs="Arial"/>
          <w:sz w:val="20"/>
          <w:szCs w:val="20"/>
          <w:lang w:val="en-US"/>
        </w:rPr>
        <w:t>;70:996</w:t>
      </w:r>
      <w:proofErr w:type="gramEnd"/>
      <w:r w:rsidRPr="00F0314D">
        <w:rPr>
          <w:rFonts w:ascii="Arial" w:hAnsi="Arial" w:cs="Arial"/>
          <w:sz w:val="20"/>
          <w:szCs w:val="20"/>
          <w:lang w:val="en-US"/>
        </w:rPr>
        <w:t>-1002.</w:t>
      </w:r>
    </w:p>
    <w:p w14:paraId="1604F55B" w14:textId="77777777" w:rsidR="00F0314D" w:rsidRDefault="00680065" w:rsidP="00680065">
      <w:pPr>
        <w:pStyle w:val="Prrafodelista"/>
        <w:numPr>
          <w:ilvl w:val="0"/>
          <w:numId w:val="4"/>
        </w:numPr>
        <w:spacing w:after="200" w:line="276" w:lineRule="auto"/>
        <w:jc w:val="both"/>
        <w:rPr>
          <w:rFonts w:ascii="Arial" w:hAnsi="Arial" w:cs="Arial"/>
          <w:sz w:val="20"/>
          <w:szCs w:val="20"/>
          <w:lang w:val="en-US"/>
        </w:rPr>
      </w:pPr>
      <w:proofErr w:type="spellStart"/>
      <w:r w:rsidRPr="00F0314D">
        <w:rPr>
          <w:rFonts w:ascii="Arial" w:hAnsi="Arial" w:cs="Arial"/>
          <w:sz w:val="20"/>
          <w:szCs w:val="20"/>
          <w:lang w:val="en-US"/>
        </w:rPr>
        <w:t>Weinblatt</w:t>
      </w:r>
      <w:proofErr w:type="spellEnd"/>
      <w:r w:rsidRPr="00F0314D">
        <w:rPr>
          <w:rFonts w:ascii="Arial" w:hAnsi="Arial" w:cs="Arial"/>
          <w:sz w:val="20"/>
          <w:szCs w:val="20"/>
          <w:lang w:val="en-US"/>
        </w:rPr>
        <w:t xml:space="preserve"> ME, Fleischmann R, Huizinga TW</w:t>
      </w:r>
      <w:r w:rsidR="00F0314D">
        <w:rPr>
          <w:rFonts w:ascii="Arial" w:hAnsi="Arial" w:cs="Arial"/>
          <w:sz w:val="20"/>
          <w:szCs w:val="20"/>
          <w:lang w:val="en-US"/>
        </w:rPr>
        <w:t>,</w:t>
      </w:r>
      <w:r w:rsidRPr="00F0314D">
        <w:rPr>
          <w:rFonts w:ascii="Arial" w:hAnsi="Arial" w:cs="Arial"/>
          <w:sz w:val="20"/>
          <w:szCs w:val="20"/>
          <w:lang w:val="en-US"/>
        </w:rPr>
        <w:t xml:space="preserve"> </w:t>
      </w:r>
      <w:r w:rsidRPr="00F0314D">
        <w:rPr>
          <w:rFonts w:ascii="Arial" w:hAnsi="Arial" w:cs="Arial"/>
          <w:i/>
          <w:sz w:val="20"/>
          <w:szCs w:val="20"/>
          <w:lang w:val="en-US"/>
        </w:rPr>
        <w:t>et al</w:t>
      </w:r>
      <w:r w:rsidRPr="00F0314D">
        <w:rPr>
          <w:rFonts w:ascii="Arial" w:hAnsi="Arial" w:cs="Arial"/>
          <w:sz w:val="20"/>
          <w:szCs w:val="20"/>
          <w:lang w:val="en-US"/>
        </w:rPr>
        <w:t xml:space="preserve">. Efficacy and safety of certolizumab pegol in a broad population of patients with active rheumatoid arthritis: results from the REALISTIC phase </w:t>
      </w:r>
      <w:proofErr w:type="spellStart"/>
      <w:r w:rsidRPr="00F0314D">
        <w:rPr>
          <w:rFonts w:ascii="Arial" w:hAnsi="Arial" w:cs="Arial"/>
          <w:sz w:val="20"/>
          <w:szCs w:val="20"/>
          <w:lang w:val="en-US"/>
        </w:rPr>
        <w:t>IIIb</w:t>
      </w:r>
      <w:proofErr w:type="spellEnd"/>
      <w:r w:rsidRPr="00F0314D">
        <w:rPr>
          <w:rFonts w:ascii="Arial" w:hAnsi="Arial" w:cs="Arial"/>
          <w:sz w:val="20"/>
          <w:szCs w:val="20"/>
          <w:lang w:val="en-US"/>
        </w:rPr>
        <w:t xml:space="preserve"> study. </w:t>
      </w:r>
      <w:r w:rsidRPr="00F0314D">
        <w:rPr>
          <w:rFonts w:ascii="Arial" w:hAnsi="Arial" w:cs="Arial"/>
          <w:i/>
          <w:sz w:val="20"/>
          <w:szCs w:val="20"/>
          <w:lang w:val="en-US"/>
        </w:rPr>
        <w:t>Rheumatology</w:t>
      </w:r>
      <w:r w:rsidRPr="00F0314D">
        <w:rPr>
          <w:rFonts w:ascii="Arial" w:hAnsi="Arial" w:cs="Arial"/>
          <w:sz w:val="20"/>
          <w:szCs w:val="20"/>
          <w:lang w:val="en-US"/>
        </w:rPr>
        <w:t xml:space="preserve"> (Oxford) 2012.</w:t>
      </w:r>
    </w:p>
    <w:p w14:paraId="57456BC4" w14:textId="77777777" w:rsidR="00F0314D" w:rsidRDefault="00680065" w:rsidP="00F0314D">
      <w:pPr>
        <w:pStyle w:val="Prrafodelista"/>
        <w:numPr>
          <w:ilvl w:val="0"/>
          <w:numId w:val="4"/>
        </w:numPr>
        <w:spacing w:after="200"/>
        <w:ind w:left="714" w:hanging="357"/>
        <w:jc w:val="both"/>
        <w:rPr>
          <w:rFonts w:ascii="Arial" w:hAnsi="Arial" w:cs="Arial"/>
          <w:sz w:val="20"/>
          <w:szCs w:val="20"/>
          <w:lang w:val="en-US"/>
        </w:rPr>
      </w:pPr>
      <w:r w:rsidRPr="00F0314D">
        <w:rPr>
          <w:rFonts w:ascii="Arial" w:hAnsi="Arial" w:cs="Arial"/>
          <w:sz w:val="20"/>
          <w:szCs w:val="20"/>
          <w:lang w:val="en-US"/>
        </w:rPr>
        <w:t xml:space="preserve">Curtis JR, </w:t>
      </w:r>
      <w:proofErr w:type="spellStart"/>
      <w:r w:rsidRPr="00F0314D">
        <w:rPr>
          <w:rFonts w:ascii="Arial" w:hAnsi="Arial" w:cs="Arial"/>
          <w:sz w:val="20"/>
          <w:szCs w:val="20"/>
          <w:lang w:val="en-US"/>
        </w:rPr>
        <w:t>Luijtens</w:t>
      </w:r>
      <w:proofErr w:type="spellEnd"/>
      <w:r w:rsidRPr="00F0314D">
        <w:rPr>
          <w:rFonts w:ascii="Arial" w:hAnsi="Arial" w:cs="Arial"/>
          <w:sz w:val="20"/>
          <w:szCs w:val="20"/>
          <w:lang w:val="en-US"/>
        </w:rPr>
        <w:t xml:space="preserve"> K, </w:t>
      </w:r>
      <w:proofErr w:type="spellStart"/>
      <w:r w:rsidRPr="00F0314D">
        <w:rPr>
          <w:rFonts w:ascii="Arial" w:hAnsi="Arial" w:cs="Arial"/>
          <w:sz w:val="20"/>
          <w:szCs w:val="20"/>
          <w:lang w:val="en-US"/>
        </w:rPr>
        <w:t>Kavanaugh</w:t>
      </w:r>
      <w:proofErr w:type="spellEnd"/>
      <w:r w:rsidRPr="00F0314D">
        <w:rPr>
          <w:rFonts w:ascii="Arial" w:hAnsi="Arial" w:cs="Arial"/>
          <w:sz w:val="20"/>
          <w:szCs w:val="20"/>
          <w:lang w:val="en-US"/>
        </w:rPr>
        <w:t xml:space="preserve"> A. Predicting future response to certolizumab pegol in rheumatoid arthritis patients: features at 12 weeks associated with low disease activity at 1 year. </w:t>
      </w:r>
      <w:r w:rsidRPr="00F0314D">
        <w:rPr>
          <w:rFonts w:ascii="Arial" w:hAnsi="Arial" w:cs="Arial"/>
          <w:i/>
          <w:sz w:val="20"/>
          <w:szCs w:val="20"/>
          <w:lang w:val="en-US"/>
        </w:rPr>
        <w:t>Arthritis Care Res</w:t>
      </w:r>
      <w:r w:rsidRPr="00F0314D">
        <w:rPr>
          <w:rFonts w:ascii="Arial" w:hAnsi="Arial" w:cs="Arial"/>
          <w:sz w:val="20"/>
          <w:szCs w:val="20"/>
          <w:lang w:val="en-US"/>
        </w:rPr>
        <w:t xml:space="preserve"> (Hoboken). 2012</w:t>
      </w:r>
      <w:proofErr w:type="gramStart"/>
      <w:r w:rsidRPr="00F0314D">
        <w:rPr>
          <w:rFonts w:ascii="Arial" w:hAnsi="Arial" w:cs="Arial"/>
          <w:sz w:val="20"/>
          <w:szCs w:val="20"/>
          <w:lang w:val="en-US"/>
        </w:rPr>
        <w:t>;64:658</w:t>
      </w:r>
      <w:proofErr w:type="gramEnd"/>
      <w:r w:rsidRPr="00F0314D">
        <w:rPr>
          <w:rFonts w:ascii="Arial" w:hAnsi="Arial" w:cs="Arial"/>
          <w:sz w:val="20"/>
          <w:szCs w:val="20"/>
          <w:lang w:val="en-US"/>
        </w:rPr>
        <w:t>-667.</w:t>
      </w:r>
    </w:p>
    <w:p w14:paraId="1D441187" w14:textId="77777777" w:rsidR="00F0314D" w:rsidRDefault="00680065" w:rsidP="00680065">
      <w:pPr>
        <w:pStyle w:val="Prrafodelista"/>
        <w:numPr>
          <w:ilvl w:val="0"/>
          <w:numId w:val="4"/>
        </w:numPr>
        <w:spacing w:after="200"/>
        <w:jc w:val="both"/>
        <w:rPr>
          <w:rFonts w:ascii="Arial" w:hAnsi="Arial" w:cs="Arial"/>
          <w:sz w:val="20"/>
          <w:szCs w:val="20"/>
          <w:lang w:val="en-US"/>
        </w:rPr>
      </w:pPr>
      <w:r w:rsidRPr="00F0314D">
        <w:rPr>
          <w:rFonts w:ascii="Arial" w:hAnsi="Arial" w:cs="Arial"/>
          <w:sz w:val="20"/>
          <w:szCs w:val="20"/>
          <w:lang w:val="en-US"/>
        </w:rPr>
        <w:t xml:space="preserve">Emery P, Fleischmann R, van der </w:t>
      </w:r>
      <w:proofErr w:type="spellStart"/>
      <w:r w:rsidRPr="00F0314D">
        <w:rPr>
          <w:rFonts w:ascii="Arial" w:hAnsi="Arial" w:cs="Arial"/>
          <w:sz w:val="20"/>
          <w:szCs w:val="20"/>
          <w:lang w:val="en-US"/>
        </w:rPr>
        <w:t>Heijde</w:t>
      </w:r>
      <w:proofErr w:type="spellEnd"/>
      <w:r w:rsidRPr="00F0314D">
        <w:rPr>
          <w:rFonts w:ascii="Arial" w:hAnsi="Arial" w:cs="Arial"/>
          <w:sz w:val="20"/>
          <w:szCs w:val="20"/>
          <w:lang w:val="en-US"/>
        </w:rPr>
        <w:t xml:space="preserve"> D</w:t>
      </w:r>
      <w:r w:rsidR="00F0314D">
        <w:rPr>
          <w:rFonts w:ascii="Arial" w:hAnsi="Arial" w:cs="Arial"/>
          <w:sz w:val="20"/>
          <w:szCs w:val="20"/>
          <w:lang w:val="en-US"/>
        </w:rPr>
        <w:t>,</w:t>
      </w:r>
      <w:r w:rsidRPr="00F0314D">
        <w:rPr>
          <w:rFonts w:ascii="Arial" w:hAnsi="Arial" w:cs="Arial"/>
          <w:sz w:val="20"/>
          <w:szCs w:val="20"/>
          <w:lang w:val="en-US"/>
        </w:rPr>
        <w:t xml:space="preserve"> </w:t>
      </w:r>
      <w:r w:rsidRPr="00F0314D">
        <w:rPr>
          <w:rFonts w:ascii="Arial" w:hAnsi="Arial" w:cs="Arial"/>
          <w:i/>
          <w:sz w:val="20"/>
          <w:szCs w:val="20"/>
          <w:lang w:val="en-US"/>
        </w:rPr>
        <w:t>et al</w:t>
      </w:r>
      <w:r w:rsidRPr="00F0314D">
        <w:rPr>
          <w:rFonts w:ascii="Arial" w:hAnsi="Arial" w:cs="Arial"/>
          <w:sz w:val="20"/>
          <w:szCs w:val="20"/>
          <w:lang w:val="en-US"/>
        </w:rPr>
        <w:t xml:space="preserve">. The effects of golimumab on radiographic progression in rheumatoid arthritis: results of randomized controlled studies of </w:t>
      </w:r>
      <w:proofErr w:type="spellStart"/>
      <w:r w:rsidRPr="00F0314D">
        <w:rPr>
          <w:rFonts w:ascii="Arial" w:hAnsi="Arial" w:cs="Arial"/>
          <w:sz w:val="20"/>
          <w:szCs w:val="20"/>
          <w:lang w:val="en-US"/>
        </w:rPr>
        <w:t>golimumab</w:t>
      </w:r>
      <w:proofErr w:type="spellEnd"/>
      <w:r w:rsidRPr="00F0314D">
        <w:rPr>
          <w:rFonts w:ascii="Arial" w:hAnsi="Arial" w:cs="Arial"/>
          <w:sz w:val="20"/>
          <w:szCs w:val="20"/>
          <w:lang w:val="en-US"/>
        </w:rPr>
        <w:t xml:space="preserve"> before methotrexate therapy and </w:t>
      </w:r>
      <w:proofErr w:type="spellStart"/>
      <w:r w:rsidRPr="00F0314D">
        <w:rPr>
          <w:rFonts w:ascii="Arial" w:hAnsi="Arial" w:cs="Arial"/>
          <w:sz w:val="20"/>
          <w:szCs w:val="20"/>
          <w:lang w:val="en-US"/>
        </w:rPr>
        <w:t>golimumab</w:t>
      </w:r>
      <w:proofErr w:type="spellEnd"/>
      <w:r w:rsidRPr="00F0314D">
        <w:rPr>
          <w:rFonts w:ascii="Arial" w:hAnsi="Arial" w:cs="Arial"/>
          <w:sz w:val="20"/>
          <w:szCs w:val="20"/>
          <w:lang w:val="en-US"/>
        </w:rPr>
        <w:t xml:space="preserve"> after methot</w:t>
      </w:r>
      <w:r w:rsidR="00F0314D">
        <w:rPr>
          <w:rFonts w:ascii="Arial" w:hAnsi="Arial" w:cs="Arial"/>
          <w:sz w:val="20"/>
          <w:szCs w:val="20"/>
          <w:lang w:val="en-US"/>
        </w:rPr>
        <w:t xml:space="preserve">rexate therapy. </w:t>
      </w:r>
      <w:r w:rsidR="00F0314D" w:rsidRPr="00F0314D">
        <w:rPr>
          <w:rFonts w:ascii="Arial" w:hAnsi="Arial" w:cs="Arial"/>
          <w:i/>
          <w:sz w:val="20"/>
          <w:szCs w:val="20"/>
          <w:lang w:val="en-US"/>
        </w:rPr>
        <w:t>Arthritis Rheum</w:t>
      </w:r>
      <w:r w:rsidRPr="00F0314D">
        <w:rPr>
          <w:rFonts w:ascii="Arial" w:hAnsi="Arial" w:cs="Arial"/>
          <w:sz w:val="20"/>
          <w:szCs w:val="20"/>
          <w:lang w:val="en-US"/>
        </w:rPr>
        <w:t xml:space="preserve"> 2011</w:t>
      </w:r>
      <w:proofErr w:type="gramStart"/>
      <w:r w:rsidRPr="00F0314D">
        <w:rPr>
          <w:rFonts w:ascii="Arial" w:hAnsi="Arial" w:cs="Arial"/>
          <w:sz w:val="20"/>
          <w:szCs w:val="20"/>
          <w:lang w:val="en-US"/>
        </w:rPr>
        <w:t>;63:1200</w:t>
      </w:r>
      <w:proofErr w:type="gramEnd"/>
      <w:r w:rsidRPr="00F0314D">
        <w:rPr>
          <w:rFonts w:ascii="Arial" w:hAnsi="Arial" w:cs="Arial"/>
          <w:sz w:val="20"/>
          <w:szCs w:val="20"/>
          <w:lang w:val="en-US"/>
        </w:rPr>
        <w:t>-1210.</w:t>
      </w:r>
    </w:p>
    <w:p w14:paraId="57611AEB" w14:textId="77777777" w:rsidR="00F0314D" w:rsidRDefault="00680065" w:rsidP="00680065">
      <w:pPr>
        <w:pStyle w:val="Prrafodelista"/>
        <w:numPr>
          <w:ilvl w:val="0"/>
          <w:numId w:val="4"/>
        </w:numPr>
        <w:spacing w:after="200"/>
        <w:jc w:val="both"/>
        <w:rPr>
          <w:rFonts w:ascii="Arial" w:hAnsi="Arial" w:cs="Arial"/>
          <w:sz w:val="20"/>
          <w:szCs w:val="20"/>
          <w:lang w:val="en-US"/>
        </w:rPr>
      </w:pPr>
      <w:proofErr w:type="spellStart"/>
      <w:r w:rsidRPr="00F0314D">
        <w:rPr>
          <w:rFonts w:ascii="Arial" w:hAnsi="Arial" w:cs="Arial"/>
          <w:sz w:val="20"/>
          <w:szCs w:val="20"/>
          <w:lang w:val="en-US"/>
        </w:rPr>
        <w:t>Smolen</w:t>
      </w:r>
      <w:proofErr w:type="spellEnd"/>
      <w:r w:rsidRPr="00F0314D">
        <w:rPr>
          <w:rFonts w:ascii="Arial" w:hAnsi="Arial" w:cs="Arial"/>
          <w:sz w:val="20"/>
          <w:szCs w:val="20"/>
          <w:lang w:val="en-US"/>
        </w:rPr>
        <w:t xml:space="preserve"> JS, Kay J, Doyle MK</w:t>
      </w:r>
      <w:r w:rsidR="00F0314D">
        <w:rPr>
          <w:rFonts w:ascii="Arial" w:hAnsi="Arial" w:cs="Arial"/>
          <w:sz w:val="20"/>
          <w:szCs w:val="20"/>
          <w:lang w:val="en-US"/>
        </w:rPr>
        <w:t>,</w:t>
      </w:r>
      <w:r w:rsidRPr="00F0314D">
        <w:rPr>
          <w:rFonts w:ascii="Arial" w:hAnsi="Arial" w:cs="Arial"/>
          <w:sz w:val="20"/>
          <w:szCs w:val="20"/>
          <w:lang w:val="en-US"/>
        </w:rPr>
        <w:t xml:space="preserve"> </w:t>
      </w:r>
      <w:r w:rsidRPr="00F0314D">
        <w:rPr>
          <w:rFonts w:ascii="Arial" w:hAnsi="Arial" w:cs="Arial"/>
          <w:i/>
          <w:sz w:val="20"/>
          <w:szCs w:val="20"/>
          <w:lang w:val="en-US"/>
        </w:rPr>
        <w:t>et al</w:t>
      </w:r>
      <w:r w:rsidRPr="00F0314D">
        <w:rPr>
          <w:rFonts w:ascii="Arial" w:hAnsi="Arial" w:cs="Arial"/>
          <w:sz w:val="20"/>
          <w:szCs w:val="20"/>
          <w:lang w:val="en-US"/>
        </w:rPr>
        <w:t xml:space="preserve">. Golimumab in patients with active rheumatoid arthritis after treatment with </w:t>
      </w:r>
      <w:proofErr w:type="spellStart"/>
      <w:r w:rsidRPr="00F0314D">
        <w:rPr>
          <w:rFonts w:ascii="Arial" w:hAnsi="Arial" w:cs="Arial"/>
          <w:sz w:val="20"/>
          <w:szCs w:val="20"/>
          <w:lang w:val="en-US"/>
        </w:rPr>
        <w:t>tumour</w:t>
      </w:r>
      <w:proofErr w:type="spellEnd"/>
      <w:r w:rsidRPr="00F0314D">
        <w:rPr>
          <w:rFonts w:ascii="Arial" w:hAnsi="Arial" w:cs="Arial"/>
          <w:sz w:val="20"/>
          <w:szCs w:val="20"/>
          <w:lang w:val="en-US"/>
        </w:rPr>
        <w:t xml:space="preserve"> necrosis factor alpha inhibitors (GO-AFTER study): a </w:t>
      </w:r>
      <w:proofErr w:type="spellStart"/>
      <w:r w:rsidRPr="00F0314D">
        <w:rPr>
          <w:rFonts w:ascii="Arial" w:hAnsi="Arial" w:cs="Arial"/>
          <w:sz w:val="20"/>
          <w:szCs w:val="20"/>
          <w:lang w:val="en-US"/>
        </w:rPr>
        <w:lastRenderedPageBreak/>
        <w:t>multicentre</w:t>
      </w:r>
      <w:proofErr w:type="spellEnd"/>
      <w:r w:rsidRPr="00F0314D">
        <w:rPr>
          <w:rFonts w:ascii="Arial" w:hAnsi="Arial" w:cs="Arial"/>
          <w:sz w:val="20"/>
          <w:szCs w:val="20"/>
          <w:lang w:val="en-US"/>
        </w:rPr>
        <w:t xml:space="preserve">, </w:t>
      </w:r>
      <w:proofErr w:type="spellStart"/>
      <w:r w:rsidRPr="00F0314D">
        <w:rPr>
          <w:rFonts w:ascii="Arial" w:hAnsi="Arial" w:cs="Arial"/>
          <w:sz w:val="20"/>
          <w:szCs w:val="20"/>
          <w:lang w:val="en-US"/>
        </w:rPr>
        <w:t>randomised</w:t>
      </w:r>
      <w:proofErr w:type="spellEnd"/>
      <w:r w:rsidRPr="00F0314D">
        <w:rPr>
          <w:rFonts w:ascii="Arial" w:hAnsi="Arial" w:cs="Arial"/>
          <w:sz w:val="20"/>
          <w:szCs w:val="20"/>
          <w:lang w:val="en-US"/>
        </w:rPr>
        <w:t>, double-blind, placebo-contr</w:t>
      </w:r>
      <w:r w:rsidR="00F0314D">
        <w:rPr>
          <w:rFonts w:ascii="Arial" w:hAnsi="Arial" w:cs="Arial"/>
          <w:sz w:val="20"/>
          <w:szCs w:val="20"/>
          <w:lang w:val="en-US"/>
        </w:rPr>
        <w:t xml:space="preserve">olled, phase III trial. </w:t>
      </w:r>
      <w:r w:rsidR="00F0314D" w:rsidRPr="00F0314D">
        <w:rPr>
          <w:rFonts w:ascii="Arial" w:hAnsi="Arial" w:cs="Arial"/>
          <w:i/>
          <w:sz w:val="20"/>
          <w:szCs w:val="20"/>
          <w:lang w:val="en-US"/>
        </w:rPr>
        <w:t xml:space="preserve">Lancet </w:t>
      </w:r>
      <w:r w:rsidRPr="00F0314D">
        <w:rPr>
          <w:rFonts w:ascii="Arial" w:hAnsi="Arial" w:cs="Arial"/>
          <w:sz w:val="20"/>
          <w:szCs w:val="20"/>
          <w:lang w:val="en-US"/>
        </w:rPr>
        <w:t>2009</w:t>
      </w:r>
      <w:proofErr w:type="gramStart"/>
      <w:r w:rsidRPr="00F0314D">
        <w:rPr>
          <w:rFonts w:ascii="Arial" w:hAnsi="Arial" w:cs="Arial"/>
          <w:sz w:val="20"/>
          <w:szCs w:val="20"/>
          <w:lang w:val="en-US"/>
        </w:rPr>
        <w:t>;374:210</w:t>
      </w:r>
      <w:proofErr w:type="gramEnd"/>
      <w:r w:rsidRPr="00F0314D">
        <w:rPr>
          <w:rFonts w:ascii="Arial" w:hAnsi="Arial" w:cs="Arial"/>
          <w:sz w:val="20"/>
          <w:szCs w:val="20"/>
          <w:lang w:val="en-US"/>
        </w:rPr>
        <w:t>-221.</w:t>
      </w:r>
    </w:p>
    <w:p w14:paraId="43529006" w14:textId="77777777" w:rsidR="00F0314D" w:rsidRDefault="00680065" w:rsidP="00680065">
      <w:pPr>
        <w:pStyle w:val="Prrafodelista"/>
        <w:numPr>
          <w:ilvl w:val="0"/>
          <w:numId w:val="4"/>
        </w:numPr>
        <w:spacing w:after="200"/>
        <w:jc w:val="both"/>
        <w:rPr>
          <w:rFonts w:ascii="Arial" w:hAnsi="Arial" w:cs="Arial"/>
          <w:sz w:val="20"/>
          <w:szCs w:val="20"/>
          <w:lang w:val="en-US"/>
        </w:rPr>
      </w:pPr>
      <w:r w:rsidRPr="00F0314D">
        <w:rPr>
          <w:rFonts w:ascii="Arial" w:hAnsi="Arial" w:cs="Arial"/>
          <w:sz w:val="20"/>
          <w:szCs w:val="20"/>
          <w:lang w:val="en-US"/>
        </w:rPr>
        <w:t xml:space="preserve">Kremer J, </w:t>
      </w:r>
      <w:proofErr w:type="spellStart"/>
      <w:r w:rsidRPr="00F0314D">
        <w:rPr>
          <w:rFonts w:ascii="Arial" w:hAnsi="Arial" w:cs="Arial"/>
          <w:sz w:val="20"/>
          <w:szCs w:val="20"/>
          <w:lang w:val="en-US"/>
        </w:rPr>
        <w:t>Ritchlin</w:t>
      </w:r>
      <w:proofErr w:type="spellEnd"/>
      <w:r w:rsidRPr="00F0314D">
        <w:rPr>
          <w:rFonts w:ascii="Arial" w:hAnsi="Arial" w:cs="Arial"/>
          <w:sz w:val="20"/>
          <w:szCs w:val="20"/>
          <w:lang w:val="en-US"/>
        </w:rPr>
        <w:t xml:space="preserve"> C, Mendelsohn A</w:t>
      </w:r>
      <w:r w:rsidR="00F0314D">
        <w:rPr>
          <w:rFonts w:ascii="Arial" w:hAnsi="Arial" w:cs="Arial"/>
          <w:sz w:val="20"/>
          <w:szCs w:val="20"/>
          <w:lang w:val="en-US"/>
        </w:rPr>
        <w:t>,</w:t>
      </w:r>
      <w:r w:rsidRPr="00F0314D">
        <w:rPr>
          <w:rFonts w:ascii="Arial" w:hAnsi="Arial" w:cs="Arial"/>
          <w:sz w:val="20"/>
          <w:szCs w:val="20"/>
          <w:lang w:val="en-US"/>
        </w:rPr>
        <w:t xml:space="preserve"> </w:t>
      </w:r>
      <w:r w:rsidRPr="00F0314D">
        <w:rPr>
          <w:rFonts w:ascii="Arial" w:hAnsi="Arial" w:cs="Arial"/>
          <w:i/>
          <w:sz w:val="20"/>
          <w:szCs w:val="20"/>
          <w:lang w:val="en-US"/>
        </w:rPr>
        <w:t>et al</w:t>
      </w:r>
      <w:r w:rsidRPr="00F0314D">
        <w:rPr>
          <w:rFonts w:ascii="Arial" w:hAnsi="Arial" w:cs="Arial"/>
          <w:sz w:val="20"/>
          <w:szCs w:val="20"/>
          <w:lang w:val="en-US"/>
        </w:rPr>
        <w:t xml:space="preserve">. Golimumab, a new human anti-tumor necrosis factor alpha antibody, administered intravenously in patients with active rheumatoid arthritis: Forty-eight-week efficacy and safety results of a phase III randomized, double-blind, placebo-controlled study. </w:t>
      </w:r>
      <w:r w:rsidRPr="00F0314D">
        <w:rPr>
          <w:rFonts w:ascii="Arial" w:hAnsi="Arial" w:cs="Arial"/>
          <w:i/>
          <w:sz w:val="20"/>
          <w:szCs w:val="20"/>
          <w:lang w:val="en-US"/>
        </w:rPr>
        <w:t>Arthritis Rheum</w:t>
      </w:r>
      <w:r w:rsidRPr="00F0314D">
        <w:rPr>
          <w:rFonts w:ascii="Arial" w:hAnsi="Arial" w:cs="Arial"/>
          <w:sz w:val="20"/>
          <w:szCs w:val="20"/>
          <w:lang w:val="en-US"/>
        </w:rPr>
        <w:t xml:space="preserve"> 2010</w:t>
      </w:r>
      <w:proofErr w:type="gramStart"/>
      <w:r w:rsidRPr="00F0314D">
        <w:rPr>
          <w:rFonts w:ascii="Arial" w:hAnsi="Arial" w:cs="Arial"/>
          <w:sz w:val="20"/>
          <w:szCs w:val="20"/>
          <w:lang w:val="en-US"/>
        </w:rPr>
        <w:t>;62:917</w:t>
      </w:r>
      <w:proofErr w:type="gramEnd"/>
      <w:r w:rsidRPr="00F0314D">
        <w:rPr>
          <w:rFonts w:ascii="Arial" w:hAnsi="Arial" w:cs="Arial"/>
          <w:sz w:val="20"/>
          <w:szCs w:val="20"/>
          <w:lang w:val="en-US"/>
        </w:rPr>
        <w:t>-928.</w:t>
      </w:r>
    </w:p>
    <w:p w14:paraId="516C0A2C" w14:textId="77777777" w:rsidR="00F0314D" w:rsidRDefault="00680065" w:rsidP="00680065">
      <w:pPr>
        <w:pStyle w:val="Prrafodelista"/>
        <w:numPr>
          <w:ilvl w:val="0"/>
          <w:numId w:val="4"/>
        </w:numPr>
        <w:spacing w:after="120"/>
        <w:jc w:val="both"/>
        <w:rPr>
          <w:rFonts w:ascii="Arial" w:hAnsi="Arial" w:cs="Arial"/>
          <w:sz w:val="20"/>
          <w:szCs w:val="20"/>
          <w:lang w:val="en-US"/>
        </w:rPr>
      </w:pPr>
      <w:r w:rsidRPr="00F0314D">
        <w:rPr>
          <w:rFonts w:ascii="Arial" w:hAnsi="Arial" w:cs="Arial"/>
          <w:sz w:val="20"/>
          <w:szCs w:val="20"/>
          <w:lang w:val="en-US"/>
        </w:rPr>
        <w:t xml:space="preserve">Taylor PC, </w:t>
      </w:r>
      <w:proofErr w:type="spellStart"/>
      <w:r w:rsidRPr="00F0314D">
        <w:rPr>
          <w:rFonts w:ascii="Arial" w:hAnsi="Arial" w:cs="Arial"/>
          <w:sz w:val="20"/>
          <w:szCs w:val="20"/>
          <w:lang w:val="en-US"/>
        </w:rPr>
        <w:t>Ritchlin</w:t>
      </w:r>
      <w:proofErr w:type="spellEnd"/>
      <w:r w:rsidRPr="00F0314D">
        <w:rPr>
          <w:rFonts w:ascii="Arial" w:hAnsi="Arial" w:cs="Arial"/>
          <w:sz w:val="20"/>
          <w:szCs w:val="20"/>
          <w:lang w:val="en-US"/>
        </w:rPr>
        <w:t xml:space="preserve"> C, Mendelsohn A</w:t>
      </w:r>
      <w:r w:rsidR="00F0314D">
        <w:rPr>
          <w:rFonts w:ascii="Arial" w:hAnsi="Arial" w:cs="Arial"/>
          <w:sz w:val="20"/>
          <w:szCs w:val="20"/>
          <w:lang w:val="en-US"/>
        </w:rPr>
        <w:t>,</w:t>
      </w:r>
      <w:r w:rsidRPr="00F0314D">
        <w:rPr>
          <w:rFonts w:ascii="Arial" w:hAnsi="Arial" w:cs="Arial"/>
          <w:sz w:val="20"/>
          <w:szCs w:val="20"/>
          <w:lang w:val="en-US"/>
        </w:rPr>
        <w:t xml:space="preserve"> </w:t>
      </w:r>
      <w:r w:rsidRPr="00F0314D">
        <w:rPr>
          <w:rFonts w:ascii="Arial" w:hAnsi="Arial" w:cs="Arial"/>
          <w:i/>
          <w:sz w:val="20"/>
          <w:szCs w:val="20"/>
          <w:lang w:val="en-US"/>
        </w:rPr>
        <w:t>et al</w:t>
      </w:r>
      <w:r w:rsidRPr="00F0314D">
        <w:rPr>
          <w:rFonts w:ascii="Arial" w:hAnsi="Arial" w:cs="Arial"/>
          <w:sz w:val="20"/>
          <w:szCs w:val="20"/>
          <w:lang w:val="en-US"/>
        </w:rPr>
        <w:t>. Maintenance of efficacy and safety with subcutaneous golimumab among patients with active rheumatoid arthritis who previously received int</w:t>
      </w:r>
      <w:r w:rsidR="00F0314D">
        <w:rPr>
          <w:rFonts w:ascii="Arial" w:hAnsi="Arial" w:cs="Arial"/>
          <w:sz w:val="20"/>
          <w:szCs w:val="20"/>
          <w:lang w:val="en-US"/>
        </w:rPr>
        <w:t xml:space="preserve">ravenous golimumab. </w:t>
      </w:r>
      <w:r w:rsidR="00F0314D" w:rsidRPr="00F0314D">
        <w:rPr>
          <w:rFonts w:ascii="Arial" w:hAnsi="Arial" w:cs="Arial"/>
          <w:i/>
          <w:sz w:val="20"/>
          <w:szCs w:val="20"/>
          <w:lang w:val="en-US"/>
        </w:rPr>
        <w:t xml:space="preserve">J </w:t>
      </w:r>
      <w:proofErr w:type="spellStart"/>
      <w:r w:rsidR="00F0314D" w:rsidRPr="00F0314D">
        <w:rPr>
          <w:rFonts w:ascii="Arial" w:hAnsi="Arial" w:cs="Arial"/>
          <w:i/>
          <w:sz w:val="20"/>
          <w:szCs w:val="20"/>
          <w:lang w:val="en-US"/>
        </w:rPr>
        <w:t>Rheumatol</w:t>
      </w:r>
      <w:proofErr w:type="spellEnd"/>
      <w:r w:rsidRPr="00F0314D">
        <w:rPr>
          <w:rFonts w:ascii="Arial" w:hAnsi="Arial" w:cs="Arial"/>
          <w:sz w:val="20"/>
          <w:szCs w:val="20"/>
          <w:lang w:val="en-US"/>
        </w:rPr>
        <w:t xml:space="preserve"> 2011</w:t>
      </w:r>
      <w:proofErr w:type="gramStart"/>
      <w:r w:rsidRPr="00F0314D">
        <w:rPr>
          <w:rFonts w:ascii="Arial" w:hAnsi="Arial" w:cs="Arial"/>
          <w:sz w:val="20"/>
          <w:szCs w:val="20"/>
          <w:lang w:val="en-US"/>
        </w:rPr>
        <w:t>;38:2572</w:t>
      </w:r>
      <w:proofErr w:type="gramEnd"/>
      <w:r w:rsidRPr="00F0314D">
        <w:rPr>
          <w:rFonts w:ascii="Arial" w:hAnsi="Arial" w:cs="Arial"/>
          <w:sz w:val="20"/>
          <w:szCs w:val="20"/>
          <w:lang w:val="en-US"/>
        </w:rPr>
        <w:t>-2580.</w:t>
      </w:r>
    </w:p>
    <w:p w14:paraId="38CF2B94" w14:textId="77777777" w:rsidR="00F0314D" w:rsidRDefault="00680065" w:rsidP="00680065">
      <w:pPr>
        <w:pStyle w:val="Prrafodelista"/>
        <w:numPr>
          <w:ilvl w:val="0"/>
          <w:numId w:val="4"/>
        </w:numPr>
        <w:spacing w:after="120"/>
        <w:jc w:val="both"/>
        <w:rPr>
          <w:rFonts w:ascii="Arial" w:hAnsi="Arial" w:cs="Arial"/>
          <w:sz w:val="20"/>
          <w:szCs w:val="20"/>
          <w:lang w:val="en-US"/>
        </w:rPr>
      </w:pPr>
      <w:proofErr w:type="spellStart"/>
      <w:r w:rsidRPr="00F0314D">
        <w:rPr>
          <w:rFonts w:ascii="Arial" w:hAnsi="Arial" w:cs="Arial"/>
          <w:sz w:val="20"/>
          <w:szCs w:val="20"/>
          <w:lang w:val="en-US"/>
        </w:rPr>
        <w:t>Favalli</w:t>
      </w:r>
      <w:proofErr w:type="spellEnd"/>
      <w:r w:rsidRPr="00F0314D">
        <w:rPr>
          <w:rFonts w:ascii="Arial" w:hAnsi="Arial" w:cs="Arial"/>
          <w:sz w:val="20"/>
          <w:szCs w:val="20"/>
          <w:lang w:val="en-US"/>
        </w:rPr>
        <w:t xml:space="preserve"> EG, </w:t>
      </w:r>
      <w:proofErr w:type="spellStart"/>
      <w:r w:rsidRPr="00F0314D">
        <w:rPr>
          <w:rFonts w:ascii="Arial" w:hAnsi="Arial" w:cs="Arial"/>
          <w:sz w:val="20"/>
          <w:szCs w:val="20"/>
          <w:lang w:val="en-US"/>
        </w:rPr>
        <w:t>Caporali</w:t>
      </w:r>
      <w:proofErr w:type="spellEnd"/>
      <w:r w:rsidRPr="00F0314D">
        <w:rPr>
          <w:rFonts w:ascii="Arial" w:hAnsi="Arial" w:cs="Arial"/>
          <w:sz w:val="20"/>
          <w:szCs w:val="20"/>
          <w:lang w:val="en-US"/>
        </w:rPr>
        <w:t xml:space="preserve"> R, </w:t>
      </w:r>
      <w:proofErr w:type="spellStart"/>
      <w:r w:rsidRPr="00F0314D">
        <w:rPr>
          <w:rFonts w:ascii="Arial" w:hAnsi="Arial" w:cs="Arial"/>
          <w:sz w:val="20"/>
          <w:szCs w:val="20"/>
          <w:lang w:val="en-US"/>
        </w:rPr>
        <w:t>Sinigaglia</w:t>
      </w:r>
      <w:proofErr w:type="spellEnd"/>
      <w:r w:rsidRPr="00F0314D">
        <w:rPr>
          <w:rFonts w:ascii="Arial" w:hAnsi="Arial" w:cs="Arial"/>
          <w:sz w:val="20"/>
          <w:szCs w:val="20"/>
          <w:lang w:val="en-US"/>
        </w:rPr>
        <w:t xml:space="preserve"> L, </w:t>
      </w:r>
      <w:proofErr w:type="spellStart"/>
      <w:r w:rsidRPr="00F0314D">
        <w:rPr>
          <w:rFonts w:ascii="Arial" w:hAnsi="Arial" w:cs="Arial"/>
          <w:sz w:val="20"/>
          <w:szCs w:val="20"/>
          <w:lang w:val="en-US"/>
        </w:rPr>
        <w:t>Pipitone</w:t>
      </w:r>
      <w:proofErr w:type="spellEnd"/>
      <w:r w:rsidRPr="00F0314D">
        <w:rPr>
          <w:rFonts w:ascii="Arial" w:hAnsi="Arial" w:cs="Arial"/>
          <w:sz w:val="20"/>
          <w:szCs w:val="20"/>
          <w:lang w:val="en-US"/>
        </w:rPr>
        <w:t xml:space="preserve"> N, </w:t>
      </w:r>
      <w:proofErr w:type="spellStart"/>
      <w:r w:rsidRPr="00F0314D">
        <w:rPr>
          <w:rFonts w:ascii="Arial" w:hAnsi="Arial" w:cs="Arial"/>
          <w:sz w:val="20"/>
          <w:szCs w:val="20"/>
          <w:lang w:val="en-US"/>
        </w:rPr>
        <w:t>Miniati</w:t>
      </w:r>
      <w:proofErr w:type="spellEnd"/>
      <w:r w:rsidRPr="00F0314D">
        <w:rPr>
          <w:rFonts w:ascii="Arial" w:hAnsi="Arial" w:cs="Arial"/>
          <w:sz w:val="20"/>
          <w:szCs w:val="20"/>
          <w:lang w:val="en-US"/>
        </w:rPr>
        <w:t xml:space="preserve"> I, </w:t>
      </w:r>
      <w:proofErr w:type="spellStart"/>
      <w:r w:rsidRPr="00F0314D">
        <w:rPr>
          <w:rFonts w:ascii="Arial" w:hAnsi="Arial" w:cs="Arial"/>
          <w:sz w:val="20"/>
          <w:szCs w:val="20"/>
          <w:lang w:val="en-US"/>
        </w:rPr>
        <w:t>Montecucco</w:t>
      </w:r>
      <w:proofErr w:type="spellEnd"/>
      <w:r w:rsidRPr="00F0314D">
        <w:rPr>
          <w:rFonts w:ascii="Arial" w:hAnsi="Arial" w:cs="Arial"/>
          <w:sz w:val="20"/>
          <w:szCs w:val="20"/>
          <w:lang w:val="en-US"/>
        </w:rPr>
        <w:t xml:space="preserve"> C, </w:t>
      </w:r>
      <w:r w:rsidRPr="000016E2">
        <w:rPr>
          <w:rFonts w:ascii="Arial" w:hAnsi="Arial" w:cs="Arial"/>
          <w:i/>
          <w:sz w:val="20"/>
          <w:szCs w:val="20"/>
          <w:lang w:val="en-US"/>
        </w:rPr>
        <w:t>et al</w:t>
      </w:r>
      <w:r w:rsidRPr="00F0314D">
        <w:rPr>
          <w:rFonts w:ascii="Arial" w:hAnsi="Arial" w:cs="Arial"/>
          <w:sz w:val="20"/>
          <w:szCs w:val="20"/>
          <w:lang w:val="en-US"/>
        </w:rPr>
        <w:t xml:space="preserve">. Recommendations for the use of biologic therapy in rheumatoid arthritis: update </w:t>
      </w:r>
      <w:proofErr w:type="spellStart"/>
      <w:r w:rsidRPr="00F0314D">
        <w:rPr>
          <w:rFonts w:ascii="Arial" w:hAnsi="Arial" w:cs="Arial"/>
          <w:sz w:val="20"/>
          <w:szCs w:val="20"/>
          <w:lang w:val="en-US"/>
        </w:rPr>
        <w:t>fron</w:t>
      </w:r>
      <w:proofErr w:type="spellEnd"/>
      <w:r w:rsidRPr="00F0314D">
        <w:rPr>
          <w:rFonts w:ascii="Arial" w:hAnsi="Arial" w:cs="Arial"/>
          <w:sz w:val="20"/>
          <w:szCs w:val="20"/>
          <w:lang w:val="en-US"/>
        </w:rPr>
        <w:t xml:space="preserve"> the Italian Society for Rheumatology II. Safety. </w:t>
      </w:r>
      <w:proofErr w:type="spellStart"/>
      <w:r w:rsidRPr="000016E2">
        <w:rPr>
          <w:rFonts w:ascii="Arial" w:hAnsi="Arial" w:cs="Arial"/>
          <w:i/>
          <w:sz w:val="20"/>
          <w:szCs w:val="20"/>
          <w:lang w:val="en-US"/>
        </w:rPr>
        <w:t>Clin</w:t>
      </w:r>
      <w:proofErr w:type="spellEnd"/>
      <w:r w:rsidR="000016E2" w:rsidRPr="000016E2">
        <w:rPr>
          <w:rFonts w:ascii="Arial" w:hAnsi="Arial" w:cs="Arial"/>
          <w:i/>
          <w:sz w:val="20"/>
          <w:szCs w:val="20"/>
          <w:lang w:val="en-US"/>
        </w:rPr>
        <w:t xml:space="preserve"> </w:t>
      </w:r>
      <w:proofErr w:type="spellStart"/>
      <w:r w:rsidRPr="000016E2">
        <w:rPr>
          <w:rFonts w:ascii="Arial" w:hAnsi="Arial" w:cs="Arial"/>
          <w:i/>
          <w:sz w:val="20"/>
          <w:szCs w:val="20"/>
          <w:lang w:val="en-US"/>
        </w:rPr>
        <w:t>Exp</w:t>
      </w:r>
      <w:proofErr w:type="spellEnd"/>
      <w:r w:rsidR="000016E2" w:rsidRPr="000016E2">
        <w:rPr>
          <w:rFonts w:ascii="Arial" w:hAnsi="Arial" w:cs="Arial"/>
          <w:i/>
          <w:sz w:val="20"/>
          <w:szCs w:val="20"/>
          <w:lang w:val="en-US"/>
        </w:rPr>
        <w:t xml:space="preserve"> </w:t>
      </w:r>
      <w:proofErr w:type="spellStart"/>
      <w:r w:rsidRPr="000016E2">
        <w:rPr>
          <w:rFonts w:ascii="Arial" w:hAnsi="Arial" w:cs="Arial"/>
          <w:i/>
          <w:sz w:val="20"/>
          <w:szCs w:val="20"/>
          <w:lang w:val="en-US"/>
        </w:rPr>
        <w:t>Rheumatol</w:t>
      </w:r>
      <w:proofErr w:type="spellEnd"/>
      <w:r w:rsidRPr="00F0314D">
        <w:rPr>
          <w:rFonts w:ascii="Arial" w:hAnsi="Arial" w:cs="Arial"/>
          <w:sz w:val="20"/>
          <w:szCs w:val="20"/>
          <w:lang w:val="en-US"/>
        </w:rPr>
        <w:t xml:space="preserve"> 2011</w:t>
      </w:r>
      <w:proofErr w:type="gramStart"/>
      <w:r w:rsidRPr="00F0314D">
        <w:rPr>
          <w:rFonts w:ascii="Arial" w:hAnsi="Arial" w:cs="Arial"/>
          <w:sz w:val="20"/>
          <w:szCs w:val="20"/>
          <w:lang w:val="en-US"/>
        </w:rPr>
        <w:t>;29</w:t>
      </w:r>
      <w:proofErr w:type="gramEnd"/>
      <w:r w:rsidR="000016E2">
        <w:rPr>
          <w:rFonts w:ascii="Arial" w:hAnsi="Arial" w:cs="Arial"/>
          <w:sz w:val="20"/>
          <w:szCs w:val="20"/>
          <w:lang w:val="en-US"/>
        </w:rPr>
        <w:t>(</w:t>
      </w:r>
      <w:proofErr w:type="spellStart"/>
      <w:r w:rsidRPr="00F0314D">
        <w:rPr>
          <w:rFonts w:ascii="Arial" w:hAnsi="Arial" w:cs="Arial"/>
          <w:sz w:val="20"/>
          <w:szCs w:val="20"/>
          <w:lang w:val="en-US"/>
        </w:rPr>
        <w:t>Suppl</w:t>
      </w:r>
      <w:proofErr w:type="spellEnd"/>
      <w:r w:rsidRPr="00F0314D">
        <w:rPr>
          <w:rFonts w:ascii="Arial" w:hAnsi="Arial" w:cs="Arial"/>
          <w:sz w:val="20"/>
          <w:szCs w:val="20"/>
          <w:lang w:val="en-US"/>
        </w:rPr>
        <w:t xml:space="preserve"> 66</w:t>
      </w:r>
      <w:r w:rsidR="000016E2">
        <w:rPr>
          <w:rFonts w:ascii="Arial" w:hAnsi="Arial" w:cs="Arial"/>
          <w:sz w:val="20"/>
          <w:szCs w:val="20"/>
          <w:lang w:val="en-US"/>
        </w:rPr>
        <w:t>)</w:t>
      </w:r>
      <w:r w:rsidRPr="00F0314D">
        <w:rPr>
          <w:rFonts w:ascii="Arial" w:hAnsi="Arial" w:cs="Arial"/>
          <w:sz w:val="20"/>
          <w:szCs w:val="20"/>
          <w:lang w:val="en-US"/>
        </w:rPr>
        <w:t>:S15-27.</w:t>
      </w:r>
    </w:p>
    <w:p w14:paraId="7EC78E53" w14:textId="77777777" w:rsidR="00680065" w:rsidRPr="00F0314D" w:rsidRDefault="00680065" w:rsidP="00680065">
      <w:pPr>
        <w:pStyle w:val="Prrafodelista"/>
        <w:numPr>
          <w:ilvl w:val="0"/>
          <w:numId w:val="4"/>
        </w:numPr>
        <w:spacing w:after="120"/>
        <w:jc w:val="both"/>
        <w:rPr>
          <w:rFonts w:ascii="Arial" w:hAnsi="Arial" w:cs="Arial"/>
          <w:sz w:val="20"/>
          <w:szCs w:val="20"/>
          <w:lang w:val="en-US"/>
        </w:rPr>
      </w:pPr>
      <w:r w:rsidRPr="00F0314D">
        <w:rPr>
          <w:rFonts w:ascii="Arial" w:hAnsi="Arial" w:cs="Arial"/>
          <w:sz w:val="20"/>
          <w:szCs w:val="20"/>
          <w:lang w:val="da-DK"/>
        </w:rPr>
        <w:t xml:space="preserve">Bukhari M, Abernethy R, Deighton C, Ding T, Hyrich K, Luna M, </w:t>
      </w:r>
      <w:r w:rsidRPr="000016E2">
        <w:rPr>
          <w:rFonts w:ascii="Arial" w:hAnsi="Arial" w:cs="Arial"/>
          <w:i/>
          <w:sz w:val="20"/>
          <w:szCs w:val="20"/>
          <w:lang w:val="da-DK"/>
        </w:rPr>
        <w:t>et al</w:t>
      </w:r>
      <w:r w:rsidRPr="00F0314D">
        <w:rPr>
          <w:rFonts w:ascii="Arial" w:hAnsi="Arial" w:cs="Arial"/>
          <w:sz w:val="20"/>
          <w:szCs w:val="20"/>
          <w:lang w:val="da-DK"/>
        </w:rPr>
        <w:t xml:space="preserve">. </w:t>
      </w:r>
      <w:r w:rsidRPr="00F0314D">
        <w:rPr>
          <w:rFonts w:ascii="Arial" w:hAnsi="Arial" w:cs="Arial"/>
          <w:sz w:val="20"/>
          <w:szCs w:val="20"/>
          <w:lang w:val="en-US"/>
        </w:rPr>
        <w:t>BSR and BHPR guidelines on the use of rituximab in rhe</w:t>
      </w:r>
      <w:r w:rsidR="000016E2">
        <w:rPr>
          <w:rFonts w:ascii="Arial" w:hAnsi="Arial" w:cs="Arial"/>
          <w:sz w:val="20"/>
          <w:szCs w:val="20"/>
          <w:lang w:val="en-US"/>
        </w:rPr>
        <w:t xml:space="preserve">umatoid arthritis. </w:t>
      </w:r>
      <w:r w:rsidR="000016E2" w:rsidRPr="000016E2">
        <w:rPr>
          <w:rFonts w:ascii="Arial" w:hAnsi="Arial" w:cs="Arial"/>
          <w:i/>
          <w:sz w:val="20"/>
          <w:szCs w:val="20"/>
          <w:lang w:val="en-US"/>
        </w:rPr>
        <w:t>Rheumatology</w:t>
      </w:r>
      <w:r w:rsidRPr="00F0314D">
        <w:rPr>
          <w:rFonts w:ascii="Arial" w:hAnsi="Arial" w:cs="Arial"/>
          <w:sz w:val="20"/>
          <w:szCs w:val="20"/>
          <w:lang w:val="en-US"/>
        </w:rPr>
        <w:t xml:space="preserve"> 2011</w:t>
      </w:r>
      <w:proofErr w:type="gramStart"/>
      <w:r w:rsidRPr="00F0314D">
        <w:rPr>
          <w:rFonts w:ascii="Arial" w:hAnsi="Arial" w:cs="Arial"/>
          <w:sz w:val="20"/>
          <w:szCs w:val="20"/>
          <w:lang w:val="en-US"/>
        </w:rPr>
        <w:t>;50:2311</w:t>
      </w:r>
      <w:proofErr w:type="gramEnd"/>
      <w:r w:rsidRPr="00F0314D">
        <w:rPr>
          <w:rFonts w:ascii="Arial" w:hAnsi="Arial" w:cs="Arial"/>
          <w:sz w:val="20"/>
          <w:szCs w:val="20"/>
          <w:lang w:val="en-US"/>
        </w:rPr>
        <w:t>-3.</w:t>
      </w:r>
    </w:p>
    <w:p w14:paraId="48AC03E2" w14:textId="77777777" w:rsidR="00680065" w:rsidRPr="0068632C" w:rsidRDefault="00680065" w:rsidP="00680065">
      <w:pPr>
        <w:numPr>
          <w:ilvl w:val="0"/>
          <w:numId w:val="4"/>
        </w:numPr>
        <w:spacing w:after="120"/>
        <w:contextualSpacing/>
        <w:jc w:val="both"/>
        <w:rPr>
          <w:rFonts w:ascii="Arial" w:hAnsi="Arial" w:cs="Arial"/>
          <w:sz w:val="20"/>
          <w:szCs w:val="20"/>
          <w:lang w:val="es-ES"/>
        </w:rPr>
      </w:pPr>
      <w:r w:rsidRPr="0068632C">
        <w:rPr>
          <w:rFonts w:ascii="Arial" w:hAnsi="Arial" w:cs="Arial"/>
          <w:sz w:val="20"/>
          <w:szCs w:val="20"/>
          <w:lang w:val="es-ES"/>
        </w:rPr>
        <w:t xml:space="preserve">Martín-Mola E, Hernández B, García-Arias M, Álvaro-Gracia JM, Balsa A, Gómez Reino J, </w:t>
      </w:r>
      <w:r w:rsidRPr="00F569FB">
        <w:rPr>
          <w:rFonts w:ascii="Arial" w:hAnsi="Arial" w:cs="Arial"/>
          <w:i/>
          <w:sz w:val="20"/>
          <w:szCs w:val="20"/>
          <w:lang w:val="es-ES"/>
        </w:rPr>
        <w:t>et al</w:t>
      </w:r>
      <w:r w:rsidRPr="0068632C">
        <w:rPr>
          <w:rFonts w:ascii="Arial" w:hAnsi="Arial" w:cs="Arial"/>
          <w:sz w:val="20"/>
          <w:szCs w:val="20"/>
          <w:lang w:val="es-ES"/>
        </w:rPr>
        <w:t xml:space="preserve">. Consenso de uso de </w:t>
      </w:r>
      <w:proofErr w:type="spellStart"/>
      <w:r w:rsidRPr="0068632C">
        <w:rPr>
          <w:rFonts w:ascii="Arial" w:hAnsi="Arial" w:cs="Arial"/>
          <w:sz w:val="20"/>
          <w:szCs w:val="20"/>
          <w:lang w:val="es-ES"/>
        </w:rPr>
        <w:t>rituximab</w:t>
      </w:r>
      <w:proofErr w:type="spellEnd"/>
      <w:r w:rsidRPr="0068632C">
        <w:rPr>
          <w:rFonts w:ascii="Arial" w:hAnsi="Arial" w:cs="Arial"/>
          <w:sz w:val="20"/>
          <w:szCs w:val="20"/>
          <w:lang w:val="es-ES"/>
        </w:rPr>
        <w:t xml:space="preserve"> en artritis reumatoide. Un documento con recomendaciones basadas en la evidencia. </w:t>
      </w:r>
      <w:proofErr w:type="spellStart"/>
      <w:r w:rsidRPr="00F569FB">
        <w:rPr>
          <w:rFonts w:ascii="Arial" w:hAnsi="Arial" w:cs="Arial"/>
          <w:i/>
          <w:sz w:val="20"/>
          <w:szCs w:val="20"/>
          <w:lang w:val="es-ES"/>
        </w:rPr>
        <w:t>Reumatol</w:t>
      </w:r>
      <w:proofErr w:type="spellEnd"/>
      <w:r w:rsidR="00F569FB" w:rsidRPr="00F569FB">
        <w:rPr>
          <w:rFonts w:ascii="Arial" w:hAnsi="Arial" w:cs="Arial"/>
          <w:i/>
          <w:sz w:val="20"/>
          <w:szCs w:val="20"/>
          <w:lang w:val="es-ES"/>
        </w:rPr>
        <w:t xml:space="preserve"> </w:t>
      </w:r>
      <w:proofErr w:type="spellStart"/>
      <w:r w:rsidRPr="00F569FB">
        <w:rPr>
          <w:rFonts w:ascii="Arial" w:hAnsi="Arial" w:cs="Arial"/>
          <w:i/>
          <w:sz w:val="20"/>
          <w:szCs w:val="20"/>
          <w:lang w:val="es-ES"/>
        </w:rPr>
        <w:t>Clin</w:t>
      </w:r>
      <w:proofErr w:type="spellEnd"/>
      <w:r w:rsidRPr="0068632C">
        <w:rPr>
          <w:rFonts w:ascii="Arial" w:hAnsi="Arial" w:cs="Arial"/>
          <w:sz w:val="20"/>
          <w:szCs w:val="20"/>
          <w:lang w:val="es-ES"/>
        </w:rPr>
        <w:t xml:space="preserve"> 2011;7:30-44.</w:t>
      </w:r>
    </w:p>
    <w:p w14:paraId="0A1DC727" w14:textId="77777777" w:rsidR="00680065" w:rsidRPr="0068632C" w:rsidRDefault="00680065" w:rsidP="00680065">
      <w:pPr>
        <w:numPr>
          <w:ilvl w:val="0"/>
          <w:numId w:val="4"/>
        </w:numPr>
        <w:spacing w:after="120"/>
        <w:contextualSpacing/>
        <w:jc w:val="both"/>
        <w:rPr>
          <w:rFonts w:ascii="Arial" w:hAnsi="Arial" w:cs="Arial"/>
          <w:sz w:val="20"/>
          <w:szCs w:val="20"/>
          <w:lang w:val="es-ES"/>
        </w:rPr>
      </w:pPr>
      <w:r w:rsidRPr="0068632C">
        <w:rPr>
          <w:rFonts w:ascii="Arial" w:hAnsi="Arial" w:cs="Arial"/>
          <w:sz w:val="20"/>
          <w:szCs w:val="20"/>
          <w:lang w:val="en-US"/>
        </w:rPr>
        <w:t xml:space="preserve">Singh JA, </w:t>
      </w:r>
      <w:proofErr w:type="spellStart"/>
      <w:r w:rsidRPr="0068632C">
        <w:rPr>
          <w:rFonts w:ascii="Arial" w:hAnsi="Arial" w:cs="Arial"/>
          <w:sz w:val="20"/>
          <w:szCs w:val="20"/>
          <w:lang w:val="en-US"/>
        </w:rPr>
        <w:t>Furst</w:t>
      </w:r>
      <w:proofErr w:type="spellEnd"/>
      <w:r w:rsidRPr="0068632C">
        <w:rPr>
          <w:rFonts w:ascii="Arial" w:hAnsi="Arial" w:cs="Arial"/>
          <w:sz w:val="20"/>
          <w:szCs w:val="20"/>
          <w:lang w:val="en-US"/>
        </w:rPr>
        <w:t xml:space="preserve"> DE, Bharat A, Curtis JR, </w:t>
      </w:r>
      <w:proofErr w:type="spellStart"/>
      <w:r w:rsidRPr="0068632C">
        <w:rPr>
          <w:rFonts w:ascii="Arial" w:hAnsi="Arial" w:cs="Arial"/>
          <w:sz w:val="20"/>
          <w:szCs w:val="20"/>
          <w:lang w:val="en-US"/>
        </w:rPr>
        <w:t>Kavanaugh</w:t>
      </w:r>
      <w:proofErr w:type="spellEnd"/>
      <w:r w:rsidRPr="0068632C">
        <w:rPr>
          <w:rFonts w:ascii="Arial" w:hAnsi="Arial" w:cs="Arial"/>
          <w:sz w:val="20"/>
          <w:szCs w:val="20"/>
          <w:lang w:val="en-US"/>
        </w:rPr>
        <w:t xml:space="preserve"> AF, Kremer JM, </w:t>
      </w:r>
      <w:r w:rsidRPr="00F569FB">
        <w:rPr>
          <w:rFonts w:ascii="Arial" w:hAnsi="Arial" w:cs="Arial"/>
          <w:i/>
          <w:sz w:val="20"/>
          <w:szCs w:val="20"/>
          <w:lang w:val="en-US"/>
        </w:rPr>
        <w:t>et al</w:t>
      </w:r>
      <w:r w:rsidRPr="0068632C">
        <w:rPr>
          <w:rFonts w:ascii="Arial" w:hAnsi="Arial" w:cs="Arial"/>
          <w:sz w:val="20"/>
          <w:szCs w:val="20"/>
          <w:lang w:val="en-US"/>
        </w:rPr>
        <w:t xml:space="preserve">. 2012 update of the 2008 American College of Rheumatology recommendations for the use of disease-modifying </w:t>
      </w:r>
      <w:proofErr w:type="spellStart"/>
      <w:r w:rsidRPr="0068632C">
        <w:rPr>
          <w:rFonts w:ascii="Arial" w:hAnsi="Arial" w:cs="Arial"/>
          <w:sz w:val="20"/>
          <w:szCs w:val="20"/>
          <w:lang w:val="en-US"/>
        </w:rPr>
        <w:t>antirheumatic</w:t>
      </w:r>
      <w:proofErr w:type="spellEnd"/>
      <w:r w:rsidRPr="0068632C">
        <w:rPr>
          <w:rFonts w:ascii="Arial" w:hAnsi="Arial" w:cs="Arial"/>
          <w:sz w:val="20"/>
          <w:szCs w:val="20"/>
          <w:lang w:val="en-US"/>
        </w:rPr>
        <w:t xml:space="preserve"> drugs and biologic agents in the treatment of rheumatoid arthritis. </w:t>
      </w:r>
      <w:r w:rsidRPr="00F569FB">
        <w:rPr>
          <w:rStyle w:val="jrnl"/>
          <w:rFonts w:ascii="Arial" w:hAnsi="Arial" w:cs="Arial"/>
          <w:i/>
          <w:sz w:val="20"/>
          <w:szCs w:val="20"/>
          <w:lang w:val="en-US"/>
        </w:rPr>
        <w:t>Arthritis Care Res</w:t>
      </w:r>
      <w:r w:rsidRPr="0068632C">
        <w:rPr>
          <w:rStyle w:val="jrnl"/>
          <w:rFonts w:ascii="Arial" w:hAnsi="Arial" w:cs="Arial"/>
          <w:sz w:val="20"/>
          <w:szCs w:val="20"/>
          <w:lang w:val="en-US"/>
        </w:rPr>
        <w:t xml:space="preserve"> (Hoboken)</w:t>
      </w:r>
      <w:r w:rsidRPr="0068632C">
        <w:rPr>
          <w:rFonts w:ascii="Arial" w:hAnsi="Arial" w:cs="Arial"/>
          <w:sz w:val="20"/>
          <w:szCs w:val="20"/>
          <w:lang w:val="en-US"/>
        </w:rPr>
        <w:t xml:space="preserve"> 2012</w:t>
      </w:r>
      <w:proofErr w:type="gramStart"/>
      <w:r w:rsidRPr="0068632C">
        <w:rPr>
          <w:rFonts w:ascii="Arial" w:hAnsi="Arial" w:cs="Arial"/>
          <w:sz w:val="20"/>
          <w:szCs w:val="20"/>
          <w:lang w:val="en-US"/>
        </w:rPr>
        <w:t>;64:625</w:t>
      </w:r>
      <w:proofErr w:type="gramEnd"/>
      <w:r w:rsidRPr="0068632C">
        <w:rPr>
          <w:rFonts w:ascii="Arial" w:hAnsi="Arial" w:cs="Arial"/>
          <w:sz w:val="20"/>
          <w:szCs w:val="20"/>
          <w:lang w:val="en-US"/>
        </w:rPr>
        <w:t xml:space="preserve">-39. </w:t>
      </w:r>
      <w:proofErr w:type="spellStart"/>
      <w:proofErr w:type="gramStart"/>
      <w:r w:rsidRPr="0068632C">
        <w:rPr>
          <w:rFonts w:ascii="Arial" w:hAnsi="Arial" w:cs="Arial"/>
          <w:sz w:val="20"/>
          <w:szCs w:val="20"/>
          <w:lang w:val="en-US"/>
        </w:rPr>
        <w:t>doi</w:t>
      </w:r>
      <w:proofErr w:type="spellEnd"/>
      <w:proofErr w:type="gramEnd"/>
      <w:r w:rsidRPr="0068632C">
        <w:rPr>
          <w:rFonts w:ascii="Arial" w:hAnsi="Arial" w:cs="Arial"/>
          <w:sz w:val="20"/>
          <w:szCs w:val="20"/>
          <w:lang w:val="en-US"/>
        </w:rPr>
        <w:t>: 10.1002/acr.21641.</w:t>
      </w:r>
    </w:p>
    <w:p w14:paraId="336DD2AC" w14:textId="77777777" w:rsidR="00680065" w:rsidRPr="0068632C" w:rsidRDefault="00680065" w:rsidP="00680065">
      <w:pPr>
        <w:numPr>
          <w:ilvl w:val="0"/>
          <w:numId w:val="4"/>
        </w:numPr>
        <w:spacing w:after="120"/>
        <w:contextualSpacing/>
        <w:jc w:val="both"/>
        <w:rPr>
          <w:rFonts w:ascii="Arial" w:hAnsi="Arial" w:cs="Arial"/>
          <w:sz w:val="20"/>
          <w:szCs w:val="20"/>
          <w:lang w:val="en-US"/>
        </w:rPr>
      </w:pPr>
      <w:r w:rsidRPr="0068632C">
        <w:rPr>
          <w:rFonts w:ascii="Arial" w:hAnsi="Arial" w:cs="Arial"/>
          <w:sz w:val="20"/>
          <w:szCs w:val="20"/>
          <w:lang w:val="en-US"/>
        </w:rPr>
        <w:t>Tocilizumab for the treatment of rheumatoid arthritis (rapid review of technology appraisal guidance 198). NICE technology appraisal guidance 247. Guidance.nice.org.uk/ta247. February 2012.</w:t>
      </w:r>
    </w:p>
    <w:p w14:paraId="1737F078" w14:textId="77777777" w:rsidR="00680065" w:rsidRPr="0068632C" w:rsidRDefault="00680065" w:rsidP="00680065">
      <w:pPr>
        <w:numPr>
          <w:ilvl w:val="0"/>
          <w:numId w:val="4"/>
        </w:numPr>
        <w:spacing w:after="120"/>
        <w:contextualSpacing/>
        <w:jc w:val="both"/>
        <w:rPr>
          <w:rFonts w:ascii="Arial" w:hAnsi="Arial" w:cs="Arial"/>
          <w:sz w:val="20"/>
          <w:szCs w:val="20"/>
          <w:lang w:val="en-US"/>
        </w:rPr>
      </w:pPr>
      <w:proofErr w:type="spellStart"/>
      <w:r w:rsidRPr="0068632C">
        <w:rPr>
          <w:rFonts w:ascii="Arial" w:hAnsi="Arial" w:cs="Arial"/>
          <w:sz w:val="20"/>
          <w:szCs w:val="20"/>
          <w:lang w:val="en-US"/>
        </w:rPr>
        <w:t>Smolen</w:t>
      </w:r>
      <w:proofErr w:type="spellEnd"/>
      <w:r w:rsidRPr="0068632C">
        <w:rPr>
          <w:rFonts w:ascii="Arial" w:hAnsi="Arial" w:cs="Arial"/>
          <w:sz w:val="20"/>
          <w:szCs w:val="20"/>
          <w:lang w:val="en-US"/>
        </w:rPr>
        <w:t xml:space="preserve"> JS, </w:t>
      </w:r>
      <w:proofErr w:type="spellStart"/>
      <w:r w:rsidRPr="0068632C">
        <w:rPr>
          <w:rFonts w:ascii="Arial" w:hAnsi="Arial" w:cs="Arial"/>
          <w:sz w:val="20"/>
          <w:szCs w:val="20"/>
          <w:lang w:val="en-US"/>
        </w:rPr>
        <w:t>Schoels</w:t>
      </w:r>
      <w:proofErr w:type="spellEnd"/>
      <w:r w:rsidRPr="0068632C">
        <w:rPr>
          <w:rFonts w:ascii="Arial" w:hAnsi="Arial" w:cs="Arial"/>
          <w:sz w:val="20"/>
          <w:szCs w:val="20"/>
          <w:lang w:val="en-US"/>
        </w:rPr>
        <w:t xml:space="preserve"> MM, </w:t>
      </w:r>
      <w:proofErr w:type="spellStart"/>
      <w:r w:rsidRPr="0068632C">
        <w:rPr>
          <w:rFonts w:ascii="Arial" w:hAnsi="Arial" w:cs="Arial"/>
          <w:sz w:val="20"/>
          <w:szCs w:val="20"/>
          <w:lang w:val="en-US"/>
        </w:rPr>
        <w:t>Nishimoto</w:t>
      </w:r>
      <w:proofErr w:type="spellEnd"/>
      <w:r w:rsidRPr="0068632C">
        <w:rPr>
          <w:rFonts w:ascii="Arial" w:hAnsi="Arial" w:cs="Arial"/>
          <w:sz w:val="20"/>
          <w:szCs w:val="20"/>
          <w:lang w:val="en-US"/>
        </w:rPr>
        <w:t xml:space="preserve"> N, </w:t>
      </w:r>
      <w:proofErr w:type="spellStart"/>
      <w:r w:rsidRPr="0068632C">
        <w:rPr>
          <w:rFonts w:ascii="Arial" w:hAnsi="Arial" w:cs="Arial"/>
          <w:sz w:val="20"/>
          <w:szCs w:val="20"/>
          <w:lang w:val="en-US"/>
        </w:rPr>
        <w:t>Breedveld</w:t>
      </w:r>
      <w:proofErr w:type="spellEnd"/>
      <w:r w:rsidRPr="0068632C">
        <w:rPr>
          <w:rFonts w:ascii="Arial" w:hAnsi="Arial" w:cs="Arial"/>
          <w:sz w:val="20"/>
          <w:szCs w:val="20"/>
          <w:lang w:val="en-US"/>
        </w:rPr>
        <w:t xml:space="preserve"> FC, </w:t>
      </w:r>
      <w:proofErr w:type="spellStart"/>
      <w:r w:rsidRPr="0068632C">
        <w:rPr>
          <w:rFonts w:ascii="Arial" w:hAnsi="Arial" w:cs="Arial"/>
          <w:sz w:val="20"/>
          <w:szCs w:val="20"/>
          <w:lang w:val="en-US"/>
        </w:rPr>
        <w:t>Burmester</w:t>
      </w:r>
      <w:proofErr w:type="spellEnd"/>
      <w:r w:rsidRPr="0068632C">
        <w:rPr>
          <w:rFonts w:ascii="Arial" w:hAnsi="Arial" w:cs="Arial"/>
          <w:sz w:val="20"/>
          <w:szCs w:val="20"/>
          <w:lang w:val="en-US"/>
        </w:rPr>
        <w:t xml:space="preserve"> GR, </w:t>
      </w:r>
      <w:proofErr w:type="spellStart"/>
      <w:r w:rsidRPr="0068632C">
        <w:rPr>
          <w:rFonts w:ascii="Arial" w:hAnsi="Arial" w:cs="Arial"/>
          <w:sz w:val="20"/>
          <w:szCs w:val="20"/>
          <w:lang w:val="en-US"/>
        </w:rPr>
        <w:t>Dougados</w:t>
      </w:r>
      <w:proofErr w:type="spellEnd"/>
      <w:r w:rsidRPr="0068632C">
        <w:rPr>
          <w:rFonts w:ascii="Arial" w:hAnsi="Arial" w:cs="Arial"/>
          <w:sz w:val="20"/>
          <w:szCs w:val="20"/>
          <w:lang w:val="en-US"/>
        </w:rPr>
        <w:t xml:space="preserve"> M, </w:t>
      </w:r>
      <w:r w:rsidRPr="00F569FB">
        <w:rPr>
          <w:rFonts w:ascii="Arial" w:hAnsi="Arial" w:cs="Arial"/>
          <w:i/>
          <w:sz w:val="20"/>
          <w:szCs w:val="20"/>
          <w:lang w:val="en-US"/>
        </w:rPr>
        <w:t>et al</w:t>
      </w:r>
      <w:r w:rsidRPr="0068632C">
        <w:rPr>
          <w:rFonts w:ascii="Arial" w:hAnsi="Arial" w:cs="Arial"/>
          <w:sz w:val="20"/>
          <w:szCs w:val="20"/>
          <w:lang w:val="en-US"/>
        </w:rPr>
        <w:t>. Consensus statement on blocking the effects of interleukin-6 in particular by interleukin-6 receptor inhibition in rheumatoid arthritis and other inflamm</w:t>
      </w:r>
      <w:r w:rsidR="00F569FB">
        <w:rPr>
          <w:rFonts w:ascii="Arial" w:hAnsi="Arial" w:cs="Arial"/>
          <w:sz w:val="20"/>
          <w:szCs w:val="20"/>
          <w:lang w:val="en-US"/>
        </w:rPr>
        <w:t xml:space="preserve">atory conditions. </w:t>
      </w:r>
      <w:r w:rsidR="00F569FB" w:rsidRPr="00F569FB">
        <w:rPr>
          <w:rFonts w:ascii="Arial" w:hAnsi="Arial" w:cs="Arial"/>
          <w:i/>
          <w:sz w:val="20"/>
          <w:szCs w:val="20"/>
          <w:lang w:val="en-US"/>
        </w:rPr>
        <w:t>Ann Rheum Dis</w:t>
      </w:r>
      <w:r w:rsidRPr="00F569FB">
        <w:rPr>
          <w:rFonts w:ascii="Arial" w:hAnsi="Arial" w:cs="Arial"/>
          <w:i/>
          <w:sz w:val="20"/>
          <w:szCs w:val="20"/>
          <w:lang w:val="en-US"/>
        </w:rPr>
        <w:t xml:space="preserve"> </w:t>
      </w:r>
      <w:r w:rsidRPr="0068632C">
        <w:rPr>
          <w:rFonts w:ascii="Arial" w:hAnsi="Arial" w:cs="Arial"/>
          <w:sz w:val="20"/>
          <w:szCs w:val="20"/>
          <w:lang w:val="en-US"/>
        </w:rPr>
        <w:t>2012</w:t>
      </w:r>
      <w:r w:rsidR="00F569FB">
        <w:rPr>
          <w:rFonts w:ascii="Arial" w:hAnsi="Arial" w:cs="Arial"/>
          <w:sz w:val="20"/>
          <w:szCs w:val="20"/>
          <w:lang w:val="en-US"/>
        </w:rPr>
        <w:t>.</w:t>
      </w:r>
      <w:r w:rsidRPr="0068632C">
        <w:rPr>
          <w:rFonts w:ascii="Arial" w:hAnsi="Arial" w:cs="Arial"/>
          <w:sz w:val="20"/>
          <w:szCs w:val="20"/>
          <w:lang w:val="en-US"/>
        </w:rPr>
        <w:t xml:space="preserve"> [</w:t>
      </w:r>
      <w:proofErr w:type="spellStart"/>
      <w:r w:rsidRPr="0068632C">
        <w:rPr>
          <w:rFonts w:ascii="Arial" w:hAnsi="Arial" w:cs="Arial"/>
          <w:sz w:val="20"/>
          <w:szCs w:val="20"/>
          <w:lang w:val="en-US"/>
        </w:rPr>
        <w:t>Epub</w:t>
      </w:r>
      <w:proofErr w:type="spellEnd"/>
      <w:r w:rsidRPr="0068632C">
        <w:rPr>
          <w:rFonts w:ascii="Arial" w:hAnsi="Arial" w:cs="Arial"/>
          <w:sz w:val="20"/>
          <w:szCs w:val="20"/>
          <w:lang w:val="en-US"/>
        </w:rPr>
        <w:t xml:space="preserve"> ahead of print].</w:t>
      </w:r>
    </w:p>
    <w:p w14:paraId="5810F938" w14:textId="77777777" w:rsidR="00680065" w:rsidRPr="00392985" w:rsidRDefault="00680065" w:rsidP="00680065">
      <w:pPr>
        <w:numPr>
          <w:ilvl w:val="0"/>
          <w:numId w:val="4"/>
        </w:numPr>
        <w:spacing w:after="120"/>
        <w:contextualSpacing/>
        <w:jc w:val="both"/>
        <w:rPr>
          <w:rFonts w:ascii="Arial" w:hAnsi="Arial" w:cs="Arial"/>
          <w:sz w:val="20"/>
          <w:szCs w:val="20"/>
        </w:rPr>
      </w:pPr>
      <w:r w:rsidRPr="00392985">
        <w:rPr>
          <w:rFonts w:ascii="Arial" w:hAnsi="Arial" w:cs="Arial"/>
          <w:sz w:val="20"/>
          <w:szCs w:val="20"/>
          <w:lang w:val="en-US"/>
        </w:rPr>
        <w:t xml:space="preserve">Tocilizumab Summary of product characteristics. </w:t>
      </w:r>
      <w:hyperlink r:id="rId7" w:history="1">
        <w:r>
          <w:rPr>
            <w:rStyle w:val="Hipervnculo"/>
          </w:rPr>
          <w:t>http://www.ema.europa.eu/docs/en_GB/document_library/EPAR_-_Product_Information/human/000955/WC500054890.pdf</w:t>
        </w:r>
      </w:hyperlink>
    </w:p>
    <w:p w14:paraId="1E35BA14" w14:textId="77777777" w:rsidR="00680065" w:rsidRPr="005C5AB8" w:rsidRDefault="00680065" w:rsidP="00680065">
      <w:pPr>
        <w:numPr>
          <w:ilvl w:val="0"/>
          <w:numId w:val="4"/>
        </w:numPr>
        <w:spacing w:after="200"/>
        <w:contextualSpacing/>
        <w:jc w:val="both"/>
        <w:rPr>
          <w:rFonts w:ascii="Arial" w:hAnsi="Arial" w:cs="Arial"/>
          <w:sz w:val="20"/>
          <w:szCs w:val="20"/>
          <w:lang w:val="en-US"/>
        </w:rPr>
      </w:pPr>
      <w:proofErr w:type="spellStart"/>
      <w:r w:rsidRPr="0068632C">
        <w:rPr>
          <w:rFonts w:ascii="Arial" w:hAnsi="Arial" w:cs="Arial"/>
          <w:sz w:val="20"/>
          <w:szCs w:val="20"/>
          <w:lang w:val="en-US"/>
        </w:rPr>
        <w:t>Westhovens</w:t>
      </w:r>
      <w:proofErr w:type="spellEnd"/>
      <w:r w:rsidRPr="0068632C">
        <w:rPr>
          <w:rFonts w:ascii="Arial" w:hAnsi="Arial" w:cs="Arial"/>
          <w:sz w:val="20"/>
          <w:szCs w:val="20"/>
          <w:lang w:val="en-US"/>
        </w:rPr>
        <w:t xml:space="preserve"> R, Robles M, </w:t>
      </w:r>
      <w:proofErr w:type="spellStart"/>
      <w:r w:rsidRPr="0068632C">
        <w:rPr>
          <w:rFonts w:ascii="Arial" w:hAnsi="Arial" w:cs="Arial"/>
          <w:sz w:val="20"/>
          <w:szCs w:val="20"/>
          <w:lang w:val="en-US"/>
        </w:rPr>
        <w:t>Ximenes</w:t>
      </w:r>
      <w:proofErr w:type="spellEnd"/>
      <w:r w:rsidRPr="0068632C">
        <w:rPr>
          <w:rFonts w:ascii="Arial" w:hAnsi="Arial" w:cs="Arial"/>
          <w:sz w:val="20"/>
          <w:szCs w:val="20"/>
          <w:lang w:val="en-US"/>
        </w:rPr>
        <w:t xml:space="preserve"> AL, </w:t>
      </w:r>
      <w:proofErr w:type="spellStart"/>
      <w:r w:rsidRPr="0068632C">
        <w:rPr>
          <w:rFonts w:ascii="Arial" w:hAnsi="Arial" w:cs="Arial"/>
          <w:sz w:val="20"/>
          <w:szCs w:val="20"/>
          <w:lang w:val="en-US"/>
        </w:rPr>
        <w:t>Nayiager</w:t>
      </w:r>
      <w:proofErr w:type="spellEnd"/>
      <w:r w:rsidRPr="0068632C">
        <w:rPr>
          <w:rFonts w:ascii="Arial" w:hAnsi="Arial" w:cs="Arial"/>
          <w:sz w:val="20"/>
          <w:szCs w:val="20"/>
          <w:lang w:val="en-US"/>
        </w:rPr>
        <w:t xml:space="preserve"> S, </w:t>
      </w:r>
      <w:proofErr w:type="spellStart"/>
      <w:r w:rsidRPr="0068632C">
        <w:rPr>
          <w:rFonts w:ascii="Arial" w:hAnsi="Arial" w:cs="Arial"/>
          <w:sz w:val="20"/>
          <w:szCs w:val="20"/>
          <w:lang w:val="en-US"/>
        </w:rPr>
        <w:t>Wollenhaupt</w:t>
      </w:r>
      <w:proofErr w:type="spellEnd"/>
      <w:r w:rsidRPr="0068632C">
        <w:rPr>
          <w:rFonts w:ascii="Arial" w:hAnsi="Arial" w:cs="Arial"/>
          <w:sz w:val="20"/>
          <w:szCs w:val="20"/>
          <w:lang w:val="en-US"/>
        </w:rPr>
        <w:t xml:space="preserve"> J, </w:t>
      </w:r>
      <w:proofErr w:type="spellStart"/>
      <w:r w:rsidRPr="0068632C">
        <w:rPr>
          <w:rFonts w:ascii="Arial" w:hAnsi="Arial" w:cs="Arial"/>
          <w:sz w:val="20"/>
          <w:szCs w:val="20"/>
          <w:lang w:val="en-US"/>
        </w:rPr>
        <w:t>Durez</w:t>
      </w:r>
      <w:proofErr w:type="spellEnd"/>
      <w:r w:rsidRPr="0068632C">
        <w:rPr>
          <w:rFonts w:ascii="Arial" w:hAnsi="Arial" w:cs="Arial"/>
          <w:sz w:val="20"/>
          <w:szCs w:val="20"/>
          <w:lang w:val="en-US"/>
        </w:rPr>
        <w:t xml:space="preserve"> P, </w:t>
      </w:r>
      <w:r w:rsidRPr="00F569FB">
        <w:rPr>
          <w:rFonts w:ascii="Arial" w:hAnsi="Arial" w:cs="Arial"/>
          <w:i/>
          <w:sz w:val="20"/>
          <w:szCs w:val="20"/>
          <w:lang w:val="en-US"/>
        </w:rPr>
        <w:t>et al</w:t>
      </w:r>
      <w:r w:rsidRPr="0068632C">
        <w:rPr>
          <w:rFonts w:ascii="Arial" w:hAnsi="Arial" w:cs="Arial"/>
          <w:sz w:val="20"/>
          <w:szCs w:val="20"/>
          <w:lang w:val="en-US"/>
        </w:rPr>
        <w:t xml:space="preserve">. Clinical efficacy and safety of </w:t>
      </w:r>
      <w:proofErr w:type="spellStart"/>
      <w:r w:rsidRPr="0068632C">
        <w:rPr>
          <w:rFonts w:ascii="Arial" w:hAnsi="Arial" w:cs="Arial"/>
          <w:sz w:val="20"/>
          <w:szCs w:val="20"/>
          <w:lang w:val="en-US"/>
        </w:rPr>
        <w:t>abatacept</w:t>
      </w:r>
      <w:proofErr w:type="spellEnd"/>
      <w:r w:rsidRPr="0068632C">
        <w:rPr>
          <w:rFonts w:ascii="Arial" w:hAnsi="Arial" w:cs="Arial"/>
          <w:sz w:val="20"/>
          <w:szCs w:val="20"/>
          <w:lang w:val="en-US"/>
        </w:rPr>
        <w:t xml:space="preserve"> in methotrexate-naïve patients with early rheumatoid arthritis and poor prognostic factors. </w:t>
      </w:r>
      <w:r w:rsidRPr="00F569FB">
        <w:rPr>
          <w:rFonts w:ascii="Arial" w:hAnsi="Arial" w:cs="Arial"/>
          <w:i/>
          <w:sz w:val="20"/>
          <w:szCs w:val="20"/>
          <w:lang w:val="en-US"/>
        </w:rPr>
        <w:t>Ann Rheum Dis</w:t>
      </w:r>
      <w:r w:rsidRPr="0068632C">
        <w:rPr>
          <w:rFonts w:ascii="Arial" w:hAnsi="Arial" w:cs="Arial"/>
          <w:sz w:val="20"/>
          <w:szCs w:val="20"/>
          <w:lang w:val="en-US"/>
        </w:rPr>
        <w:t xml:space="preserve"> 2009</w:t>
      </w:r>
      <w:proofErr w:type="gramStart"/>
      <w:r w:rsidRPr="0068632C">
        <w:rPr>
          <w:rFonts w:ascii="Arial" w:hAnsi="Arial" w:cs="Arial"/>
          <w:sz w:val="20"/>
          <w:szCs w:val="20"/>
          <w:lang w:val="en-US"/>
        </w:rPr>
        <w:t>;68:1870</w:t>
      </w:r>
      <w:proofErr w:type="gramEnd"/>
      <w:r w:rsidRPr="0068632C">
        <w:rPr>
          <w:rFonts w:ascii="Arial" w:hAnsi="Arial" w:cs="Arial"/>
          <w:sz w:val="20"/>
          <w:szCs w:val="20"/>
          <w:lang w:val="en-US"/>
        </w:rPr>
        <w:t>-7.</w:t>
      </w:r>
    </w:p>
    <w:p w14:paraId="0E3057DA" w14:textId="77777777" w:rsidR="00680065" w:rsidRPr="005C5AB8" w:rsidRDefault="00680065" w:rsidP="00680065">
      <w:pPr>
        <w:numPr>
          <w:ilvl w:val="0"/>
          <w:numId w:val="4"/>
        </w:numPr>
        <w:spacing w:after="200"/>
        <w:contextualSpacing/>
        <w:jc w:val="both"/>
        <w:rPr>
          <w:rFonts w:ascii="Arial" w:hAnsi="Arial" w:cs="Arial"/>
          <w:sz w:val="20"/>
          <w:szCs w:val="20"/>
          <w:lang w:val="en-US"/>
        </w:rPr>
      </w:pPr>
      <w:r w:rsidRPr="0068632C">
        <w:rPr>
          <w:rFonts w:ascii="Arial" w:hAnsi="Arial" w:cs="Arial"/>
          <w:sz w:val="20"/>
          <w:szCs w:val="20"/>
          <w:lang w:val="en-US"/>
        </w:rPr>
        <w:t xml:space="preserve">Wells AF, </w:t>
      </w:r>
      <w:proofErr w:type="spellStart"/>
      <w:r w:rsidRPr="0068632C">
        <w:rPr>
          <w:rFonts w:ascii="Arial" w:hAnsi="Arial" w:cs="Arial"/>
          <w:sz w:val="20"/>
          <w:szCs w:val="20"/>
          <w:lang w:val="en-US"/>
        </w:rPr>
        <w:t>Westhovens</w:t>
      </w:r>
      <w:proofErr w:type="spellEnd"/>
      <w:r w:rsidRPr="0068632C">
        <w:rPr>
          <w:rFonts w:ascii="Arial" w:hAnsi="Arial" w:cs="Arial"/>
          <w:sz w:val="20"/>
          <w:szCs w:val="20"/>
          <w:lang w:val="en-US"/>
        </w:rPr>
        <w:t xml:space="preserve"> R, Reed DM, </w:t>
      </w:r>
      <w:proofErr w:type="spellStart"/>
      <w:r w:rsidRPr="0068632C">
        <w:rPr>
          <w:rFonts w:ascii="Arial" w:hAnsi="Arial" w:cs="Arial"/>
          <w:sz w:val="20"/>
          <w:szCs w:val="20"/>
          <w:lang w:val="en-US"/>
        </w:rPr>
        <w:t>Fanti</w:t>
      </w:r>
      <w:proofErr w:type="spellEnd"/>
      <w:r w:rsidRPr="0068632C">
        <w:rPr>
          <w:rFonts w:ascii="Arial" w:hAnsi="Arial" w:cs="Arial"/>
          <w:sz w:val="20"/>
          <w:szCs w:val="20"/>
          <w:lang w:val="en-US"/>
        </w:rPr>
        <w:t xml:space="preserve"> L, Becker J-D, </w:t>
      </w:r>
      <w:proofErr w:type="spellStart"/>
      <w:r w:rsidRPr="0068632C">
        <w:rPr>
          <w:rFonts w:ascii="Arial" w:hAnsi="Arial" w:cs="Arial"/>
          <w:sz w:val="20"/>
          <w:szCs w:val="20"/>
          <w:lang w:val="en-US"/>
        </w:rPr>
        <w:t>Covucci</w:t>
      </w:r>
      <w:proofErr w:type="spellEnd"/>
      <w:r w:rsidRPr="0068632C">
        <w:rPr>
          <w:rFonts w:ascii="Arial" w:hAnsi="Arial" w:cs="Arial"/>
          <w:sz w:val="20"/>
          <w:szCs w:val="20"/>
          <w:lang w:val="en-US"/>
        </w:rPr>
        <w:t xml:space="preserve"> A, </w:t>
      </w:r>
      <w:r w:rsidRPr="00F569FB">
        <w:rPr>
          <w:rFonts w:ascii="Arial" w:hAnsi="Arial" w:cs="Arial"/>
          <w:i/>
          <w:sz w:val="20"/>
          <w:szCs w:val="20"/>
          <w:lang w:val="en-US"/>
        </w:rPr>
        <w:t>et al</w:t>
      </w:r>
      <w:r w:rsidRPr="0068632C">
        <w:rPr>
          <w:rFonts w:ascii="Arial" w:hAnsi="Arial" w:cs="Arial"/>
          <w:sz w:val="20"/>
          <w:szCs w:val="20"/>
          <w:lang w:val="en-US"/>
        </w:rPr>
        <w:t xml:space="preserve">. </w:t>
      </w:r>
      <w:proofErr w:type="spellStart"/>
      <w:r w:rsidRPr="0068632C">
        <w:rPr>
          <w:rFonts w:ascii="Arial" w:hAnsi="Arial" w:cs="Arial"/>
          <w:sz w:val="20"/>
          <w:szCs w:val="20"/>
          <w:lang w:val="en-US"/>
        </w:rPr>
        <w:t>Abatacept</w:t>
      </w:r>
      <w:proofErr w:type="spellEnd"/>
      <w:r w:rsidRPr="0068632C">
        <w:rPr>
          <w:rFonts w:ascii="Arial" w:hAnsi="Arial" w:cs="Arial"/>
          <w:sz w:val="20"/>
          <w:szCs w:val="20"/>
          <w:lang w:val="en-US"/>
        </w:rPr>
        <w:t xml:space="preserve"> plus methotrexate provides incremental clinical benefits versus methotrexate alone in </w:t>
      </w:r>
      <w:proofErr w:type="spellStart"/>
      <w:r w:rsidRPr="0068632C">
        <w:rPr>
          <w:rFonts w:ascii="Arial" w:hAnsi="Arial" w:cs="Arial"/>
          <w:sz w:val="20"/>
          <w:szCs w:val="20"/>
          <w:lang w:val="en-US"/>
        </w:rPr>
        <w:t>methotrexate.naive</w:t>
      </w:r>
      <w:proofErr w:type="spellEnd"/>
      <w:r w:rsidRPr="0068632C">
        <w:rPr>
          <w:rFonts w:ascii="Arial" w:hAnsi="Arial" w:cs="Arial"/>
          <w:sz w:val="20"/>
          <w:szCs w:val="20"/>
          <w:lang w:val="en-US"/>
        </w:rPr>
        <w:t xml:space="preserve"> patients with early rheumatoid arthritis who achieve radiographic </w:t>
      </w:r>
      <w:proofErr w:type="spellStart"/>
      <w:r w:rsidRPr="0068632C">
        <w:rPr>
          <w:rFonts w:ascii="Arial" w:hAnsi="Arial" w:cs="Arial"/>
          <w:sz w:val="20"/>
          <w:szCs w:val="20"/>
          <w:lang w:val="en-US"/>
        </w:rPr>
        <w:t>nonprogression</w:t>
      </w:r>
      <w:proofErr w:type="spellEnd"/>
      <w:r w:rsidRPr="0068632C">
        <w:rPr>
          <w:rFonts w:ascii="Arial" w:hAnsi="Arial" w:cs="Arial"/>
          <w:sz w:val="20"/>
          <w:szCs w:val="20"/>
          <w:lang w:val="en-US"/>
        </w:rPr>
        <w:t xml:space="preserve">. </w:t>
      </w:r>
      <w:r w:rsidRPr="00F569FB">
        <w:rPr>
          <w:rFonts w:ascii="Arial" w:hAnsi="Arial" w:cs="Arial"/>
          <w:i/>
          <w:sz w:val="20"/>
          <w:szCs w:val="20"/>
          <w:lang w:val="en-US"/>
        </w:rPr>
        <w:t xml:space="preserve">J </w:t>
      </w:r>
      <w:proofErr w:type="spellStart"/>
      <w:r w:rsidRPr="00F569FB">
        <w:rPr>
          <w:rFonts w:ascii="Arial" w:hAnsi="Arial" w:cs="Arial"/>
          <w:i/>
          <w:sz w:val="20"/>
          <w:szCs w:val="20"/>
          <w:lang w:val="en-US"/>
        </w:rPr>
        <w:t>Rheumatol</w:t>
      </w:r>
      <w:proofErr w:type="spellEnd"/>
      <w:r w:rsidRPr="0068632C">
        <w:rPr>
          <w:rFonts w:ascii="Arial" w:hAnsi="Arial" w:cs="Arial"/>
          <w:sz w:val="20"/>
          <w:szCs w:val="20"/>
          <w:lang w:val="en-US"/>
        </w:rPr>
        <w:t xml:space="preserve"> 2011</w:t>
      </w:r>
      <w:proofErr w:type="gramStart"/>
      <w:r w:rsidRPr="0068632C">
        <w:rPr>
          <w:rFonts w:ascii="Arial" w:hAnsi="Arial" w:cs="Arial"/>
          <w:sz w:val="20"/>
          <w:szCs w:val="20"/>
          <w:lang w:val="en-US"/>
        </w:rPr>
        <w:t>;38:2362</w:t>
      </w:r>
      <w:proofErr w:type="gramEnd"/>
      <w:r w:rsidRPr="0068632C">
        <w:rPr>
          <w:rFonts w:ascii="Arial" w:hAnsi="Arial" w:cs="Arial"/>
          <w:sz w:val="20"/>
          <w:szCs w:val="20"/>
          <w:lang w:val="en-US"/>
        </w:rPr>
        <w:t>-8.</w:t>
      </w:r>
    </w:p>
    <w:p w14:paraId="6FA6FDB7" w14:textId="77777777" w:rsidR="00680065" w:rsidRPr="0068632C" w:rsidRDefault="00680065" w:rsidP="00680065">
      <w:pPr>
        <w:numPr>
          <w:ilvl w:val="0"/>
          <w:numId w:val="4"/>
        </w:numPr>
        <w:spacing w:after="120"/>
        <w:contextualSpacing/>
        <w:jc w:val="both"/>
        <w:rPr>
          <w:rFonts w:ascii="Arial" w:hAnsi="Arial" w:cs="Arial"/>
          <w:sz w:val="20"/>
          <w:szCs w:val="20"/>
          <w:lang w:val="en-US"/>
        </w:rPr>
      </w:pPr>
      <w:r w:rsidRPr="0068632C">
        <w:rPr>
          <w:rFonts w:ascii="Arial" w:hAnsi="Arial" w:cs="Arial"/>
          <w:sz w:val="20"/>
          <w:szCs w:val="20"/>
          <w:lang w:val="da-DK"/>
        </w:rPr>
        <w:t xml:space="preserve">Kaine J, Gladstein G, Strusberg I, Robles M, Louw I, Gujrathi S, </w:t>
      </w:r>
      <w:r w:rsidRPr="00F569FB">
        <w:rPr>
          <w:rFonts w:ascii="Arial" w:hAnsi="Arial" w:cs="Arial"/>
          <w:i/>
          <w:sz w:val="20"/>
          <w:szCs w:val="20"/>
          <w:lang w:val="da-DK"/>
        </w:rPr>
        <w:t>et al</w:t>
      </w:r>
      <w:r w:rsidRPr="0068632C">
        <w:rPr>
          <w:rFonts w:ascii="Arial" w:hAnsi="Arial" w:cs="Arial"/>
          <w:sz w:val="20"/>
          <w:szCs w:val="20"/>
          <w:lang w:val="da-DK"/>
        </w:rPr>
        <w:t xml:space="preserve">. </w:t>
      </w:r>
      <w:r w:rsidRPr="0068632C">
        <w:rPr>
          <w:rFonts w:ascii="Arial" w:hAnsi="Arial" w:cs="Arial"/>
          <w:sz w:val="20"/>
          <w:szCs w:val="20"/>
          <w:lang w:val="en-US"/>
        </w:rPr>
        <w:t xml:space="preserve">Evaluation of abatacept administered subcutaneously in adults with active rheumatoid arthritis: impact of withdrawal and reintroduction on immunogenicity, efficacy and safety (Phase </w:t>
      </w:r>
      <w:proofErr w:type="spellStart"/>
      <w:r w:rsidRPr="0068632C">
        <w:rPr>
          <w:rFonts w:ascii="Arial" w:hAnsi="Arial" w:cs="Arial"/>
          <w:sz w:val="20"/>
          <w:szCs w:val="20"/>
          <w:lang w:val="en-US"/>
        </w:rPr>
        <w:t>IIIb</w:t>
      </w:r>
      <w:proofErr w:type="spellEnd"/>
      <w:r w:rsidRPr="0068632C">
        <w:rPr>
          <w:rFonts w:ascii="Arial" w:hAnsi="Arial" w:cs="Arial"/>
          <w:sz w:val="20"/>
          <w:szCs w:val="20"/>
          <w:lang w:val="en-US"/>
        </w:rPr>
        <w:t xml:space="preserve"> ALLOW study). </w:t>
      </w:r>
      <w:r w:rsidRPr="00F569FB">
        <w:rPr>
          <w:rFonts w:ascii="Arial" w:hAnsi="Arial" w:cs="Arial"/>
          <w:i/>
          <w:sz w:val="20"/>
          <w:szCs w:val="20"/>
          <w:lang w:val="en-US"/>
        </w:rPr>
        <w:t>Ann Rheum Dis</w:t>
      </w:r>
      <w:r w:rsidRPr="0068632C">
        <w:rPr>
          <w:rFonts w:ascii="Arial" w:hAnsi="Arial" w:cs="Arial"/>
          <w:sz w:val="20"/>
          <w:szCs w:val="20"/>
          <w:lang w:val="en-US"/>
        </w:rPr>
        <w:t xml:space="preserve"> 2012</w:t>
      </w:r>
      <w:proofErr w:type="gramStart"/>
      <w:r w:rsidRPr="0068632C">
        <w:rPr>
          <w:rFonts w:ascii="Arial" w:hAnsi="Arial" w:cs="Arial"/>
          <w:sz w:val="20"/>
          <w:szCs w:val="20"/>
          <w:lang w:val="en-US"/>
        </w:rPr>
        <w:t>;71:38</w:t>
      </w:r>
      <w:proofErr w:type="gramEnd"/>
      <w:r w:rsidRPr="0068632C">
        <w:rPr>
          <w:rFonts w:ascii="Arial" w:hAnsi="Arial" w:cs="Arial"/>
          <w:sz w:val="20"/>
          <w:szCs w:val="20"/>
          <w:lang w:val="en-US"/>
        </w:rPr>
        <w:t xml:space="preserve">-44. </w:t>
      </w:r>
      <w:proofErr w:type="spellStart"/>
      <w:r w:rsidRPr="0068632C">
        <w:rPr>
          <w:rFonts w:ascii="Arial" w:hAnsi="Arial" w:cs="Arial"/>
          <w:sz w:val="20"/>
          <w:szCs w:val="20"/>
          <w:lang w:val="en-US"/>
        </w:rPr>
        <w:t>Epub</w:t>
      </w:r>
      <w:proofErr w:type="spellEnd"/>
      <w:r w:rsidRPr="0068632C">
        <w:rPr>
          <w:rFonts w:ascii="Arial" w:hAnsi="Arial" w:cs="Arial"/>
          <w:sz w:val="20"/>
          <w:szCs w:val="20"/>
          <w:lang w:val="en-US"/>
        </w:rPr>
        <w:t xml:space="preserve"> 2011 Sep 13.</w:t>
      </w:r>
    </w:p>
    <w:p w14:paraId="7460462B" w14:textId="77777777" w:rsidR="00680065" w:rsidRPr="00F569FB" w:rsidRDefault="00680065" w:rsidP="00680065">
      <w:pPr>
        <w:numPr>
          <w:ilvl w:val="0"/>
          <w:numId w:val="4"/>
        </w:numPr>
        <w:spacing w:after="200"/>
        <w:contextualSpacing/>
        <w:rPr>
          <w:rFonts w:ascii="Arial" w:hAnsi="Arial" w:cs="Arial"/>
          <w:sz w:val="20"/>
          <w:szCs w:val="20"/>
          <w:lang w:val="en-US"/>
        </w:rPr>
      </w:pPr>
      <w:r w:rsidRPr="0068632C">
        <w:rPr>
          <w:rFonts w:ascii="Arial" w:hAnsi="Arial" w:cs="Arial"/>
          <w:color w:val="000000"/>
          <w:kern w:val="24"/>
          <w:sz w:val="20"/>
          <w:szCs w:val="20"/>
          <w:lang w:val="en-US"/>
        </w:rPr>
        <w:t xml:space="preserve">Fleischmann R, </w:t>
      </w:r>
      <w:proofErr w:type="spellStart"/>
      <w:r w:rsidRPr="0068632C">
        <w:rPr>
          <w:rFonts w:ascii="Arial" w:hAnsi="Arial" w:cs="Arial"/>
          <w:color w:val="000000"/>
          <w:kern w:val="24"/>
          <w:sz w:val="20"/>
          <w:szCs w:val="20"/>
          <w:lang w:val="en-US"/>
        </w:rPr>
        <w:t>Cutolo</w:t>
      </w:r>
      <w:proofErr w:type="spellEnd"/>
      <w:r w:rsidRPr="0068632C">
        <w:rPr>
          <w:rFonts w:ascii="Arial" w:hAnsi="Arial" w:cs="Arial"/>
          <w:color w:val="000000"/>
          <w:kern w:val="24"/>
          <w:sz w:val="20"/>
          <w:szCs w:val="20"/>
          <w:lang w:val="en-US"/>
        </w:rPr>
        <w:t xml:space="preserve"> M, Genovese MC.</w:t>
      </w:r>
      <w:r w:rsidR="00F569FB">
        <w:rPr>
          <w:rFonts w:ascii="Arial" w:hAnsi="Arial" w:cs="Arial"/>
          <w:color w:val="000000"/>
          <w:kern w:val="24"/>
          <w:sz w:val="20"/>
          <w:szCs w:val="20"/>
          <w:lang w:val="en-US"/>
        </w:rPr>
        <w:t xml:space="preserve"> </w:t>
      </w:r>
      <w:proofErr w:type="spellStart"/>
      <w:r w:rsidRPr="0068632C">
        <w:rPr>
          <w:rFonts w:ascii="Arial" w:hAnsi="Arial" w:cs="Arial"/>
          <w:bCs/>
          <w:color w:val="000000"/>
          <w:kern w:val="24"/>
          <w:sz w:val="20"/>
          <w:szCs w:val="20"/>
          <w:lang w:val="en-US"/>
        </w:rPr>
        <w:t>PhaseIIb</w:t>
      </w:r>
      <w:proofErr w:type="spellEnd"/>
      <w:r w:rsidRPr="0068632C">
        <w:rPr>
          <w:rFonts w:ascii="Arial" w:hAnsi="Arial" w:cs="Arial"/>
          <w:bCs/>
          <w:color w:val="000000"/>
          <w:kern w:val="24"/>
          <w:sz w:val="20"/>
          <w:szCs w:val="20"/>
          <w:lang w:val="en-US"/>
        </w:rPr>
        <w:t xml:space="preserve"> dose-ranging study of the oral JAK inhibitor </w:t>
      </w:r>
      <w:proofErr w:type="spellStart"/>
      <w:r w:rsidRPr="0068632C">
        <w:rPr>
          <w:rFonts w:ascii="Arial" w:hAnsi="Arial" w:cs="Arial"/>
          <w:bCs/>
          <w:color w:val="000000"/>
          <w:kern w:val="24"/>
          <w:sz w:val="20"/>
          <w:szCs w:val="20"/>
          <w:lang w:val="en-US"/>
        </w:rPr>
        <w:t>tofacitinib</w:t>
      </w:r>
      <w:proofErr w:type="spellEnd"/>
      <w:r w:rsidRPr="0068632C">
        <w:rPr>
          <w:rFonts w:ascii="Arial" w:hAnsi="Arial" w:cs="Arial"/>
          <w:bCs/>
          <w:color w:val="000000"/>
          <w:kern w:val="24"/>
          <w:sz w:val="20"/>
          <w:szCs w:val="20"/>
          <w:lang w:val="en-US"/>
        </w:rPr>
        <w:t xml:space="preserve"> (CP-690,550) or </w:t>
      </w:r>
      <w:proofErr w:type="spellStart"/>
      <w:r w:rsidRPr="0068632C">
        <w:rPr>
          <w:rFonts w:ascii="Arial" w:hAnsi="Arial" w:cs="Arial"/>
          <w:bCs/>
          <w:color w:val="000000"/>
          <w:kern w:val="24"/>
          <w:sz w:val="20"/>
          <w:szCs w:val="20"/>
          <w:lang w:val="en-US"/>
        </w:rPr>
        <w:t>adalimumabmonotherapy</w:t>
      </w:r>
      <w:proofErr w:type="spellEnd"/>
      <w:r w:rsidRPr="0068632C">
        <w:rPr>
          <w:rFonts w:ascii="Arial" w:hAnsi="Arial" w:cs="Arial"/>
          <w:bCs/>
          <w:color w:val="000000"/>
          <w:kern w:val="24"/>
          <w:sz w:val="20"/>
          <w:szCs w:val="20"/>
          <w:lang w:val="en-US"/>
        </w:rPr>
        <w:t xml:space="preserve"> versus placebo in patients with active rheumatoid arthritis with an inadequate response to disease-modifying </w:t>
      </w:r>
      <w:proofErr w:type="spellStart"/>
      <w:r w:rsidRPr="0068632C">
        <w:rPr>
          <w:rFonts w:ascii="Arial" w:hAnsi="Arial" w:cs="Arial"/>
          <w:bCs/>
          <w:color w:val="000000"/>
          <w:kern w:val="24"/>
          <w:sz w:val="20"/>
          <w:szCs w:val="20"/>
          <w:lang w:val="en-US"/>
        </w:rPr>
        <w:t>antirheumaticdrugs</w:t>
      </w:r>
      <w:proofErr w:type="spellEnd"/>
      <w:r w:rsidRPr="0068632C">
        <w:rPr>
          <w:rFonts w:ascii="Arial" w:hAnsi="Arial" w:cs="Arial"/>
          <w:bCs/>
          <w:color w:val="000000"/>
          <w:kern w:val="24"/>
          <w:sz w:val="20"/>
          <w:szCs w:val="20"/>
          <w:lang w:val="en-US"/>
        </w:rPr>
        <w:t>.</w:t>
      </w:r>
      <w:r w:rsidR="00F569FB">
        <w:rPr>
          <w:rFonts w:ascii="Arial" w:hAnsi="Arial" w:cs="Arial"/>
          <w:bCs/>
          <w:color w:val="000000"/>
          <w:kern w:val="24"/>
          <w:sz w:val="20"/>
          <w:szCs w:val="20"/>
          <w:lang w:val="en-US"/>
        </w:rPr>
        <w:t xml:space="preserve"> </w:t>
      </w:r>
      <w:r w:rsidRPr="00F569FB">
        <w:rPr>
          <w:rFonts w:ascii="Arial" w:hAnsi="Arial" w:cs="Arial"/>
          <w:i/>
          <w:color w:val="000000"/>
          <w:kern w:val="24"/>
          <w:sz w:val="20"/>
          <w:szCs w:val="20"/>
          <w:lang w:val="en-US"/>
        </w:rPr>
        <w:t>Arthritis Rheum</w:t>
      </w:r>
      <w:r w:rsidRPr="0068632C">
        <w:rPr>
          <w:rFonts w:ascii="Arial" w:hAnsi="Arial" w:cs="Arial"/>
          <w:color w:val="000000"/>
          <w:kern w:val="24"/>
          <w:sz w:val="20"/>
          <w:szCs w:val="20"/>
          <w:lang w:val="en-US"/>
        </w:rPr>
        <w:t xml:space="preserve"> 2012 Mar</w:t>
      </w:r>
      <w:proofErr w:type="gramStart"/>
      <w:r w:rsidRPr="0068632C">
        <w:rPr>
          <w:rFonts w:ascii="Arial" w:hAnsi="Arial" w:cs="Arial"/>
          <w:color w:val="000000"/>
          <w:kern w:val="24"/>
          <w:sz w:val="20"/>
          <w:szCs w:val="20"/>
          <w:lang w:val="en-US"/>
        </w:rPr>
        <w:t>;64</w:t>
      </w:r>
      <w:proofErr w:type="gramEnd"/>
      <w:r w:rsidRPr="0068632C">
        <w:rPr>
          <w:rFonts w:ascii="Arial" w:hAnsi="Arial" w:cs="Arial"/>
          <w:color w:val="000000"/>
          <w:kern w:val="24"/>
          <w:sz w:val="20"/>
          <w:szCs w:val="20"/>
          <w:lang w:val="en-US"/>
        </w:rPr>
        <w:t>(3):617-29.</w:t>
      </w:r>
    </w:p>
    <w:p w14:paraId="2C70E705" w14:textId="77777777" w:rsidR="00F0314D" w:rsidRDefault="00680065" w:rsidP="00F0314D">
      <w:pPr>
        <w:numPr>
          <w:ilvl w:val="0"/>
          <w:numId w:val="4"/>
        </w:numPr>
        <w:spacing w:after="200"/>
        <w:contextualSpacing/>
        <w:rPr>
          <w:rFonts w:ascii="Arial" w:hAnsi="Arial" w:cs="Arial"/>
          <w:sz w:val="20"/>
          <w:szCs w:val="20"/>
        </w:rPr>
      </w:pPr>
      <w:r w:rsidRPr="0068632C">
        <w:rPr>
          <w:rFonts w:ascii="Arial" w:hAnsi="Arial" w:cs="Arial"/>
          <w:color w:val="000000"/>
          <w:kern w:val="24"/>
          <w:sz w:val="20"/>
          <w:szCs w:val="20"/>
          <w:lang w:val="nb-NO"/>
        </w:rPr>
        <w:t>Kremer JM, Bloom BJ, Breedveld FC.</w:t>
      </w:r>
      <w:r w:rsidRPr="0068632C">
        <w:rPr>
          <w:rFonts w:ascii="Arial" w:hAnsi="Arial" w:cs="Arial"/>
          <w:bCs/>
          <w:color w:val="000000"/>
          <w:kern w:val="24"/>
          <w:sz w:val="20"/>
          <w:szCs w:val="20"/>
          <w:lang w:val="en-US"/>
        </w:rPr>
        <w:t>The safety and efficacy of a JAK inhibitor in patients with active rheumatoid ar</w:t>
      </w:r>
      <w:bookmarkStart w:id="0" w:name="_GoBack"/>
      <w:bookmarkEnd w:id="0"/>
      <w:r w:rsidRPr="0068632C">
        <w:rPr>
          <w:rFonts w:ascii="Arial" w:hAnsi="Arial" w:cs="Arial"/>
          <w:bCs/>
          <w:color w:val="000000"/>
          <w:kern w:val="24"/>
          <w:sz w:val="20"/>
          <w:szCs w:val="20"/>
          <w:lang w:val="en-US"/>
        </w:rPr>
        <w:t xml:space="preserve">thritis: Results of a double-blind, placebo-controlled phase </w:t>
      </w:r>
      <w:proofErr w:type="spellStart"/>
      <w:r w:rsidRPr="0068632C">
        <w:rPr>
          <w:rFonts w:ascii="Arial" w:hAnsi="Arial" w:cs="Arial"/>
          <w:bCs/>
          <w:color w:val="000000"/>
          <w:kern w:val="24"/>
          <w:sz w:val="20"/>
          <w:szCs w:val="20"/>
          <w:lang w:val="en-US"/>
        </w:rPr>
        <w:t>IIa</w:t>
      </w:r>
      <w:proofErr w:type="spellEnd"/>
      <w:r w:rsidRPr="0068632C">
        <w:rPr>
          <w:rFonts w:ascii="Arial" w:hAnsi="Arial" w:cs="Arial"/>
          <w:bCs/>
          <w:color w:val="000000"/>
          <w:kern w:val="24"/>
          <w:sz w:val="20"/>
          <w:szCs w:val="20"/>
          <w:lang w:val="en-US"/>
        </w:rPr>
        <w:t xml:space="preserve"> trial of three dosage levels of CP-690,550 versus placebo.</w:t>
      </w:r>
      <w:r>
        <w:rPr>
          <w:rFonts w:ascii="Arial" w:hAnsi="Arial" w:cs="Arial"/>
          <w:bCs/>
          <w:color w:val="000000"/>
          <w:kern w:val="24"/>
          <w:sz w:val="20"/>
          <w:szCs w:val="20"/>
          <w:lang w:val="en-US"/>
        </w:rPr>
        <w:t xml:space="preserve"> </w:t>
      </w:r>
      <w:r w:rsidR="00F0314D" w:rsidRPr="00F569FB">
        <w:rPr>
          <w:rFonts w:ascii="Arial" w:hAnsi="Arial" w:cs="Arial"/>
          <w:i/>
          <w:color w:val="000000"/>
          <w:kern w:val="24"/>
          <w:sz w:val="20"/>
          <w:szCs w:val="20"/>
          <w:lang w:val="en-US"/>
        </w:rPr>
        <w:t>Arthritis Rheum</w:t>
      </w:r>
      <w:r w:rsidR="00F0314D">
        <w:rPr>
          <w:rFonts w:ascii="Arial" w:hAnsi="Arial" w:cs="Arial"/>
          <w:color w:val="000000"/>
          <w:kern w:val="24"/>
          <w:sz w:val="20"/>
          <w:szCs w:val="20"/>
          <w:lang w:val="en-US"/>
        </w:rPr>
        <w:t xml:space="preserve"> 2009</w:t>
      </w:r>
      <w:proofErr w:type="gramStart"/>
      <w:r w:rsidRPr="0068632C">
        <w:rPr>
          <w:rFonts w:ascii="Arial" w:hAnsi="Arial" w:cs="Arial"/>
          <w:color w:val="000000"/>
          <w:kern w:val="24"/>
          <w:sz w:val="20"/>
          <w:szCs w:val="20"/>
          <w:lang w:val="en-US"/>
        </w:rPr>
        <w:t>;60</w:t>
      </w:r>
      <w:proofErr w:type="gramEnd"/>
      <w:r w:rsidR="00F0314D">
        <w:rPr>
          <w:rFonts w:ascii="Arial" w:hAnsi="Arial" w:cs="Arial"/>
          <w:color w:val="000000"/>
          <w:kern w:val="24"/>
          <w:sz w:val="20"/>
          <w:szCs w:val="20"/>
          <w:lang w:val="en-US"/>
        </w:rPr>
        <w:t xml:space="preserve"> </w:t>
      </w:r>
      <w:r w:rsidRPr="0068632C">
        <w:rPr>
          <w:rFonts w:ascii="Arial" w:hAnsi="Arial" w:cs="Arial"/>
          <w:color w:val="000000"/>
          <w:kern w:val="24"/>
          <w:sz w:val="20"/>
          <w:szCs w:val="20"/>
          <w:lang w:val="en-US"/>
        </w:rPr>
        <w:t>(7):1895-905.</w:t>
      </w:r>
    </w:p>
    <w:p w14:paraId="025B66FD" w14:textId="77777777" w:rsidR="00F0314D" w:rsidRPr="00F25976" w:rsidRDefault="00680065" w:rsidP="00F0314D">
      <w:pPr>
        <w:numPr>
          <w:ilvl w:val="0"/>
          <w:numId w:val="4"/>
        </w:numPr>
        <w:spacing w:after="200"/>
        <w:contextualSpacing/>
        <w:jc w:val="both"/>
      </w:pPr>
      <w:r w:rsidRPr="00F25976">
        <w:rPr>
          <w:rFonts w:ascii="Arial" w:hAnsi="Arial" w:cs="Arial"/>
          <w:kern w:val="24"/>
          <w:sz w:val="20"/>
          <w:szCs w:val="20"/>
          <w:lang w:val="en-US"/>
        </w:rPr>
        <w:t xml:space="preserve">Kremer J, Li Z, Hall S. </w:t>
      </w:r>
      <w:proofErr w:type="spellStart"/>
      <w:r w:rsidRPr="00F25976">
        <w:rPr>
          <w:rFonts w:ascii="Arial" w:hAnsi="Arial" w:cs="Arial"/>
          <w:bCs/>
          <w:kern w:val="24"/>
          <w:sz w:val="20"/>
          <w:szCs w:val="20"/>
          <w:lang w:val="en-US"/>
        </w:rPr>
        <w:t>Tofacitinib</w:t>
      </w:r>
      <w:proofErr w:type="spellEnd"/>
      <w:r w:rsidRPr="00F25976">
        <w:rPr>
          <w:rFonts w:ascii="Arial" w:hAnsi="Arial" w:cs="Arial"/>
          <w:bCs/>
          <w:kern w:val="24"/>
          <w:sz w:val="20"/>
          <w:szCs w:val="20"/>
          <w:lang w:val="en-US"/>
        </w:rPr>
        <w:t xml:space="preserve"> (CP-690, 550), an oral JAK inhibitor, in combination with traditional DMARDs: phase 3 </w:t>
      </w:r>
      <w:proofErr w:type="gramStart"/>
      <w:r w:rsidRPr="00F25976">
        <w:rPr>
          <w:rFonts w:ascii="Arial" w:hAnsi="Arial" w:cs="Arial"/>
          <w:bCs/>
          <w:kern w:val="24"/>
          <w:sz w:val="20"/>
          <w:szCs w:val="20"/>
          <w:lang w:val="en-US"/>
        </w:rPr>
        <w:t>study</w:t>
      </w:r>
      <w:proofErr w:type="gramEnd"/>
      <w:r w:rsidRPr="00F25976">
        <w:rPr>
          <w:rFonts w:ascii="Arial" w:hAnsi="Arial" w:cs="Arial"/>
          <w:bCs/>
          <w:kern w:val="24"/>
          <w:sz w:val="20"/>
          <w:szCs w:val="20"/>
          <w:lang w:val="en-US"/>
        </w:rPr>
        <w:t xml:space="preserve"> in patients with active rheumatoid arthritis with inadequate response to DMARDs.</w:t>
      </w:r>
      <w:r w:rsidRPr="00F25976">
        <w:rPr>
          <w:rFonts w:ascii="Arial" w:hAnsi="Arial" w:cs="Arial"/>
          <w:kern w:val="24"/>
          <w:sz w:val="20"/>
          <w:szCs w:val="20"/>
          <w:lang w:val="en-US"/>
        </w:rPr>
        <w:t xml:space="preserve"> </w:t>
      </w:r>
      <w:r w:rsidRPr="00F25976">
        <w:rPr>
          <w:rFonts w:ascii="Arial" w:hAnsi="Arial" w:cs="Arial"/>
          <w:i/>
          <w:kern w:val="24"/>
          <w:sz w:val="20"/>
          <w:szCs w:val="20"/>
          <w:lang w:val="en-US"/>
        </w:rPr>
        <w:t>Ann Rheum Dis</w:t>
      </w:r>
      <w:r w:rsidRPr="00F25976">
        <w:rPr>
          <w:rFonts w:ascii="Arial" w:hAnsi="Arial" w:cs="Arial"/>
          <w:kern w:val="24"/>
          <w:sz w:val="20"/>
          <w:szCs w:val="20"/>
          <w:lang w:val="en-US"/>
        </w:rPr>
        <w:t xml:space="preserve"> 2011; 70:611.</w:t>
      </w:r>
    </w:p>
    <w:p w14:paraId="772B1FB9" w14:textId="77777777" w:rsidR="007F5DE6" w:rsidRPr="00B03E3B" w:rsidRDefault="00680065" w:rsidP="007F5DE6">
      <w:pPr>
        <w:numPr>
          <w:ilvl w:val="0"/>
          <w:numId w:val="4"/>
        </w:numPr>
        <w:autoSpaceDE w:val="0"/>
        <w:autoSpaceDN w:val="0"/>
        <w:adjustRightInd w:val="0"/>
        <w:spacing w:after="200"/>
        <w:contextualSpacing/>
        <w:jc w:val="both"/>
        <w:rPr>
          <w:rFonts w:ascii="Arial" w:eastAsia="Times-Roman" w:hAnsi="Arial" w:cs="Arial"/>
          <w:color w:val="FF0000"/>
          <w:sz w:val="20"/>
          <w:szCs w:val="20"/>
          <w:lang w:val="en-US"/>
        </w:rPr>
      </w:pPr>
      <w:r w:rsidRPr="00F25976">
        <w:rPr>
          <w:rFonts w:ascii="Arial" w:hAnsi="Arial" w:cs="Arial"/>
          <w:kern w:val="24"/>
          <w:sz w:val="20"/>
          <w:szCs w:val="20"/>
          <w:lang w:val="en-US"/>
        </w:rPr>
        <w:t xml:space="preserve">Kremer JM, Cohen S, </w:t>
      </w:r>
      <w:proofErr w:type="spellStart"/>
      <w:r w:rsidRPr="00F25976">
        <w:rPr>
          <w:rFonts w:ascii="Arial" w:hAnsi="Arial" w:cs="Arial"/>
          <w:kern w:val="24"/>
          <w:sz w:val="20"/>
          <w:szCs w:val="20"/>
          <w:lang w:val="en-US"/>
        </w:rPr>
        <w:t>Wikinson</w:t>
      </w:r>
      <w:proofErr w:type="spellEnd"/>
      <w:r w:rsidRPr="00F25976">
        <w:rPr>
          <w:rFonts w:ascii="Arial" w:hAnsi="Arial" w:cs="Arial"/>
          <w:kern w:val="24"/>
          <w:sz w:val="20"/>
          <w:szCs w:val="20"/>
          <w:lang w:val="en-US"/>
        </w:rPr>
        <w:t xml:space="preserve"> BE. A phase </w:t>
      </w:r>
      <w:proofErr w:type="spellStart"/>
      <w:r w:rsidRPr="00F25976">
        <w:rPr>
          <w:rFonts w:ascii="Arial" w:hAnsi="Arial" w:cs="Arial"/>
          <w:kern w:val="24"/>
          <w:sz w:val="20"/>
          <w:szCs w:val="20"/>
          <w:lang w:val="en-US"/>
        </w:rPr>
        <w:t>IIb</w:t>
      </w:r>
      <w:proofErr w:type="spellEnd"/>
      <w:r w:rsidRPr="00F25976">
        <w:rPr>
          <w:rFonts w:ascii="Arial" w:hAnsi="Arial" w:cs="Arial"/>
          <w:kern w:val="24"/>
          <w:sz w:val="20"/>
          <w:szCs w:val="20"/>
          <w:lang w:val="en-US"/>
        </w:rPr>
        <w:t xml:space="preserve"> dose-ranging study of the oral JAK inhibitor </w:t>
      </w:r>
      <w:proofErr w:type="spellStart"/>
      <w:r w:rsidRPr="00F25976">
        <w:rPr>
          <w:rFonts w:ascii="Arial" w:hAnsi="Arial" w:cs="Arial"/>
          <w:kern w:val="24"/>
          <w:sz w:val="20"/>
          <w:szCs w:val="20"/>
          <w:lang w:val="en-US"/>
        </w:rPr>
        <w:t>tofacitinib</w:t>
      </w:r>
      <w:proofErr w:type="spellEnd"/>
      <w:r w:rsidRPr="00F25976">
        <w:rPr>
          <w:rFonts w:ascii="Arial" w:hAnsi="Arial" w:cs="Arial"/>
          <w:kern w:val="24"/>
          <w:sz w:val="20"/>
          <w:szCs w:val="20"/>
          <w:lang w:val="en-US"/>
        </w:rPr>
        <w:t xml:space="preserve"> </w:t>
      </w:r>
      <w:r w:rsidRPr="007F5DE6">
        <w:rPr>
          <w:rFonts w:ascii="Arial" w:hAnsi="Arial" w:cs="Arial"/>
          <w:color w:val="000000"/>
          <w:kern w:val="24"/>
          <w:sz w:val="20"/>
          <w:szCs w:val="20"/>
          <w:lang w:val="en-US"/>
        </w:rPr>
        <w:t xml:space="preserve">(CP-690,550) versus placebo in combination with background methotrexate in </w:t>
      </w:r>
      <w:r w:rsidRPr="007F5DE6">
        <w:rPr>
          <w:rFonts w:ascii="Arial" w:hAnsi="Arial" w:cs="Arial"/>
          <w:color w:val="000000"/>
          <w:kern w:val="24"/>
          <w:sz w:val="20"/>
          <w:szCs w:val="20"/>
          <w:lang w:val="en-US"/>
        </w:rPr>
        <w:lastRenderedPageBreak/>
        <w:t xml:space="preserve">patients with active rheumatoid arthritis and an inadequate response to methotrexate alone. </w:t>
      </w:r>
      <w:r w:rsidRPr="007F5DE6">
        <w:rPr>
          <w:rFonts w:ascii="Arial" w:hAnsi="Arial" w:cs="Arial"/>
          <w:i/>
          <w:color w:val="000000"/>
          <w:kern w:val="24"/>
          <w:sz w:val="20"/>
          <w:szCs w:val="20"/>
          <w:lang w:val="en-US"/>
        </w:rPr>
        <w:t xml:space="preserve">Arthritis </w:t>
      </w:r>
      <w:proofErr w:type="spellStart"/>
      <w:r w:rsidRPr="007F5DE6">
        <w:rPr>
          <w:rFonts w:ascii="Arial" w:hAnsi="Arial" w:cs="Arial"/>
          <w:i/>
          <w:color w:val="000000"/>
          <w:kern w:val="24"/>
          <w:sz w:val="20"/>
          <w:szCs w:val="20"/>
          <w:lang w:val="en-US"/>
        </w:rPr>
        <w:t>Rheumat</w:t>
      </w:r>
      <w:proofErr w:type="spellEnd"/>
      <w:r w:rsidRPr="007F5DE6">
        <w:rPr>
          <w:rFonts w:ascii="Arial" w:hAnsi="Arial" w:cs="Arial"/>
          <w:color w:val="000000"/>
          <w:kern w:val="24"/>
          <w:sz w:val="20"/>
          <w:szCs w:val="20"/>
          <w:lang w:val="en-US"/>
        </w:rPr>
        <w:t xml:space="preserve"> 2012</w:t>
      </w:r>
      <w:proofErr w:type="gramStart"/>
      <w:r w:rsidRPr="007F5DE6">
        <w:rPr>
          <w:rFonts w:ascii="Arial" w:hAnsi="Arial" w:cs="Arial"/>
          <w:color w:val="000000"/>
          <w:kern w:val="24"/>
          <w:sz w:val="20"/>
          <w:szCs w:val="20"/>
          <w:lang w:val="en-US"/>
        </w:rPr>
        <w:t>;64</w:t>
      </w:r>
      <w:proofErr w:type="gramEnd"/>
      <w:r w:rsidRPr="007F5DE6">
        <w:rPr>
          <w:rFonts w:ascii="Arial" w:hAnsi="Arial" w:cs="Arial"/>
          <w:color w:val="000000"/>
          <w:kern w:val="24"/>
          <w:sz w:val="20"/>
          <w:szCs w:val="20"/>
          <w:lang w:val="en-US"/>
        </w:rPr>
        <w:t>(4):970-981.</w:t>
      </w:r>
    </w:p>
    <w:p w14:paraId="00DCC3BE" w14:textId="77777777" w:rsidR="00C05D37" w:rsidRDefault="00C05D37" w:rsidP="00C05D37">
      <w:pPr>
        <w:numPr>
          <w:ilvl w:val="0"/>
          <w:numId w:val="4"/>
        </w:numPr>
        <w:autoSpaceDE w:val="0"/>
        <w:autoSpaceDN w:val="0"/>
        <w:adjustRightInd w:val="0"/>
        <w:spacing w:after="200"/>
        <w:contextualSpacing/>
        <w:jc w:val="both"/>
        <w:rPr>
          <w:rFonts w:ascii="Arial" w:eastAsia="Times-Roman" w:hAnsi="Arial" w:cs="Arial"/>
          <w:sz w:val="20"/>
          <w:szCs w:val="20"/>
          <w:lang w:val="en-US"/>
        </w:rPr>
      </w:pPr>
      <w:r>
        <w:rPr>
          <w:rFonts w:ascii="Arial" w:eastAsia="Times-Roman" w:hAnsi="Arial" w:cs="Arial"/>
          <w:sz w:val="20"/>
          <w:szCs w:val="20"/>
          <w:lang w:val="en-US"/>
        </w:rPr>
        <w:t>REMS. NDA 203,214 XELJANZ (TOFACITINIB). Risk evaluation and mitigation strategy 2012.</w:t>
      </w:r>
    </w:p>
    <w:p w14:paraId="304DFA49" w14:textId="77777777" w:rsidR="00C05D37" w:rsidRDefault="00C05D37" w:rsidP="00C05D37">
      <w:pPr>
        <w:numPr>
          <w:ilvl w:val="0"/>
          <w:numId w:val="4"/>
        </w:numPr>
        <w:autoSpaceDE w:val="0"/>
        <w:autoSpaceDN w:val="0"/>
        <w:adjustRightInd w:val="0"/>
        <w:spacing w:after="200"/>
        <w:contextualSpacing/>
        <w:jc w:val="both"/>
        <w:rPr>
          <w:rFonts w:ascii="Arial" w:eastAsia="Times-Roman" w:hAnsi="Arial" w:cs="Arial"/>
          <w:sz w:val="20"/>
          <w:szCs w:val="20"/>
          <w:lang w:val="en-US"/>
        </w:rPr>
      </w:pPr>
      <w:r>
        <w:rPr>
          <w:rFonts w:ascii="Arial" w:eastAsia="Times-Roman" w:hAnsi="Arial" w:cs="Arial"/>
          <w:sz w:val="20"/>
          <w:szCs w:val="20"/>
          <w:lang w:val="en-US"/>
        </w:rPr>
        <w:t xml:space="preserve">European Medicines Agency. Science medicines health. 26 July 2013. Refusal of the marketing </w:t>
      </w:r>
      <w:proofErr w:type="spellStart"/>
      <w:r>
        <w:rPr>
          <w:rFonts w:ascii="Arial" w:eastAsia="Times-Roman" w:hAnsi="Arial" w:cs="Arial"/>
          <w:sz w:val="20"/>
          <w:szCs w:val="20"/>
          <w:lang w:val="en-US"/>
        </w:rPr>
        <w:t>authorisation</w:t>
      </w:r>
      <w:proofErr w:type="spellEnd"/>
      <w:r>
        <w:rPr>
          <w:rFonts w:ascii="Arial" w:eastAsia="Times-Roman" w:hAnsi="Arial" w:cs="Arial"/>
          <w:sz w:val="20"/>
          <w:szCs w:val="20"/>
          <w:lang w:val="en-US"/>
        </w:rPr>
        <w:t xml:space="preserve"> </w:t>
      </w:r>
      <w:proofErr w:type="spellStart"/>
      <w:proofErr w:type="gramStart"/>
      <w:r>
        <w:rPr>
          <w:rFonts w:ascii="Arial" w:eastAsia="Times-Roman" w:hAnsi="Arial" w:cs="Arial"/>
          <w:sz w:val="20"/>
          <w:szCs w:val="20"/>
          <w:lang w:val="en-US"/>
        </w:rPr>
        <w:t>fo</w:t>
      </w:r>
      <w:proofErr w:type="spellEnd"/>
      <w:proofErr w:type="gramEnd"/>
      <w:r>
        <w:rPr>
          <w:rFonts w:ascii="Arial" w:eastAsia="Times-Roman" w:hAnsi="Arial" w:cs="Arial"/>
          <w:sz w:val="20"/>
          <w:szCs w:val="20"/>
          <w:lang w:val="en-US"/>
        </w:rPr>
        <w:t xml:space="preserve"> </w:t>
      </w:r>
      <w:proofErr w:type="spellStart"/>
      <w:r>
        <w:rPr>
          <w:rFonts w:ascii="Arial" w:eastAsia="Times-Roman" w:hAnsi="Arial" w:cs="Arial"/>
          <w:sz w:val="20"/>
          <w:szCs w:val="20"/>
          <w:lang w:val="en-US"/>
        </w:rPr>
        <w:t>Xeljanz</w:t>
      </w:r>
      <w:proofErr w:type="spellEnd"/>
      <w:r>
        <w:rPr>
          <w:rFonts w:ascii="Arial" w:eastAsia="Times-Roman" w:hAnsi="Arial" w:cs="Arial"/>
          <w:sz w:val="20"/>
          <w:szCs w:val="20"/>
          <w:lang w:val="en-US"/>
        </w:rPr>
        <w:t xml:space="preserve"> (</w:t>
      </w:r>
      <w:proofErr w:type="spellStart"/>
      <w:r>
        <w:rPr>
          <w:rFonts w:ascii="Arial" w:eastAsia="Times-Roman" w:hAnsi="Arial" w:cs="Arial"/>
          <w:sz w:val="20"/>
          <w:szCs w:val="20"/>
          <w:lang w:val="en-US"/>
        </w:rPr>
        <w:t>tofacitinib</w:t>
      </w:r>
      <w:proofErr w:type="spellEnd"/>
      <w:r>
        <w:rPr>
          <w:rFonts w:ascii="Arial" w:eastAsia="Times-Roman" w:hAnsi="Arial" w:cs="Arial"/>
          <w:sz w:val="20"/>
          <w:szCs w:val="20"/>
          <w:lang w:val="en-US"/>
        </w:rPr>
        <w:t>). Outcome of re-examination.</w:t>
      </w:r>
    </w:p>
    <w:p w14:paraId="744DE8D4" w14:textId="77777777" w:rsidR="007F5DE6" w:rsidRPr="006D7AE6" w:rsidRDefault="007F5DE6" w:rsidP="007F5DE6">
      <w:pPr>
        <w:spacing w:after="200"/>
        <w:ind w:left="720"/>
        <w:contextualSpacing/>
        <w:jc w:val="both"/>
      </w:pPr>
    </w:p>
    <w:sectPr w:rsidR="007F5DE6" w:rsidRPr="006D7AE6" w:rsidSect="005A5D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MS Mincho"/>
    <w:panose1 w:val="00000000000000000000"/>
    <w:charset w:val="80"/>
    <w:family w:val="auto"/>
    <w:notTrueType/>
    <w:pitch w:val="default"/>
    <w:sig w:usb0="00000001" w:usb1="08070000" w:usb2="00000010" w:usb3="00000000" w:csb0="00020000" w:csb1="00000000"/>
  </w:font>
  <w:font w:name="TrebuchetMS">
    <w:altName w:val="MS Mincho"/>
    <w:panose1 w:val="00000000000000000000"/>
    <w:charset w:val="80"/>
    <w:family w:val="auto"/>
    <w:notTrueType/>
    <w:pitch w:val="default"/>
    <w:sig w:usb0="00000001" w:usb1="08070000" w:usb2="00000010" w:usb3="00000000" w:csb0="00020000" w:csb1="00000000"/>
  </w:font>
  <w:font w:name="TrebuchetMS,Bold">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031E7"/>
    <w:multiLevelType w:val="hybridMultilevel"/>
    <w:tmpl w:val="67F469F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1E293184"/>
    <w:multiLevelType w:val="hybridMultilevel"/>
    <w:tmpl w:val="60B8CFD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2F2B4749"/>
    <w:multiLevelType w:val="hybridMultilevel"/>
    <w:tmpl w:val="DE76D2AE"/>
    <w:lvl w:ilvl="0" w:tplc="ECC6F94A">
      <w:start w:val="1"/>
      <w:numFmt w:val="bullet"/>
      <w:lvlText w:val="•"/>
      <w:lvlJc w:val="left"/>
      <w:pPr>
        <w:tabs>
          <w:tab w:val="num" w:pos="720"/>
        </w:tabs>
        <w:ind w:left="720" w:hanging="360"/>
      </w:pPr>
      <w:rPr>
        <w:rFonts w:ascii="Arial" w:hAnsi="Arial" w:hint="default"/>
      </w:rPr>
    </w:lvl>
    <w:lvl w:ilvl="1" w:tplc="1D164B5C">
      <w:start w:val="1"/>
      <w:numFmt w:val="bullet"/>
      <w:lvlText w:val="•"/>
      <w:lvlJc w:val="left"/>
      <w:pPr>
        <w:tabs>
          <w:tab w:val="num" w:pos="1440"/>
        </w:tabs>
        <w:ind w:left="1440" w:hanging="360"/>
      </w:pPr>
      <w:rPr>
        <w:rFonts w:ascii="Arial" w:hAnsi="Arial" w:hint="default"/>
      </w:rPr>
    </w:lvl>
    <w:lvl w:ilvl="2" w:tplc="7EA88006">
      <w:start w:val="1"/>
      <w:numFmt w:val="bullet"/>
      <w:lvlText w:val="•"/>
      <w:lvlJc w:val="left"/>
      <w:pPr>
        <w:tabs>
          <w:tab w:val="num" w:pos="2160"/>
        </w:tabs>
        <w:ind w:left="2160" w:hanging="360"/>
      </w:pPr>
      <w:rPr>
        <w:rFonts w:ascii="Arial" w:hAnsi="Arial" w:hint="default"/>
      </w:rPr>
    </w:lvl>
    <w:lvl w:ilvl="3" w:tplc="C95C441C">
      <w:start w:val="1"/>
      <w:numFmt w:val="bullet"/>
      <w:lvlText w:val="•"/>
      <w:lvlJc w:val="left"/>
      <w:pPr>
        <w:tabs>
          <w:tab w:val="num" w:pos="2880"/>
        </w:tabs>
        <w:ind w:left="2880" w:hanging="360"/>
      </w:pPr>
      <w:rPr>
        <w:rFonts w:ascii="Arial" w:hAnsi="Arial" w:hint="default"/>
      </w:rPr>
    </w:lvl>
    <w:lvl w:ilvl="4" w:tplc="47924306">
      <w:start w:val="1"/>
      <w:numFmt w:val="bullet"/>
      <w:lvlText w:val="•"/>
      <w:lvlJc w:val="left"/>
      <w:pPr>
        <w:tabs>
          <w:tab w:val="num" w:pos="3600"/>
        </w:tabs>
        <w:ind w:left="3600" w:hanging="360"/>
      </w:pPr>
      <w:rPr>
        <w:rFonts w:ascii="Arial" w:hAnsi="Arial" w:hint="default"/>
      </w:rPr>
    </w:lvl>
    <w:lvl w:ilvl="5" w:tplc="C714C62A">
      <w:start w:val="1"/>
      <w:numFmt w:val="bullet"/>
      <w:lvlText w:val="•"/>
      <w:lvlJc w:val="left"/>
      <w:pPr>
        <w:tabs>
          <w:tab w:val="num" w:pos="4320"/>
        </w:tabs>
        <w:ind w:left="4320" w:hanging="360"/>
      </w:pPr>
      <w:rPr>
        <w:rFonts w:ascii="Arial" w:hAnsi="Arial" w:hint="default"/>
      </w:rPr>
    </w:lvl>
    <w:lvl w:ilvl="6" w:tplc="B3C884E2">
      <w:start w:val="1"/>
      <w:numFmt w:val="bullet"/>
      <w:lvlText w:val="•"/>
      <w:lvlJc w:val="left"/>
      <w:pPr>
        <w:tabs>
          <w:tab w:val="num" w:pos="5040"/>
        </w:tabs>
        <w:ind w:left="5040" w:hanging="360"/>
      </w:pPr>
      <w:rPr>
        <w:rFonts w:ascii="Arial" w:hAnsi="Arial" w:hint="default"/>
      </w:rPr>
    </w:lvl>
    <w:lvl w:ilvl="7" w:tplc="6390E22C">
      <w:start w:val="1"/>
      <w:numFmt w:val="bullet"/>
      <w:lvlText w:val="•"/>
      <w:lvlJc w:val="left"/>
      <w:pPr>
        <w:tabs>
          <w:tab w:val="num" w:pos="5760"/>
        </w:tabs>
        <w:ind w:left="5760" w:hanging="360"/>
      </w:pPr>
      <w:rPr>
        <w:rFonts w:ascii="Arial" w:hAnsi="Arial" w:hint="default"/>
      </w:rPr>
    </w:lvl>
    <w:lvl w:ilvl="8" w:tplc="5838B82E">
      <w:start w:val="1"/>
      <w:numFmt w:val="bullet"/>
      <w:lvlText w:val="•"/>
      <w:lvlJc w:val="left"/>
      <w:pPr>
        <w:tabs>
          <w:tab w:val="num" w:pos="6480"/>
        </w:tabs>
        <w:ind w:left="6480" w:hanging="360"/>
      </w:pPr>
      <w:rPr>
        <w:rFonts w:ascii="Arial" w:hAnsi="Arial" w:hint="default"/>
      </w:rPr>
    </w:lvl>
  </w:abstractNum>
  <w:abstractNum w:abstractNumId="3">
    <w:nsid w:val="393E444E"/>
    <w:multiLevelType w:val="hybridMultilevel"/>
    <w:tmpl w:val="69F2D1AA"/>
    <w:lvl w:ilvl="0" w:tplc="0C9873EA">
      <w:start w:val="1"/>
      <w:numFmt w:val="decimal"/>
      <w:lvlText w:val="%1."/>
      <w:lvlJc w:val="left"/>
      <w:pPr>
        <w:tabs>
          <w:tab w:val="num" w:pos="720"/>
        </w:tabs>
        <w:ind w:left="720" w:hanging="360"/>
      </w:pPr>
      <w:rPr>
        <w:rFonts w:cs="Times New Roman" w:hint="default"/>
        <w:color w:val="auto"/>
      </w:rPr>
    </w:lvl>
    <w:lvl w:ilvl="1" w:tplc="C8C4887C" w:tentative="1">
      <w:start w:val="1"/>
      <w:numFmt w:val="bullet"/>
      <w:lvlText w:val="•"/>
      <w:lvlJc w:val="left"/>
      <w:pPr>
        <w:tabs>
          <w:tab w:val="num" w:pos="1440"/>
        </w:tabs>
        <w:ind w:left="1440" w:hanging="360"/>
      </w:pPr>
      <w:rPr>
        <w:rFonts w:ascii="Arial" w:hAnsi="Arial" w:hint="default"/>
      </w:rPr>
    </w:lvl>
    <w:lvl w:ilvl="2" w:tplc="862CEE8E" w:tentative="1">
      <w:start w:val="1"/>
      <w:numFmt w:val="bullet"/>
      <w:lvlText w:val="•"/>
      <w:lvlJc w:val="left"/>
      <w:pPr>
        <w:tabs>
          <w:tab w:val="num" w:pos="2160"/>
        </w:tabs>
        <w:ind w:left="2160" w:hanging="360"/>
      </w:pPr>
      <w:rPr>
        <w:rFonts w:ascii="Arial" w:hAnsi="Arial" w:hint="default"/>
      </w:rPr>
    </w:lvl>
    <w:lvl w:ilvl="3" w:tplc="6792A664" w:tentative="1">
      <w:start w:val="1"/>
      <w:numFmt w:val="bullet"/>
      <w:lvlText w:val="•"/>
      <w:lvlJc w:val="left"/>
      <w:pPr>
        <w:tabs>
          <w:tab w:val="num" w:pos="2880"/>
        </w:tabs>
        <w:ind w:left="2880" w:hanging="360"/>
      </w:pPr>
      <w:rPr>
        <w:rFonts w:ascii="Arial" w:hAnsi="Arial" w:hint="default"/>
      </w:rPr>
    </w:lvl>
    <w:lvl w:ilvl="4" w:tplc="F2404BBA" w:tentative="1">
      <w:start w:val="1"/>
      <w:numFmt w:val="bullet"/>
      <w:lvlText w:val="•"/>
      <w:lvlJc w:val="left"/>
      <w:pPr>
        <w:tabs>
          <w:tab w:val="num" w:pos="3600"/>
        </w:tabs>
        <w:ind w:left="3600" w:hanging="360"/>
      </w:pPr>
      <w:rPr>
        <w:rFonts w:ascii="Arial" w:hAnsi="Arial" w:hint="default"/>
      </w:rPr>
    </w:lvl>
    <w:lvl w:ilvl="5" w:tplc="7162482E" w:tentative="1">
      <w:start w:val="1"/>
      <w:numFmt w:val="bullet"/>
      <w:lvlText w:val="•"/>
      <w:lvlJc w:val="left"/>
      <w:pPr>
        <w:tabs>
          <w:tab w:val="num" w:pos="4320"/>
        </w:tabs>
        <w:ind w:left="4320" w:hanging="360"/>
      </w:pPr>
      <w:rPr>
        <w:rFonts w:ascii="Arial" w:hAnsi="Arial" w:hint="default"/>
      </w:rPr>
    </w:lvl>
    <w:lvl w:ilvl="6" w:tplc="620CF63E" w:tentative="1">
      <w:start w:val="1"/>
      <w:numFmt w:val="bullet"/>
      <w:lvlText w:val="•"/>
      <w:lvlJc w:val="left"/>
      <w:pPr>
        <w:tabs>
          <w:tab w:val="num" w:pos="5040"/>
        </w:tabs>
        <w:ind w:left="5040" w:hanging="360"/>
      </w:pPr>
      <w:rPr>
        <w:rFonts w:ascii="Arial" w:hAnsi="Arial" w:hint="default"/>
      </w:rPr>
    </w:lvl>
    <w:lvl w:ilvl="7" w:tplc="5698806E" w:tentative="1">
      <w:start w:val="1"/>
      <w:numFmt w:val="bullet"/>
      <w:lvlText w:val="•"/>
      <w:lvlJc w:val="left"/>
      <w:pPr>
        <w:tabs>
          <w:tab w:val="num" w:pos="5760"/>
        </w:tabs>
        <w:ind w:left="5760" w:hanging="360"/>
      </w:pPr>
      <w:rPr>
        <w:rFonts w:ascii="Arial" w:hAnsi="Arial" w:hint="default"/>
      </w:rPr>
    </w:lvl>
    <w:lvl w:ilvl="8" w:tplc="78FA73F2" w:tentative="1">
      <w:start w:val="1"/>
      <w:numFmt w:val="bullet"/>
      <w:lvlText w:val="•"/>
      <w:lvlJc w:val="left"/>
      <w:pPr>
        <w:tabs>
          <w:tab w:val="num" w:pos="6480"/>
        </w:tabs>
        <w:ind w:left="6480" w:hanging="360"/>
      </w:pPr>
      <w:rPr>
        <w:rFonts w:ascii="Arial" w:hAnsi="Arial" w:hint="default"/>
      </w:rPr>
    </w:lvl>
  </w:abstractNum>
  <w:abstractNum w:abstractNumId="4">
    <w:nsid w:val="3F7B14FA"/>
    <w:multiLevelType w:val="hybridMultilevel"/>
    <w:tmpl w:val="F758742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40AE0E57"/>
    <w:multiLevelType w:val="hybridMultilevel"/>
    <w:tmpl w:val="F3302E3A"/>
    <w:lvl w:ilvl="0" w:tplc="6212B1EA">
      <w:start w:val="1"/>
      <w:numFmt w:val="lowerLetter"/>
      <w:lvlText w:val="%1)"/>
      <w:lvlJc w:val="left"/>
      <w:pPr>
        <w:ind w:left="720" w:hanging="360"/>
      </w:pPr>
      <w:rPr>
        <w:rFonts w:cs="Times New Roman" w:hint="default"/>
        <w:lang w:val="es-ES"/>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6">
    <w:nsid w:val="43DF17A6"/>
    <w:multiLevelType w:val="hybridMultilevel"/>
    <w:tmpl w:val="00AAC44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4C3F3EF1"/>
    <w:multiLevelType w:val="hybridMultilevel"/>
    <w:tmpl w:val="B1F45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D2F2975"/>
    <w:multiLevelType w:val="hybridMultilevel"/>
    <w:tmpl w:val="DEE48AF2"/>
    <w:lvl w:ilvl="0" w:tplc="0409000F">
      <w:start w:val="1"/>
      <w:numFmt w:val="decimal"/>
      <w:lvlText w:val="%1."/>
      <w:lvlJc w:val="left"/>
      <w:pPr>
        <w:tabs>
          <w:tab w:val="num" w:pos="720"/>
        </w:tabs>
        <w:ind w:left="720" w:hanging="360"/>
      </w:pPr>
      <w:rPr>
        <w:rFonts w:cs="Times New Roman" w:hint="default"/>
      </w:rPr>
    </w:lvl>
    <w:lvl w:ilvl="1" w:tplc="AE78A578" w:tentative="1">
      <w:start w:val="1"/>
      <w:numFmt w:val="bullet"/>
      <w:lvlText w:val="•"/>
      <w:lvlJc w:val="left"/>
      <w:pPr>
        <w:tabs>
          <w:tab w:val="num" w:pos="1440"/>
        </w:tabs>
        <w:ind w:left="1440" w:hanging="360"/>
      </w:pPr>
      <w:rPr>
        <w:rFonts w:ascii="Arial" w:hAnsi="Arial" w:hint="default"/>
      </w:rPr>
    </w:lvl>
    <w:lvl w:ilvl="2" w:tplc="9508DE12" w:tentative="1">
      <w:start w:val="1"/>
      <w:numFmt w:val="bullet"/>
      <w:lvlText w:val="•"/>
      <w:lvlJc w:val="left"/>
      <w:pPr>
        <w:tabs>
          <w:tab w:val="num" w:pos="2160"/>
        </w:tabs>
        <w:ind w:left="2160" w:hanging="360"/>
      </w:pPr>
      <w:rPr>
        <w:rFonts w:ascii="Arial" w:hAnsi="Arial" w:hint="default"/>
      </w:rPr>
    </w:lvl>
    <w:lvl w:ilvl="3" w:tplc="D4160026" w:tentative="1">
      <w:start w:val="1"/>
      <w:numFmt w:val="bullet"/>
      <w:lvlText w:val="•"/>
      <w:lvlJc w:val="left"/>
      <w:pPr>
        <w:tabs>
          <w:tab w:val="num" w:pos="2880"/>
        </w:tabs>
        <w:ind w:left="2880" w:hanging="360"/>
      </w:pPr>
      <w:rPr>
        <w:rFonts w:ascii="Arial" w:hAnsi="Arial" w:hint="default"/>
      </w:rPr>
    </w:lvl>
    <w:lvl w:ilvl="4" w:tplc="0446610E" w:tentative="1">
      <w:start w:val="1"/>
      <w:numFmt w:val="bullet"/>
      <w:lvlText w:val="•"/>
      <w:lvlJc w:val="left"/>
      <w:pPr>
        <w:tabs>
          <w:tab w:val="num" w:pos="3600"/>
        </w:tabs>
        <w:ind w:left="3600" w:hanging="360"/>
      </w:pPr>
      <w:rPr>
        <w:rFonts w:ascii="Arial" w:hAnsi="Arial" w:hint="default"/>
      </w:rPr>
    </w:lvl>
    <w:lvl w:ilvl="5" w:tplc="CDC22FDE" w:tentative="1">
      <w:start w:val="1"/>
      <w:numFmt w:val="bullet"/>
      <w:lvlText w:val="•"/>
      <w:lvlJc w:val="left"/>
      <w:pPr>
        <w:tabs>
          <w:tab w:val="num" w:pos="4320"/>
        </w:tabs>
        <w:ind w:left="4320" w:hanging="360"/>
      </w:pPr>
      <w:rPr>
        <w:rFonts w:ascii="Arial" w:hAnsi="Arial" w:hint="default"/>
      </w:rPr>
    </w:lvl>
    <w:lvl w:ilvl="6" w:tplc="9CD8A22E" w:tentative="1">
      <w:start w:val="1"/>
      <w:numFmt w:val="bullet"/>
      <w:lvlText w:val="•"/>
      <w:lvlJc w:val="left"/>
      <w:pPr>
        <w:tabs>
          <w:tab w:val="num" w:pos="5040"/>
        </w:tabs>
        <w:ind w:left="5040" w:hanging="360"/>
      </w:pPr>
      <w:rPr>
        <w:rFonts w:ascii="Arial" w:hAnsi="Arial" w:hint="default"/>
      </w:rPr>
    </w:lvl>
    <w:lvl w:ilvl="7" w:tplc="31BC4506" w:tentative="1">
      <w:start w:val="1"/>
      <w:numFmt w:val="bullet"/>
      <w:lvlText w:val="•"/>
      <w:lvlJc w:val="left"/>
      <w:pPr>
        <w:tabs>
          <w:tab w:val="num" w:pos="5760"/>
        </w:tabs>
        <w:ind w:left="5760" w:hanging="360"/>
      </w:pPr>
      <w:rPr>
        <w:rFonts w:ascii="Arial" w:hAnsi="Arial" w:hint="default"/>
      </w:rPr>
    </w:lvl>
    <w:lvl w:ilvl="8" w:tplc="589EFEA0" w:tentative="1">
      <w:start w:val="1"/>
      <w:numFmt w:val="bullet"/>
      <w:lvlText w:val="•"/>
      <w:lvlJc w:val="left"/>
      <w:pPr>
        <w:tabs>
          <w:tab w:val="num" w:pos="6480"/>
        </w:tabs>
        <w:ind w:left="6480" w:hanging="360"/>
      </w:pPr>
      <w:rPr>
        <w:rFonts w:ascii="Arial" w:hAnsi="Arial" w:hint="default"/>
      </w:rPr>
    </w:lvl>
  </w:abstractNum>
  <w:abstractNum w:abstractNumId="9">
    <w:nsid w:val="74523B11"/>
    <w:multiLevelType w:val="hybridMultilevel"/>
    <w:tmpl w:val="62D2AB8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7"/>
  </w:num>
  <w:num w:numId="7">
    <w:abstractNumId w:val="0"/>
  </w:num>
  <w:num w:numId="8">
    <w:abstractNumId w:val="9"/>
  </w:num>
  <w:num w:numId="9">
    <w:abstractNumId w:val="4"/>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9B6"/>
    <w:rsid w:val="000016E2"/>
    <w:rsid w:val="000070A5"/>
    <w:rsid w:val="00016796"/>
    <w:rsid w:val="00040091"/>
    <w:rsid w:val="000455C4"/>
    <w:rsid w:val="00073AEC"/>
    <w:rsid w:val="00076C71"/>
    <w:rsid w:val="00082A62"/>
    <w:rsid w:val="00084E92"/>
    <w:rsid w:val="000A1D17"/>
    <w:rsid w:val="000B2390"/>
    <w:rsid w:val="000B497E"/>
    <w:rsid w:val="000C2BE3"/>
    <w:rsid w:val="000C6C3A"/>
    <w:rsid w:val="000D61DF"/>
    <w:rsid w:val="000E47EE"/>
    <w:rsid w:val="000F53E0"/>
    <w:rsid w:val="0010242C"/>
    <w:rsid w:val="00111BEF"/>
    <w:rsid w:val="001135FD"/>
    <w:rsid w:val="001155D4"/>
    <w:rsid w:val="0013236A"/>
    <w:rsid w:val="00132CB6"/>
    <w:rsid w:val="00163F91"/>
    <w:rsid w:val="001650FB"/>
    <w:rsid w:val="00174835"/>
    <w:rsid w:val="00177884"/>
    <w:rsid w:val="00186363"/>
    <w:rsid w:val="001A5BEB"/>
    <w:rsid w:val="001B1D61"/>
    <w:rsid w:val="001B2B09"/>
    <w:rsid w:val="001C1750"/>
    <w:rsid w:val="001D1960"/>
    <w:rsid w:val="001D3CFF"/>
    <w:rsid w:val="001E2E55"/>
    <w:rsid w:val="001E62D1"/>
    <w:rsid w:val="001E73A8"/>
    <w:rsid w:val="001F7EE2"/>
    <w:rsid w:val="00210E2C"/>
    <w:rsid w:val="00211B62"/>
    <w:rsid w:val="00213210"/>
    <w:rsid w:val="00235E1C"/>
    <w:rsid w:val="00250AED"/>
    <w:rsid w:val="002568DE"/>
    <w:rsid w:val="002706A7"/>
    <w:rsid w:val="00275DB2"/>
    <w:rsid w:val="002761D1"/>
    <w:rsid w:val="002859B6"/>
    <w:rsid w:val="002922E1"/>
    <w:rsid w:val="00292767"/>
    <w:rsid w:val="002A21FF"/>
    <w:rsid w:val="002B2DCE"/>
    <w:rsid w:val="002C2727"/>
    <w:rsid w:val="002C4533"/>
    <w:rsid w:val="003153D1"/>
    <w:rsid w:val="00321A4C"/>
    <w:rsid w:val="00331F24"/>
    <w:rsid w:val="003340F9"/>
    <w:rsid w:val="0033499F"/>
    <w:rsid w:val="0034084C"/>
    <w:rsid w:val="00344629"/>
    <w:rsid w:val="00351559"/>
    <w:rsid w:val="00352FD4"/>
    <w:rsid w:val="0035397F"/>
    <w:rsid w:val="00371C42"/>
    <w:rsid w:val="00373F03"/>
    <w:rsid w:val="0038789B"/>
    <w:rsid w:val="0039341D"/>
    <w:rsid w:val="003A03EA"/>
    <w:rsid w:val="003B1684"/>
    <w:rsid w:val="003E0B2A"/>
    <w:rsid w:val="003F2362"/>
    <w:rsid w:val="00400CF3"/>
    <w:rsid w:val="00416B1B"/>
    <w:rsid w:val="00423351"/>
    <w:rsid w:val="00442A59"/>
    <w:rsid w:val="00472204"/>
    <w:rsid w:val="0049335D"/>
    <w:rsid w:val="004A2279"/>
    <w:rsid w:val="004B2260"/>
    <w:rsid w:val="004C4398"/>
    <w:rsid w:val="004C7C73"/>
    <w:rsid w:val="004D6A3B"/>
    <w:rsid w:val="00506ECF"/>
    <w:rsid w:val="00516653"/>
    <w:rsid w:val="00534094"/>
    <w:rsid w:val="00575151"/>
    <w:rsid w:val="00576A62"/>
    <w:rsid w:val="00594670"/>
    <w:rsid w:val="00595168"/>
    <w:rsid w:val="005A23C0"/>
    <w:rsid w:val="005A5A6D"/>
    <w:rsid w:val="005A5DD9"/>
    <w:rsid w:val="005B419D"/>
    <w:rsid w:val="005C5AB8"/>
    <w:rsid w:val="005C64A5"/>
    <w:rsid w:val="005D5FAC"/>
    <w:rsid w:val="005E30CE"/>
    <w:rsid w:val="005F103B"/>
    <w:rsid w:val="005F289B"/>
    <w:rsid w:val="0061103C"/>
    <w:rsid w:val="00611138"/>
    <w:rsid w:val="00635C44"/>
    <w:rsid w:val="0063781C"/>
    <w:rsid w:val="00667C57"/>
    <w:rsid w:val="00680065"/>
    <w:rsid w:val="0068632C"/>
    <w:rsid w:val="00686CED"/>
    <w:rsid w:val="00697543"/>
    <w:rsid w:val="006A41B1"/>
    <w:rsid w:val="006A7843"/>
    <w:rsid w:val="006C2049"/>
    <w:rsid w:val="006D3C58"/>
    <w:rsid w:val="006D68EC"/>
    <w:rsid w:val="006D7AE6"/>
    <w:rsid w:val="006E4A27"/>
    <w:rsid w:val="006E7AEF"/>
    <w:rsid w:val="0070430E"/>
    <w:rsid w:val="00710660"/>
    <w:rsid w:val="007218F5"/>
    <w:rsid w:val="007254A7"/>
    <w:rsid w:val="007316D3"/>
    <w:rsid w:val="007528A6"/>
    <w:rsid w:val="007600D2"/>
    <w:rsid w:val="007614D7"/>
    <w:rsid w:val="00781885"/>
    <w:rsid w:val="007A0B57"/>
    <w:rsid w:val="007A66C2"/>
    <w:rsid w:val="007B4284"/>
    <w:rsid w:val="007B48C7"/>
    <w:rsid w:val="007D413A"/>
    <w:rsid w:val="007F04D6"/>
    <w:rsid w:val="007F3AC4"/>
    <w:rsid w:val="007F5DE6"/>
    <w:rsid w:val="007F65CE"/>
    <w:rsid w:val="007F6CBE"/>
    <w:rsid w:val="00800543"/>
    <w:rsid w:val="00811AA2"/>
    <w:rsid w:val="00822DE3"/>
    <w:rsid w:val="008325BD"/>
    <w:rsid w:val="00837A11"/>
    <w:rsid w:val="0085779D"/>
    <w:rsid w:val="00867016"/>
    <w:rsid w:val="0087058F"/>
    <w:rsid w:val="00890726"/>
    <w:rsid w:val="008969F9"/>
    <w:rsid w:val="008A2243"/>
    <w:rsid w:val="008B6BCD"/>
    <w:rsid w:val="008C0FFD"/>
    <w:rsid w:val="008C3F1D"/>
    <w:rsid w:val="008E0CBF"/>
    <w:rsid w:val="008E6850"/>
    <w:rsid w:val="008F1263"/>
    <w:rsid w:val="008F7E2A"/>
    <w:rsid w:val="00904C53"/>
    <w:rsid w:val="009236E6"/>
    <w:rsid w:val="00947B2E"/>
    <w:rsid w:val="009649CF"/>
    <w:rsid w:val="009768D4"/>
    <w:rsid w:val="00983D51"/>
    <w:rsid w:val="009E31AE"/>
    <w:rsid w:val="00A213F1"/>
    <w:rsid w:val="00A220CE"/>
    <w:rsid w:val="00A454EF"/>
    <w:rsid w:val="00A518CF"/>
    <w:rsid w:val="00A7555D"/>
    <w:rsid w:val="00A767DF"/>
    <w:rsid w:val="00A85664"/>
    <w:rsid w:val="00AA2750"/>
    <w:rsid w:val="00AC6D7C"/>
    <w:rsid w:val="00AD1073"/>
    <w:rsid w:val="00B023B2"/>
    <w:rsid w:val="00B03E3B"/>
    <w:rsid w:val="00B21EE7"/>
    <w:rsid w:val="00B34086"/>
    <w:rsid w:val="00B42592"/>
    <w:rsid w:val="00B44348"/>
    <w:rsid w:val="00B54930"/>
    <w:rsid w:val="00B7686B"/>
    <w:rsid w:val="00B84BD5"/>
    <w:rsid w:val="00B8527C"/>
    <w:rsid w:val="00B950EC"/>
    <w:rsid w:val="00BA15D2"/>
    <w:rsid w:val="00BA2D3E"/>
    <w:rsid w:val="00BC1E8B"/>
    <w:rsid w:val="00BD3FE6"/>
    <w:rsid w:val="00BE1757"/>
    <w:rsid w:val="00BF2946"/>
    <w:rsid w:val="00C05D37"/>
    <w:rsid w:val="00C2289C"/>
    <w:rsid w:val="00C52F53"/>
    <w:rsid w:val="00C53B28"/>
    <w:rsid w:val="00C53F31"/>
    <w:rsid w:val="00C6031A"/>
    <w:rsid w:val="00C93786"/>
    <w:rsid w:val="00C95E62"/>
    <w:rsid w:val="00CC0C76"/>
    <w:rsid w:val="00CE470F"/>
    <w:rsid w:val="00CE511E"/>
    <w:rsid w:val="00CF49CE"/>
    <w:rsid w:val="00CF4A0E"/>
    <w:rsid w:val="00CF540C"/>
    <w:rsid w:val="00D2135E"/>
    <w:rsid w:val="00D26EB9"/>
    <w:rsid w:val="00D31B56"/>
    <w:rsid w:val="00D54A7D"/>
    <w:rsid w:val="00D72612"/>
    <w:rsid w:val="00D731E4"/>
    <w:rsid w:val="00D80BDD"/>
    <w:rsid w:val="00D82491"/>
    <w:rsid w:val="00DA1866"/>
    <w:rsid w:val="00DA3CA9"/>
    <w:rsid w:val="00DA7DB8"/>
    <w:rsid w:val="00DB5E83"/>
    <w:rsid w:val="00DC146E"/>
    <w:rsid w:val="00DD4F09"/>
    <w:rsid w:val="00DD70E2"/>
    <w:rsid w:val="00DE7CBC"/>
    <w:rsid w:val="00E01CA7"/>
    <w:rsid w:val="00E0455D"/>
    <w:rsid w:val="00E05525"/>
    <w:rsid w:val="00E11C9C"/>
    <w:rsid w:val="00E15142"/>
    <w:rsid w:val="00E2773E"/>
    <w:rsid w:val="00E51D8E"/>
    <w:rsid w:val="00E526A6"/>
    <w:rsid w:val="00E565AC"/>
    <w:rsid w:val="00E612EF"/>
    <w:rsid w:val="00E72FEF"/>
    <w:rsid w:val="00E73084"/>
    <w:rsid w:val="00E87E4A"/>
    <w:rsid w:val="00EA68B1"/>
    <w:rsid w:val="00EB1C49"/>
    <w:rsid w:val="00EC1FBF"/>
    <w:rsid w:val="00EC7D25"/>
    <w:rsid w:val="00EF32CF"/>
    <w:rsid w:val="00F0314D"/>
    <w:rsid w:val="00F1052E"/>
    <w:rsid w:val="00F2064F"/>
    <w:rsid w:val="00F22A27"/>
    <w:rsid w:val="00F25976"/>
    <w:rsid w:val="00F32F0A"/>
    <w:rsid w:val="00F44C4B"/>
    <w:rsid w:val="00F569FB"/>
    <w:rsid w:val="00F62F46"/>
    <w:rsid w:val="00F73178"/>
    <w:rsid w:val="00F7321A"/>
    <w:rsid w:val="00FE4AFD"/>
    <w:rsid w:val="00FF21AB"/>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86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B6"/>
    <w:pPr>
      <w:spacing w:after="0" w:line="240" w:lineRule="auto"/>
    </w:pPr>
    <w:rPr>
      <w:rFonts w:ascii="Calibri" w:eastAsia="Times New Roman" w:hAnsi="Calibri"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nhideWhenUsed/>
    <w:rsid w:val="002859B6"/>
    <w:rPr>
      <w:sz w:val="16"/>
      <w:szCs w:val="16"/>
    </w:rPr>
  </w:style>
  <w:style w:type="paragraph" w:styleId="Textocomentario">
    <w:name w:val="annotation text"/>
    <w:basedOn w:val="Normal"/>
    <w:link w:val="TextocomentarioCar"/>
    <w:unhideWhenUsed/>
    <w:rsid w:val="002859B6"/>
    <w:pPr>
      <w:spacing w:after="200"/>
    </w:pPr>
    <w:rPr>
      <w:rFonts w:eastAsia="Calibri"/>
      <w:sz w:val="20"/>
      <w:szCs w:val="20"/>
    </w:rPr>
  </w:style>
  <w:style w:type="character" w:customStyle="1" w:styleId="TextocomentarioCar">
    <w:name w:val="Texto comentario Car"/>
    <w:basedOn w:val="Fuentedeprrafopredeter"/>
    <w:link w:val="Textocomentario"/>
    <w:rsid w:val="002859B6"/>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2859B6"/>
    <w:rPr>
      <w:rFonts w:ascii="Tahoma" w:hAnsi="Tahoma" w:cs="Tahoma"/>
      <w:sz w:val="16"/>
      <w:szCs w:val="16"/>
    </w:rPr>
  </w:style>
  <w:style w:type="character" w:customStyle="1" w:styleId="TextodegloboCar">
    <w:name w:val="Texto de globo Car"/>
    <w:basedOn w:val="Fuentedeprrafopredeter"/>
    <w:link w:val="Textodeglobo"/>
    <w:uiPriority w:val="99"/>
    <w:semiHidden/>
    <w:rsid w:val="002859B6"/>
    <w:rPr>
      <w:rFonts w:ascii="Tahoma" w:eastAsia="Times New Roman" w:hAnsi="Tahoma" w:cs="Tahoma"/>
      <w:sz w:val="16"/>
      <w:szCs w:val="16"/>
      <w:lang w:val="es-ES_tradnl" w:eastAsia="es-ES"/>
    </w:rPr>
  </w:style>
  <w:style w:type="paragraph" w:customStyle="1" w:styleId="Prrafodelista1">
    <w:name w:val="Párrafo de lista1"/>
    <w:basedOn w:val="Normal"/>
    <w:uiPriority w:val="99"/>
    <w:qFormat/>
    <w:rsid w:val="000A1D17"/>
    <w:pPr>
      <w:spacing w:after="200" w:line="276" w:lineRule="auto"/>
      <w:ind w:left="720"/>
    </w:pPr>
    <w:rPr>
      <w:sz w:val="22"/>
      <w:szCs w:val="22"/>
      <w:lang w:val="es-MX" w:eastAsia="en-US"/>
    </w:rPr>
  </w:style>
  <w:style w:type="character" w:styleId="nfasis">
    <w:name w:val="Emphasis"/>
    <w:basedOn w:val="Fuentedeprrafopredeter"/>
    <w:uiPriority w:val="20"/>
    <w:qFormat/>
    <w:rsid w:val="00811AA2"/>
    <w:rPr>
      <w:b/>
      <w:bCs/>
      <w:i w:val="0"/>
      <w:iCs w:val="0"/>
    </w:rPr>
  </w:style>
  <w:style w:type="character" w:customStyle="1" w:styleId="st">
    <w:name w:val="st"/>
    <w:basedOn w:val="Fuentedeprrafopredeter"/>
    <w:rsid w:val="00811AA2"/>
  </w:style>
  <w:style w:type="character" w:customStyle="1" w:styleId="jrnl">
    <w:name w:val="jrnl"/>
    <w:basedOn w:val="Fuentedeprrafopredeter"/>
    <w:rsid w:val="001E62D1"/>
  </w:style>
  <w:style w:type="character" w:styleId="Hipervnculo">
    <w:name w:val="Hyperlink"/>
    <w:rsid w:val="00BA2D3E"/>
    <w:rPr>
      <w:color w:val="0000FF"/>
      <w:u w:val="single"/>
    </w:rPr>
  </w:style>
  <w:style w:type="paragraph" w:styleId="Prrafodelista">
    <w:name w:val="List Paragraph"/>
    <w:basedOn w:val="Normal"/>
    <w:uiPriority w:val="34"/>
    <w:qFormat/>
    <w:rsid w:val="00E565AC"/>
    <w:pPr>
      <w:ind w:left="720"/>
      <w:contextualSpacing/>
    </w:pPr>
  </w:style>
  <w:style w:type="paragraph" w:styleId="Asuntodelcomentario">
    <w:name w:val="annotation subject"/>
    <w:basedOn w:val="Textocomentario"/>
    <w:next w:val="Textocomentario"/>
    <w:link w:val="AsuntodelcomentarioCar"/>
    <w:uiPriority w:val="99"/>
    <w:semiHidden/>
    <w:unhideWhenUsed/>
    <w:rsid w:val="00DC146E"/>
    <w:pPr>
      <w:spacing w:after="0"/>
    </w:pPr>
    <w:rPr>
      <w:rFonts w:eastAsia="Times New Roman"/>
      <w:b/>
      <w:bCs/>
    </w:rPr>
  </w:style>
  <w:style w:type="character" w:customStyle="1" w:styleId="AsuntodelcomentarioCar">
    <w:name w:val="Asunto del comentario Car"/>
    <w:basedOn w:val="TextocomentarioCar"/>
    <w:link w:val="Asuntodelcomentario"/>
    <w:uiPriority w:val="99"/>
    <w:semiHidden/>
    <w:rsid w:val="00DC146E"/>
    <w:rPr>
      <w:rFonts w:ascii="Calibri" w:eastAsia="Times New Roman" w:hAnsi="Calibri" w:cs="Times New Roman"/>
      <w:b/>
      <w:bCs/>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B6"/>
    <w:pPr>
      <w:spacing w:after="0" w:line="240" w:lineRule="auto"/>
    </w:pPr>
    <w:rPr>
      <w:rFonts w:ascii="Calibri" w:eastAsia="Times New Roman" w:hAnsi="Calibri"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nhideWhenUsed/>
    <w:rsid w:val="002859B6"/>
    <w:rPr>
      <w:sz w:val="16"/>
      <w:szCs w:val="16"/>
    </w:rPr>
  </w:style>
  <w:style w:type="paragraph" w:styleId="Textocomentario">
    <w:name w:val="annotation text"/>
    <w:basedOn w:val="Normal"/>
    <w:link w:val="TextocomentarioCar"/>
    <w:unhideWhenUsed/>
    <w:rsid w:val="002859B6"/>
    <w:pPr>
      <w:spacing w:after="200"/>
    </w:pPr>
    <w:rPr>
      <w:rFonts w:eastAsia="Calibri"/>
      <w:sz w:val="20"/>
      <w:szCs w:val="20"/>
    </w:rPr>
  </w:style>
  <w:style w:type="character" w:customStyle="1" w:styleId="TextocomentarioCar">
    <w:name w:val="Texto comentario Car"/>
    <w:basedOn w:val="Fuentedeprrafopredeter"/>
    <w:link w:val="Textocomentario"/>
    <w:rsid w:val="002859B6"/>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2859B6"/>
    <w:rPr>
      <w:rFonts w:ascii="Tahoma" w:hAnsi="Tahoma" w:cs="Tahoma"/>
      <w:sz w:val="16"/>
      <w:szCs w:val="16"/>
    </w:rPr>
  </w:style>
  <w:style w:type="character" w:customStyle="1" w:styleId="TextodegloboCar">
    <w:name w:val="Texto de globo Car"/>
    <w:basedOn w:val="Fuentedeprrafopredeter"/>
    <w:link w:val="Textodeglobo"/>
    <w:uiPriority w:val="99"/>
    <w:semiHidden/>
    <w:rsid w:val="002859B6"/>
    <w:rPr>
      <w:rFonts w:ascii="Tahoma" w:eastAsia="Times New Roman" w:hAnsi="Tahoma" w:cs="Tahoma"/>
      <w:sz w:val="16"/>
      <w:szCs w:val="16"/>
      <w:lang w:val="es-ES_tradnl" w:eastAsia="es-ES"/>
    </w:rPr>
  </w:style>
  <w:style w:type="paragraph" w:customStyle="1" w:styleId="Prrafodelista1">
    <w:name w:val="Párrafo de lista1"/>
    <w:basedOn w:val="Normal"/>
    <w:uiPriority w:val="99"/>
    <w:qFormat/>
    <w:rsid w:val="000A1D17"/>
    <w:pPr>
      <w:spacing w:after="200" w:line="276" w:lineRule="auto"/>
      <w:ind w:left="720"/>
    </w:pPr>
    <w:rPr>
      <w:sz w:val="22"/>
      <w:szCs w:val="22"/>
      <w:lang w:val="es-MX" w:eastAsia="en-US"/>
    </w:rPr>
  </w:style>
  <w:style w:type="character" w:styleId="nfasis">
    <w:name w:val="Emphasis"/>
    <w:basedOn w:val="Fuentedeprrafopredeter"/>
    <w:uiPriority w:val="20"/>
    <w:qFormat/>
    <w:rsid w:val="00811AA2"/>
    <w:rPr>
      <w:b/>
      <w:bCs/>
      <w:i w:val="0"/>
      <w:iCs w:val="0"/>
    </w:rPr>
  </w:style>
  <w:style w:type="character" w:customStyle="1" w:styleId="st">
    <w:name w:val="st"/>
    <w:basedOn w:val="Fuentedeprrafopredeter"/>
    <w:rsid w:val="00811AA2"/>
  </w:style>
  <w:style w:type="character" w:customStyle="1" w:styleId="jrnl">
    <w:name w:val="jrnl"/>
    <w:basedOn w:val="Fuentedeprrafopredeter"/>
    <w:rsid w:val="001E62D1"/>
  </w:style>
  <w:style w:type="character" w:styleId="Hipervnculo">
    <w:name w:val="Hyperlink"/>
    <w:rsid w:val="00BA2D3E"/>
    <w:rPr>
      <w:color w:val="0000FF"/>
      <w:u w:val="single"/>
    </w:rPr>
  </w:style>
  <w:style w:type="paragraph" w:styleId="Prrafodelista">
    <w:name w:val="List Paragraph"/>
    <w:basedOn w:val="Normal"/>
    <w:uiPriority w:val="34"/>
    <w:qFormat/>
    <w:rsid w:val="00E565AC"/>
    <w:pPr>
      <w:ind w:left="720"/>
      <w:contextualSpacing/>
    </w:pPr>
  </w:style>
  <w:style w:type="paragraph" w:styleId="Asuntodelcomentario">
    <w:name w:val="annotation subject"/>
    <w:basedOn w:val="Textocomentario"/>
    <w:next w:val="Textocomentario"/>
    <w:link w:val="AsuntodelcomentarioCar"/>
    <w:uiPriority w:val="99"/>
    <w:semiHidden/>
    <w:unhideWhenUsed/>
    <w:rsid w:val="00DC146E"/>
    <w:pPr>
      <w:spacing w:after="0"/>
    </w:pPr>
    <w:rPr>
      <w:rFonts w:eastAsia="Times New Roman"/>
      <w:b/>
      <w:bCs/>
    </w:rPr>
  </w:style>
  <w:style w:type="character" w:customStyle="1" w:styleId="AsuntodelcomentarioCar">
    <w:name w:val="Asunto del comentario Car"/>
    <w:basedOn w:val="TextocomentarioCar"/>
    <w:link w:val="Asuntodelcomentario"/>
    <w:uiPriority w:val="99"/>
    <w:semiHidden/>
    <w:rsid w:val="00DC146E"/>
    <w:rPr>
      <w:rFonts w:ascii="Calibri" w:eastAsia="Times New Roman" w:hAnsi="Calibri"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21273">
      <w:bodyDiv w:val="1"/>
      <w:marLeft w:val="0"/>
      <w:marRight w:val="0"/>
      <w:marTop w:val="0"/>
      <w:marBottom w:val="0"/>
      <w:divBdr>
        <w:top w:val="none" w:sz="0" w:space="0" w:color="auto"/>
        <w:left w:val="none" w:sz="0" w:space="0" w:color="auto"/>
        <w:bottom w:val="none" w:sz="0" w:space="0" w:color="auto"/>
        <w:right w:val="none" w:sz="0" w:space="0" w:color="auto"/>
      </w:divBdr>
    </w:div>
    <w:div w:id="975571274">
      <w:bodyDiv w:val="1"/>
      <w:marLeft w:val="0"/>
      <w:marRight w:val="0"/>
      <w:marTop w:val="0"/>
      <w:marBottom w:val="0"/>
      <w:divBdr>
        <w:top w:val="none" w:sz="0" w:space="0" w:color="auto"/>
        <w:left w:val="none" w:sz="0" w:space="0" w:color="auto"/>
        <w:bottom w:val="none" w:sz="0" w:space="0" w:color="auto"/>
        <w:right w:val="none" w:sz="0" w:space="0" w:color="auto"/>
      </w:divBdr>
    </w:div>
    <w:div w:id="1466118436">
      <w:bodyDiv w:val="1"/>
      <w:marLeft w:val="0"/>
      <w:marRight w:val="0"/>
      <w:marTop w:val="0"/>
      <w:marBottom w:val="0"/>
      <w:divBdr>
        <w:top w:val="none" w:sz="0" w:space="0" w:color="auto"/>
        <w:left w:val="none" w:sz="0" w:space="0" w:color="auto"/>
        <w:bottom w:val="none" w:sz="0" w:space="0" w:color="auto"/>
        <w:right w:val="none" w:sz="0" w:space="0" w:color="auto"/>
      </w:divBdr>
    </w:div>
    <w:div w:id="183271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ma.europa.eu/docs/en_GB/document_library/EPAR_-_Product_Information/human/000955/WC50005489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28</Pages>
  <Words>12678</Words>
  <Characters>72266</Characters>
  <Application>Microsoft Office Word</Application>
  <DocSecurity>0</DocSecurity>
  <Lines>602</Lines>
  <Paragraphs>169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Reed Elsevier</cp:lastModifiedBy>
  <cp:revision>22</cp:revision>
  <dcterms:created xsi:type="dcterms:W3CDTF">2013-09-25T15:28:00Z</dcterms:created>
  <dcterms:modified xsi:type="dcterms:W3CDTF">2013-11-07T15:05:00Z</dcterms:modified>
</cp:coreProperties>
</file>