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06" w:rsidRDefault="00AB5006" w:rsidP="00AB5006">
      <w:pPr>
        <w:pStyle w:val="Ttulo2"/>
        <w:rPr>
          <w:rFonts w:cs="Arial"/>
          <w:color w:val="44546A" w:themeColor="text2"/>
          <w:sz w:val="28"/>
          <w:lang w:val="es-ES_tradnl"/>
        </w:rPr>
      </w:pPr>
      <w:bookmarkStart w:id="0" w:name="_Toc500927470"/>
      <w:bookmarkStart w:id="1" w:name="_Toc502225160"/>
      <w:bookmarkStart w:id="2" w:name="_Toc506803757"/>
      <w:bookmarkStart w:id="3" w:name="_GoBack"/>
      <w:bookmarkEnd w:id="3"/>
    </w:p>
    <w:p w:rsidR="00AB5006" w:rsidRDefault="00AB5006" w:rsidP="00AB5006">
      <w:pPr>
        <w:pStyle w:val="Ttulo2"/>
        <w:rPr>
          <w:rFonts w:cs="Arial"/>
          <w:color w:val="44546A" w:themeColor="text2"/>
          <w:sz w:val="28"/>
          <w:lang w:val="es-ES_tradnl"/>
        </w:rPr>
      </w:pPr>
      <w:r w:rsidRPr="007205EC">
        <w:rPr>
          <w:rFonts w:cs="Arial"/>
          <w:color w:val="44546A" w:themeColor="text2"/>
          <w:sz w:val="28"/>
          <w:lang w:val="es-ES_tradnl"/>
        </w:rPr>
        <w:t xml:space="preserve">Anexo 1. </w:t>
      </w:r>
      <w:r>
        <w:rPr>
          <w:rFonts w:cs="Arial"/>
          <w:color w:val="44546A" w:themeColor="text2"/>
          <w:sz w:val="28"/>
          <w:lang w:val="es-ES_tradnl"/>
        </w:rPr>
        <w:t>Niveles de evidencia y grados de recomendación</w:t>
      </w:r>
      <w:bookmarkEnd w:id="0"/>
      <w:bookmarkEnd w:id="1"/>
      <w:bookmarkEnd w:id="2"/>
      <w:r>
        <w:rPr>
          <w:rFonts w:cs="Arial"/>
          <w:color w:val="44546A" w:themeColor="text2"/>
          <w:sz w:val="28"/>
          <w:lang w:val="es-ES_tradnl"/>
        </w:rPr>
        <w:t xml:space="preserve"> SIGN</w:t>
      </w:r>
    </w:p>
    <w:tbl>
      <w:tblPr>
        <w:tblW w:w="559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705"/>
        <w:gridCol w:w="8791"/>
      </w:tblGrid>
      <w:tr w:rsidR="00AB5006" w:rsidRPr="00E104DE" w:rsidTr="004022A1">
        <w:trPr>
          <w:trHeight w:val="387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AB5006" w:rsidRPr="00E104DE" w:rsidRDefault="00AB5006" w:rsidP="004022A1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E104DE">
              <w:rPr>
                <w:rFonts w:cs="Arial"/>
                <w:b/>
                <w:sz w:val="20"/>
              </w:rPr>
              <w:t>Niveles de evidencia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1++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before="40" w:after="12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Metaanálisis de alta calidad, revisiones sistemáticas de ensayos clínicos o ensayos clínicos de alta calidad con muy poco riesgo de sesgo.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1+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Metaanálisis bien realizados, revisiones sistemáticas de ensayos clínicos o ensayos clínicos bien realizados con poco riesgo de sesgos.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1-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60" w:line="240" w:lineRule="auto"/>
              <w:jc w:val="both"/>
              <w:rPr>
                <w:rFonts w:cs="Arial"/>
                <w:sz w:val="20"/>
                <w:lang w:val="es-ES_tradnl"/>
              </w:rPr>
            </w:pPr>
            <w:r w:rsidRPr="00E104DE">
              <w:rPr>
                <w:rFonts w:cs="Arial"/>
                <w:sz w:val="20"/>
                <w:lang w:val="es-ES_tradnl"/>
              </w:rPr>
              <w:t>Metaanálisis, revisiones sistemáticas de ensayos clínicos o ensayos clínicos con alto riesgo de sesgos.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2++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2+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before="40" w:after="6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Estudios de cohortes o de casos y controles bien realizados con bajo riesgo de sesgo y con una moderada probabilidad de establecer una relación causal.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2-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before="40" w:after="6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Estudios de cohortes o de casos y controles con alto riesgo de sesgo y riesgo significativo de que la relación no sea causal.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3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0" w:line="240" w:lineRule="auto"/>
              <w:jc w:val="both"/>
              <w:rPr>
                <w:rFonts w:cs="Arial"/>
                <w:sz w:val="20"/>
                <w:lang w:val="es-ES_tradnl"/>
              </w:rPr>
            </w:pPr>
            <w:r w:rsidRPr="00E104DE">
              <w:rPr>
                <w:rFonts w:cs="Arial"/>
                <w:sz w:val="20"/>
                <w:lang w:val="es-ES_tradnl"/>
              </w:rPr>
              <w:t>Estudios no analíticos, como informes de casos y series de casos.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4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AB5006" w:rsidRPr="00E104DE" w:rsidRDefault="00AB5006" w:rsidP="004022A1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Opinión de expertos.</w:t>
            </w:r>
          </w:p>
        </w:tc>
      </w:tr>
      <w:tr w:rsidR="00AB5006" w:rsidRPr="00E104DE" w:rsidTr="004022A1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6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E104DE">
              <w:rPr>
                <w:rFonts w:cs="Arial"/>
                <w:b/>
                <w:bCs/>
                <w:sz w:val="20"/>
              </w:rPr>
              <w:t>Grados de recomendación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A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before="40" w:after="12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Al menos un metaanálisis, revisión sistemática o ensayo clínico clasificado como 1++ y directamente aplicable a la población diana de la guía; o un volumen de evidencia científica compuesto por estudios clasificados como 1+ y con gran concordancia entre ellos.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B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12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Un volumen de evidencia científica compuesta por estudios clasificados como 2++, directamente aplicable a la población diana de la guía y que demuestran gran concordancia entre ellos; o evidencia científica extrapolada desde estudios clasificados como 1 ++ o 1+.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nil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C</w:t>
            </w:r>
          </w:p>
        </w:tc>
        <w:tc>
          <w:tcPr>
            <w:tcW w:w="4629" w:type="pct"/>
            <w:tcBorders>
              <w:top w:val="nil"/>
              <w:left w:val="nil"/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120" w:line="240" w:lineRule="auto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Un volumen de evidencia científica compuesta por estudios clasificados como 2+ directamente aplicable a la población diana de la guía y que demuestran gran consistencia entre ellos; o evidencia científica extrapolada desde estudios clasificados como 2 ++.</w:t>
            </w:r>
          </w:p>
        </w:tc>
      </w:tr>
      <w:tr w:rsidR="00AB5006" w:rsidRPr="00E104DE" w:rsidTr="004022A1">
        <w:tc>
          <w:tcPr>
            <w:tcW w:w="371" w:type="pct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240" w:lineRule="auto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D</w:t>
            </w:r>
          </w:p>
        </w:tc>
        <w:tc>
          <w:tcPr>
            <w:tcW w:w="4629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AB5006" w:rsidRPr="00E104DE" w:rsidRDefault="00AB5006" w:rsidP="004022A1">
            <w:pPr>
              <w:spacing w:line="240" w:lineRule="auto"/>
              <w:jc w:val="both"/>
              <w:rPr>
                <w:rFonts w:cs="Arial"/>
                <w:sz w:val="20"/>
                <w:lang w:val="es-ES_tradnl"/>
              </w:rPr>
            </w:pPr>
            <w:r w:rsidRPr="00E104DE">
              <w:rPr>
                <w:rFonts w:cs="Arial"/>
                <w:sz w:val="20"/>
                <w:lang w:val="es-ES_tradnl"/>
              </w:rPr>
              <w:t>Evidencia científica de nivel 3 o 4; o evidencia científica extrapolada desde estudios clasificados como 2+.</w:t>
            </w:r>
          </w:p>
        </w:tc>
      </w:tr>
    </w:tbl>
    <w:p w:rsidR="00AB5006" w:rsidRDefault="00AB5006" w:rsidP="00AB5006">
      <w:pPr>
        <w:spacing w:before="40" w:line="300" w:lineRule="exact"/>
        <w:jc w:val="both"/>
        <w:rPr>
          <w:rFonts w:cs="Arial"/>
        </w:rPr>
      </w:pPr>
      <w:r w:rsidRPr="00E104DE">
        <w:rPr>
          <w:i/>
          <w:sz w:val="20"/>
        </w:rPr>
        <w:t>Los estudios clasificados como 1- y 2- no deberían usarse para la elaboración de recomendaciones por su alta posibilidad de sesgo</w:t>
      </w:r>
      <w:r w:rsidRPr="00C56A5A">
        <w:rPr>
          <w:rFonts w:cs="Arial"/>
          <w:i/>
        </w:rPr>
        <w:t>.</w:t>
      </w:r>
    </w:p>
    <w:tbl>
      <w:tblPr>
        <w:tblW w:w="5000" w:type="pct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V w:val="single" w:sz="4" w:space="0" w:color="993366"/>
        </w:tblBorders>
        <w:tblLook w:val="0000" w:firstRow="0" w:lastRow="0" w:firstColumn="0" w:lastColumn="0" w:noHBand="0" w:noVBand="0"/>
      </w:tblPr>
      <w:tblGrid>
        <w:gridCol w:w="386"/>
        <w:gridCol w:w="8108"/>
      </w:tblGrid>
      <w:tr w:rsidR="00AB5006" w:rsidRPr="00E104DE" w:rsidTr="004022A1"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AB5006" w:rsidRPr="00E104DE" w:rsidRDefault="00AB5006" w:rsidP="004022A1">
            <w:pPr>
              <w:spacing w:after="0" w:line="300" w:lineRule="exact"/>
              <w:rPr>
                <w:rFonts w:cs="Arial"/>
                <w:bCs/>
                <w:sz w:val="20"/>
              </w:rPr>
            </w:pPr>
            <w:r w:rsidRPr="00E104DE">
              <w:rPr>
                <w:rFonts w:cs="Arial"/>
                <w:bCs/>
                <w:sz w:val="20"/>
              </w:rPr>
              <w:t>Buena práctica clínica</w:t>
            </w:r>
            <w:r w:rsidRPr="00E104DE">
              <w:rPr>
                <w:rFonts w:cs="Arial"/>
                <w:i/>
                <w:sz w:val="20"/>
                <w:vertAlign w:val="superscript"/>
              </w:rPr>
              <w:t>*</w:t>
            </w:r>
          </w:p>
        </w:tc>
      </w:tr>
      <w:tr w:rsidR="00AB5006" w:rsidRPr="00E104DE" w:rsidTr="004022A1">
        <w:trPr>
          <w:trHeight w:val="396"/>
        </w:trPr>
        <w:tc>
          <w:tcPr>
            <w:tcW w:w="0" w:type="auto"/>
            <w:tcBorders>
              <w:top w:val="nil"/>
              <w:bottom w:val="single" w:sz="4" w:space="0" w:color="993366"/>
              <w:right w:val="nil"/>
            </w:tcBorders>
            <w:vAlign w:val="center"/>
          </w:tcPr>
          <w:p w:rsidR="00AB5006" w:rsidRPr="00E104DE" w:rsidRDefault="00AB5006" w:rsidP="004022A1">
            <w:pPr>
              <w:spacing w:before="40" w:line="300" w:lineRule="exact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√</w:t>
            </w:r>
          </w:p>
        </w:tc>
        <w:tc>
          <w:tcPr>
            <w:tcW w:w="4773" w:type="pct"/>
            <w:tcBorders>
              <w:top w:val="nil"/>
              <w:left w:val="nil"/>
              <w:bottom w:val="single" w:sz="4" w:space="0" w:color="993366"/>
            </w:tcBorders>
            <w:vAlign w:val="center"/>
          </w:tcPr>
          <w:p w:rsidR="00AB5006" w:rsidRPr="00E104DE" w:rsidRDefault="00AB5006" w:rsidP="004022A1">
            <w:pPr>
              <w:spacing w:after="0" w:line="300" w:lineRule="exact"/>
              <w:jc w:val="both"/>
              <w:rPr>
                <w:rFonts w:cs="Arial"/>
                <w:sz w:val="20"/>
              </w:rPr>
            </w:pPr>
            <w:r w:rsidRPr="00E104DE">
              <w:rPr>
                <w:rFonts w:cs="Arial"/>
                <w:sz w:val="20"/>
              </w:rPr>
              <w:t>Práctica recomendada basada en la experiencia clínica y el consenso del equipo redactor.</w:t>
            </w:r>
          </w:p>
        </w:tc>
      </w:tr>
    </w:tbl>
    <w:p w:rsidR="00AB5006" w:rsidRDefault="00AB5006" w:rsidP="00AB5006">
      <w:pPr>
        <w:jc w:val="both"/>
        <w:rPr>
          <w:rFonts w:cs="Arial"/>
          <w:i/>
          <w:sz w:val="20"/>
        </w:rPr>
      </w:pPr>
      <w:r w:rsidRPr="00E104DE">
        <w:rPr>
          <w:rFonts w:cs="Arial"/>
          <w:i/>
          <w:sz w:val="20"/>
          <w:vertAlign w:val="superscript"/>
        </w:rPr>
        <w:t>*</w:t>
      </w:r>
      <w:r w:rsidRPr="00E104DE">
        <w:rPr>
          <w:rFonts w:cs="Arial"/>
          <w:i/>
          <w:sz w:val="20"/>
        </w:rPr>
        <w:t xml:space="preserve"> En ocasiones el grupo elaborador se percata de algún aspecto práctico importante sobre el que se quiere hacer énfasis y para el cual no existe, probablemente, ninguna evidencia que lo soporte. En general, estos casos tienen que ver con algún aspecto del tratamiento considerado buena práctica clínica y que nadie cuestionaría habitualmente. Estos aspectos son valorados como puntos de buena práctica clínica. Estos mensajes no son una alternativa a las recomendaciones basadas en la evidencia, sino que deben considerarse únicamente cuando no existe otra manera de destacar dicho aspecto.</w:t>
      </w:r>
    </w:p>
    <w:p w:rsidR="00AB5006" w:rsidRDefault="00AB5006" w:rsidP="00AB5006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br w:type="page"/>
      </w:r>
    </w:p>
    <w:p w:rsidR="00AB5006" w:rsidRPr="00A2403A" w:rsidRDefault="00AB5006" w:rsidP="00AB5006">
      <w:pPr>
        <w:pStyle w:val="Ttulo2"/>
        <w:rPr>
          <w:rFonts w:cs="Arial"/>
          <w:color w:val="44546A" w:themeColor="text2"/>
          <w:sz w:val="28"/>
          <w:lang w:val="es-ES_tradnl"/>
        </w:rPr>
      </w:pPr>
      <w:r w:rsidRPr="007205EC">
        <w:rPr>
          <w:rFonts w:cs="Arial"/>
          <w:color w:val="44546A" w:themeColor="text2"/>
          <w:sz w:val="28"/>
          <w:lang w:val="es-ES_tradnl"/>
        </w:rPr>
        <w:lastRenderedPageBreak/>
        <w:t xml:space="preserve">Anexo </w:t>
      </w:r>
      <w:r>
        <w:rPr>
          <w:rFonts w:cs="Arial"/>
          <w:color w:val="44546A" w:themeColor="text2"/>
          <w:sz w:val="28"/>
          <w:lang w:val="es-ES_tradnl"/>
        </w:rPr>
        <w:t>2</w:t>
      </w:r>
      <w:r w:rsidRPr="007205EC">
        <w:rPr>
          <w:rFonts w:cs="Arial"/>
          <w:color w:val="44546A" w:themeColor="text2"/>
          <w:sz w:val="28"/>
          <w:lang w:val="es-ES_tradnl"/>
        </w:rPr>
        <w:t xml:space="preserve">. </w:t>
      </w:r>
      <w:r>
        <w:rPr>
          <w:rFonts w:cs="Arial"/>
          <w:color w:val="44546A" w:themeColor="text2"/>
          <w:sz w:val="28"/>
          <w:lang w:val="es-ES_tradnl"/>
        </w:rPr>
        <w:t xml:space="preserve">Niveles de evidencia y grados de recomendación </w:t>
      </w:r>
      <w:r w:rsidRPr="00A2403A">
        <w:rPr>
          <w:rFonts w:cs="Arial"/>
          <w:color w:val="44546A" w:themeColor="text2"/>
          <w:sz w:val="28"/>
          <w:lang w:val="es-ES_tradnl"/>
        </w:rPr>
        <w:t>enfoque GRADE-</w:t>
      </w:r>
      <w:proofErr w:type="spellStart"/>
      <w:r w:rsidRPr="00A2403A">
        <w:rPr>
          <w:rFonts w:cs="Arial"/>
          <w:color w:val="44546A" w:themeColor="text2"/>
          <w:sz w:val="28"/>
          <w:lang w:val="es-ES_tradnl"/>
        </w:rPr>
        <w:t>CERQual</w:t>
      </w:r>
      <w:proofErr w:type="spellEnd"/>
    </w:p>
    <w:p w:rsidR="00AB5006" w:rsidRPr="00A2403A" w:rsidRDefault="00AB5006" w:rsidP="00AB5006">
      <w:pPr>
        <w:spacing w:after="90"/>
        <w:jc w:val="both"/>
        <w:rPr>
          <w:rFonts w:eastAsia="Times New Roman"/>
          <w:b/>
          <w:sz w:val="21"/>
          <w:szCs w:val="21"/>
          <w:lang w:val="es-ES_tradnl" w:eastAsia="es-ES"/>
        </w:rPr>
      </w:pPr>
    </w:p>
    <w:p w:rsidR="00AB5006" w:rsidRDefault="00AB5006" w:rsidP="00AB5006">
      <w:pPr>
        <w:spacing w:before="60" w:after="0" w:line="240" w:lineRule="auto"/>
        <w:jc w:val="center"/>
        <w:rPr>
          <w:rFonts w:eastAsia="Times New Roman"/>
          <w:b/>
          <w:color w:val="FF0000"/>
          <w:sz w:val="21"/>
          <w:szCs w:val="21"/>
          <w:lang w:eastAsia="es-ES"/>
        </w:rPr>
      </w:pPr>
      <w:r>
        <w:rPr>
          <w:rFonts w:eastAsia="Times New Roman"/>
          <w:b/>
          <w:sz w:val="21"/>
          <w:szCs w:val="21"/>
          <w:lang w:eastAsia="es-ES"/>
        </w:rPr>
        <w:t>Componentes de la evaluación de la confianza en los estudios</w:t>
      </w:r>
      <w:r>
        <w:rPr>
          <w:rFonts w:eastAsia="Times New Roman"/>
          <w:b/>
          <w:sz w:val="21"/>
          <w:szCs w:val="21"/>
          <w:lang w:eastAsia="es-ES"/>
        </w:rPr>
        <w:fldChar w:fldCharType="begin">
          <w:fldData xml:space="preserve">PEVuZE5vdGU+PENpdGU+PEF1dGhvcj5MZXdpbjwvQXV0aG9yPjxZZWFyPjIwMTU8L1llYXI+PFJl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</w:fldData>
        </w:fldChar>
      </w:r>
      <w:r>
        <w:rPr>
          <w:rFonts w:eastAsia="Times New Roman"/>
          <w:b/>
          <w:sz w:val="21"/>
          <w:szCs w:val="21"/>
          <w:lang w:eastAsia="es-ES"/>
        </w:rPr>
        <w:instrText xml:space="preserve"> ADDIN EN.CITE </w:instrText>
      </w:r>
      <w:r>
        <w:rPr>
          <w:rFonts w:eastAsia="Times New Roman"/>
          <w:b/>
          <w:sz w:val="21"/>
          <w:szCs w:val="21"/>
          <w:lang w:eastAsia="es-ES"/>
        </w:rPr>
        <w:fldChar w:fldCharType="begin">
          <w:fldData xml:space="preserve">PEVuZE5vdGU+PENpdGU+PEF1dGhvcj5MZXdpbjwvQXV0aG9yPjxZZWFyPjIwMTU8L1llYXI+PFJl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</w:fldData>
        </w:fldChar>
      </w:r>
      <w:r>
        <w:rPr>
          <w:rFonts w:eastAsia="Times New Roman"/>
          <w:b/>
          <w:sz w:val="21"/>
          <w:szCs w:val="21"/>
          <w:lang w:eastAsia="es-ES"/>
        </w:rPr>
        <w:instrText xml:space="preserve"> ADDIN EN.CITE.DATA </w:instrText>
      </w:r>
      <w:r>
        <w:rPr>
          <w:rFonts w:eastAsia="Times New Roman"/>
          <w:b/>
          <w:sz w:val="21"/>
          <w:szCs w:val="21"/>
          <w:lang w:eastAsia="es-ES"/>
        </w:rPr>
      </w:r>
      <w:r>
        <w:rPr>
          <w:rFonts w:eastAsia="Times New Roman"/>
          <w:b/>
          <w:sz w:val="21"/>
          <w:szCs w:val="21"/>
          <w:lang w:eastAsia="es-ES"/>
        </w:rPr>
        <w:fldChar w:fldCharType="end"/>
      </w:r>
      <w:r>
        <w:rPr>
          <w:rFonts w:eastAsia="Times New Roman"/>
          <w:b/>
          <w:sz w:val="21"/>
          <w:szCs w:val="21"/>
          <w:lang w:eastAsia="es-ES"/>
        </w:rPr>
      </w:r>
      <w:r>
        <w:rPr>
          <w:rFonts w:eastAsia="Times New Roman"/>
          <w:b/>
          <w:sz w:val="21"/>
          <w:szCs w:val="21"/>
          <w:lang w:eastAsia="es-ES"/>
        </w:rPr>
        <w:fldChar w:fldCharType="separate"/>
      </w:r>
      <w:r w:rsidRPr="003D3BED">
        <w:rPr>
          <w:rFonts w:eastAsia="Times New Roman"/>
          <w:b/>
          <w:noProof/>
          <w:sz w:val="21"/>
          <w:szCs w:val="21"/>
          <w:vertAlign w:val="superscript"/>
          <w:lang w:eastAsia="es-ES"/>
        </w:rPr>
        <w:t>8</w:t>
      </w:r>
      <w:r>
        <w:rPr>
          <w:rFonts w:eastAsia="Times New Roman"/>
          <w:b/>
          <w:sz w:val="21"/>
          <w:szCs w:val="21"/>
          <w:lang w:eastAsia="es-ES"/>
        </w:rPr>
        <w:fldChar w:fldCharType="end"/>
      </w:r>
    </w:p>
    <w:p w:rsidR="00AB5006" w:rsidRDefault="00AB5006" w:rsidP="00AB5006">
      <w:pPr>
        <w:spacing w:before="60" w:after="0" w:line="240" w:lineRule="auto"/>
        <w:jc w:val="center"/>
        <w:rPr>
          <w:rFonts w:eastAsia="Times New Roman"/>
          <w:b/>
          <w:sz w:val="21"/>
          <w:szCs w:val="2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5006" w:rsidRPr="00BE0705" w:rsidTr="004022A1">
        <w:tc>
          <w:tcPr>
            <w:tcW w:w="8777" w:type="dxa"/>
          </w:tcPr>
          <w:p w:rsidR="00AB5006" w:rsidRPr="00BE0705" w:rsidRDefault="00AB5006" w:rsidP="004022A1">
            <w:pPr>
              <w:pStyle w:val="Guias"/>
              <w:spacing w:before="60"/>
              <w:rPr>
                <w:rFonts w:eastAsia="Times New Roman"/>
                <w:sz w:val="21"/>
                <w:szCs w:val="21"/>
              </w:rPr>
            </w:pPr>
            <w:r w:rsidRPr="00BE0705">
              <w:rPr>
                <w:rFonts w:eastAsia="Times New Roman"/>
                <w:sz w:val="21"/>
                <w:szCs w:val="21"/>
              </w:rPr>
              <w:t xml:space="preserve">1. </w:t>
            </w:r>
            <w:r w:rsidRPr="00BE0705">
              <w:rPr>
                <w:rFonts w:eastAsia="Times New Roman"/>
                <w:i/>
                <w:sz w:val="21"/>
                <w:szCs w:val="21"/>
              </w:rPr>
              <w:t>Limitaciones metodológicas de los estudios incluidos:</w:t>
            </w:r>
            <w:r w:rsidRPr="00BE0705">
              <w:rPr>
                <w:rFonts w:eastAsia="Times New Roman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e</w:t>
            </w:r>
            <w:r w:rsidRPr="00BE0705">
              <w:t>l grado de preocupación con respecto a la calidad del diseño o de la realización de los estudios primarios incluidos como evidencia para cada un</w:t>
            </w:r>
            <w:r>
              <w:t>a</w:t>
            </w:r>
            <w:r w:rsidRPr="00BE0705">
              <w:t xml:space="preserve"> de l</w:t>
            </w:r>
            <w:r>
              <w:t>a</w:t>
            </w:r>
            <w:r w:rsidRPr="00BE0705">
              <w:t xml:space="preserve">s </w:t>
            </w:r>
            <w:r>
              <w:t>conclusione</w:t>
            </w:r>
            <w:r w:rsidRPr="00BE0705">
              <w:t>s de la revisión.</w:t>
            </w:r>
          </w:p>
        </w:tc>
      </w:tr>
      <w:tr w:rsidR="00AB5006" w:rsidRPr="00BE0705" w:rsidTr="004022A1">
        <w:tc>
          <w:tcPr>
            <w:tcW w:w="8777" w:type="dxa"/>
          </w:tcPr>
          <w:p w:rsidR="00AB5006" w:rsidRPr="00BE0705" w:rsidRDefault="00AB5006" w:rsidP="004022A1">
            <w:pPr>
              <w:pStyle w:val="Guias"/>
              <w:spacing w:before="60"/>
              <w:rPr>
                <w:rFonts w:eastAsia="Times New Roman"/>
                <w:sz w:val="21"/>
                <w:szCs w:val="21"/>
              </w:rPr>
            </w:pPr>
            <w:r w:rsidRPr="00BE0705">
              <w:rPr>
                <w:rFonts w:eastAsia="Times New Roman"/>
                <w:sz w:val="21"/>
                <w:szCs w:val="21"/>
              </w:rPr>
              <w:t xml:space="preserve">2. </w:t>
            </w:r>
            <w:r w:rsidRPr="00BE0705">
              <w:rPr>
                <w:rFonts w:eastAsia="Times New Roman"/>
                <w:i/>
                <w:sz w:val="21"/>
                <w:szCs w:val="21"/>
              </w:rPr>
              <w:t>Coherencia de los resultados de la revisión:</w:t>
            </w:r>
            <w:r w:rsidRPr="00BE0705">
              <w:rPr>
                <w:rFonts w:eastAsia="Times New Roman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u</w:t>
            </w:r>
            <w:r w:rsidRPr="00BE0705">
              <w:t>na evaluación de cómo de clara y convincente es la relación entre los datos de los estudios primarios y un</w:t>
            </w:r>
            <w:r>
              <w:t>a</w:t>
            </w:r>
            <w:r w:rsidRPr="00BE0705">
              <w:t xml:space="preserve"> </w:t>
            </w:r>
            <w:r>
              <w:t>conclusión</w:t>
            </w:r>
            <w:r w:rsidRPr="00BE0705">
              <w:t xml:space="preserve"> de la revisión que sintetiza esos datos. Por "convincente", queremos decir que esté bien apoyada.</w:t>
            </w:r>
          </w:p>
        </w:tc>
      </w:tr>
      <w:tr w:rsidR="00AB5006" w:rsidRPr="00BE0705" w:rsidTr="004022A1">
        <w:tc>
          <w:tcPr>
            <w:tcW w:w="8777" w:type="dxa"/>
          </w:tcPr>
          <w:p w:rsidR="00AB5006" w:rsidRPr="00BE0705" w:rsidRDefault="00AB5006" w:rsidP="004022A1">
            <w:pPr>
              <w:pStyle w:val="Guias"/>
              <w:spacing w:before="60"/>
              <w:rPr>
                <w:rFonts w:eastAsia="Times New Roman"/>
                <w:sz w:val="21"/>
                <w:szCs w:val="21"/>
              </w:rPr>
            </w:pPr>
            <w:r w:rsidRPr="00BE0705">
              <w:rPr>
                <w:rFonts w:eastAsia="Times New Roman"/>
                <w:sz w:val="21"/>
                <w:szCs w:val="21"/>
              </w:rPr>
              <w:t xml:space="preserve">3. </w:t>
            </w:r>
            <w:r w:rsidRPr="00BE0705">
              <w:rPr>
                <w:rFonts w:eastAsia="Times New Roman"/>
                <w:i/>
                <w:sz w:val="21"/>
                <w:szCs w:val="21"/>
              </w:rPr>
              <w:t>Adecuación de los datos que contribuyen a una conclusión de la revisión:</w:t>
            </w:r>
            <w:r w:rsidRPr="00BE0705">
              <w:rPr>
                <w:rFonts w:eastAsia="Times New Roman"/>
                <w:sz w:val="21"/>
                <w:szCs w:val="21"/>
              </w:rPr>
              <w:t xml:space="preserve"> </w:t>
            </w:r>
            <w:r w:rsidRPr="00F61118">
              <w:t>la determinación global del grado de riqueza y cantidad de datos que respaldan un</w:t>
            </w:r>
            <w:r>
              <w:t>a conclusión</w:t>
            </w:r>
            <w:r w:rsidRPr="00F61118">
              <w:t xml:space="preserve"> de la revisión.</w:t>
            </w:r>
          </w:p>
        </w:tc>
      </w:tr>
      <w:tr w:rsidR="00AB5006" w:rsidRPr="00BE0705" w:rsidTr="004022A1">
        <w:tc>
          <w:tcPr>
            <w:tcW w:w="8777" w:type="dxa"/>
          </w:tcPr>
          <w:p w:rsidR="00AB5006" w:rsidRPr="00BE0705" w:rsidRDefault="00AB5006" w:rsidP="004022A1">
            <w:pPr>
              <w:pStyle w:val="Guias"/>
              <w:spacing w:before="60"/>
              <w:rPr>
                <w:rFonts w:eastAsia="Times New Roman"/>
                <w:sz w:val="21"/>
                <w:szCs w:val="21"/>
              </w:rPr>
            </w:pPr>
            <w:r w:rsidRPr="00BE0705">
              <w:rPr>
                <w:rFonts w:eastAsia="Times New Roman"/>
                <w:sz w:val="21"/>
                <w:szCs w:val="21"/>
              </w:rPr>
              <w:t xml:space="preserve">4. </w:t>
            </w:r>
            <w:r w:rsidRPr="00BE0705">
              <w:rPr>
                <w:rFonts w:eastAsia="Times New Roman"/>
                <w:i/>
                <w:sz w:val="21"/>
                <w:szCs w:val="21"/>
              </w:rPr>
              <w:t>Relevancia de los estudios incluidos para la pregunta de revisión:</w:t>
            </w:r>
            <w:r w:rsidRPr="00BE0705">
              <w:rPr>
                <w:rFonts w:eastAsia="Times New Roman"/>
                <w:sz w:val="21"/>
                <w:szCs w:val="21"/>
              </w:rPr>
              <w:t xml:space="preserve"> </w:t>
            </w:r>
            <w:r w:rsidRPr="00F61118">
              <w:t>La medida en que el cuerpo de la evidencia proveniente de los estudios primarios que respaldan una conclusión de la revisión es aplicable al contexto (población o perspectiva, fenómeno de interés, entorno) especificado en la pregunta de la revisión.</w:t>
            </w:r>
          </w:p>
        </w:tc>
      </w:tr>
    </w:tbl>
    <w:p w:rsidR="00AB5006" w:rsidRDefault="00AB5006" w:rsidP="00AB50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AB5006" w:rsidTr="004022A1">
        <w:tc>
          <w:tcPr>
            <w:tcW w:w="5807" w:type="dxa"/>
          </w:tcPr>
          <w:p w:rsidR="00AB5006" w:rsidRDefault="00AB5006" w:rsidP="004022A1">
            <w:pPr>
              <w:spacing w:before="120"/>
              <w:rPr>
                <w:rFonts w:asciiTheme="minorHAnsi" w:eastAsiaTheme="minorHAnsi" w:hAnsiTheme="minorHAnsi" w:cstheme="minorBidi"/>
                <w:b/>
                <w:bCs/>
                <w:szCs w:val="22"/>
                <w:lang w:val="es-ES_tradnl" w:eastAsia="en-US"/>
              </w:rPr>
            </w:pPr>
            <w:r w:rsidRPr="00A2403A">
              <w:rPr>
                <w:rFonts w:asciiTheme="minorHAnsi" w:eastAsiaTheme="minorHAnsi" w:hAnsiTheme="minorHAnsi" w:cstheme="minorBidi"/>
                <w:b/>
                <w:bCs/>
                <w:szCs w:val="22"/>
                <w:lang w:val="es-ES_tradnl" w:eastAsia="en-US"/>
              </w:rPr>
              <w:t>GRADE: Categorías de las recomendaciones</w:t>
            </w: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val="es-ES_tradnl" w:eastAsia="en-US"/>
              </w:rPr>
              <w:t>*</w:t>
            </w:r>
          </w:p>
          <w:p w:rsidR="00AB5006" w:rsidRPr="00A2403A" w:rsidRDefault="00AB5006" w:rsidP="004022A1">
            <w:pPr>
              <w:spacing w:before="120"/>
              <w:rPr>
                <w:lang w:val="es-ES_tradnl"/>
              </w:rPr>
            </w:pPr>
            <w:r w:rsidRPr="00A2403A">
              <w:rPr>
                <w:b/>
                <w:bCs/>
              </w:rPr>
              <w:t>RECOMENDACIÓN FUERTE</w:t>
            </w:r>
          </w:p>
          <w:p w:rsidR="00AB5006" w:rsidRPr="00A2403A" w:rsidRDefault="00AB5006" w:rsidP="004022A1">
            <w:pPr>
              <w:spacing w:before="120"/>
              <w:rPr>
                <w:lang w:val="es-ES_tradnl"/>
              </w:rPr>
            </w:pPr>
            <w:r w:rsidRPr="00A2403A">
              <w:t>El panel tiene confianza en que los efectos deseables de la adherencia a una recomendación superan los efectos indeseables.</w:t>
            </w:r>
          </w:p>
          <w:p w:rsidR="00AB5006" w:rsidRDefault="00AB5006" w:rsidP="004022A1">
            <w:pPr>
              <w:spacing w:before="120"/>
              <w:rPr>
                <w:b/>
                <w:bCs/>
              </w:rPr>
            </w:pPr>
          </w:p>
          <w:p w:rsidR="00AB5006" w:rsidRPr="00A2403A" w:rsidRDefault="00AB5006" w:rsidP="004022A1">
            <w:pPr>
              <w:spacing w:before="120"/>
              <w:rPr>
                <w:lang w:val="es-ES_tradnl"/>
              </w:rPr>
            </w:pPr>
            <w:r w:rsidRPr="00A2403A">
              <w:rPr>
                <w:b/>
                <w:bCs/>
              </w:rPr>
              <w:t>RECOMENDACIÓN DÉBIL</w:t>
            </w:r>
          </w:p>
          <w:p w:rsidR="00AB5006" w:rsidRPr="00A2403A" w:rsidRDefault="00AB5006" w:rsidP="004022A1">
            <w:pPr>
              <w:spacing w:before="120"/>
              <w:rPr>
                <w:lang w:val="es-ES_tradnl"/>
              </w:rPr>
            </w:pPr>
            <w:r w:rsidRPr="00A2403A">
              <w:t>El panel concluye que</w:t>
            </w:r>
            <w:r w:rsidRPr="00A2403A">
              <w:rPr>
                <w:b/>
                <w:bCs/>
              </w:rPr>
              <w:t xml:space="preserve"> </w:t>
            </w:r>
            <w:r w:rsidRPr="00A2403A">
              <w:t xml:space="preserve">los efectos deseables de la adherencia a una recomendación probablemente superan los riesgos, pero no están confiados o seguros. </w:t>
            </w:r>
          </w:p>
          <w:p w:rsidR="00AB5006" w:rsidRPr="00A2403A" w:rsidRDefault="00AB5006" w:rsidP="004022A1">
            <w:pPr>
              <w:spacing w:before="120"/>
              <w:rPr>
                <w:lang w:val="es-ES_tradnl"/>
              </w:rPr>
            </w:pPr>
          </w:p>
        </w:tc>
        <w:tc>
          <w:tcPr>
            <w:tcW w:w="2687" w:type="dxa"/>
          </w:tcPr>
          <w:p w:rsidR="00AB5006" w:rsidRDefault="00AB5006" w:rsidP="004022A1">
            <w:pPr>
              <w:spacing w:before="120"/>
              <w:rPr>
                <w:b/>
                <w:bCs/>
              </w:rPr>
            </w:pPr>
          </w:p>
          <w:p w:rsidR="00AB5006" w:rsidRDefault="00AB5006" w:rsidP="004022A1">
            <w:pPr>
              <w:spacing w:before="120"/>
              <w:rPr>
                <w:b/>
                <w:bCs/>
              </w:rPr>
            </w:pPr>
          </w:p>
          <w:p w:rsidR="00AB5006" w:rsidRPr="00A2403A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  <w:r w:rsidRPr="00A2403A">
              <w:rPr>
                <w:b/>
                <w:bCs/>
              </w:rPr>
              <w:t>Se recomienda</w:t>
            </w:r>
          </w:p>
          <w:p w:rsidR="00AB5006" w:rsidRPr="00A2403A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  <w:r w:rsidRPr="00A2403A">
              <w:rPr>
                <w:b/>
                <w:bCs/>
              </w:rPr>
              <w:sym w:font="Wingdings" w:char="F0E9"/>
            </w:r>
            <w:r w:rsidRPr="00A2403A">
              <w:rPr>
                <w:b/>
                <w:bCs/>
              </w:rPr>
              <w:sym w:font="Wingdings" w:char="F0E9"/>
            </w:r>
            <w:r w:rsidRPr="00A2403A">
              <w:rPr>
                <w:b/>
                <w:bCs/>
              </w:rPr>
              <w:t xml:space="preserve">  </w:t>
            </w:r>
            <w:r w:rsidRPr="00A2403A">
              <w:rPr>
                <w:b/>
                <w:bCs/>
              </w:rPr>
              <w:sym w:font="Wingdings" w:char="F0EA"/>
            </w:r>
            <w:r w:rsidRPr="00A2403A">
              <w:rPr>
                <w:b/>
                <w:bCs/>
              </w:rPr>
              <w:sym w:font="Wingdings" w:char="F0EA"/>
            </w:r>
          </w:p>
          <w:p w:rsidR="00AB5006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</w:p>
          <w:p w:rsidR="00AB5006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</w:p>
          <w:p w:rsidR="00AB5006" w:rsidRPr="00A2403A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  <w:r w:rsidRPr="00A2403A">
              <w:rPr>
                <w:b/>
                <w:bCs/>
              </w:rPr>
              <w:t>Se sugiere</w:t>
            </w:r>
          </w:p>
          <w:p w:rsidR="00AB5006" w:rsidRPr="00A2403A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  <w:r w:rsidRPr="00A2403A">
              <w:rPr>
                <w:b/>
                <w:bCs/>
              </w:rPr>
              <w:sym w:font="Wingdings" w:char="F0E9"/>
            </w:r>
            <w:r w:rsidRPr="00A2403A">
              <w:rPr>
                <w:b/>
                <w:bCs/>
              </w:rPr>
              <w:t xml:space="preserve">    </w:t>
            </w:r>
            <w:r w:rsidRPr="00A2403A">
              <w:rPr>
                <w:b/>
                <w:bCs/>
              </w:rPr>
              <w:sym w:font="Wingdings" w:char="F0EA"/>
            </w:r>
          </w:p>
          <w:p w:rsidR="00AB5006" w:rsidRPr="00A2403A" w:rsidRDefault="00AB5006" w:rsidP="004022A1">
            <w:pPr>
              <w:spacing w:before="120"/>
              <w:rPr>
                <w:b/>
                <w:bCs/>
                <w:lang w:val="es-ES_tradnl"/>
              </w:rPr>
            </w:pPr>
          </w:p>
        </w:tc>
      </w:tr>
    </w:tbl>
    <w:p w:rsidR="00AB5006" w:rsidRPr="00A2403A" w:rsidRDefault="00AB5006" w:rsidP="00AB5006"/>
    <w:p w:rsidR="00AB5006" w:rsidRPr="00A2403A" w:rsidRDefault="00AB5006" w:rsidP="00AB5006">
      <w:pPr>
        <w:spacing w:before="40" w:line="300" w:lineRule="exact"/>
        <w:jc w:val="both"/>
        <w:rPr>
          <w:b/>
          <w:lang w:val="es-ES_tradnl"/>
        </w:rPr>
      </w:pPr>
      <w:r>
        <w:rPr>
          <w:i/>
          <w:sz w:val="20"/>
        </w:rPr>
        <w:t>*</w:t>
      </w:r>
      <w:r w:rsidRPr="00A2403A">
        <w:rPr>
          <w:i/>
          <w:sz w:val="20"/>
        </w:rPr>
        <w:t>Teniendo en cuenta la fuerza y la dirección, las rec</w:t>
      </w:r>
      <w:r>
        <w:rPr>
          <w:i/>
          <w:sz w:val="20"/>
        </w:rPr>
        <w:t>o</w:t>
      </w:r>
      <w:r w:rsidRPr="00A2403A">
        <w:rPr>
          <w:i/>
          <w:sz w:val="20"/>
        </w:rPr>
        <w:t>mendaciones pueden ser fuertes a favor, fuertes en contra,</w:t>
      </w:r>
      <w:r>
        <w:rPr>
          <w:i/>
          <w:sz w:val="20"/>
        </w:rPr>
        <w:t xml:space="preserve"> </w:t>
      </w:r>
      <w:r w:rsidRPr="00A2403A">
        <w:rPr>
          <w:i/>
          <w:sz w:val="20"/>
        </w:rPr>
        <w:t>débiles a favor o débiles en contra de una intervención</w:t>
      </w:r>
      <w:r>
        <w:rPr>
          <w:i/>
          <w:sz w:val="20"/>
        </w:rPr>
        <w:t>.</w:t>
      </w:r>
    </w:p>
    <w:p w:rsidR="00A370BA" w:rsidRPr="00AB5006" w:rsidRDefault="00A370BA">
      <w:pPr>
        <w:rPr>
          <w:b/>
          <w:sz w:val="24"/>
        </w:rPr>
      </w:pPr>
    </w:p>
    <w:sectPr w:rsidR="00A370BA" w:rsidRPr="00AB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06"/>
    <w:rsid w:val="0057200C"/>
    <w:rsid w:val="009261CF"/>
    <w:rsid w:val="00A370BA"/>
    <w:rsid w:val="00AB5006"/>
    <w:rsid w:val="00C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6B51D-CE49-43EC-AD89-5CF0F2AD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0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00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57200C"/>
    <w:pPr>
      <w:spacing w:after="0" w:line="240" w:lineRule="auto"/>
    </w:pPr>
  </w:style>
  <w:style w:type="character" w:customStyle="1" w:styleId="TextocomentarioCar">
    <w:name w:val="Texto comentario Car"/>
    <w:basedOn w:val="Fuentedeprrafopredeter"/>
    <w:link w:val="Textocomentario"/>
    <w:rsid w:val="0057200C"/>
  </w:style>
  <w:style w:type="paragraph" w:customStyle="1" w:styleId="Guias">
    <w:name w:val="Guias"/>
    <w:link w:val="GuiasCar"/>
    <w:qFormat/>
    <w:rsid w:val="009261CF"/>
    <w:pPr>
      <w:spacing w:after="0" w:line="360" w:lineRule="auto"/>
      <w:jc w:val="both"/>
    </w:pPr>
  </w:style>
  <w:style w:type="paragraph" w:customStyle="1" w:styleId="Titulo1guias">
    <w:name w:val="Titulo1 guias"/>
    <w:next w:val="Guias"/>
    <w:qFormat/>
    <w:rsid w:val="009261CF"/>
    <w:pPr>
      <w:spacing w:after="120" w:line="360" w:lineRule="auto"/>
    </w:pPr>
    <w:rPr>
      <w:rFonts w:asciiTheme="majorHAnsi" w:hAnsiTheme="majorHAnsi"/>
      <w:color w:val="44546A"/>
      <w:sz w:val="32"/>
    </w:rPr>
  </w:style>
  <w:style w:type="paragraph" w:customStyle="1" w:styleId="Portada">
    <w:name w:val="Portada"/>
    <w:next w:val="Guias"/>
    <w:qFormat/>
    <w:rsid w:val="009261CF"/>
    <w:rPr>
      <w:rFonts w:asciiTheme="majorHAnsi" w:hAnsiTheme="majorHAnsi"/>
      <w:b/>
    </w:rPr>
  </w:style>
  <w:style w:type="character" w:customStyle="1" w:styleId="Ttulo2Car">
    <w:name w:val="Título 2 Car"/>
    <w:basedOn w:val="Fuentedeprrafopredeter"/>
    <w:link w:val="Ttulo2"/>
    <w:uiPriority w:val="9"/>
    <w:rsid w:val="00AB50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uiasCar">
    <w:name w:val="Guias Car"/>
    <w:basedOn w:val="Fuentedeprrafopredeter"/>
    <w:link w:val="Guias"/>
    <w:rsid w:val="00AB5006"/>
  </w:style>
  <w:style w:type="table" w:styleId="Tablaconcuadrcula">
    <w:name w:val="Table Grid"/>
    <w:basedOn w:val="Tablanormal"/>
    <w:rsid w:val="00AB5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Diaz del Campo Fontecha</dc:creator>
  <cp:keywords/>
  <dc:description/>
  <cp:lastModifiedBy>Petra Diaz del Campo Fontecha</cp:lastModifiedBy>
  <cp:revision>2</cp:revision>
  <dcterms:created xsi:type="dcterms:W3CDTF">2020-11-04T16:33:00Z</dcterms:created>
  <dcterms:modified xsi:type="dcterms:W3CDTF">2020-11-10T11:28:00Z</dcterms:modified>
</cp:coreProperties>
</file>