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4E552" w14:textId="77777777" w:rsidR="00900475" w:rsidRPr="00900475" w:rsidRDefault="00FF2380" w:rsidP="00900475">
      <w:pPr>
        <w:pStyle w:val="Heading1"/>
        <w:numPr>
          <w:ilvl w:val="0"/>
          <w:numId w:val="1"/>
        </w:numPr>
        <w:ind w:left="0" w:firstLine="0"/>
        <w:rPr>
          <w:rFonts w:ascii="Mangal" w:hAnsi="Mangal" w:cs="Mangal"/>
        </w:rPr>
      </w:pPr>
      <w:r>
        <w:t>Annex (supplementary figures and tables)</w:t>
      </w:r>
    </w:p>
    <w:p w14:paraId="654E2F03" w14:textId="77777777" w:rsidR="00900475" w:rsidRPr="00900475" w:rsidRDefault="00900475" w:rsidP="00900475">
      <w:pPr>
        <w:pStyle w:val="Heading1"/>
        <w:rPr>
          <w:rFonts w:ascii="Mangal" w:hAnsi="Mangal" w:cs="Mangal" w:hint="eastAsia"/>
        </w:rPr>
      </w:pPr>
      <w:bookmarkStart w:id="0" w:name="_GoBack"/>
      <w:bookmarkEnd w:id="0"/>
    </w:p>
    <w:p w14:paraId="036E7716" w14:textId="77777777" w:rsidR="00FF2380" w:rsidRDefault="00900475">
      <w:pPr>
        <w:pStyle w:val="Caption"/>
        <w:rPr>
          <w:rFonts w:ascii="Mangal" w:hAnsi="Mangal" w:cs="Mangal"/>
        </w:rPr>
      </w:pPr>
      <w:r>
        <w:rPr>
          <w:rFonts w:ascii="Mangal" w:hAnsi="Mangal" w:cs="Mangal" w:hint="eastAsia"/>
        </w:rPr>
        <w:pict w14:anchorId="5AA8D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4pt;height:181.6pt">
            <v:imagedata r:id="rId6" o:title="Image.tif"/>
          </v:shape>
        </w:pict>
      </w:r>
    </w:p>
    <w:p w14:paraId="3FDB42A3" w14:textId="77777777" w:rsidR="00FF2380" w:rsidRDefault="00FF2380">
      <w:pPr>
        <w:pStyle w:val="Caption"/>
        <w:rPr>
          <w:rFonts w:ascii="Mangal" w:hAnsi="Mangal" w:cs="Mangal" w:hint="eastAsia"/>
        </w:rPr>
      </w:pPr>
    </w:p>
    <w:p w14:paraId="5998312B" w14:textId="77777777" w:rsidR="00FF2380" w:rsidRDefault="00FF2380">
      <w:pPr>
        <w:pStyle w:val="Caption"/>
        <w:rPr>
          <w:rFonts w:ascii="Mangal" w:hAnsi="Mangal" w:cs="Mangal" w:hint="eastAsia"/>
        </w:rPr>
      </w:pPr>
      <w:r>
        <w:rPr>
          <w:b/>
          <w:bCs/>
        </w:rPr>
        <w:t>Supplementary Figure 3</w:t>
      </w:r>
      <w:r>
        <w:t xml:space="preserve"> Evidence </w:t>
      </w:r>
      <w:proofErr w:type="spellStart"/>
      <w:r>
        <w:t>networkused</w:t>
      </w:r>
      <w:proofErr w:type="spellEnd"/>
      <w:r>
        <w:t xml:space="preserve"> to estimate relative effectiveness in the economic evaluation model. </w:t>
      </w:r>
    </w:p>
    <w:p w14:paraId="3EA3232D" w14:textId="77777777" w:rsidR="00FF2380" w:rsidRDefault="00FF2380">
      <w:pPr>
        <w:pStyle w:val="Caption"/>
        <w:rPr>
          <w:rFonts w:ascii="Mangal" w:hAnsi="Mangal" w:cs="Mangal" w:hint="eastAsia"/>
        </w:rPr>
      </w:pPr>
      <w:r>
        <w:rPr>
          <w:b/>
          <w:bCs/>
        </w:rPr>
        <w:t>Supplementary Table 3</w:t>
      </w:r>
      <w:r>
        <w:t xml:space="preserve"> Distribution of stroke events by severity.</w:t>
      </w:r>
    </w:p>
    <w:tbl>
      <w:tblPr>
        <w:tblW w:w="9355" w:type="dxa"/>
        <w:tblInd w:w="-55" w:type="dxa"/>
        <w:tblBorders>
          <w:top w:val="single" w:sz="2" w:space="0" w:color="000001"/>
        </w:tblBorders>
        <w:tblCellMar>
          <w:left w:w="57" w:type="dxa"/>
          <w:right w:w="57" w:type="dxa"/>
        </w:tblCellMar>
        <w:tblLook w:val="0000" w:firstRow="0" w:lastRow="0" w:firstColumn="0" w:lastColumn="0" w:noHBand="0" w:noVBand="0"/>
      </w:tblPr>
      <w:tblGrid>
        <w:gridCol w:w="2393"/>
        <w:gridCol w:w="1735"/>
        <w:gridCol w:w="1775"/>
        <w:gridCol w:w="1718"/>
        <w:gridCol w:w="1734"/>
      </w:tblGrid>
      <w:tr w:rsidR="00FF2380" w14:paraId="4B85A1EE" w14:textId="77777777">
        <w:tc>
          <w:tcPr>
            <w:tcW w:w="2393" w:type="dxa"/>
            <w:tcBorders>
              <w:top w:val="single" w:sz="2" w:space="0" w:color="000001"/>
              <w:left w:val="nil"/>
              <w:bottom w:val="nil"/>
              <w:right w:val="nil"/>
            </w:tcBorders>
            <w:shd w:val="clear" w:color="000000" w:fill="FFFFFF"/>
          </w:tcPr>
          <w:p w14:paraId="1389460C" w14:textId="77777777" w:rsidR="00FF2380" w:rsidRDefault="00FF2380">
            <w:pPr>
              <w:pStyle w:val="Table"/>
              <w:rPr>
                <w:rFonts w:ascii="Mangal" w:hAnsi="Mangal" w:cs="Mangal" w:hint="eastAsia"/>
              </w:rPr>
            </w:pPr>
          </w:p>
        </w:tc>
        <w:tc>
          <w:tcPr>
            <w:tcW w:w="1735" w:type="dxa"/>
            <w:tcBorders>
              <w:top w:val="single" w:sz="2" w:space="0" w:color="000001"/>
              <w:left w:val="nil"/>
              <w:bottom w:val="nil"/>
              <w:right w:val="nil"/>
            </w:tcBorders>
            <w:shd w:val="clear" w:color="000000" w:fill="FFFFFF"/>
            <w:vAlign w:val="bottom"/>
          </w:tcPr>
          <w:p w14:paraId="145105E4" w14:textId="77777777" w:rsidR="00FF2380" w:rsidRDefault="00FF2380">
            <w:pPr>
              <w:pStyle w:val="Table"/>
              <w:rPr>
                <w:rFonts w:ascii="Mangal" w:hAnsi="Mangal" w:cs="Mangal" w:hint="eastAsia"/>
              </w:rPr>
            </w:pPr>
            <w:r>
              <w:t>Mild</w:t>
            </w:r>
          </w:p>
        </w:tc>
        <w:tc>
          <w:tcPr>
            <w:tcW w:w="1775" w:type="dxa"/>
            <w:tcBorders>
              <w:top w:val="single" w:sz="2" w:space="0" w:color="000001"/>
              <w:left w:val="nil"/>
              <w:bottom w:val="nil"/>
              <w:right w:val="nil"/>
            </w:tcBorders>
            <w:shd w:val="clear" w:color="000000" w:fill="FFFFFF"/>
            <w:vAlign w:val="bottom"/>
          </w:tcPr>
          <w:p w14:paraId="035BB2E8" w14:textId="77777777" w:rsidR="00FF2380" w:rsidRDefault="00FF2380">
            <w:pPr>
              <w:pStyle w:val="Table"/>
              <w:rPr>
                <w:rFonts w:ascii="Mangal" w:hAnsi="Mangal" w:cs="Mangal" w:hint="eastAsia"/>
              </w:rPr>
            </w:pPr>
            <w:r>
              <w:t>Moderate</w:t>
            </w:r>
          </w:p>
        </w:tc>
        <w:tc>
          <w:tcPr>
            <w:tcW w:w="1718" w:type="dxa"/>
            <w:tcBorders>
              <w:top w:val="single" w:sz="2" w:space="0" w:color="000001"/>
              <w:left w:val="nil"/>
              <w:bottom w:val="nil"/>
              <w:right w:val="nil"/>
            </w:tcBorders>
            <w:shd w:val="clear" w:color="000000" w:fill="FFFFFF"/>
            <w:vAlign w:val="bottom"/>
          </w:tcPr>
          <w:p w14:paraId="6FEB0ECC" w14:textId="77777777" w:rsidR="00FF2380" w:rsidRDefault="00FF2380">
            <w:pPr>
              <w:pStyle w:val="Table"/>
              <w:rPr>
                <w:rFonts w:ascii="Mangal" w:hAnsi="Mangal" w:cs="Mangal" w:hint="eastAsia"/>
              </w:rPr>
            </w:pPr>
            <w:r>
              <w:t>Severe</w:t>
            </w:r>
          </w:p>
        </w:tc>
        <w:tc>
          <w:tcPr>
            <w:tcW w:w="1734" w:type="dxa"/>
            <w:tcBorders>
              <w:top w:val="single" w:sz="2" w:space="0" w:color="000001"/>
              <w:left w:val="nil"/>
              <w:bottom w:val="nil"/>
              <w:right w:val="nil"/>
            </w:tcBorders>
            <w:shd w:val="clear" w:color="000000" w:fill="FFFFFF"/>
            <w:vAlign w:val="bottom"/>
          </w:tcPr>
          <w:p w14:paraId="27A3A1DF" w14:textId="77777777" w:rsidR="00FF2380" w:rsidRDefault="00FF2380">
            <w:pPr>
              <w:pStyle w:val="Table"/>
              <w:rPr>
                <w:rFonts w:ascii="Mangal" w:hAnsi="Mangal" w:cs="Mangal" w:hint="eastAsia"/>
              </w:rPr>
            </w:pPr>
            <w:r>
              <w:t>Fatal</w:t>
            </w:r>
          </w:p>
        </w:tc>
      </w:tr>
      <w:tr w:rsidR="00FF2380" w14:paraId="571E54BC" w14:textId="77777777">
        <w:tc>
          <w:tcPr>
            <w:tcW w:w="2393" w:type="dxa"/>
            <w:tcBorders>
              <w:top w:val="nil"/>
              <w:left w:val="nil"/>
              <w:bottom w:val="nil"/>
              <w:right w:val="nil"/>
            </w:tcBorders>
            <w:shd w:val="clear" w:color="000000" w:fill="FFFFFF"/>
          </w:tcPr>
          <w:p w14:paraId="60A210F5" w14:textId="77777777" w:rsidR="00FF2380" w:rsidRDefault="00FF2380">
            <w:pPr>
              <w:pStyle w:val="Table"/>
              <w:rPr>
                <w:rFonts w:ascii="Mangal" w:hAnsi="Mangal" w:cs="Mangal" w:hint="eastAsia"/>
              </w:rPr>
            </w:pPr>
          </w:p>
        </w:tc>
        <w:tc>
          <w:tcPr>
            <w:tcW w:w="1735" w:type="dxa"/>
            <w:tcBorders>
              <w:top w:val="nil"/>
              <w:left w:val="nil"/>
              <w:bottom w:val="nil"/>
              <w:right w:val="nil"/>
            </w:tcBorders>
            <w:shd w:val="clear" w:color="000000" w:fill="FFFFFF"/>
            <w:vAlign w:val="center"/>
          </w:tcPr>
          <w:p w14:paraId="44717D9E" w14:textId="77777777" w:rsidR="00FF2380" w:rsidRDefault="00FF2380">
            <w:pPr>
              <w:pStyle w:val="Table"/>
              <w:rPr>
                <w:rFonts w:ascii="Mangal" w:hAnsi="Mangal" w:cs="Mangal" w:hint="eastAsia"/>
              </w:rPr>
            </w:pPr>
            <w:proofErr w:type="spellStart"/>
            <w:proofErr w:type="gramStart"/>
            <w:r>
              <w:t>mRS</w:t>
            </w:r>
            <w:proofErr w:type="spellEnd"/>
            <w:proofErr w:type="gramEnd"/>
            <w:r>
              <w:t xml:space="preserve"> (0–2)</w:t>
            </w:r>
          </w:p>
        </w:tc>
        <w:tc>
          <w:tcPr>
            <w:tcW w:w="1775" w:type="dxa"/>
            <w:tcBorders>
              <w:top w:val="nil"/>
              <w:left w:val="nil"/>
              <w:bottom w:val="nil"/>
              <w:right w:val="nil"/>
            </w:tcBorders>
            <w:shd w:val="clear" w:color="000000" w:fill="FFFFFF"/>
            <w:vAlign w:val="center"/>
          </w:tcPr>
          <w:p w14:paraId="50ECDE7B" w14:textId="77777777" w:rsidR="00FF2380" w:rsidRDefault="00FF2380">
            <w:pPr>
              <w:pStyle w:val="Table"/>
              <w:rPr>
                <w:rFonts w:ascii="Mangal" w:hAnsi="Mangal" w:cs="Mangal" w:hint="eastAsia"/>
              </w:rPr>
            </w:pPr>
            <w:proofErr w:type="spellStart"/>
            <w:proofErr w:type="gramStart"/>
            <w:r>
              <w:t>mRS</w:t>
            </w:r>
            <w:proofErr w:type="spellEnd"/>
            <w:proofErr w:type="gramEnd"/>
            <w:r>
              <w:t xml:space="preserve"> (3–4)</w:t>
            </w:r>
          </w:p>
        </w:tc>
        <w:tc>
          <w:tcPr>
            <w:tcW w:w="1718" w:type="dxa"/>
            <w:tcBorders>
              <w:top w:val="nil"/>
              <w:left w:val="nil"/>
              <w:bottom w:val="nil"/>
              <w:right w:val="nil"/>
            </w:tcBorders>
            <w:shd w:val="clear" w:color="000000" w:fill="FFFFFF"/>
            <w:vAlign w:val="center"/>
          </w:tcPr>
          <w:p w14:paraId="2A1FE47C" w14:textId="77777777" w:rsidR="00FF2380" w:rsidRDefault="00FF2380">
            <w:pPr>
              <w:pStyle w:val="Table"/>
              <w:rPr>
                <w:rFonts w:ascii="Mangal" w:hAnsi="Mangal" w:cs="Mangal" w:hint="eastAsia"/>
              </w:rPr>
            </w:pPr>
            <w:proofErr w:type="spellStart"/>
            <w:proofErr w:type="gramStart"/>
            <w:r>
              <w:t>mRS</w:t>
            </w:r>
            <w:proofErr w:type="spellEnd"/>
            <w:proofErr w:type="gramEnd"/>
            <w:r>
              <w:t xml:space="preserve"> (5)</w:t>
            </w:r>
          </w:p>
        </w:tc>
        <w:tc>
          <w:tcPr>
            <w:tcW w:w="1734" w:type="dxa"/>
            <w:tcBorders>
              <w:top w:val="nil"/>
              <w:left w:val="nil"/>
              <w:bottom w:val="nil"/>
              <w:right w:val="nil"/>
            </w:tcBorders>
            <w:shd w:val="clear" w:color="000000" w:fill="FFFFFF"/>
            <w:vAlign w:val="center"/>
          </w:tcPr>
          <w:p w14:paraId="248D2DAF" w14:textId="77777777" w:rsidR="00FF2380" w:rsidRDefault="00FF2380">
            <w:pPr>
              <w:pStyle w:val="Table"/>
              <w:rPr>
                <w:rFonts w:ascii="Mangal" w:hAnsi="Mangal" w:cs="Mangal" w:hint="eastAsia"/>
              </w:rPr>
            </w:pPr>
            <w:proofErr w:type="spellStart"/>
            <w:proofErr w:type="gramStart"/>
            <w:r>
              <w:t>mRS</w:t>
            </w:r>
            <w:proofErr w:type="spellEnd"/>
            <w:proofErr w:type="gramEnd"/>
            <w:r>
              <w:t xml:space="preserve"> (6)</w:t>
            </w:r>
          </w:p>
        </w:tc>
      </w:tr>
      <w:tr w:rsidR="00FF2380" w14:paraId="43568DCA" w14:textId="77777777">
        <w:tc>
          <w:tcPr>
            <w:tcW w:w="2393" w:type="dxa"/>
            <w:tcBorders>
              <w:top w:val="nil"/>
              <w:left w:val="nil"/>
              <w:bottom w:val="nil"/>
              <w:right w:val="nil"/>
            </w:tcBorders>
            <w:shd w:val="clear" w:color="000000" w:fill="FFFFFF"/>
            <w:vAlign w:val="center"/>
          </w:tcPr>
          <w:p w14:paraId="41A5990C" w14:textId="77777777" w:rsidR="00FF2380" w:rsidRDefault="00FF2380">
            <w:pPr>
              <w:pStyle w:val="Table"/>
              <w:rPr>
                <w:rFonts w:ascii="Mangal" w:hAnsi="Mangal" w:cs="Mangal" w:hint="eastAsia"/>
              </w:rPr>
            </w:pPr>
            <w:proofErr w:type="spellStart"/>
            <w:r>
              <w:t>Apixaban</w:t>
            </w:r>
            <w:r>
              <w:rPr>
                <w:vertAlign w:val="superscript"/>
              </w:rPr>
              <w:t>a</w:t>
            </w:r>
            <w:proofErr w:type="spellEnd"/>
          </w:p>
        </w:tc>
        <w:tc>
          <w:tcPr>
            <w:tcW w:w="1735" w:type="dxa"/>
            <w:tcBorders>
              <w:top w:val="nil"/>
              <w:left w:val="nil"/>
              <w:bottom w:val="nil"/>
              <w:right w:val="nil"/>
            </w:tcBorders>
            <w:shd w:val="clear" w:color="000000" w:fill="FFFFFF"/>
            <w:vAlign w:val="center"/>
          </w:tcPr>
          <w:p w14:paraId="08ED38A8" w14:textId="77777777" w:rsidR="00FF2380" w:rsidRDefault="00FF2380">
            <w:pPr>
              <w:pStyle w:val="Table"/>
              <w:rPr>
                <w:rFonts w:ascii="Mangal" w:hAnsi="Mangal" w:cs="Mangal" w:hint="eastAsia"/>
              </w:rPr>
            </w:pPr>
            <w:r>
              <w:t>53%</w:t>
            </w:r>
          </w:p>
        </w:tc>
        <w:tc>
          <w:tcPr>
            <w:tcW w:w="1775" w:type="dxa"/>
            <w:tcBorders>
              <w:top w:val="nil"/>
              <w:left w:val="nil"/>
              <w:bottom w:val="nil"/>
              <w:right w:val="nil"/>
            </w:tcBorders>
            <w:shd w:val="clear" w:color="000000" w:fill="FFFFFF"/>
            <w:vAlign w:val="center"/>
          </w:tcPr>
          <w:p w14:paraId="0FA32999" w14:textId="77777777" w:rsidR="00FF2380" w:rsidRDefault="00FF2380">
            <w:pPr>
              <w:pStyle w:val="Table"/>
              <w:rPr>
                <w:rFonts w:ascii="Mangal" w:hAnsi="Mangal" w:cs="Mangal" w:hint="eastAsia"/>
              </w:rPr>
            </w:pPr>
            <w:r>
              <w:t>21%</w:t>
            </w:r>
          </w:p>
        </w:tc>
        <w:tc>
          <w:tcPr>
            <w:tcW w:w="1718" w:type="dxa"/>
            <w:tcBorders>
              <w:top w:val="nil"/>
              <w:left w:val="nil"/>
              <w:bottom w:val="nil"/>
              <w:right w:val="nil"/>
            </w:tcBorders>
            <w:shd w:val="clear" w:color="000000" w:fill="FFFFFF"/>
            <w:vAlign w:val="center"/>
          </w:tcPr>
          <w:p w14:paraId="017F9EA3" w14:textId="77777777" w:rsidR="00FF2380" w:rsidRDefault="00FF2380">
            <w:pPr>
              <w:pStyle w:val="Table"/>
              <w:rPr>
                <w:rFonts w:ascii="Mangal" w:hAnsi="Mangal" w:cs="Mangal" w:hint="eastAsia"/>
              </w:rPr>
            </w:pPr>
            <w:r>
              <w:t>8%</w:t>
            </w:r>
          </w:p>
        </w:tc>
        <w:tc>
          <w:tcPr>
            <w:tcW w:w="1734" w:type="dxa"/>
            <w:tcBorders>
              <w:top w:val="nil"/>
              <w:left w:val="nil"/>
              <w:bottom w:val="nil"/>
              <w:right w:val="nil"/>
            </w:tcBorders>
            <w:shd w:val="clear" w:color="000000" w:fill="FFFFFF"/>
            <w:vAlign w:val="center"/>
          </w:tcPr>
          <w:p w14:paraId="17F594B4" w14:textId="77777777" w:rsidR="00FF2380" w:rsidRDefault="00FF2380">
            <w:pPr>
              <w:pStyle w:val="Table"/>
              <w:rPr>
                <w:rFonts w:ascii="Mangal" w:hAnsi="Mangal" w:cs="Mangal" w:hint="eastAsia"/>
              </w:rPr>
            </w:pPr>
            <w:r>
              <w:t>18%</w:t>
            </w:r>
          </w:p>
        </w:tc>
      </w:tr>
      <w:tr w:rsidR="00FF2380" w14:paraId="0198DC01" w14:textId="77777777">
        <w:tc>
          <w:tcPr>
            <w:tcW w:w="2393" w:type="dxa"/>
            <w:tcBorders>
              <w:top w:val="nil"/>
              <w:left w:val="nil"/>
              <w:bottom w:val="nil"/>
              <w:right w:val="nil"/>
            </w:tcBorders>
            <w:shd w:val="clear" w:color="000000" w:fill="FFFFFF"/>
            <w:vAlign w:val="center"/>
          </w:tcPr>
          <w:p w14:paraId="6A8A5FE6" w14:textId="77777777" w:rsidR="00FF2380" w:rsidRDefault="00FF2380">
            <w:pPr>
              <w:pStyle w:val="Table"/>
              <w:rPr>
                <w:rFonts w:ascii="Mangal" w:hAnsi="Mangal" w:cs="Mangal" w:hint="eastAsia"/>
              </w:rPr>
            </w:pPr>
            <w:proofErr w:type="spellStart"/>
            <w:r>
              <w:t>Warfarin</w:t>
            </w:r>
            <w:r>
              <w:rPr>
                <w:vertAlign w:val="superscript"/>
              </w:rPr>
              <w:t>a</w:t>
            </w:r>
            <w:proofErr w:type="spellEnd"/>
          </w:p>
        </w:tc>
        <w:tc>
          <w:tcPr>
            <w:tcW w:w="1735" w:type="dxa"/>
            <w:tcBorders>
              <w:top w:val="nil"/>
              <w:left w:val="nil"/>
              <w:bottom w:val="nil"/>
              <w:right w:val="nil"/>
            </w:tcBorders>
            <w:shd w:val="clear" w:color="000000" w:fill="FFFFFF"/>
            <w:vAlign w:val="center"/>
          </w:tcPr>
          <w:p w14:paraId="598DF716" w14:textId="77777777" w:rsidR="00FF2380" w:rsidRDefault="00FF2380">
            <w:pPr>
              <w:pStyle w:val="Table"/>
              <w:rPr>
                <w:rFonts w:ascii="Mangal" w:hAnsi="Mangal" w:cs="Mangal" w:hint="eastAsia"/>
              </w:rPr>
            </w:pPr>
            <w:r>
              <w:t>45%</w:t>
            </w:r>
          </w:p>
        </w:tc>
        <w:tc>
          <w:tcPr>
            <w:tcW w:w="1775" w:type="dxa"/>
            <w:tcBorders>
              <w:top w:val="nil"/>
              <w:left w:val="nil"/>
              <w:bottom w:val="nil"/>
              <w:right w:val="nil"/>
            </w:tcBorders>
            <w:shd w:val="clear" w:color="000000" w:fill="FFFFFF"/>
            <w:vAlign w:val="center"/>
          </w:tcPr>
          <w:p w14:paraId="364CDC7C" w14:textId="77777777" w:rsidR="00FF2380" w:rsidRDefault="00FF2380">
            <w:pPr>
              <w:pStyle w:val="Table"/>
              <w:rPr>
                <w:rFonts w:ascii="Mangal" w:hAnsi="Mangal" w:cs="Mangal" w:hint="eastAsia"/>
              </w:rPr>
            </w:pPr>
            <w:r>
              <w:t>30%</w:t>
            </w:r>
          </w:p>
        </w:tc>
        <w:tc>
          <w:tcPr>
            <w:tcW w:w="1718" w:type="dxa"/>
            <w:tcBorders>
              <w:top w:val="nil"/>
              <w:left w:val="nil"/>
              <w:bottom w:val="nil"/>
              <w:right w:val="nil"/>
            </w:tcBorders>
            <w:shd w:val="clear" w:color="000000" w:fill="FFFFFF"/>
            <w:vAlign w:val="center"/>
          </w:tcPr>
          <w:p w14:paraId="3DB3648D" w14:textId="77777777" w:rsidR="00FF2380" w:rsidRDefault="00FF2380">
            <w:pPr>
              <w:pStyle w:val="Table"/>
              <w:rPr>
                <w:rFonts w:ascii="Mangal" w:hAnsi="Mangal" w:cs="Mangal" w:hint="eastAsia"/>
              </w:rPr>
            </w:pPr>
            <w:r>
              <w:t>10%</w:t>
            </w:r>
          </w:p>
        </w:tc>
        <w:tc>
          <w:tcPr>
            <w:tcW w:w="1734" w:type="dxa"/>
            <w:tcBorders>
              <w:top w:val="nil"/>
              <w:left w:val="nil"/>
              <w:bottom w:val="nil"/>
              <w:right w:val="nil"/>
            </w:tcBorders>
            <w:shd w:val="clear" w:color="000000" w:fill="FFFFFF"/>
            <w:vAlign w:val="center"/>
          </w:tcPr>
          <w:p w14:paraId="26255775" w14:textId="77777777" w:rsidR="00FF2380" w:rsidRDefault="00FF2380">
            <w:pPr>
              <w:pStyle w:val="Table"/>
              <w:rPr>
                <w:rFonts w:ascii="Mangal" w:hAnsi="Mangal" w:cs="Mangal" w:hint="eastAsia"/>
              </w:rPr>
            </w:pPr>
            <w:r>
              <w:t>15%</w:t>
            </w:r>
          </w:p>
        </w:tc>
      </w:tr>
      <w:tr w:rsidR="00FF2380" w14:paraId="65DD3021" w14:textId="77777777">
        <w:tc>
          <w:tcPr>
            <w:tcW w:w="2393" w:type="dxa"/>
            <w:tcBorders>
              <w:top w:val="nil"/>
              <w:left w:val="nil"/>
              <w:bottom w:val="nil"/>
              <w:right w:val="nil"/>
            </w:tcBorders>
            <w:shd w:val="clear" w:color="000000" w:fill="FFFFFF"/>
            <w:vAlign w:val="center"/>
          </w:tcPr>
          <w:p w14:paraId="603CC430" w14:textId="77777777" w:rsidR="00FF2380" w:rsidRDefault="00FF2380">
            <w:pPr>
              <w:pStyle w:val="Table"/>
              <w:rPr>
                <w:rFonts w:ascii="Mangal" w:hAnsi="Mangal" w:cs="Mangal" w:hint="eastAsia"/>
              </w:rPr>
            </w:pPr>
            <w:proofErr w:type="spellStart"/>
            <w:r>
              <w:t>Dabigatran</w:t>
            </w:r>
            <w:proofErr w:type="spellEnd"/>
            <w:r>
              <w:t xml:space="preserve"> (110 </w:t>
            </w:r>
            <w:proofErr w:type="gramStart"/>
            <w:r>
              <w:t>mg)</w:t>
            </w:r>
            <w:r>
              <w:rPr>
                <w:vertAlign w:val="superscript"/>
              </w:rPr>
              <w:t>b</w:t>
            </w:r>
            <w:proofErr w:type="gramEnd"/>
          </w:p>
        </w:tc>
        <w:tc>
          <w:tcPr>
            <w:tcW w:w="1735" w:type="dxa"/>
            <w:tcBorders>
              <w:top w:val="nil"/>
              <w:left w:val="nil"/>
              <w:bottom w:val="nil"/>
              <w:right w:val="nil"/>
            </w:tcBorders>
            <w:shd w:val="clear" w:color="000000" w:fill="FFFFFF"/>
            <w:vAlign w:val="center"/>
          </w:tcPr>
          <w:p w14:paraId="163F5DA0" w14:textId="77777777" w:rsidR="00FF2380" w:rsidRDefault="00FF2380">
            <w:pPr>
              <w:pStyle w:val="Table"/>
              <w:rPr>
                <w:rFonts w:ascii="Mangal" w:hAnsi="Mangal" w:cs="Mangal" w:hint="eastAsia"/>
              </w:rPr>
            </w:pPr>
            <w:r>
              <w:t>35%</w:t>
            </w:r>
          </w:p>
        </w:tc>
        <w:tc>
          <w:tcPr>
            <w:tcW w:w="1775" w:type="dxa"/>
            <w:tcBorders>
              <w:top w:val="nil"/>
              <w:left w:val="nil"/>
              <w:bottom w:val="nil"/>
              <w:right w:val="nil"/>
            </w:tcBorders>
            <w:shd w:val="clear" w:color="000000" w:fill="FFFFFF"/>
            <w:vAlign w:val="center"/>
          </w:tcPr>
          <w:p w14:paraId="17F78F8E" w14:textId="77777777" w:rsidR="00FF2380" w:rsidRDefault="00FF2380">
            <w:pPr>
              <w:pStyle w:val="Table"/>
              <w:rPr>
                <w:rFonts w:ascii="Mangal" w:hAnsi="Mangal" w:cs="Mangal" w:hint="eastAsia"/>
              </w:rPr>
            </w:pPr>
            <w:r>
              <w:t>28%</w:t>
            </w:r>
          </w:p>
        </w:tc>
        <w:tc>
          <w:tcPr>
            <w:tcW w:w="1718" w:type="dxa"/>
            <w:tcBorders>
              <w:top w:val="nil"/>
              <w:left w:val="nil"/>
              <w:bottom w:val="nil"/>
              <w:right w:val="nil"/>
            </w:tcBorders>
            <w:shd w:val="clear" w:color="000000" w:fill="FFFFFF"/>
            <w:vAlign w:val="center"/>
          </w:tcPr>
          <w:p w14:paraId="0F4AF88E" w14:textId="77777777" w:rsidR="00FF2380" w:rsidRDefault="00FF2380">
            <w:pPr>
              <w:pStyle w:val="Table"/>
              <w:rPr>
                <w:rFonts w:ascii="Mangal" w:hAnsi="Mangal" w:cs="Mangal" w:hint="eastAsia"/>
              </w:rPr>
            </w:pPr>
            <w:r>
              <w:t>10%</w:t>
            </w:r>
          </w:p>
        </w:tc>
        <w:tc>
          <w:tcPr>
            <w:tcW w:w="1734" w:type="dxa"/>
            <w:tcBorders>
              <w:top w:val="nil"/>
              <w:left w:val="nil"/>
              <w:bottom w:val="nil"/>
              <w:right w:val="nil"/>
            </w:tcBorders>
            <w:shd w:val="clear" w:color="000000" w:fill="FFFFFF"/>
            <w:vAlign w:val="center"/>
          </w:tcPr>
          <w:p w14:paraId="4A2E1B61" w14:textId="77777777" w:rsidR="00FF2380" w:rsidRDefault="00FF2380">
            <w:pPr>
              <w:pStyle w:val="Table"/>
              <w:rPr>
                <w:rFonts w:ascii="Mangal" w:hAnsi="Mangal" w:cs="Mangal" w:hint="eastAsia"/>
              </w:rPr>
            </w:pPr>
            <w:r>
              <w:t>27%</w:t>
            </w:r>
          </w:p>
        </w:tc>
      </w:tr>
      <w:tr w:rsidR="00FF2380" w14:paraId="4EB1F863" w14:textId="77777777">
        <w:tc>
          <w:tcPr>
            <w:tcW w:w="2393" w:type="dxa"/>
            <w:tcBorders>
              <w:top w:val="nil"/>
              <w:left w:val="nil"/>
              <w:bottom w:val="nil"/>
              <w:right w:val="nil"/>
            </w:tcBorders>
            <w:shd w:val="clear" w:color="000000" w:fill="FFFFFF"/>
            <w:vAlign w:val="center"/>
          </w:tcPr>
          <w:p w14:paraId="718C3E4C" w14:textId="77777777" w:rsidR="00FF2380" w:rsidRDefault="00FF2380">
            <w:pPr>
              <w:pStyle w:val="Table"/>
              <w:rPr>
                <w:rFonts w:ascii="Mangal" w:hAnsi="Mangal" w:cs="Mangal" w:hint="eastAsia"/>
              </w:rPr>
            </w:pPr>
            <w:proofErr w:type="spellStart"/>
            <w:r>
              <w:t>Dabigatran</w:t>
            </w:r>
            <w:proofErr w:type="spellEnd"/>
            <w:r>
              <w:t xml:space="preserve"> (150 </w:t>
            </w:r>
            <w:proofErr w:type="gramStart"/>
            <w:r>
              <w:t>mg)</w:t>
            </w:r>
            <w:r>
              <w:rPr>
                <w:vertAlign w:val="superscript"/>
              </w:rPr>
              <w:t>b</w:t>
            </w:r>
            <w:proofErr w:type="gramEnd"/>
          </w:p>
        </w:tc>
        <w:tc>
          <w:tcPr>
            <w:tcW w:w="1735" w:type="dxa"/>
            <w:tcBorders>
              <w:top w:val="nil"/>
              <w:left w:val="nil"/>
              <w:bottom w:val="nil"/>
              <w:right w:val="nil"/>
            </w:tcBorders>
            <w:shd w:val="clear" w:color="000000" w:fill="FFFFFF"/>
            <w:vAlign w:val="center"/>
          </w:tcPr>
          <w:p w14:paraId="2C3EE16C" w14:textId="77777777" w:rsidR="00FF2380" w:rsidRDefault="00FF2380">
            <w:pPr>
              <w:pStyle w:val="Table"/>
              <w:rPr>
                <w:rFonts w:ascii="Mangal" w:hAnsi="Mangal" w:cs="Mangal" w:hint="eastAsia"/>
              </w:rPr>
            </w:pPr>
            <w:r>
              <w:t>35%</w:t>
            </w:r>
          </w:p>
        </w:tc>
        <w:tc>
          <w:tcPr>
            <w:tcW w:w="1775" w:type="dxa"/>
            <w:tcBorders>
              <w:top w:val="nil"/>
              <w:left w:val="nil"/>
              <w:bottom w:val="nil"/>
              <w:right w:val="nil"/>
            </w:tcBorders>
            <w:shd w:val="clear" w:color="000000" w:fill="FFFFFF"/>
            <w:vAlign w:val="center"/>
          </w:tcPr>
          <w:p w14:paraId="035AB0CC" w14:textId="77777777" w:rsidR="00FF2380" w:rsidRDefault="00FF2380">
            <w:pPr>
              <w:pStyle w:val="Table"/>
              <w:rPr>
                <w:rFonts w:ascii="Mangal" w:hAnsi="Mangal" w:cs="Mangal" w:hint="eastAsia"/>
              </w:rPr>
            </w:pPr>
            <w:r>
              <w:t>22%</w:t>
            </w:r>
          </w:p>
        </w:tc>
        <w:tc>
          <w:tcPr>
            <w:tcW w:w="1718" w:type="dxa"/>
            <w:tcBorders>
              <w:top w:val="nil"/>
              <w:left w:val="nil"/>
              <w:bottom w:val="nil"/>
              <w:right w:val="nil"/>
            </w:tcBorders>
            <w:shd w:val="clear" w:color="000000" w:fill="FFFFFF"/>
            <w:vAlign w:val="center"/>
          </w:tcPr>
          <w:p w14:paraId="493D3D4D" w14:textId="77777777" w:rsidR="00FF2380" w:rsidRDefault="00FF2380">
            <w:pPr>
              <w:pStyle w:val="Table"/>
              <w:rPr>
                <w:rFonts w:ascii="Mangal" w:hAnsi="Mangal" w:cs="Mangal" w:hint="eastAsia"/>
              </w:rPr>
            </w:pPr>
            <w:r>
              <w:t>8%</w:t>
            </w:r>
          </w:p>
        </w:tc>
        <w:tc>
          <w:tcPr>
            <w:tcW w:w="1734" w:type="dxa"/>
            <w:tcBorders>
              <w:top w:val="nil"/>
              <w:left w:val="nil"/>
              <w:bottom w:val="nil"/>
              <w:right w:val="nil"/>
            </w:tcBorders>
            <w:shd w:val="clear" w:color="000000" w:fill="FFFFFF"/>
            <w:vAlign w:val="center"/>
          </w:tcPr>
          <w:p w14:paraId="4D659FD8" w14:textId="77777777" w:rsidR="00FF2380" w:rsidRDefault="00FF2380">
            <w:pPr>
              <w:pStyle w:val="Table"/>
              <w:rPr>
                <w:rFonts w:ascii="Mangal" w:hAnsi="Mangal" w:cs="Mangal" w:hint="eastAsia"/>
              </w:rPr>
            </w:pPr>
            <w:r>
              <w:t>35%</w:t>
            </w:r>
          </w:p>
        </w:tc>
      </w:tr>
      <w:tr w:rsidR="00FF2380" w14:paraId="3B467D03" w14:textId="77777777">
        <w:tc>
          <w:tcPr>
            <w:tcW w:w="2393" w:type="dxa"/>
            <w:tcBorders>
              <w:top w:val="single" w:sz="2" w:space="0" w:color="000001"/>
              <w:left w:val="nil"/>
              <w:bottom w:val="single" w:sz="2" w:space="0" w:color="000001"/>
              <w:right w:val="nil"/>
            </w:tcBorders>
            <w:shd w:val="clear" w:color="000000" w:fill="FFFFFF"/>
            <w:vAlign w:val="center"/>
          </w:tcPr>
          <w:p w14:paraId="1C92BC6B" w14:textId="77777777" w:rsidR="00FF2380" w:rsidRDefault="00FF2380">
            <w:pPr>
              <w:pStyle w:val="Table"/>
              <w:rPr>
                <w:rFonts w:ascii="Mangal" w:hAnsi="Mangal" w:cs="Mangal" w:hint="eastAsia"/>
              </w:rPr>
            </w:pPr>
            <w:proofErr w:type="spellStart"/>
            <w:r>
              <w:t>Rivaroxaban</w:t>
            </w:r>
            <w:r>
              <w:rPr>
                <w:vertAlign w:val="superscript"/>
              </w:rPr>
              <w:t>c</w:t>
            </w:r>
            <w:proofErr w:type="spellEnd"/>
          </w:p>
        </w:tc>
        <w:tc>
          <w:tcPr>
            <w:tcW w:w="1735" w:type="dxa"/>
            <w:tcBorders>
              <w:top w:val="single" w:sz="2" w:space="0" w:color="000001"/>
              <w:left w:val="nil"/>
              <w:bottom w:val="single" w:sz="2" w:space="0" w:color="000001"/>
              <w:right w:val="nil"/>
            </w:tcBorders>
            <w:shd w:val="clear" w:color="000000" w:fill="FFFFFF"/>
            <w:vAlign w:val="center"/>
          </w:tcPr>
          <w:p w14:paraId="44530F2A" w14:textId="77777777" w:rsidR="00FF2380" w:rsidRDefault="00FF2380">
            <w:pPr>
              <w:pStyle w:val="Table"/>
              <w:rPr>
                <w:rFonts w:ascii="Mangal" w:hAnsi="Mangal" w:cs="Mangal" w:hint="eastAsia"/>
              </w:rPr>
            </w:pPr>
            <w:r>
              <w:t>49%</w:t>
            </w:r>
          </w:p>
        </w:tc>
        <w:tc>
          <w:tcPr>
            <w:tcW w:w="1775" w:type="dxa"/>
            <w:tcBorders>
              <w:top w:val="single" w:sz="2" w:space="0" w:color="000001"/>
              <w:left w:val="nil"/>
              <w:bottom w:val="single" w:sz="2" w:space="0" w:color="000001"/>
              <w:right w:val="nil"/>
            </w:tcBorders>
            <w:shd w:val="clear" w:color="000000" w:fill="FFFFFF"/>
            <w:vAlign w:val="center"/>
          </w:tcPr>
          <w:p w14:paraId="4179A43C" w14:textId="77777777" w:rsidR="00FF2380" w:rsidRDefault="00FF2380">
            <w:pPr>
              <w:pStyle w:val="Table"/>
              <w:rPr>
                <w:rFonts w:ascii="Mangal" w:hAnsi="Mangal" w:cs="Mangal" w:hint="eastAsia"/>
              </w:rPr>
            </w:pPr>
            <w:r>
              <w:t>18%</w:t>
            </w:r>
          </w:p>
        </w:tc>
        <w:tc>
          <w:tcPr>
            <w:tcW w:w="1718" w:type="dxa"/>
            <w:tcBorders>
              <w:top w:val="single" w:sz="2" w:space="0" w:color="000001"/>
              <w:left w:val="nil"/>
              <w:bottom w:val="single" w:sz="2" w:space="0" w:color="000001"/>
              <w:right w:val="nil"/>
            </w:tcBorders>
            <w:shd w:val="clear" w:color="000000" w:fill="FFFFFF"/>
            <w:vAlign w:val="center"/>
          </w:tcPr>
          <w:p w14:paraId="729E73CD" w14:textId="77777777" w:rsidR="00FF2380" w:rsidRDefault="00FF2380">
            <w:pPr>
              <w:pStyle w:val="Table"/>
              <w:rPr>
                <w:rFonts w:ascii="Mangal" w:hAnsi="Mangal" w:cs="Mangal" w:hint="eastAsia"/>
              </w:rPr>
            </w:pPr>
            <w:r>
              <w:t>6%</w:t>
            </w:r>
          </w:p>
        </w:tc>
        <w:tc>
          <w:tcPr>
            <w:tcW w:w="1734" w:type="dxa"/>
            <w:tcBorders>
              <w:top w:val="single" w:sz="2" w:space="0" w:color="000001"/>
              <w:left w:val="nil"/>
              <w:bottom w:val="single" w:sz="2" w:space="0" w:color="000001"/>
              <w:right w:val="nil"/>
            </w:tcBorders>
            <w:shd w:val="clear" w:color="000000" w:fill="FFFFFF"/>
            <w:vAlign w:val="center"/>
          </w:tcPr>
          <w:p w14:paraId="43CD6FCA" w14:textId="77777777" w:rsidR="00FF2380" w:rsidRDefault="00FF2380">
            <w:pPr>
              <w:pStyle w:val="Table"/>
              <w:rPr>
                <w:rFonts w:ascii="Mangal" w:hAnsi="Mangal" w:cs="Mangal" w:hint="eastAsia"/>
              </w:rPr>
            </w:pPr>
            <w:r>
              <w:t>27%</w:t>
            </w:r>
          </w:p>
        </w:tc>
      </w:tr>
    </w:tbl>
    <w:p w14:paraId="1A36B3C2" w14:textId="77777777" w:rsidR="00FF2380" w:rsidRDefault="00FF2380">
      <w:pPr>
        <w:pStyle w:val="Legends"/>
        <w:rPr>
          <w:rFonts w:ascii="Mangal" w:hAnsi="Mangal" w:cs="Mangal" w:hint="eastAsia"/>
        </w:rPr>
      </w:pPr>
      <w:proofErr w:type="spellStart"/>
      <w:proofErr w:type="gramStart"/>
      <w:r>
        <w:t>mRS</w:t>
      </w:r>
      <w:proofErr w:type="spellEnd"/>
      <w:proofErr w:type="gramEnd"/>
      <w:r>
        <w:t>: modified Rankin scale.</w:t>
      </w:r>
    </w:p>
    <w:p w14:paraId="3F9AE0E2" w14:textId="77777777" w:rsidR="00FF2380" w:rsidRDefault="00FF2380">
      <w:pPr>
        <w:pStyle w:val="Legends"/>
        <w:rPr>
          <w:rFonts w:ascii="Mangal" w:hAnsi="Mangal" w:cs="Mangal" w:hint="eastAsia"/>
        </w:rPr>
      </w:pPr>
      <w:r>
        <w:t xml:space="preserve">Source: Lip </w:t>
      </w:r>
      <w:proofErr w:type="gramStart"/>
      <w:r>
        <w:t>et</w:t>
      </w:r>
      <w:proofErr w:type="gramEnd"/>
      <w:r>
        <w:t xml:space="preserve"> al.</w:t>
      </w:r>
      <w:r>
        <w:rPr>
          <w:vertAlign w:val="superscript"/>
        </w:rPr>
        <w:t>10</w:t>
      </w:r>
    </w:p>
    <w:p w14:paraId="33B21BEA" w14:textId="77777777" w:rsidR="00FF2380" w:rsidRDefault="00FF2380">
      <w:pPr>
        <w:pStyle w:val="Legends"/>
        <w:rPr>
          <w:rFonts w:ascii="Mangal" w:hAnsi="Mangal" w:cs="Mangal" w:hint="eastAsia"/>
        </w:rPr>
      </w:pPr>
      <w:proofErr w:type="gramStart"/>
      <w:r>
        <w:rPr>
          <w:vertAlign w:val="superscript"/>
        </w:rPr>
        <w:t>a</w:t>
      </w:r>
      <w:proofErr w:type="gramEnd"/>
      <w:r>
        <w:t xml:space="preserve"> Secondary analysis of the ARISTOTLE trial.</w:t>
      </w:r>
      <w:r>
        <w:rPr>
          <w:vertAlign w:val="superscript"/>
        </w:rPr>
        <w:t>14</w:t>
      </w:r>
    </w:p>
    <w:p w14:paraId="52E5A35E" w14:textId="77777777" w:rsidR="00FF2380" w:rsidRDefault="00FF2380">
      <w:pPr>
        <w:pStyle w:val="Legends"/>
        <w:rPr>
          <w:rFonts w:ascii="Mangal" w:hAnsi="Mangal" w:cs="Mangal" w:hint="eastAsia"/>
        </w:rPr>
      </w:pPr>
      <w:proofErr w:type="gramStart"/>
      <w:r>
        <w:rPr>
          <w:vertAlign w:val="superscript"/>
        </w:rPr>
        <w:t>b</w:t>
      </w:r>
      <w:proofErr w:type="gramEnd"/>
      <w:r>
        <w:t xml:space="preserve"> The same distribution is assumed for all stroke events (Connolly et al.</w:t>
      </w:r>
      <w:r>
        <w:rPr>
          <w:vertAlign w:val="superscript"/>
        </w:rPr>
        <w:t>50</w:t>
      </w:r>
      <w:r>
        <w:rPr>
          <w:color w:val="auto"/>
        </w:rPr>
        <w:t>).</w:t>
      </w:r>
    </w:p>
    <w:p w14:paraId="4EB9324D" w14:textId="77777777" w:rsidR="00FF2380" w:rsidRDefault="00FF2380">
      <w:pPr>
        <w:pStyle w:val="Legends"/>
        <w:rPr>
          <w:rFonts w:ascii="Mangal" w:hAnsi="Mangal" w:cs="Mangal" w:hint="eastAsia"/>
        </w:rPr>
      </w:pPr>
      <w:r>
        <w:rPr>
          <w:vertAlign w:val="superscript"/>
        </w:rPr>
        <w:t>c</w:t>
      </w:r>
      <w:r>
        <w:t>. The same distribution is assumed for all stroke events (Patel et al.</w:t>
      </w:r>
      <w:r>
        <w:rPr>
          <w:vertAlign w:val="superscript"/>
        </w:rPr>
        <w:t>51</w:t>
      </w:r>
      <w:r>
        <w:t>).</w:t>
      </w:r>
    </w:p>
    <w:p w14:paraId="31CB960E" w14:textId="77777777" w:rsidR="00FF2380" w:rsidRDefault="00FF2380">
      <w:pPr>
        <w:pStyle w:val="Caption"/>
        <w:rPr>
          <w:rFonts w:ascii="Mangal" w:hAnsi="Mangal" w:cs="Mangal" w:hint="eastAsia"/>
        </w:rPr>
      </w:pPr>
      <w:r>
        <w:rPr>
          <w:b/>
          <w:bCs/>
        </w:rPr>
        <w:t>Supplementary Table 4</w:t>
      </w:r>
      <w:r>
        <w:t xml:space="preserve"> Hazard ratios (95% confidence interval) adjusted for median center time in therapeutic range.</w:t>
      </w:r>
    </w:p>
    <w:tbl>
      <w:tblPr>
        <w:tblW w:w="9621" w:type="dxa"/>
        <w:tblInd w:w="-55" w:type="dxa"/>
        <w:tblBorders>
          <w:top w:val="single" w:sz="2" w:space="0" w:color="000001"/>
        </w:tblBorders>
        <w:tblCellMar>
          <w:left w:w="57" w:type="dxa"/>
          <w:right w:w="57" w:type="dxa"/>
        </w:tblCellMar>
        <w:tblLook w:val="0000" w:firstRow="0" w:lastRow="0" w:firstColumn="0" w:lastColumn="0" w:noHBand="0" w:noVBand="0"/>
      </w:tblPr>
      <w:tblGrid>
        <w:gridCol w:w="1421"/>
        <w:gridCol w:w="979"/>
        <w:gridCol w:w="976"/>
        <w:gridCol w:w="1017"/>
        <w:gridCol w:w="1110"/>
        <w:gridCol w:w="15"/>
        <w:gridCol w:w="968"/>
        <w:gridCol w:w="977"/>
        <w:gridCol w:w="1017"/>
        <w:gridCol w:w="1141"/>
      </w:tblGrid>
      <w:tr w:rsidR="00FF2380" w14:paraId="28AE5040" w14:textId="77777777">
        <w:trPr>
          <w:trHeight w:val="1"/>
        </w:trPr>
        <w:tc>
          <w:tcPr>
            <w:tcW w:w="1420" w:type="dxa"/>
            <w:tcBorders>
              <w:top w:val="single" w:sz="2" w:space="0" w:color="000001"/>
              <w:left w:val="nil"/>
              <w:bottom w:val="nil"/>
              <w:right w:val="nil"/>
            </w:tcBorders>
            <w:shd w:val="clear" w:color="000000" w:fill="FFFFFF"/>
            <w:vAlign w:val="center"/>
          </w:tcPr>
          <w:p w14:paraId="6A486802" w14:textId="77777777" w:rsidR="00FF2380" w:rsidRDefault="00FF2380">
            <w:pPr>
              <w:pStyle w:val="Table"/>
              <w:rPr>
                <w:rFonts w:ascii="Mangal" w:hAnsi="Mangal" w:cs="Mangal" w:hint="eastAsia"/>
                <w:sz w:val="18"/>
                <w:szCs w:val="18"/>
              </w:rPr>
            </w:pPr>
          </w:p>
        </w:tc>
        <w:tc>
          <w:tcPr>
            <w:tcW w:w="4097" w:type="dxa"/>
            <w:gridSpan w:val="5"/>
            <w:tcBorders>
              <w:top w:val="single" w:sz="2" w:space="0" w:color="000001"/>
              <w:left w:val="nil"/>
              <w:bottom w:val="nil"/>
              <w:right w:val="nil"/>
            </w:tcBorders>
            <w:shd w:val="clear" w:color="000000" w:fill="FFFFFF"/>
            <w:vAlign w:val="center"/>
          </w:tcPr>
          <w:p w14:paraId="76CAF528" w14:textId="77777777" w:rsidR="00FF2380" w:rsidRDefault="00FF2380">
            <w:pPr>
              <w:pStyle w:val="Table"/>
              <w:rPr>
                <w:rFonts w:ascii="Mangal" w:hAnsi="Mangal" w:cs="Mangal" w:hint="eastAsia"/>
                <w:sz w:val="18"/>
                <w:szCs w:val="18"/>
              </w:rPr>
            </w:pPr>
            <w:r>
              <w:rPr>
                <w:sz w:val="18"/>
                <w:szCs w:val="18"/>
              </w:rPr>
              <w:t>NOACs</w:t>
            </w:r>
          </w:p>
        </w:tc>
        <w:tc>
          <w:tcPr>
            <w:tcW w:w="4103" w:type="dxa"/>
            <w:gridSpan w:val="4"/>
            <w:tcBorders>
              <w:top w:val="single" w:sz="2" w:space="0" w:color="000001"/>
              <w:left w:val="nil"/>
              <w:bottom w:val="nil"/>
              <w:right w:val="nil"/>
            </w:tcBorders>
            <w:shd w:val="clear" w:color="000000" w:fill="FFFFFF"/>
            <w:vAlign w:val="center"/>
          </w:tcPr>
          <w:p w14:paraId="632BF6F7" w14:textId="77777777" w:rsidR="00FF2380" w:rsidRDefault="00FF2380">
            <w:pPr>
              <w:pStyle w:val="Table"/>
              <w:rPr>
                <w:rFonts w:ascii="Mangal" w:hAnsi="Mangal" w:cs="Mangal" w:hint="eastAsia"/>
              </w:rPr>
            </w:pPr>
            <w:r>
              <w:rPr>
                <w:sz w:val="18"/>
                <w:szCs w:val="18"/>
              </w:rPr>
              <w:t>Warfarin</w:t>
            </w:r>
          </w:p>
        </w:tc>
      </w:tr>
      <w:tr w:rsidR="00FF2380" w14:paraId="28F35C8A" w14:textId="77777777">
        <w:tc>
          <w:tcPr>
            <w:tcW w:w="1420" w:type="dxa"/>
            <w:tcBorders>
              <w:top w:val="nil"/>
              <w:left w:val="nil"/>
              <w:bottom w:val="nil"/>
              <w:right w:val="nil"/>
            </w:tcBorders>
            <w:shd w:val="clear" w:color="000000" w:fill="FFFFFF"/>
            <w:vAlign w:val="center"/>
          </w:tcPr>
          <w:p w14:paraId="42497E04" w14:textId="77777777" w:rsidR="00FF2380" w:rsidRDefault="00FF2380">
            <w:pPr>
              <w:pStyle w:val="Table"/>
              <w:rPr>
                <w:rFonts w:ascii="Mangal" w:hAnsi="Mangal" w:cs="Mangal" w:hint="eastAsia"/>
              </w:rPr>
            </w:pPr>
            <w:proofErr w:type="spellStart"/>
            <w:proofErr w:type="gramStart"/>
            <w:r>
              <w:rPr>
                <w:sz w:val="18"/>
                <w:szCs w:val="18"/>
              </w:rPr>
              <w:t>cTTR</w:t>
            </w:r>
            <w:r>
              <w:rPr>
                <w:sz w:val="18"/>
                <w:szCs w:val="18"/>
                <w:vertAlign w:val="superscript"/>
              </w:rPr>
              <w:t>a</w:t>
            </w:r>
            <w:proofErr w:type="spellEnd"/>
            <w:proofErr w:type="gramEnd"/>
          </w:p>
        </w:tc>
        <w:tc>
          <w:tcPr>
            <w:tcW w:w="979" w:type="dxa"/>
            <w:tcBorders>
              <w:top w:val="nil"/>
              <w:left w:val="nil"/>
              <w:bottom w:val="nil"/>
              <w:right w:val="nil"/>
            </w:tcBorders>
            <w:shd w:val="clear" w:color="000000" w:fill="FFFFFF"/>
            <w:vAlign w:val="center"/>
          </w:tcPr>
          <w:p w14:paraId="18744655" w14:textId="77777777" w:rsidR="00FF2380" w:rsidRDefault="00FF2380">
            <w:pPr>
              <w:pStyle w:val="Table"/>
              <w:rPr>
                <w:rFonts w:ascii="Mangal" w:hAnsi="Mangal" w:cs="Mangal" w:hint="eastAsia"/>
              </w:rPr>
            </w:pPr>
            <w:r>
              <w:rPr>
                <w:sz w:val="18"/>
                <w:szCs w:val="18"/>
              </w:rPr>
              <w:t>Stroke</w:t>
            </w:r>
          </w:p>
        </w:tc>
        <w:tc>
          <w:tcPr>
            <w:tcW w:w="976" w:type="dxa"/>
            <w:tcBorders>
              <w:top w:val="nil"/>
              <w:left w:val="nil"/>
              <w:bottom w:val="nil"/>
              <w:right w:val="nil"/>
            </w:tcBorders>
            <w:shd w:val="clear" w:color="000000" w:fill="FFFFFF"/>
            <w:vAlign w:val="center"/>
          </w:tcPr>
          <w:p w14:paraId="3FBAED6A" w14:textId="77777777" w:rsidR="00FF2380" w:rsidRDefault="00FF2380">
            <w:pPr>
              <w:pStyle w:val="Table"/>
              <w:rPr>
                <w:rFonts w:ascii="Mangal" w:hAnsi="Mangal" w:cs="Mangal" w:hint="eastAsia"/>
              </w:rPr>
            </w:pPr>
            <w:r>
              <w:rPr>
                <w:sz w:val="18"/>
                <w:szCs w:val="18"/>
              </w:rPr>
              <w:t>ICH</w:t>
            </w:r>
          </w:p>
        </w:tc>
        <w:tc>
          <w:tcPr>
            <w:tcW w:w="1017" w:type="dxa"/>
            <w:tcBorders>
              <w:top w:val="nil"/>
              <w:left w:val="nil"/>
              <w:bottom w:val="nil"/>
              <w:right w:val="nil"/>
            </w:tcBorders>
            <w:shd w:val="clear" w:color="000000" w:fill="FFFFFF"/>
            <w:vAlign w:val="center"/>
          </w:tcPr>
          <w:p w14:paraId="0132E0BD" w14:textId="77777777" w:rsidR="00FF2380" w:rsidRDefault="00FF2380">
            <w:pPr>
              <w:pStyle w:val="Table"/>
              <w:rPr>
                <w:rFonts w:ascii="Mangal" w:hAnsi="Mangal" w:cs="Mangal" w:hint="eastAsia"/>
              </w:rPr>
            </w:pPr>
            <w:r>
              <w:rPr>
                <w:sz w:val="18"/>
                <w:szCs w:val="18"/>
              </w:rPr>
              <w:t>Other MB</w:t>
            </w:r>
          </w:p>
        </w:tc>
        <w:tc>
          <w:tcPr>
            <w:tcW w:w="1110" w:type="dxa"/>
            <w:tcBorders>
              <w:top w:val="nil"/>
              <w:left w:val="nil"/>
              <w:bottom w:val="nil"/>
              <w:right w:val="nil"/>
            </w:tcBorders>
            <w:shd w:val="clear" w:color="000000" w:fill="FFFFFF"/>
            <w:vAlign w:val="center"/>
          </w:tcPr>
          <w:p w14:paraId="17E47559" w14:textId="77777777" w:rsidR="00FF2380" w:rsidRDefault="00FF2380">
            <w:pPr>
              <w:pStyle w:val="Table"/>
              <w:rPr>
                <w:rFonts w:ascii="Mangal" w:hAnsi="Mangal" w:cs="Mangal" w:hint="eastAsia"/>
              </w:rPr>
            </w:pPr>
            <w:r>
              <w:rPr>
                <w:sz w:val="18"/>
                <w:szCs w:val="18"/>
              </w:rPr>
              <w:t>CRNMB</w:t>
            </w:r>
          </w:p>
        </w:tc>
        <w:tc>
          <w:tcPr>
            <w:tcW w:w="983" w:type="dxa"/>
            <w:gridSpan w:val="2"/>
            <w:tcBorders>
              <w:top w:val="nil"/>
              <w:left w:val="nil"/>
              <w:bottom w:val="nil"/>
              <w:right w:val="nil"/>
            </w:tcBorders>
            <w:shd w:val="clear" w:color="000000" w:fill="FFFFFF"/>
            <w:vAlign w:val="center"/>
          </w:tcPr>
          <w:p w14:paraId="3276A423" w14:textId="77777777" w:rsidR="00FF2380" w:rsidRDefault="00FF2380">
            <w:pPr>
              <w:pStyle w:val="Table"/>
              <w:rPr>
                <w:rFonts w:ascii="Mangal" w:hAnsi="Mangal" w:cs="Mangal" w:hint="eastAsia"/>
              </w:rPr>
            </w:pPr>
            <w:r>
              <w:rPr>
                <w:sz w:val="18"/>
                <w:szCs w:val="18"/>
              </w:rPr>
              <w:t>Stroke</w:t>
            </w:r>
          </w:p>
        </w:tc>
        <w:tc>
          <w:tcPr>
            <w:tcW w:w="977" w:type="dxa"/>
            <w:tcBorders>
              <w:top w:val="nil"/>
              <w:left w:val="nil"/>
              <w:bottom w:val="nil"/>
              <w:right w:val="nil"/>
            </w:tcBorders>
            <w:shd w:val="clear" w:color="000000" w:fill="FFFFFF"/>
            <w:vAlign w:val="center"/>
          </w:tcPr>
          <w:p w14:paraId="0C8398AA" w14:textId="77777777" w:rsidR="00FF2380" w:rsidRDefault="00FF2380">
            <w:pPr>
              <w:pStyle w:val="Table"/>
              <w:rPr>
                <w:rFonts w:ascii="Mangal" w:hAnsi="Mangal" w:cs="Mangal" w:hint="eastAsia"/>
              </w:rPr>
            </w:pPr>
            <w:r>
              <w:rPr>
                <w:sz w:val="18"/>
                <w:szCs w:val="18"/>
              </w:rPr>
              <w:t>ICH</w:t>
            </w:r>
          </w:p>
        </w:tc>
        <w:tc>
          <w:tcPr>
            <w:tcW w:w="1017" w:type="dxa"/>
            <w:tcBorders>
              <w:top w:val="nil"/>
              <w:left w:val="nil"/>
              <w:bottom w:val="nil"/>
              <w:right w:val="nil"/>
            </w:tcBorders>
            <w:shd w:val="clear" w:color="000000" w:fill="FFFFFF"/>
            <w:vAlign w:val="center"/>
          </w:tcPr>
          <w:p w14:paraId="2F846798" w14:textId="77777777" w:rsidR="00FF2380" w:rsidRDefault="00FF2380">
            <w:pPr>
              <w:pStyle w:val="Table"/>
              <w:rPr>
                <w:rFonts w:ascii="Mangal" w:hAnsi="Mangal" w:cs="Mangal" w:hint="eastAsia"/>
              </w:rPr>
            </w:pPr>
            <w:r>
              <w:rPr>
                <w:sz w:val="18"/>
                <w:szCs w:val="18"/>
              </w:rPr>
              <w:t>Other MB</w:t>
            </w:r>
          </w:p>
        </w:tc>
        <w:tc>
          <w:tcPr>
            <w:tcW w:w="1141" w:type="dxa"/>
            <w:tcBorders>
              <w:top w:val="nil"/>
              <w:left w:val="nil"/>
              <w:bottom w:val="nil"/>
              <w:right w:val="nil"/>
            </w:tcBorders>
            <w:shd w:val="clear" w:color="000000" w:fill="FFFFFF"/>
            <w:vAlign w:val="center"/>
          </w:tcPr>
          <w:p w14:paraId="05870C66" w14:textId="77777777" w:rsidR="00FF2380" w:rsidRDefault="00FF2380">
            <w:pPr>
              <w:pStyle w:val="Table"/>
              <w:rPr>
                <w:rFonts w:ascii="Mangal" w:hAnsi="Mangal" w:cs="Mangal" w:hint="eastAsia"/>
              </w:rPr>
            </w:pPr>
            <w:r>
              <w:rPr>
                <w:sz w:val="18"/>
                <w:szCs w:val="18"/>
              </w:rPr>
              <w:t>CRNMB</w:t>
            </w:r>
          </w:p>
        </w:tc>
      </w:tr>
      <w:tr w:rsidR="00FF2380" w14:paraId="688D43BC" w14:textId="77777777">
        <w:trPr>
          <w:trHeight w:val="1"/>
        </w:trPr>
        <w:tc>
          <w:tcPr>
            <w:tcW w:w="1420" w:type="dxa"/>
            <w:tcBorders>
              <w:top w:val="nil"/>
              <w:left w:val="nil"/>
              <w:bottom w:val="nil"/>
              <w:right w:val="nil"/>
            </w:tcBorders>
            <w:shd w:val="clear" w:color="000000" w:fill="FFFFFF"/>
            <w:vAlign w:val="center"/>
          </w:tcPr>
          <w:p w14:paraId="1B31F429" w14:textId="77777777" w:rsidR="00FF2380" w:rsidRDefault="00FF2380">
            <w:pPr>
              <w:pStyle w:val="Table"/>
              <w:rPr>
                <w:rFonts w:ascii="Mangal" w:hAnsi="Mangal" w:cs="Mangal" w:hint="eastAsia"/>
              </w:rPr>
            </w:pPr>
            <w:r>
              <w:rPr>
                <w:sz w:val="18"/>
                <w:szCs w:val="18"/>
              </w:rPr>
              <w:t>&lt;52.38%</w:t>
            </w:r>
          </w:p>
        </w:tc>
        <w:tc>
          <w:tcPr>
            <w:tcW w:w="979" w:type="dxa"/>
            <w:tcBorders>
              <w:top w:val="nil"/>
              <w:left w:val="nil"/>
              <w:bottom w:val="nil"/>
              <w:right w:val="nil"/>
            </w:tcBorders>
            <w:shd w:val="clear" w:color="000000" w:fill="FFFFFF"/>
            <w:vAlign w:val="center"/>
          </w:tcPr>
          <w:p w14:paraId="667098CE" w14:textId="77777777" w:rsidR="00FF2380" w:rsidRDefault="00FF2380">
            <w:pPr>
              <w:pStyle w:val="Table"/>
              <w:rPr>
                <w:rFonts w:ascii="Mangal" w:hAnsi="Mangal" w:cs="Mangal" w:hint="eastAsia"/>
              </w:rPr>
            </w:pPr>
            <w:r>
              <w:rPr>
                <w:sz w:val="18"/>
                <w:szCs w:val="18"/>
              </w:rPr>
              <w:t>0.92(0.58–1.47)</w:t>
            </w:r>
          </w:p>
        </w:tc>
        <w:tc>
          <w:tcPr>
            <w:tcW w:w="976" w:type="dxa"/>
            <w:tcBorders>
              <w:top w:val="nil"/>
              <w:left w:val="nil"/>
              <w:bottom w:val="nil"/>
              <w:right w:val="nil"/>
            </w:tcBorders>
            <w:shd w:val="clear" w:color="000000" w:fill="FFFFFF"/>
            <w:vAlign w:val="center"/>
          </w:tcPr>
          <w:p w14:paraId="08A2F91C" w14:textId="77777777" w:rsidR="00FF2380" w:rsidRDefault="00FF2380">
            <w:pPr>
              <w:pStyle w:val="Table"/>
              <w:rPr>
                <w:rFonts w:ascii="Mangal" w:hAnsi="Mangal" w:cs="Mangal" w:hint="eastAsia"/>
              </w:rPr>
            </w:pPr>
            <w:r>
              <w:rPr>
                <w:sz w:val="18"/>
                <w:szCs w:val="18"/>
              </w:rPr>
              <w:t>0.58(0.22–1.51)</w:t>
            </w:r>
          </w:p>
        </w:tc>
        <w:tc>
          <w:tcPr>
            <w:tcW w:w="1017" w:type="dxa"/>
            <w:tcBorders>
              <w:top w:val="nil"/>
              <w:left w:val="nil"/>
              <w:bottom w:val="nil"/>
              <w:right w:val="nil"/>
            </w:tcBorders>
            <w:shd w:val="clear" w:color="000000" w:fill="FFFFFF"/>
            <w:vAlign w:val="center"/>
          </w:tcPr>
          <w:p w14:paraId="6F3B4FEE" w14:textId="77777777" w:rsidR="00FF2380" w:rsidRDefault="00FF2380">
            <w:pPr>
              <w:pStyle w:val="Table"/>
              <w:rPr>
                <w:rFonts w:ascii="Mangal" w:hAnsi="Mangal" w:cs="Mangal" w:hint="eastAsia"/>
              </w:rPr>
            </w:pPr>
            <w:r>
              <w:rPr>
                <w:sz w:val="18"/>
                <w:szCs w:val="18"/>
              </w:rPr>
              <w:t>0.72(0.44–1.19)</w:t>
            </w:r>
          </w:p>
        </w:tc>
        <w:tc>
          <w:tcPr>
            <w:tcW w:w="1110" w:type="dxa"/>
            <w:tcBorders>
              <w:top w:val="nil"/>
              <w:left w:val="nil"/>
              <w:bottom w:val="nil"/>
              <w:right w:val="nil"/>
            </w:tcBorders>
            <w:shd w:val="clear" w:color="000000" w:fill="FFFFFF"/>
            <w:vAlign w:val="center"/>
          </w:tcPr>
          <w:p w14:paraId="51765678" w14:textId="77777777" w:rsidR="00FF2380" w:rsidRDefault="00FF2380">
            <w:pPr>
              <w:pStyle w:val="Table"/>
              <w:rPr>
                <w:rFonts w:ascii="Mangal" w:hAnsi="Mangal" w:cs="Mangal" w:hint="eastAsia"/>
              </w:rPr>
            </w:pPr>
            <w:r>
              <w:rPr>
                <w:sz w:val="18"/>
                <w:szCs w:val="18"/>
              </w:rPr>
              <w:t>0.71(0.46–1.1)</w:t>
            </w:r>
          </w:p>
        </w:tc>
        <w:tc>
          <w:tcPr>
            <w:tcW w:w="983" w:type="dxa"/>
            <w:gridSpan w:val="2"/>
            <w:tcBorders>
              <w:top w:val="nil"/>
              <w:left w:val="nil"/>
              <w:bottom w:val="nil"/>
              <w:right w:val="nil"/>
            </w:tcBorders>
            <w:shd w:val="clear" w:color="000000" w:fill="FFFFFF"/>
            <w:vAlign w:val="center"/>
          </w:tcPr>
          <w:p w14:paraId="43E020EC" w14:textId="77777777" w:rsidR="00FF2380" w:rsidRDefault="00FF2380">
            <w:pPr>
              <w:pStyle w:val="Table"/>
              <w:rPr>
                <w:rFonts w:ascii="Mangal" w:hAnsi="Mangal" w:cs="Mangal" w:hint="eastAsia"/>
              </w:rPr>
            </w:pPr>
            <w:r>
              <w:rPr>
                <w:sz w:val="18"/>
                <w:szCs w:val="18"/>
              </w:rPr>
              <w:t>1.54(1.02–2.33)</w:t>
            </w:r>
          </w:p>
        </w:tc>
        <w:tc>
          <w:tcPr>
            <w:tcW w:w="977" w:type="dxa"/>
            <w:tcBorders>
              <w:top w:val="nil"/>
              <w:left w:val="nil"/>
              <w:bottom w:val="nil"/>
              <w:right w:val="nil"/>
            </w:tcBorders>
            <w:shd w:val="clear" w:color="000000" w:fill="FFFFFF"/>
            <w:vAlign w:val="center"/>
          </w:tcPr>
          <w:p w14:paraId="085BC3B9" w14:textId="77777777" w:rsidR="00FF2380" w:rsidRDefault="00FF2380">
            <w:pPr>
              <w:pStyle w:val="Table"/>
              <w:rPr>
                <w:rFonts w:ascii="Mangal" w:hAnsi="Mangal" w:cs="Mangal" w:hint="eastAsia"/>
              </w:rPr>
            </w:pPr>
            <w:r>
              <w:rPr>
                <w:sz w:val="18"/>
                <w:szCs w:val="18"/>
              </w:rPr>
              <w:t>1.05(0.62–1.79)</w:t>
            </w:r>
          </w:p>
        </w:tc>
        <w:tc>
          <w:tcPr>
            <w:tcW w:w="1017" w:type="dxa"/>
            <w:tcBorders>
              <w:top w:val="nil"/>
              <w:left w:val="nil"/>
              <w:bottom w:val="nil"/>
              <w:right w:val="nil"/>
            </w:tcBorders>
            <w:shd w:val="clear" w:color="000000" w:fill="FFFFFF"/>
            <w:vAlign w:val="center"/>
          </w:tcPr>
          <w:p w14:paraId="43703658" w14:textId="77777777" w:rsidR="00FF2380" w:rsidRDefault="00FF2380">
            <w:pPr>
              <w:pStyle w:val="Table"/>
              <w:rPr>
                <w:rFonts w:ascii="Mangal" w:hAnsi="Mangal" w:cs="Mangal" w:hint="eastAsia"/>
              </w:rPr>
            </w:pPr>
            <w:r>
              <w:rPr>
                <w:sz w:val="18"/>
                <w:szCs w:val="18"/>
              </w:rPr>
              <w:t>0.84(0.57–1.25)</w:t>
            </w:r>
          </w:p>
        </w:tc>
        <w:tc>
          <w:tcPr>
            <w:tcW w:w="1141" w:type="dxa"/>
            <w:tcBorders>
              <w:top w:val="nil"/>
              <w:left w:val="nil"/>
              <w:bottom w:val="nil"/>
              <w:right w:val="nil"/>
            </w:tcBorders>
            <w:shd w:val="clear" w:color="000000" w:fill="FFFFFF"/>
            <w:vAlign w:val="center"/>
          </w:tcPr>
          <w:p w14:paraId="42E1B944" w14:textId="77777777" w:rsidR="00FF2380" w:rsidRDefault="00FF2380">
            <w:pPr>
              <w:pStyle w:val="Table"/>
              <w:rPr>
                <w:rFonts w:ascii="Mangal" w:hAnsi="Mangal" w:cs="Mangal" w:hint="eastAsia"/>
              </w:rPr>
            </w:pPr>
            <w:r>
              <w:rPr>
                <w:sz w:val="18"/>
                <w:szCs w:val="18"/>
              </w:rPr>
              <w:t>0.99(0.71–1.37)</w:t>
            </w:r>
          </w:p>
        </w:tc>
      </w:tr>
      <w:tr w:rsidR="00FF2380" w14:paraId="7130B22E" w14:textId="77777777">
        <w:trPr>
          <w:trHeight w:val="1"/>
        </w:trPr>
        <w:tc>
          <w:tcPr>
            <w:tcW w:w="1420" w:type="dxa"/>
            <w:tcBorders>
              <w:top w:val="nil"/>
              <w:left w:val="nil"/>
              <w:bottom w:val="nil"/>
              <w:right w:val="nil"/>
            </w:tcBorders>
            <w:shd w:val="clear" w:color="000000" w:fill="FFFFFF"/>
            <w:vAlign w:val="center"/>
          </w:tcPr>
          <w:p w14:paraId="0E6C81EE" w14:textId="77777777" w:rsidR="00FF2380" w:rsidRDefault="00FF2380">
            <w:pPr>
              <w:pStyle w:val="Table"/>
              <w:rPr>
                <w:rFonts w:ascii="Mangal" w:hAnsi="Mangal" w:cs="Mangal" w:hint="eastAsia"/>
              </w:rPr>
            </w:pPr>
            <w:r>
              <w:rPr>
                <w:sz w:val="18"/>
                <w:szCs w:val="18"/>
              </w:rPr>
              <w:t>52.38%–&lt;66.02%</w:t>
            </w:r>
            <w:r>
              <w:rPr>
                <w:sz w:val="18"/>
                <w:szCs w:val="18"/>
                <w:vertAlign w:val="superscript"/>
              </w:rPr>
              <w:t>b</w:t>
            </w:r>
          </w:p>
        </w:tc>
        <w:tc>
          <w:tcPr>
            <w:tcW w:w="979" w:type="dxa"/>
            <w:tcBorders>
              <w:top w:val="nil"/>
              <w:left w:val="nil"/>
              <w:bottom w:val="nil"/>
              <w:right w:val="nil"/>
            </w:tcBorders>
            <w:shd w:val="clear" w:color="000000" w:fill="FFFFFF"/>
            <w:vAlign w:val="center"/>
          </w:tcPr>
          <w:p w14:paraId="73C139E3" w14:textId="77777777" w:rsidR="00FF2380" w:rsidRDefault="00FF2380">
            <w:pPr>
              <w:pStyle w:val="Table"/>
              <w:rPr>
                <w:rFonts w:ascii="Mangal" w:hAnsi="Mangal" w:cs="Mangal" w:hint="eastAsia"/>
                <w:sz w:val="18"/>
                <w:szCs w:val="18"/>
              </w:rPr>
            </w:pPr>
            <w:r>
              <w:rPr>
                <w:sz w:val="18"/>
                <w:szCs w:val="18"/>
              </w:rPr>
              <w:t>1.00</w:t>
            </w:r>
          </w:p>
        </w:tc>
        <w:tc>
          <w:tcPr>
            <w:tcW w:w="976" w:type="dxa"/>
            <w:tcBorders>
              <w:top w:val="nil"/>
              <w:left w:val="nil"/>
              <w:bottom w:val="nil"/>
              <w:right w:val="nil"/>
            </w:tcBorders>
            <w:shd w:val="clear" w:color="000000" w:fill="FFFFFF"/>
            <w:vAlign w:val="center"/>
          </w:tcPr>
          <w:p w14:paraId="56D69CAB" w14:textId="77777777" w:rsidR="00FF2380" w:rsidRDefault="00FF2380">
            <w:pPr>
              <w:pStyle w:val="Table"/>
              <w:rPr>
                <w:rFonts w:ascii="Mangal" w:hAnsi="Mangal" w:cs="Mangal" w:hint="eastAsia"/>
                <w:sz w:val="18"/>
                <w:szCs w:val="18"/>
              </w:rPr>
            </w:pPr>
            <w:r>
              <w:rPr>
                <w:sz w:val="18"/>
                <w:szCs w:val="18"/>
              </w:rPr>
              <w:t>1.00</w:t>
            </w:r>
          </w:p>
        </w:tc>
        <w:tc>
          <w:tcPr>
            <w:tcW w:w="1017" w:type="dxa"/>
            <w:tcBorders>
              <w:top w:val="nil"/>
              <w:left w:val="nil"/>
              <w:bottom w:val="nil"/>
              <w:right w:val="nil"/>
            </w:tcBorders>
            <w:shd w:val="clear" w:color="000000" w:fill="FFFFFF"/>
            <w:vAlign w:val="center"/>
          </w:tcPr>
          <w:p w14:paraId="024538D9" w14:textId="77777777" w:rsidR="00FF2380" w:rsidRDefault="00FF2380">
            <w:pPr>
              <w:pStyle w:val="Table"/>
              <w:rPr>
                <w:rFonts w:ascii="Mangal" w:hAnsi="Mangal" w:cs="Mangal" w:hint="eastAsia"/>
                <w:sz w:val="18"/>
                <w:szCs w:val="18"/>
              </w:rPr>
            </w:pPr>
            <w:r>
              <w:rPr>
                <w:sz w:val="18"/>
                <w:szCs w:val="18"/>
              </w:rPr>
              <w:t>1.00</w:t>
            </w:r>
          </w:p>
        </w:tc>
        <w:tc>
          <w:tcPr>
            <w:tcW w:w="1110" w:type="dxa"/>
            <w:tcBorders>
              <w:top w:val="nil"/>
              <w:left w:val="nil"/>
              <w:bottom w:val="nil"/>
              <w:right w:val="nil"/>
            </w:tcBorders>
            <w:shd w:val="clear" w:color="000000" w:fill="FFFFFF"/>
            <w:vAlign w:val="center"/>
          </w:tcPr>
          <w:p w14:paraId="34A27F73" w14:textId="77777777" w:rsidR="00FF2380" w:rsidRDefault="00FF2380">
            <w:pPr>
              <w:pStyle w:val="Table"/>
              <w:rPr>
                <w:rFonts w:ascii="Mangal" w:hAnsi="Mangal" w:cs="Mangal" w:hint="eastAsia"/>
                <w:sz w:val="18"/>
                <w:szCs w:val="18"/>
              </w:rPr>
            </w:pPr>
            <w:r>
              <w:rPr>
                <w:sz w:val="18"/>
                <w:szCs w:val="18"/>
              </w:rPr>
              <w:t>1.00</w:t>
            </w:r>
          </w:p>
        </w:tc>
        <w:tc>
          <w:tcPr>
            <w:tcW w:w="983" w:type="dxa"/>
            <w:gridSpan w:val="2"/>
            <w:tcBorders>
              <w:top w:val="nil"/>
              <w:left w:val="nil"/>
              <w:bottom w:val="nil"/>
              <w:right w:val="nil"/>
            </w:tcBorders>
            <w:shd w:val="clear" w:color="000000" w:fill="FFFFFF"/>
            <w:vAlign w:val="center"/>
          </w:tcPr>
          <w:p w14:paraId="59003578" w14:textId="77777777" w:rsidR="00FF2380" w:rsidRDefault="00FF2380">
            <w:pPr>
              <w:pStyle w:val="Table"/>
              <w:rPr>
                <w:rFonts w:ascii="Mangal" w:hAnsi="Mangal" w:cs="Mangal" w:hint="eastAsia"/>
                <w:sz w:val="18"/>
                <w:szCs w:val="18"/>
              </w:rPr>
            </w:pPr>
            <w:r>
              <w:rPr>
                <w:sz w:val="18"/>
                <w:szCs w:val="18"/>
              </w:rPr>
              <w:t>1.00</w:t>
            </w:r>
          </w:p>
        </w:tc>
        <w:tc>
          <w:tcPr>
            <w:tcW w:w="977" w:type="dxa"/>
            <w:tcBorders>
              <w:top w:val="nil"/>
              <w:left w:val="nil"/>
              <w:bottom w:val="nil"/>
              <w:right w:val="nil"/>
            </w:tcBorders>
            <w:shd w:val="clear" w:color="000000" w:fill="FFFFFF"/>
            <w:vAlign w:val="center"/>
          </w:tcPr>
          <w:p w14:paraId="78103380" w14:textId="77777777" w:rsidR="00FF2380" w:rsidRDefault="00FF2380">
            <w:pPr>
              <w:pStyle w:val="Table"/>
              <w:rPr>
                <w:rFonts w:ascii="Mangal" w:hAnsi="Mangal" w:cs="Mangal" w:hint="eastAsia"/>
                <w:sz w:val="18"/>
                <w:szCs w:val="18"/>
              </w:rPr>
            </w:pPr>
            <w:r>
              <w:rPr>
                <w:sz w:val="18"/>
                <w:szCs w:val="18"/>
              </w:rPr>
              <w:t>1.00</w:t>
            </w:r>
          </w:p>
        </w:tc>
        <w:tc>
          <w:tcPr>
            <w:tcW w:w="1017" w:type="dxa"/>
            <w:tcBorders>
              <w:top w:val="nil"/>
              <w:left w:val="nil"/>
              <w:bottom w:val="nil"/>
              <w:right w:val="nil"/>
            </w:tcBorders>
            <w:shd w:val="clear" w:color="000000" w:fill="FFFFFF"/>
            <w:vAlign w:val="center"/>
          </w:tcPr>
          <w:p w14:paraId="2094BFD2" w14:textId="77777777" w:rsidR="00FF2380" w:rsidRDefault="00FF2380">
            <w:pPr>
              <w:pStyle w:val="Table"/>
              <w:rPr>
                <w:rFonts w:ascii="Mangal" w:hAnsi="Mangal" w:cs="Mangal" w:hint="eastAsia"/>
                <w:sz w:val="18"/>
                <w:szCs w:val="18"/>
              </w:rPr>
            </w:pPr>
            <w:r>
              <w:rPr>
                <w:sz w:val="18"/>
                <w:szCs w:val="18"/>
              </w:rPr>
              <w:t>1.00</w:t>
            </w:r>
          </w:p>
        </w:tc>
        <w:tc>
          <w:tcPr>
            <w:tcW w:w="1141" w:type="dxa"/>
            <w:tcBorders>
              <w:top w:val="nil"/>
              <w:left w:val="nil"/>
              <w:bottom w:val="nil"/>
              <w:right w:val="nil"/>
            </w:tcBorders>
            <w:shd w:val="clear" w:color="000000" w:fill="FFFFFF"/>
            <w:vAlign w:val="center"/>
          </w:tcPr>
          <w:p w14:paraId="058F9AC2" w14:textId="77777777" w:rsidR="00FF2380" w:rsidRDefault="00FF2380">
            <w:pPr>
              <w:pStyle w:val="Table"/>
              <w:rPr>
                <w:rFonts w:ascii="Mangal" w:hAnsi="Mangal" w:cs="Mangal" w:hint="eastAsia"/>
                <w:sz w:val="18"/>
                <w:szCs w:val="18"/>
              </w:rPr>
            </w:pPr>
            <w:r>
              <w:rPr>
                <w:sz w:val="18"/>
                <w:szCs w:val="18"/>
              </w:rPr>
              <w:t>1.00</w:t>
            </w:r>
          </w:p>
        </w:tc>
      </w:tr>
      <w:tr w:rsidR="00FF2380" w14:paraId="4CB9DE67" w14:textId="77777777">
        <w:trPr>
          <w:trHeight w:val="1"/>
        </w:trPr>
        <w:tc>
          <w:tcPr>
            <w:tcW w:w="1420" w:type="dxa"/>
            <w:tcBorders>
              <w:top w:val="nil"/>
              <w:left w:val="nil"/>
              <w:bottom w:val="nil"/>
              <w:right w:val="nil"/>
            </w:tcBorders>
            <w:shd w:val="clear" w:color="000000" w:fill="FFFFFF"/>
            <w:vAlign w:val="center"/>
          </w:tcPr>
          <w:p w14:paraId="74308745" w14:textId="77777777" w:rsidR="00FF2380" w:rsidRDefault="00FF2380">
            <w:pPr>
              <w:pStyle w:val="Table"/>
              <w:rPr>
                <w:rFonts w:ascii="Mangal" w:hAnsi="Mangal" w:cs="Mangal" w:hint="eastAsia"/>
              </w:rPr>
            </w:pPr>
            <w:r>
              <w:rPr>
                <w:sz w:val="18"/>
                <w:szCs w:val="18"/>
              </w:rPr>
              <w:t xml:space="preserve">66.02%–&lt;76.51% </w:t>
            </w:r>
          </w:p>
        </w:tc>
        <w:tc>
          <w:tcPr>
            <w:tcW w:w="979" w:type="dxa"/>
            <w:tcBorders>
              <w:top w:val="nil"/>
              <w:left w:val="nil"/>
              <w:bottom w:val="nil"/>
              <w:right w:val="nil"/>
            </w:tcBorders>
            <w:shd w:val="clear" w:color="000000" w:fill="FFFFFF"/>
            <w:vAlign w:val="center"/>
          </w:tcPr>
          <w:p w14:paraId="04C245F3" w14:textId="77777777" w:rsidR="00FF2380" w:rsidRDefault="00FF2380">
            <w:pPr>
              <w:pStyle w:val="Table"/>
              <w:rPr>
                <w:rFonts w:ascii="Mangal" w:hAnsi="Mangal" w:cs="Mangal" w:hint="eastAsia"/>
              </w:rPr>
            </w:pPr>
            <w:r>
              <w:rPr>
                <w:sz w:val="18"/>
                <w:szCs w:val="18"/>
              </w:rPr>
              <w:t>0.69(0.48–0.99)</w:t>
            </w:r>
          </w:p>
        </w:tc>
        <w:tc>
          <w:tcPr>
            <w:tcW w:w="976" w:type="dxa"/>
            <w:tcBorders>
              <w:top w:val="nil"/>
              <w:left w:val="nil"/>
              <w:bottom w:val="nil"/>
              <w:right w:val="nil"/>
            </w:tcBorders>
            <w:shd w:val="clear" w:color="000000" w:fill="FFFFFF"/>
            <w:vAlign w:val="center"/>
          </w:tcPr>
          <w:p w14:paraId="2C0233B3" w14:textId="77777777" w:rsidR="00FF2380" w:rsidRDefault="00FF2380">
            <w:pPr>
              <w:pStyle w:val="Table"/>
              <w:rPr>
                <w:rFonts w:ascii="Mangal" w:hAnsi="Mangal" w:cs="Mangal" w:hint="eastAsia"/>
              </w:rPr>
            </w:pPr>
            <w:r>
              <w:rPr>
                <w:sz w:val="18"/>
                <w:szCs w:val="18"/>
              </w:rPr>
              <w:t>0.69(0.38–1.26)</w:t>
            </w:r>
          </w:p>
        </w:tc>
        <w:tc>
          <w:tcPr>
            <w:tcW w:w="1017" w:type="dxa"/>
            <w:tcBorders>
              <w:top w:val="nil"/>
              <w:left w:val="nil"/>
              <w:bottom w:val="nil"/>
              <w:right w:val="nil"/>
            </w:tcBorders>
            <w:shd w:val="clear" w:color="000000" w:fill="FFFFFF"/>
            <w:vAlign w:val="center"/>
          </w:tcPr>
          <w:p w14:paraId="6B862B3F" w14:textId="77777777" w:rsidR="00FF2380" w:rsidRDefault="00FF2380">
            <w:pPr>
              <w:pStyle w:val="Table"/>
              <w:rPr>
                <w:rFonts w:ascii="Mangal" w:hAnsi="Mangal" w:cs="Mangal" w:hint="eastAsia"/>
              </w:rPr>
            </w:pPr>
            <w:r>
              <w:rPr>
                <w:sz w:val="18"/>
                <w:szCs w:val="18"/>
              </w:rPr>
              <w:t>1.69(1.28–2.23)</w:t>
            </w:r>
          </w:p>
        </w:tc>
        <w:tc>
          <w:tcPr>
            <w:tcW w:w="1110" w:type="dxa"/>
            <w:tcBorders>
              <w:top w:val="nil"/>
              <w:left w:val="nil"/>
              <w:bottom w:val="nil"/>
              <w:right w:val="nil"/>
            </w:tcBorders>
            <w:shd w:val="clear" w:color="000000" w:fill="FFFFFF"/>
            <w:vAlign w:val="center"/>
          </w:tcPr>
          <w:p w14:paraId="15360C32" w14:textId="77777777" w:rsidR="00FF2380" w:rsidRDefault="00FF2380">
            <w:pPr>
              <w:pStyle w:val="Table"/>
              <w:rPr>
                <w:rFonts w:ascii="Mangal" w:hAnsi="Mangal" w:cs="Mangal" w:hint="eastAsia"/>
              </w:rPr>
            </w:pPr>
            <w:r>
              <w:rPr>
                <w:sz w:val="18"/>
                <w:szCs w:val="18"/>
              </w:rPr>
              <w:t>1.25(0.96–1.61)</w:t>
            </w:r>
          </w:p>
        </w:tc>
        <w:tc>
          <w:tcPr>
            <w:tcW w:w="983" w:type="dxa"/>
            <w:gridSpan w:val="2"/>
            <w:tcBorders>
              <w:top w:val="nil"/>
              <w:left w:val="nil"/>
              <w:bottom w:val="nil"/>
              <w:right w:val="nil"/>
            </w:tcBorders>
            <w:shd w:val="clear" w:color="000000" w:fill="FFFFFF"/>
            <w:vAlign w:val="center"/>
          </w:tcPr>
          <w:p w14:paraId="557E9AD4" w14:textId="77777777" w:rsidR="00FF2380" w:rsidRDefault="00FF2380">
            <w:pPr>
              <w:pStyle w:val="Table"/>
              <w:rPr>
                <w:rFonts w:ascii="Mangal" w:hAnsi="Mangal" w:cs="Mangal" w:hint="eastAsia"/>
              </w:rPr>
            </w:pPr>
            <w:r>
              <w:rPr>
                <w:sz w:val="18"/>
                <w:szCs w:val="18"/>
              </w:rPr>
              <w:t>0.84(0.59–1.19)</w:t>
            </w:r>
          </w:p>
        </w:tc>
        <w:tc>
          <w:tcPr>
            <w:tcW w:w="977" w:type="dxa"/>
            <w:tcBorders>
              <w:top w:val="nil"/>
              <w:left w:val="nil"/>
              <w:bottom w:val="nil"/>
              <w:right w:val="nil"/>
            </w:tcBorders>
            <w:shd w:val="clear" w:color="000000" w:fill="FFFFFF"/>
            <w:vAlign w:val="center"/>
          </w:tcPr>
          <w:p w14:paraId="7506877C" w14:textId="77777777" w:rsidR="00FF2380" w:rsidRDefault="00FF2380">
            <w:pPr>
              <w:pStyle w:val="Table"/>
              <w:rPr>
                <w:rFonts w:ascii="Mangal" w:hAnsi="Mangal" w:cs="Mangal" w:hint="eastAsia"/>
              </w:rPr>
            </w:pPr>
            <w:r>
              <w:rPr>
                <w:sz w:val="18"/>
                <w:szCs w:val="18"/>
              </w:rPr>
              <w:t>0.68(0.45–1.03)</w:t>
            </w:r>
          </w:p>
        </w:tc>
        <w:tc>
          <w:tcPr>
            <w:tcW w:w="1017" w:type="dxa"/>
            <w:tcBorders>
              <w:top w:val="nil"/>
              <w:left w:val="nil"/>
              <w:bottom w:val="nil"/>
              <w:right w:val="nil"/>
            </w:tcBorders>
            <w:shd w:val="clear" w:color="000000" w:fill="FFFFFF"/>
            <w:vAlign w:val="center"/>
          </w:tcPr>
          <w:p w14:paraId="1688A366" w14:textId="77777777" w:rsidR="00FF2380" w:rsidRDefault="00FF2380">
            <w:pPr>
              <w:pStyle w:val="Table"/>
              <w:rPr>
                <w:rFonts w:ascii="Mangal" w:hAnsi="Mangal" w:cs="Mangal" w:hint="eastAsia"/>
              </w:rPr>
            </w:pPr>
            <w:r>
              <w:rPr>
                <w:sz w:val="18"/>
                <w:szCs w:val="18"/>
              </w:rPr>
              <w:t>1.13(0.88–1.44)</w:t>
            </w:r>
          </w:p>
        </w:tc>
        <w:tc>
          <w:tcPr>
            <w:tcW w:w="1141" w:type="dxa"/>
            <w:tcBorders>
              <w:top w:val="nil"/>
              <w:left w:val="nil"/>
              <w:bottom w:val="nil"/>
              <w:right w:val="nil"/>
            </w:tcBorders>
            <w:shd w:val="clear" w:color="000000" w:fill="FFFFFF"/>
            <w:vAlign w:val="center"/>
          </w:tcPr>
          <w:p w14:paraId="12F14391" w14:textId="77777777" w:rsidR="00FF2380" w:rsidRDefault="00FF2380">
            <w:pPr>
              <w:pStyle w:val="Table"/>
              <w:rPr>
                <w:rFonts w:ascii="Mangal" w:hAnsi="Mangal" w:cs="Mangal" w:hint="eastAsia"/>
              </w:rPr>
            </w:pPr>
            <w:r>
              <w:rPr>
                <w:sz w:val="18"/>
                <w:szCs w:val="18"/>
              </w:rPr>
              <w:t>1.26(1.01–1.56)</w:t>
            </w:r>
          </w:p>
        </w:tc>
      </w:tr>
      <w:tr w:rsidR="00FF2380" w14:paraId="35B957E7" w14:textId="77777777">
        <w:trPr>
          <w:trHeight w:val="1"/>
        </w:trPr>
        <w:tc>
          <w:tcPr>
            <w:tcW w:w="1420" w:type="dxa"/>
            <w:tcBorders>
              <w:top w:val="single" w:sz="2" w:space="0" w:color="000001"/>
              <w:left w:val="nil"/>
              <w:bottom w:val="single" w:sz="2" w:space="0" w:color="000001"/>
              <w:right w:val="nil"/>
            </w:tcBorders>
            <w:shd w:val="clear" w:color="000000" w:fill="FFFFFF"/>
            <w:vAlign w:val="center"/>
          </w:tcPr>
          <w:p w14:paraId="1195EF43" w14:textId="77777777" w:rsidR="00FF2380" w:rsidRDefault="00FF2380">
            <w:pPr>
              <w:pStyle w:val="Table"/>
              <w:rPr>
                <w:rFonts w:ascii="Mangal" w:hAnsi="Mangal" w:cs="Mangal" w:hint="eastAsia"/>
              </w:rPr>
            </w:pPr>
            <w:r>
              <w:rPr>
                <w:sz w:val="18"/>
                <w:szCs w:val="18"/>
              </w:rPr>
              <w:lastRenderedPageBreak/>
              <w:t xml:space="preserve">≥76.51% </w:t>
            </w:r>
          </w:p>
        </w:tc>
        <w:tc>
          <w:tcPr>
            <w:tcW w:w="979" w:type="dxa"/>
            <w:tcBorders>
              <w:top w:val="single" w:sz="2" w:space="0" w:color="000001"/>
              <w:left w:val="nil"/>
              <w:bottom w:val="single" w:sz="2" w:space="0" w:color="000001"/>
              <w:right w:val="nil"/>
            </w:tcBorders>
            <w:shd w:val="clear" w:color="000000" w:fill="FFFFFF"/>
            <w:vAlign w:val="center"/>
          </w:tcPr>
          <w:p w14:paraId="400888A6" w14:textId="77777777" w:rsidR="00FF2380" w:rsidRDefault="00FF2380">
            <w:pPr>
              <w:pStyle w:val="Table"/>
              <w:rPr>
                <w:rFonts w:ascii="Mangal" w:hAnsi="Mangal" w:cs="Mangal" w:hint="eastAsia"/>
              </w:rPr>
            </w:pPr>
            <w:r>
              <w:rPr>
                <w:sz w:val="18"/>
                <w:szCs w:val="18"/>
              </w:rPr>
              <w:t>0.56(0.31–1.01)</w:t>
            </w:r>
          </w:p>
        </w:tc>
        <w:tc>
          <w:tcPr>
            <w:tcW w:w="976" w:type="dxa"/>
            <w:tcBorders>
              <w:top w:val="single" w:sz="2" w:space="0" w:color="000001"/>
              <w:left w:val="nil"/>
              <w:bottom w:val="single" w:sz="2" w:space="0" w:color="000001"/>
              <w:right w:val="nil"/>
            </w:tcBorders>
            <w:shd w:val="clear" w:color="000000" w:fill="FFFFFF"/>
            <w:vAlign w:val="center"/>
          </w:tcPr>
          <w:p w14:paraId="226F21B2" w14:textId="77777777" w:rsidR="00FF2380" w:rsidRDefault="00FF2380">
            <w:pPr>
              <w:pStyle w:val="Table"/>
              <w:rPr>
                <w:rFonts w:ascii="Mangal" w:hAnsi="Mangal" w:cs="Mangal" w:hint="eastAsia"/>
              </w:rPr>
            </w:pPr>
            <w:r>
              <w:rPr>
                <w:sz w:val="18"/>
                <w:szCs w:val="18"/>
              </w:rPr>
              <w:t>0.36(0.11–1.19)</w:t>
            </w:r>
          </w:p>
        </w:tc>
        <w:tc>
          <w:tcPr>
            <w:tcW w:w="1017" w:type="dxa"/>
            <w:tcBorders>
              <w:top w:val="single" w:sz="2" w:space="0" w:color="000001"/>
              <w:left w:val="nil"/>
              <w:bottom w:val="single" w:sz="2" w:space="0" w:color="000001"/>
              <w:right w:val="nil"/>
            </w:tcBorders>
            <w:shd w:val="clear" w:color="000000" w:fill="FFFFFF"/>
            <w:vAlign w:val="center"/>
          </w:tcPr>
          <w:p w14:paraId="1C6C77E4" w14:textId="77777777" w:rsidR="00FF2380" w:rsidRDefault="00FF2380">
            <w:pPr>
              <w:pStyle w:val="Table"/>
              <w:rPr>
                <w:rFonts w:ascii="Mangal" w:hAnsi="Mangal" w:cs="Mangal" w:hint="eastAsia"/>
              </w:rPr>
            </w:pPr>
            <w:r>
              <w:rPr>
                <w:sz w:val="18"/>
                <w:szCs w:val="18"/>
              </w:rPr>
              <w:t>1.77(1.22–2.55)</w:t>
            </w:r>
          </w:p>
        </w:tc>
        <w:tc>
          <w:tcPr>
            <w:tcW w:w="1110" w:type="dxa"/>
            <w:tcBorders>
              <w:top w:val="single" w:sz="2" w:space="0" w:color="000001"/>
              <w:left w:val="nil"/>
              <w:bottom w:val="single" w:sz="2" w:space="0" w:color="000001"/>
              <w:right w:val="nil"/>
            </w:tcBorders>
            <w:shd w:val="clear" w:color="000000" w:fill="FFFFFF"/>
            <w:vAlign w:val="center"/>
          </w:tcPr>
          <w:p w14:paraId="08403196" w14:textId="77777777" w:rsidR="00FF2380" w:rsidRDefault="00FF2380">
            <w:pPr>
              <w:pStyle w:val="Table"/>
              <w:rPr>
                <w:rFonts w:ascii="Mangal" w:hAnsi="Mangal" w:cs="Mangal" w:hint="eastAsia"/>
              </w:rPr>
            </w:pPr>
            <w:r>
              <w:rPr>
                <w:sz w:val="18"/>
                <w:szCs w:val="18"/>
              </w:rPr>
              <w:t>1.70(1.23–2.35)</w:t>
            </w:r>
          </w:p>
        </w:tc>
        <w:tc>
          <w:tcPr>
            <w:tcW w:w="983" w:type="dxa"/>
            <w:gridSpan w:val="2"/>
            <w:tcBorders>
              <w:top w:val="single" w:sz="2" w:space="0" w:color="000001"/>
              <w:left w:val="nil"/>
              <w:bottom w:val="single" w:sz="2" w:space="0" w:color="000001"/>
              <w:right w:val="nil"/>
            </w:tcBorders>
            <w:shd w:val="clear" w:color="000000" w:fill="FFFFFF"/>
            <w:vAlign w:val="center"/>
          </w:tcPr>
          <w:p w14:paraId="21BAED1C" w14:textId="77777777" w:rsidR="00FF2380" w:rsidRDefault="00FF2380">
            <w:pPr>
              <w:pStyle w:val="Table"/>
              <w:rPr>
                <w:rFonts w:ascii="Mangal" w:hAnsi="Mangal" w:cs="Mangal" w:hint="eastAsia"/>
              </w:rPr>
            </w:pPr>
            <w:r>
              <w:rPr>
                <w:sz w:val="18"/>
                <w:szCs w:val="18"/>
              </w:rPr>
              <w:t>0.72 (0.41–1.25)</w:t>
            </w:r>
          </w:p>
        </w:tc>
        <w:tc>
          <w:tcPr>
            <w:tcW w:w="977" w:type="dxa"/>
            <w:tcBorders>
              <w:top w:val="single" w:sz="2" w:space="0" w:color="000001"/>
              <w:left w:val="nil"/>
              <w:bottom w:val="single" w:sz="2" w:space="0" w:color="000001"/>
              <w:right w:val="nil"/>
            </w:tcBorders>
            <w:shd w:val="clear" w:color="000000" w:fill="FFFFFF"/>
            <w:vAlign w:val="center"/>
          </w:tcPr>
          <w:p w14:paraId="1B2705B2" w14:textId="77777777" w:rsidR="00FF2380" w:rsidRDefault="00FF2380">
            <w:pPr>
              <w:pStyle w:val="Table"/>
              <w:rPr>
                <w:rFonts w:ascii="Mangal" w:hAnsi="Mangal" w:cs="Mangal" w:hint="eastAsia"/>
              </w:rPr>
            </w:pPr>
            <w:r>
              <w:rPr>
                <w:sz w:val="18"/>
                <w:szCs w:val="18"/>
              </w:rPr>
              <w:t>0.78(0.42–1.42)</w:t>
            </w:r>
          </w:p>
        </w:tc>
        <w:tc>
          <w:tcPr>
            <w:tcW w:w="1017" w:type="dxa"/>
            <w:tcBorders>
              <w:top w:val="single" w:sz="2" w:space="0" w:color="000001"/>
              <w:left w:val="nil"/>
              <w:bottom w:val="single" w:sz="2" w:space="0" w:color="000001"/>
              <w:right w:val="nil"/>
            </w:tcBorders>
            <w:shd w:val="clear" w:color="000000" w:fill="FFFFFF"/>
            <w:vAlign w:val="center"/>
          </w:tcPr>
          <w:p w14:paraId="43122BD2" w14:textId="77777777" w:rsidR="00FF2380" w:rsidRDefault="00FF2380">
            <w:pPr>
              <w:pStyle w:val="Table"/>
              <w:rPr>
                <w:rFonts w:ascii="Mangal" w:hAnsi="Mangal" w:cs="Mangal" w:hint="eastAsia"/>
              </w:rPr>
            </w:pPr>
            <w:r>
              <w:rPr>
                <w:sz w:val="18"/>
                <w:szCs w:val="18"/>
              </w:rPr>
              <w:t>1.37(0.98–1.9)</w:t>
            </w:r>
          </w:p>
        </w:tc>
        <w:tc>
          <w:tcPr>
            <w:tcW w:w="1141" w:type="dxa"/>
            <w:tcBorders>
              <w:top w:val="single" w:sz="2" w:space="0" w:color="000001"/>
              <w:left w:val="nil"/>
              <w:bottom w:val="single" w:sz="2" w:space="0" w:color="000001"/>
              <w:right w:val="nil"/>
            </w:tcBorders>
            <w:shd w:val="clear" w:color="000000" w:fill="FFFFFF"/>
            <w:vAlign w:val="center"/>
          </w:tcPr>
          <w:p w14:paraId="2B27ECEF" w14:textId="77777777" w:rsidR="00FF2380" w:rsidRDefault="00FF2380">
            <w:pPr>
              <w:pStyle w:val="Table"/>
              <w:rPr>
                <w:rFonts w:ascii="Mangal" w:hAnsi="Mangal" w:cs="Mangal" w:hint="eastAsia"/>
              </w:rPr>
            </w:pPr>
            <w:r>
              <w:rPr>
                <w:sz w:val="18"/>
                <w:szCs w:val="18"/>
              </w:rPr>
              <w:t>1.27(0.94–1.71)</w:t>
            </w:r>
          </w:p>
        </w:tc>
      </w:tr>
    </w:tbl>
    <w:p w14:paraId="226E12E9" w14:textId="77777777" w:rsidR="00FF2380" w:rsidRDefault="00FF2380">
      <w:pPr>
        <w:pStyle w:val="Legends"/>
        <w:rPr>
          <w:rFonts w:ascii="Mangal" w:hAnsi="Mangal" w:cs="Mangal" w:hint="eastAsia"/>
        </w:rPr>
      </w:pPr>
      <w:r>
        <w:t>Source: secondary analysis of the ARISTOTLE trial.</w:t>
      </w:r>
      <w:r>
        <w:rPr>
          <w:vertAlign w:val="superscript"/>
        </w:rPr>
        <w:t>14</w:t>
      </w:r>
    </w:p>
    <w:p w14:paraId="73D82DE3" w14:textId="77777777" w:rsidR="00FF2380" w:rsidRDefault="00FF2380">
      <w:pPr>
        <w:pStyle w:val="Legends"/>
        <w:rPr>
          <w:rFonts w:ascii="Mangal" w:hAnsi="Mangal" w:cs="Mangal" w:hint="eastAsia"/>
        </w:rPr>
      </w:pPr>
      <w:proofErr w:type="gramStart"/>
      <w:r>
        <w:rPr>
          <w:vertAlign w:val="superscript"/>
        </w:rPr>
        <w:t>a</w:t>
      </w:r>
      <w:proofErr w:type="gramEnd"/>
      <w:r>
        <w:t xml:space="preserve"> According to the results of the centers participating in the ARISTOTLE trial.</w:t>
      </w:r>
    </w:p>
    <w:p w14:paraId="476554FA" w14:textId="77777777" w:rsidR="00FF2380" w:rsidRDefault="00FF2380">
      <w:pPr>
        <w:pStyle w:val="Legends"/>
        <w:rPr>
          <w:rFonts w:ascii="Mangal" w:hAnsi="Mangal" w:cs="Mangal" w:hint="eastAsia"/>
        </w:rPr>
      </w:pPr>
      <w:proofErr w:type="gramStart"/>
      <w:r>
        <w:rPr>
          <w:vertAlign w:val="superscript"/>
        </w:rPr>
        <w:t>b</w:t>
      </w:r>
      <w:proofErr w:type="gramEnd"/>
      <w:r>
        <w:t xml:space="preserve"> Base case.</w:t>
      </w:r>
    </w:p>
    <w:p w14:paraId="1579C9DF" w14:textId="77777777" w:rsidR="00FF2380" w:rsidRDefault="00FF2380">
      <w:pPr>
        <w:pStyle w:val="Legends"/>
        <w:rPr>
          <w:rFonts w:ascii="Mangal" w:hAnsi="Mangal" w:cs="Mangal" w:hint="eastAsia"/>
        </w:rPr>
      </w:pPr>
      <w:r>
        <w:t xml:space="preserve">CRNMB: clinically relevant non-major bleeding; </w:t>
      </w:r>
      <w:proofErr w:type="spellStart"/>
      <w:r>
        <w:t>cTTR</w:t>
      </w:r>
      <w:proofErr w:type="spellEnd"/>
      <w:r>
        <w:t>: median center time in therapeutic range (INR 2–3); ICH: intracranial hemorrhage; MB: major bleeding; NOACs: new oral anticoagulants.</w:t>
      </w:r>
    </w:p>
    <w:p w14:paraId="7C423BB0" w14:textId="77777777" w:rsidR="00FF2380" w:rsidRDefault="00FF2380">
      <w:pPr>
        <w:pStyle w:val="Caption"/>
        <w:rPr>
          <w:rFonts w:ascii="Mangal" w:hAnsi="Mangal" w:cs="Mangal" w:hint="eastAsia"/>
        </w:rPr>
      </w:pPr>
      <w:r>
        <w:rPr>
          <w:b/>
          <w:bCs/>
        </w:rPr>
        <w:t>Supplementary Table 5</w:t>
      </w:r>
      <w:r>
        <w:t xml:space="preserve"> Distribution of patients by time in therapeutic range.</w:t>
      </w:r>
    </w:p>
    <w:tbl>
      <w:tblPr>
        <w:tblW w:w="9355" w:type="dxa"/>
        <w:tblInd w:w="-55" w:type="dxa"/>
        <w:tblBorders>
          <w:top w:val="single" w:sz="2" w:space="0" w:color="000001"/>
        </w:tblBorders>
        <w:tblCellMar>
          <w:left w:w="57" w:type="dxa"/>
          <w:right w:w="57" w:type="dxa"/>
        </w:tblCellMar>
        <w:tblLook w:val="0000" w:firstRow="0" w:lastRow="0" w:firstColumn="0" w:lastColumn="0" w:noHBand="0" w:noVBand="0"/>
      </w:tblPr>
      <w:tblGrid>
        <w:gridCol w:w="4087"/>
        <w:gridCol w:w="2545"/>
        <w:gridCol w:w="2723"/>
      </w:tblGrid>
      <w:tr w:rsidR="00FF2380" w14:paraId="5FF0B8D3" w14:textId="77777777">
        <w:tc>
          <w:tcPr>
            <w:tcW w:w="4087" w:type="dxa"/>
            <w:tcBorders>
              <w:top w:val="single" w:sz="2" w:space="0" w:color="000001"/>
              <w:left w:val="nil"/>
              <w:bottom w:val="nil"/>
              <w:right w:val="nil"/>
            </w:tcBorders>
            <w:shd w:val="clear" w:color="000000" w:fill="FFFFFF"/>
            <w:vAlign w:val="center"/>
          </w:tcPr>
          <w:p w14:paraId="13F8BA50" w14:textId="77777777" w:rsidR="00FF2380" w:rsidRDefault="00FF2380">
            <w:pPr>
              <w:pStyle w:val="Table"/>
              <w:rPr>
                <w:rFonts w:ascii="Mangal" w:hAnsi="Mangal" w:cs="Mangal" w:hint="eastAsia"/>
              </w:rPr>
            </w:pPr>
            <w:r>
              <w:t>Center time in therapeutic range, %</w:t>
            </w:r>
          </w:p>
        </w:tc>
        <w:tc>
          <w:tcPr>
            <w:tcW w:w="2545" w:type="dxa"/>
            <w:tcBorders>
              <w:top w:val="single" w:sz="2" w:space="0" w:color="000001"/>
              <w:left w:val="nil"/>
              <w:bottom w:val="nil"/>
              <w:right w:val="nil"/>
            </w:tcBorders>
            <w:shd w:val="clear" w:color="000000" w:fill="FFFFFF"/>
            <w:vAlign w:val="center"/>
          </w:tcPr>
          <w:p w14:paraId="48104DC7" w14:textId="77777777" w:rsidR="00FF2380" w:rsidRDefault="00FF2380">
            <w:pPr>
              <w:pStyle w:val="Table"/>
              <w:rPr>
                <w:rFonts w:ascii="Mangal" w:hAnsi="Mangal" w:cs="Mangal" w:hint="eastAsia"/>
              </w:rPr>
            </w:pPr>
            <w:r>
              <w:t>Proportion of patients in the Portuguese population</w:t>
            </w:r>
          </w:p>
        </w:tc>
        <w:tc>
          <w:tcPr>
            <w:tcW w:w="2723" w:type="dxa"/>
            <w:tcBorders>
              <w:top w:val="single" w:sz="2" w:space="0" w:color="000001"/>
              <w:left w:val="nil"/>
              <w:bottom w:val="nil"/>
              <w:right w:val="nil"/>
            </w:tcBorders>
            <w:shd w:val="clear" w:color="000000" w:fill="FFFFFF"/>
            <w:vAlign w:val="center"/>
          </w:tcPr>
          <w:p w14:paraId="3484A668" w14:textId="77777777" w:rsidR="00FF2380" w:rsidRDefault="00FF2380">
            <w:pPr>
              <w:pStyle w:val="Table"/>
              <w:rPr>
                <w:rFonts w:ascii="Mangal" w:hAnsi="Mangal" w:cs="Mangal" w:hint="eastAsia"/>
              </w:rPr>
            </w:pPr>
            <w:r>
              <w:t>Proportion of patients in the trial population</w:t>
            </w:r>
          </w:p>
        </w:tc>
      </w:tr>
      <w:tr w:rsidR="00FF2380" w14:paraId="13543EE5" w14:textId="77777777">
        <w:tc>
          <w:tcPr>
            <w:tcW w:w="4087" w:type="dxa"/>
            <w:tcBorders>
              <w:top w:val="nil"/>
              <w:left w:val="nil"/>
              <w:bottom w:val="nil"/>
              <w:right w:val="nil"/>
            </w:tcBorders>
            <w:shd w:val="clear" w:color="000000" w:fill="FFFFFF"/>
            <w:vAlign w:val="center"/>
          </w:tcPr>
          <w:p w14:paraId="30EF56B6" w14:textId="77777777" w:rsidR="00FF2380" w:rsidRDefault="00FF2380">
            <w:pPr>
              <w:pStyle w:val="Table"/>
              <w:rPr>
                <w:rFonts w:ascii="Mangal" w:hAnsi="Mangal" w:cs="Mangal" w:hint="eastAsia"/>
              </w:rPr>
            </w:pPr>
            <w:r>
              <w:t>&lt;52.38</w:t>
            </w:r>
          </w:p>
        </w:tc>
        <w:tc>
          <w:tcPr>
            <w:tcW w:w="2545" w:type="dxa"/>
            <w:tcBorders>
              <w:top w:val="nil"/>
              <w:left w:val="nil"/>
              <w:bottom w:val="nil"/>
              <w:right w:val="nil"/>
            </w:tcBorders>
            <w:shd w:val="clear" w:color="000000" w:fill="FFFFFF"/>
            <w:vAlign w:val="center"/>
          </w:tcPr>
          <w:p w14:paraId="68DE58B6" w14:textId="77777777" w:rsidR="00FF2380" w:rsidRDefault="00FF2380">
            <w:pPr>
              <w:pStyle w:val="Table"/>
              <w:rPr>
                <w:rFonts w:ascii="Mangal" w:hAnsi="Mangal" w:cs="Mangal" w:hint="eastAsia"/>
              </w:rPr>
            </w:pPr>
            <w:r>
              <w:t>55.5%</w:t>
            </w:r>
          </w:p>
        </w:tc>
        <w:tc>
          <w:tcPr>
            <w:tcW w:w="2723" w:type="dxa"/>
            <w:tcBorders>
              <w:top w:val="nil"/>
              <w:left w:val="nil"/>
              <w:bottom w:val="nil"/>
              <w:right w:val="nil"/>
            </w:tcBorders>
            <w:shd w:val="clear" w:color="000000" w:fill="FFFFFF"/>
            <w:vAlign w:val="center"/>
          </w:tcPr>
          <w:p w14:paraId="34FE1ABB" w14:textId="77777777" w:rsidR="00FF2380" w:rsidRDefault="00FF2380">
            <w:pPr>
              <w:pStyle w:val="Table"/>
              <w:rPr>
                <w:rFonts w:ascii="Mangal" w:hAnsi="Mangal" w:cs="Mangal" w:hint="eastAsia"/>
              </w:rPr>
            </w:pPr>
            <w:r>
              <w:t>25%</w:t>
            </w:r>
          </w:p>
        </w:tc>
      </w:tr>
      <w:tr w:rsidR="00FF2380" w14:paraId="7A7DBA5B" w14:textId="77777777">
        <w:tc>
          <w:tcPr>
            <w:tcW w:w="4087" w:type="dxa"/>
            <w:tcBorders>
              <w:top w:val="nil"/>
              <w:left w:val="nil"/>
              <w:bottom w:val="nil"/>
              <w:right w:val="nil"/>
            </w:tcBorders>
            <w:shd w:val="clear" w:color="000000" w:fill="FFFFFF"/>
            <w:vAlign w:val="center"/>
          </w:tcPr>
          <w:p w14:paraId="21FD8B32" w14:textId="77777777" w:rsidR="00FF2380" w:rsidRDefault="00FF2380">
            <w:pPr>
              <w:pStyle w:val="Table"/>
              <w:rPr>
                <w:rFonts w:ascii="Mangal" w:hAnsi="Mangal" w:cs="Mangal" w:hint="eastAsia"/>
              </w:rPr>
            </w:pPr>
            <w:r>
              <w:t>52.38–&lt;66.02</w:t>
            </w:r>
          </w:p>
        </w:tc>
        <w:tc>
          <w:tcPr>
            <w:tcW w:w="2545" w:type="dxa"/>
            <w:tcBorders>
              <w:top w:val="nil"/>
              <w:left w:val="nil"/>
              <w:bottom w:val="nil"/>
              <w:right w:val="nil"/>
            </w:tcBorders>
            <w:shd w:val="clear" w:color="000000" w:fill="FFFFFF"/>
            <w:vAlign w:val="center"/>
          </w:tcPr>
          <w:p w14:paraId="16D1B2E4" w14:textId="77777777" w:rsidR="00FF2380" w:rsidRDefault="00FF2380">
            <w:pPr>
              <w:pStyle w:val="Table"/>
              <w:rPr>
                <w:rFonts w:ascii="Mangal" w:hAnsi="Mangal" w:cs="Mangal" w:hint="eastAsia"/>
              </w:rPr>
            </w:pPr>
            <w:r>
              <w:t>24.5%</w:t>
            </w:r>
          </w:p>
        </w:tc>
        <w:tc>
          <w:tcPr>
            <w:tcW w:w="2723" w:type="dxa"/>
            <w:tcBorders>
              <w:top w:val="nil"/>
              <w:left w:val="nil"/>
              <w:bottom w:val="nil"/>
              <w:right w:val="nil"/>
            </w:tcBorders>
            <w:shd w:val="clear" w:color="000000" w:fill="FFFFFF"/>
            <w:vAlign w:val="center"/>
          </w:tcPr>
          <w:p w14:paraId="05C89160" w14:textId="77777777" w:rsidR="00FF2380" w:rsidRDefault="00FF2380">
            <w:pPr>
              <w:pStyle w:val="Table"/>
              <w:rPr>
                <w:rFonts w:ascii="Mangal" w:hAnsi="Mangal" w:cs="Mangal" w:hint="eastAsia"/>
              </w:rPr>
            </w:pPr>
            <w:r>
              <w:t>25%</w:t>
            </w:r>
          </w:p>
        </w:tc>
      </w:tr>
      <w:tr w:rsidR="00FF2380" w14:paraId="0401E0AE" w14:textId="77777777">
        <w:tc>
          <w:tcPr>
            <w:tcW w:w="4087" w:type="dxa"/>
            <w:tcBorders>
              <w:top w:val="nil"/>
              <w:left w:val="nil"/>
              <w:bottom w:val="nil"/>
              <w:right w:val="nil"/>
            </w:tcBorders>
            <w:shd w:val="clear" w:color="000000" w:fill="FFFFFF"/>
            <w:vAlign w:val="center"/>
          </w:tcPr>
          <w:p w14:paraId="446334E3" w14:textId="77777777" w:rsidR="00FF2380" w:rsidRDefault="00FF2380">
            <w:pPr>
              <w:pStyle w:val="Table"/>
              <w:rPr>
                <w:rFonts w:ascii="Mangal" w:hAnsi="Mangal" w:cs="Mangal" w:hint="eastAsia"/>
              </w:rPr>
            </w:pPr>
            <w:r>
              <w:t>66.02–&lt;76.51</w:t>
            </w:r>
          </w:p>
        </w:tc>
        <w:tc>
          <w:tcPr>
            <w:tcW w:w="2545" w:type="dxa"/>
            <w:tcBorders>
              <w:top w:val="nil"/>
              <w:left w:val="nil"/>
              <w:bottom w:val="nil"/>
              <w:right w:val="nil"/>
            </w:tcBorders>
            <w:shd w:val="clear" w:color="000000" w:fill="FFFFFF"/>
            <w:vAlign w:val="center"/>
          </w:tcPr>
          <w:p w14:paraId="2CF0BDCF" w14:textId="77777777" w:rsidR="00FF2380" w:rsidRDefault="00FF2380">
            <w:pPr>
              <w:pStyle w:val="Table"/>
              <w:rPr>
                <w:rFonts w:ascii="Mangal" w:hAnsi="Mangal" w:cs="Mangal" w:hint="eastAsia"/>
              </w:rPr>
            </w:pPr>
            <w:r>
              <w:t>11.1%</w:t>
            </w:r>
          </w:p>
        </w:tc>
        <w:tc>
          <w:tcPr>
            <w:tcW w:w="2723" w:type="dxa"/>
            <w:tcBorders>
              <w:top w:val="nil"/>
              <w:left w:val="nil"/>
              <w:bottom w:val="nil"/>
              <w:right w:val="nil"/>
            </w:tcBorders>
            <w:vAlign w:val="center"/>
          </w:tcPr>
          <w:p w14:paraId="2AAE83C5" w14:textId="77777777" w:rsidR="00FF2380" w:rsidRDefault="00FF2380">
            <w:pPr>
              <w:pStyle w:val="Table"/>
              <w:rPr>
                <w:rFonts w:ascii="Mangal" w:hAnsi="Mangal" w:cs="Mangal" w:hint="eastAsia"/>
              </w:rPr>
            </w:pPr>
            <w:r>
              <w:t>25%</w:t>
            </w:r>
          </w:p>
        </w:tc>
      </w:tr>
      <w:tr w:rsidR="00FF2380" w14:paraId="6EDE5898" w14:textId="77777777">
        <w:tc>
          <w:tcPr>
            <w:tcW w:w="4087" w:type="dxa"/>
            <w:tcBorders>
              <w:top w:val="nil"/>
              <w:left w:val="nil"/>
              <w:bottom w:val="nil"/>
              <w:right w:val="nil"/>
            </w:tcBorders>
            <w:shd w:val="clear" w:color="000000" w:fill="FFFFFF"/>
            <w:vAlign w:val="center"/>
          </w:tcPr>
          <w:p w14:paraId="57152AF5" w14:textId="77777777" w:rsidR="00FF2380" w:rsidRDefault="00FF2380">
            <w:pPr>
              <w:pStyle w:val="Table"/>
              <w:rPr>
                <w:rFonts w:ascii="Mangal" w:hAnsi="Mangal" w:cs="Mangal" w:hint="eastAsia"/>
              </w:rPr>
            </w:pPr>
            <w:r>
              <w:t>≥76.51</w:t>
            </w:r>
          </w:p>
        </w:tc>
        <w:tc>
          <w:tcPr>
            <w:tcW w:w="2545" w:type="dxa"/>
            <w:tcBorders>
              <w:top w:val="nil"/>
              <w:left w:val="nil"/>
              <w:bottom w:val="nil"/>
              <w:right w:val="nil"/>
            </w:tcBorders>
            <w:shd w:val="clear" w:color="000000" w:fill="FFFFFF"/>
            <w:vAlign w:val="center"/>
          </w:tcPr>
          <w:p w14:paraId="621DD83C" w14:textId="77777777" w:rsidR="00FF2380" w:rsidRDefault="00FF2380">
            <w:pPr>
              <w:pStyle w:val="Table"/>
              <w:rPr>
                <w:rFonts w:ascii="Mangal" w:hAnsi="Mangal" w:cs="Mangal" w:hint="eastAsia"/>
              </w:rPr>
            </w:pPr>
            <w:r>
              <w:t>8.8%</w:t>
            </w:r>
          </w:p>
        </w:tc>
        <w:tc>
          <w:tcPr>
            <w:tcW w:w="2723" w:type="dxa"/>
            <w:tcBorders>
              <w:top w:val="nil"/>
              <w:left w:val="nil"/>
              <w:bottom w:val="nil"/>
              <w:right w:val="nil"/>
            </w:tcBorders>
            <w:shd w:val="clear" w:color="000000" w:fill="FFFFFF"/>
            <w:vAlign w:val="center"/>
          </w:tcPr>
          <w:p w14:paraId="2DFD70D5" w14:textId="77777777" w:rsidR="00FF2380" w:rsidRDefault="00FF2380">
            <w:pPr>
              <w:pStyle w:val="Table"/>
              <w:rPr>
                <w:rFonts w:ascii="Mangal" w:hAnsi="Mangal" w:cs="Mangal" w:hint="eastAsia"/>
              </w:rPr>
            </w:pPr>
            <w:r>
              <w:t>25%</w:t>
            </w:r>
          </w:p>
        </w:tc>
      </w:tr>
      <w:tr w:rsidR="00FF2380" w14:paraId="441A2A76" w14:textId="77777777">
        <w:tc>
          <w:tcPr>
            <w:tcW w:w="4087" w:type="dxa"/>
            <w:tcBorders>
              <w:top w:val="single" w:sz="2" w:space="0" w:color="000001"/>
              <w:left w:val="nil"/>
              <w:bottom w:val="single" w:sz="2" w:space="0" w:color="000001"/>
              <w:right w:val="nil"/>
            </w:tcBorders>
            <w:shd w:val="clear" w:color="000000" w:fill="FFFFFF"/>
            <w:vAlign w:val="center"/>
          </w:tcPr>
          <w:p w14:paraId="62F9A86B" w14:textId="77777777" w:rsidR="00FF2380" w:rsidRDefault="00FF2380">
            <w:pPr>
              <w:pStyle w:val="Table"/>
              <w:rPr>
                <w:rFonts w:ascii="Mangal" w:hAnsi="Mangal" w:cs="Mangal" w:hint="eastAsia"/>
              </w:rPr>
            </w:pPr>
            <w:r>
              <w:t>Total</w:t>
            </w:r>
          </w:p>
        </w:tc>
        <w:tc>
          <w:tcPr>
            <w:tcW w:w="2545" w:type="dxa"/>
            <w:tcBorders>
              <w:top w:val="single" w:sz="2" w:space="0" w:color="000001"/>
              <w:left w:val="nil"/>
              <w:bottom w:val="single" w:sz="2" w:space="0" w:color="000001"/>
              <w:right w:val="nil"/>
            </w:tcBorders>
            <w:shd w:val="clear" w:color="000000" w:fill="FFFFFF"/>
            <w:vAlign w:val="center"/>
          </w:tcPr>
          <w:p w14:paraId="1EBEEB9D" w14:textId="77777777" w:rsidR="00FF2380" w:rsidRDefault="00FF2380">
            <w:pPr>
              <w:pStyle w:val="Table"/>
              <w:rPr>
                <w:rFonts w:ascii="Mangal" w:hAnsi="Mangal" w:cs="Mangal" w:hint="eastAsia"/>
              </w:rPr>
            </w:pPr>
            <w:r>
              <w:t>100%</w:t>
            </w:r>
          </w:p>
        </w:tc>
        <w:tc>
          <w:tcPr>
            <w:tcW w:w="2723" w:type="dxa"/>
            <w:tcBorders>
              <w:top w:val="single" w:sz="2" w:space="0" w:color="000001"/>
              <w:left w:val="nil"/>
              <w:bottom w:val="single" w:sz="2" w:space="0" w:color="000001"/>
              <w:right w:val="nil"/>
            </w:tcBorders>
            <w:shd w:val="clear" w:color="000000" w:fill="FFFFFF"/>
            <w:vAlign w:val="center"/>
          </w:tcPr>
          <w:p w14:paraId="1D61983D" w14:textId="77777777" w:rsidR="00FF2380" w:rsidRDefault="00FF2380">
            <w:pPr>
              <w:pStyle w:val="Table"/>
              <w:rPr>
                <w:rFonts w:ascii="Mangal" w:hAnsi="Mangal" w:cs="Mangal" w:hint="eastAsia"/>
              </w:rPr>
            </w:pPr>
            <w:r>
              <w:t>100%</w:t>
            </w:r>
          </w:p>
        </w:tc>
      </w:tr>
    </w:tbl>
    <w:p w14:paraId="3ADBC397" w14:textId="77777777" w:rsidR="00FF2380" w:rsidRDefault="00FF2380">
      <w:pPr>
        <w:pStyle w:val="Legends"/>
        <w:rPr>
          <w:rFonts w:ascii="Mangal" w:hAnsi="Mangal" w:cs="Mangal" w:hint="eastAsia"/>
        </w:rPr>
      </w:pPr>
      <w:r>
        <w:t xml:space="preserve">Source: </w:t>
      </w:r>
      <w:bookmarkStart w:id="1" w:name="__DdeLink__5388_1646948287"/>
      <w:r>
        <w:t xml:space="preserve">databases of Centro </w:t>
      </w:r>
      <w:proofErr w:type="spellStart"/>
      <w:r>
        <w:t>HospitalarLisboa</w:t>
      </w:r>
      <w:proofErr w:type="spellEnd"/>
      <w:r>
        <w:t xml:space="preserve"> Central and Hospital Fernando da Fonseca</w:t>
      </w:r>
      <w:bookmarkEnd w:id="1"/>
      <w:r>
        <w:t>.</w:t>
      </w:r>
    </w:p>
    <w:p w14:paraId="1BEB3FB7" w14:textId="77777777" w:rsidR="00FF2380" w:rsidRDefault="00FF2380">
      <w:pPr>
        <w:pStyle w:val="Caption"/>
        <w:rPr>
          <w:rFonts w:ascii="Mangal" w:hAnsi="Mangal" w:cs="Mangal" w:hint="eastAsia"/>
        </w:rPr>
      </w:pPr>
      <w:r>
        <w:rPr>
          <w:b/>
          <w:bCs/>
        </w:rPr>
        <w:t>Supplementary Table 6</w:t>
      </w:r>
      <w:r>
        <w:t xml:space="preserve"> Hazard ratios for treatment discontinuation for reasons other than vascular events.</w:t>
      </w:r>
    </w:p>
    <w:tbl>
      <w:tblPr>
        <w:tblW w:w="9354" w:type="dxa"/>
        <w:tblInd w:w="-55" w:type="dxa"/>
        <w:tblBorders>
          <w:top w:val="single" w:sz="2" w:space="0" w:color="000001"/>
        </w:tblBorders>
        <w:tblCellMar>
          <w:left w:w="57" w:type="dxa"/>
          <w:right w:w="57" w:type="dxa"/>
        </w:tblCellMar>
        <w:tblLook w:val="0000" w:firstRow="0" w:lastRow="0" w:firstColumn="0" w:lastColumn="0" w:noHBand="0" w:noVBand="0"/>
      </w:tblPr>
      <w:tblGrid>
        <w:gridCol w:w="5669"/>
        <w:gridCol w:w="3685"/>
      </w:tblGrid>
      <w:tr w:rsidR="00FF2380" w14:paraId="4FC3B36A" w14:textId="77777777">
        <w:tc>
          <w:tcPr>
            <w:tcW w:w="5668" w:type="dxa"/>
            <w:tcBorders>
              <w:top w:val="single" w:sz="2" w:space="0" w:color="000001"/>
              <w:left w:val="nil"/>
              <w:bottom w:val="nil"/>
              <w:right w:val="nil"/>
            </w:tcBorders>
            <w:shd w:val="clear" w:color="000000" w:fill="FFFFFF"/>
            <w:vAlign w:val="center"/>
          </w:tcPr>
          <w:p w14:paraId="2AF80A60" w14:textId="77777777" w:rsidR="00FF2380" w:rsidRDefault="00FF2380">
            <w:pPr>
              <w:pStyle w:val="Table"/>
              <w:rPr>
                <w:rFonts w:ascii="Mangal" w:hAnsi="Mangal" w:cs="Mangal" w:hint="eastAsia"/>
              </w:rPr>
            </w:pPr>
          </w:p>
        </w:tc>
        <w:tc>
          <w:tcPr>
            <w:tcW w:w="3685" w:type="dxa"/>
            <w:tcBorders>
              <w:top w:val="single" w:sz="2" w:space="0" w:color="000001"/>
              <w:left w:val="nil"/>
              <w:bottom w:val="nil"/>
              <w:right w:val="nil"/>
            </w:tcBorders>
            <w:shd w:val="clear" w:color="000000" w:fill="FFFFFF"/>
            <w:vAlign w:val="center"/>
          </w:tcPr>
          <w:p w14:paraId="08B2D5E0" w14:textId="77777777" w:rsidR="00FF2380" w:rsidRDefault="00FF2380">
            <w:pPr>
              <w:pStyle w:val="Table"/>
              <w:rPr>
                <w:rFonts w:ascii="Mangal" w:hAnsi="Mangal" w:cs="Mangal" w:hint="eastAsia"/>
              </w:rPr>
            </w:pPr>
            <w:r>
              <w:t>HR (95% CI)</w:t>
            </w:r>
          </w:p>
        </w:tc>
      </w:tr>
      <w:tr w:rsidR="00FF2380" w14:paraId="7E347D8E" w14:textId="77777777">
        <w:tc>
          <w:tcPr>
            <w:tcW w:w="5668" w:type="dxa"/>
            <w:tcBorders>
              <w:top w:val="nil"/>
              <w:left w:val="nil"/>
              <w:bottom w:val="nil"/>
              <w:right w:val="nil"/>
            </w:tcBorders>
            <w:shd w:val="clear" w:color="000000" w:fill="FFFFFF"/>
            <w:vAlign w:val="center"/>
          </w:tcPr>
          <w:p w14:paraId="21C6B676" w14:textId="77777777" w:rsidR="00FF2380" w:rsidRDefault="00FF2380">
            <w:pPr>
              <w:pStyle w:val="Table"/>
              <w:rPr>
                <w:rFonts w:ascii="Mangal" w:hAnsi="Mangal" w:cs="Mangal" w:hint="eastAsia"/>
              </w:rPr>
            </w:pPr>
            <w:proofErr w:type="spellStart"/>
            <w:r>
              <w:t>Apixaban</w:t>
            </w:r>
            <w:proofErr w:type="spellEnd"/>
          </w:p>
        </w:tc>
        <w:tc>
          <w:tcPr>
            <w:tcW w:w="3685" w:type="dxa"/>
            <w:tcBorders>
              <w:top w:val="nil"/>
              <w:left w:val="nil"/>
              <w:bottom w:val="nil"/>
              <w:right w:val="nil"/>
            </w:tcBorders>
            <w:shd w:val="clear" w:color="000000" w:fill="FFFFFF"/>
            <w:vAlign w:val="center"/>
          </w:tcPr>
          <w:p w14:paraId="5F52953F" w14:textId="77777777" w:rsidR="00FF2380" w:rsidRDefault="00FF2380">
            <w:pPr>
              <w:pStyle w:val="Table"/>
              <w:rPr>
                <w:rFonts w:ascii="Mangal" w:hAnsi="Mangal" w:cs="Mangal" w:hint="eastAsia"/>
              </w:rPr>
            </w:pPr>
            <w:r>
              <w:t>1</w:t>
            </w:r>
          </w:p>
        </w:tc>
      </w:tr>
      <w:tr w:rsidR="00FF2380" w14:paraId="549D367E" w14:textId="77777777">
        <w:tc>
          <w:tcPr>
            <w:tcW w:w="5668" w:type="dxa"/>
            <w:tcBorders>
              <w:top w:val="nil"/>
              <w:left w:val="nil"/>
              <w:bottom w:val="nil"/>
              <w:right w:val="nil"/>
            </w:tcBorders>
            <w:shd w:val="clear" w:color="000000" w:fill="FFFFFF"/>
            <w:vAlign w:val="center"/>
          </w:tcPr>
          <w:p w14:paraId="3EC1B177" w14:textId="77777777" w:rsidR="00FF2380" w:rsidRDefault="00FF2380">
            <w:pPr>
              <w:pStyle w:val="Table"/>
              <w:rPr>
                <w:rFonts w:ascii="Mangal" w:hAnsi="Mangal" w:cs="Mangal" w:hint="eastAsia"/>
              </w:rPr>
            </w:pPr>
            <w:proofErr w:type="spellStart"/>
            <w:r>
              <w:t>Warfarin</w:t>
            </w:r>
            <w:r>
              <w:rPr>
                <w:vertAlign w:val="superscript"/>
              </w:rPr>
              <w:t>a</w:t>
            </w:r>
            <w:proofErr w:type="spellEnd"/>
          </w:p>
        </w:tc>
        <w:tc>
          <w:tcPr>
            <w:tcW w:w="3685" w:type="dxa"/>
            <w:tcBorders>
              <w:top w:val="nil"/>
              <w:left w:val="nil"/>
              <w:bottom w:val="nil"/>
              <w:right w:val="nil"/>
            </w:tcBorders>
            <w:shd w:val="clear" w:color="000000" w:fill="FFFFFF"/>
            <w:vAlign w:val="center"/>
          </w:tcPr>
          <w:p w14:paraId="27C1E5E4" w14:textId="77777777" w:rsidR="00FF2380" w:rsidRDefault="00FF2380">
            <w:pPr>
              <w:pStyle w:val="Table"/>
              <w:rPr>
                <w:rFonts w:ascii="Mangal" w:hAnsi="Mangal" w:cs="Mangal" w:hint="eastAsia"/>
              </w:rPr>
            </w:pPr>
            <w:r>
              <w:t>1.080 (1.02–1.15)</w:t>
            </w:r>
          </w:p>
        </w:tc>
      </w:tr>
      <w:tr w:rsidR="00FF2380" w14:paraId="3365522C" w14:textId="77777777">
        <w:tc>
          <w:tcPr>
            <w:tcW w:w="5668" w:type="dxa"/>
            <w:tcBorders>
              <w:top w:val="nil"/>
              <w:left w:val="nil"/>
              <w:bottom w:val="nil"/>
              <w:right w:val="nil"/>
            </w:tcBorders>
            <w:shd w:val="clear" w:color="000000" w:fill="FFFFFF"/>
            <w:vAlign w:val="center"/>
          </w:tcPr>
          <w:p w14:paraId="2E40515F" w14:textId="77777777" w:rsidR="00FF2380" w:rsidRDefault="00FF2380">
            <w:pPr>
              <w:pStyle w:val="Table"/>
              <w:rPr>
                <w:rFonts w:ascii="Mangal" w:hAnsi="Mangal" w:cs="Mangal" w:hint="eastAsia"/>
              </w:rPr>
            </w:pPr>
            <w:proofErr w:type="spellStart"/>
            <w:r>
              <w:t>Dabigatran</w:t>
            </w:r>
            <w:proofErr w:type="spellEnd"/>
            <w:r>
              <w:t xml:space="preserve"> (110 </w:t>
            </w:r>
            <w:proofErr w:type="gramStart"/>
            <w:r>
              <w:t>mg)</w:t>
            </w:r>
            <w:r>
              <w:rPr>
                <w:vertAlign w:val="superscript"/>
              </w:rPr>
              <w:t>b</w:t>
            </w:r>
            <w:proofErr w:type="gramEnd"/>
          </w:p>
        </w:tc>
        <w:tc>
          <w:tcPr>
            <w:tcW w:w="3685" w:type="dxa"/>
            <w:tcBorders>
              <w:top w:val="nil"/>
              <w:left w:val="nil"/>
              <w:bottom w:val="nil"/>
              <w:right w:val="nil"/>
            </w:tcBorders>
            <w:shd w:val="clear" w:color="000000" w:fill="FFFFFF"/>
            <w:vAlign w:val="center"/>
          </w:tcPr>
          <w:p w14:paraId="747E7BEE" w14:textId="77777777" w:rsidR="00FF2380" w:rsidRDefault="00FF2380">
            <w:pPr>
              <w:pStyle w:val="Table"/>
              <w:rPr>
                <w:rFonts w:ascii="Mangal" w:hAnsi="Mangal" w:cs="Mangal" w:hint="eastAsia"/>
              </w:rPr>
            </w:pPr>
            <w:r>
              <w:t>1.452 (1.31–1.61)</w:t>
            </w:r>
          </w:p>
        </w:tc>
      </w:tr>
      <w:tr w:rsidR="00FF2380" w14:paraId="08C9E18A" w14:textId="77777777">
        <w:tc>
          <w:tcPr>
            <w:tcW w:w="5668" w:type="dxa"/>
            <w:tcBorders>
              <w:top w:val="nil"/>
              <w:left w:val="nil"/>
              <w:bottom w:val="nil"/>
              <w:right w:val="nil"/>
            </w:tcBorders>
            <w:shd w:val="clear" w:color="000000" w:fill="FFFFFF"/>
            <w:vAlign w:val="center"/>
          </w:tcPr>
          <w:p w14:paraId="510E2D70" w14:textId="77777777" w:rsidR="00FF2380" w:rsidRDefault="00FF2380">
            <w:pPr>
              <w:pStyle w:val="Table"/>
              <w:rPr>
                <w:rFonts w:ascii="Mangal" w:hAnsi="Mangal" w:cs="Mangal" w:hint="eastAsia"/>
                <w:vertAlign w:val="superscript"/>
              </w:rPr>
            </w:pPr>
            <w:proofErr w:type="spellStart"/>
            <w:r>
              <w:t>Dabigatran</w:t>
            </w:r>
            <w:proofErr w:type="spellEnd"/>
            <w:r>
              <w:t xml:space="preserve"> (150 </w:t>
            </w:r>
            <w:proofErr w:type="gramStart"/>
            <w:r>
              <w:t>mg)</w:t>
            </w:r>
            <w:r>
              <w:rPr>
                <w:vertAlign w:val="superscript"/>
              </w:rPr>
              <w:t>b</w:t>
            </w:r>
            <w:proofErr w:type="gramEnd"/>
          </w:p>
        </w:tc>
        <w:tc>
          <w:tcPr>
            <w:tcW w:w="3685" w:type="dxa"/>
            <w:tcBorders>
              <w:top w:val="nil"/>
              <w:left w:val="nil"/>
              <w:bottom w:val="nil"/>
              <w:right w:val="nil"/>
            </w:tcBorders>
            <w:shd w:val="clear" w:color="000000" w:fill="FFFFFF"/>
            <w:vAlign w:val="center"/>
          </w:tcPr>
          <w:p w14:paraId="27F1F828" w14:textId="77777777" w:rsidR="00FF2380" w:rsidRDefault="00FF2380">
            <w:pPr>
              <w:pStyle w:val="Table"/>
              <w:rPr>
                <w:rFonts w:ascii="Mangal" w:hAnsi="Mangal" w:cs="Mangal" w:hint="eastAsia"/>
              </w:rPr>
            </w:pPr>
            <w:r>
              <w:t>1.505 (1.36–1.67)</w:t>
            </w:r>
          </w:p>
        </w:tc>
      </w:tr>
      <w:tr w:rsidR="00FF2380" w14:paraId="4B301D4F" w14:textId="77777777">
        <w:tc>
          <w:tcPr>
            <w:tcW w:w="5668" w:type="dxa"/>
            <w:tcBorders>
              <w:top w:val="nil"/>
              <w:left w:val="nil"/>
              <w:bottom w:val="nil"/>
              <w:right w:val="nil"/>
            </w:tcBorders>
            <w:shd w:val="clear" w:color="000000" w:fill="FFFFFF"/>
            <w:vAlign w:val="center"/>
          </w:tcPr>
          <w:p w14:paraId="43DE17CA" w14:textId="77777777" w:rsidR="00FF2380" w:rsidRDefault="00FF2380">
            <w:pPr>
              <w:pStyle w:val="Table"/>
              <w:rPr>
                <w:rFonts w:ascii="Mangal" w:hAnsi="Mangal" w:cs="Mangal" w:hint="eastAsia"/>
              </w:rPr>
            </w:pPr>
            <w:proofErr w:type="spellStart"/>
            <w:r>
              <w:t>Rivaroxaban</w:t>
            </w:r>
            <w:r>
              <w:rPr>
                <w:vertAlign w:val="superscript"/>
              </w:rPr>
              <w:t>b</w:t>
            </w:r>
            <w:proofErr w:type="spellEnd"/>
          </w:p>
        </w:tc>
        <w:tc>
          <w:tcPr>
            <w:tcW w:w="3685" w:type="dxa"/>
            <w:tcBorders>
              <w:top w:val="nil"/>
              <w:left w:val="nil"/>
              <w:bottom w:val="nil"/>
              <w:right w:val="nil"/>
            </w:tcBorders>
            <w:shd w:val="clear" w:color="000000" w:fill="FFFFFF"/>
            <w:vAlign w:val="center"/>
          </w:tcPr>
          <w:p w14:paraId="3A43841D" w14:textId="77777777" w:rsidR="00FF2380" w:rsidRDefault="00FF2380">
            <w:pPr>
              <w:pStyle w:val="Table"/>
              <w:rPr>
                <w:rFonts w:ascii="Mangal" w:hAnsi="Mangal" w:cs="Mangal" w:hint="eastAsia"/>
              </w:rPr>
            </w:pPr>
            <w:r>
              <w:t>1.184 (1.08–1.29)</w:t>
            </w:r>
          </w:p>
        </w:tc>
      </w:tr>
    </w:tbl>
    <w:p w14:paraId="0FE13233" w14:textId="77777777" w:rsidR="00FF2380" w:rsidRDefault="00FF2380">
      <w:pPr>
        <w:pStyle w:val="Legends"/>
        <w:rPr>
          <w:rFonts w:ascii="Mangal" w:hAnsi="Mangal" w:cs="Mangal" w:hint="eastAsia"/>
        </w:rPr>
      </w:pPr>
      <w:r>
        <w:t>HR: hazard ratio (estimated by indirect pairwise comparison); CI: confidence interval.</w:t>
      </w:r>
    </w:p>
    <w:p w14:paraId="4D4F817A" w14:textId="77777777" w:rsidR="00FF2380" w:rsidRDefault="00FF2380">
      <w:pPr>
        <w:pStyle w:val="Legends"/>
        <w:rPr>
          <w:rFonts w:ascii="Mangal" w:hAnsi="Mangal" w:cs="Mangal" w:hint="eastAsia"/>
        </w:rPr>
      </w:pPr>
      <w:r>
        <w:t xml:space="preserve">The HRs are greater than 1, since the overall discontinuation rate for </w:t>
      </w:r>
      <w:proofErr w:type="spellStart"/>
      <w:r>
        <w:t>apixaban</w:t>
      </w:r>
      <w:proofErr w:type="spellEnd"/>
      <w:r>
        <w:t xml:space="preserve"> was lower than for warfarin, unlike the other new oral </w:t>
      </w:r>
      <w:proofErr w:type="spellStart"/>
      <w:r>
        <w:t>anticoagulants.scontinuation</w:t>
      </w:r>
      <w:proofErr w:type="spellEnd"/>
      <w:r>
        <w:t xml:space="preserve"> for all causes, since the RE-LY and ROCKET AF trials do not report rates of discontinuation due to cardiovascular events and for other causes separately. The HRs are greater than 1, since the overall discontinuation rate for </w:t>
      </w:r>
      <w:proofErr w:type="spellStart"/>
      <w:r>
        <w:t>apibaxan</w:t>
      </w:r>
      <w:proofErr w:type="spellEnd"/>
      <w:r>
        <w:t xml:space="preserve"> was lower than for warfarin, unlike the other new oral anticoagulants.</w:t>
      </w:r>
    </w:p>
    <w:p w14:paraId="7E2712F0" w14:textId="77777777" w:rsidR="00FF2380" w:rsidRDefault="00FF2380">
      <w:pPr>
        <w:pStyle w:val="Caption"/>
        <w:rPr>
          <w:rFonts w:ascii="Mangal" w:hAnsi="Mangal" w:cs="Mangal" w:hint="eastAsia"/>
        </w:rPr>
      </w:pPr>
      <w:r>
        <w:rPr>
          <w:b/>
          <w:bCs/>
        </w:rPr>
        <w:t>Supplementary Table 7</w:t>
      </w:r>
      <w:r>
        <w:t xml:space="preserve"> Event rates per 100 patient/years for patients on second-line aspirin.</w:t>
      </w:r>
    </w:p>
    <w:tbl>
      <w:tblPr>
        <w:tblW w:w="9354" w:type="dxa"/>
        <w:tblInd w:w="-55" w:type="dxa"/>
        <w:tblBorders>
          <w:top w:val="single" w:sz="2" w:space="0" w:color="000001"/>
        </w:tblBorders>
        <w:tblCellMar>
          <w:left w:w="57" w:type="dxa"/>
          <w:right w:w="57" w:type="dxa"/>
        </w:tblCellMar>
        <w:tblLook w:val="0000" w:firstRow="0" w:lastRow="0" w:firstColumn="0" w:lastColumn="0" w:noHBand="0" w:noVBand="0"/>
      </w:tblPr>
      <w:tblGrid>
        <w:gridCol w:w="5669"/>
        <w:gridCol w:w="3685"/>
      </w:tblGrid>
      <w:tr w:rsidR="00FF2380" w14:paraId="65CBB4AC" w14:textId="77777777">
        <w:tc>
          <w:tcPr>
            <w:tcW w:w="5668" w:type="dxa"/>
            <w:tcBorders>
              <w:top w:val="single" w:sz="2" w:space="0" w:color="000001"/>
              <w:left w:val="nil"/>
              <w:bottom w:val="nil"/>
              <w:right w:val="nil"/>
            </w:tcBorders>
            <w:shd w:val="clear" w:color="000000" w:fill="FFFFFF"/>
          </w:tcPr>
          <w:p w14:paraId="3C0E776D" w14:textId="77777777" w:rsidR="00FF2380" w:rsidRDefault="00FF2380">
            <w:pPr>
              <w:pStyle w:val="Table"/>
              <w:rPr>
                <w:rFonts w:ascii="Mangal" w:hAnsi="Mangal" w:cs="Mangal" w:hint="eastAsia"/>
              </w:rPr>
            </w:pPr>
            <w:r>
              <w:t>Event</w:t>
            </w:r>
          </w:p>
        </w:tc>
        <w:tc>
          <w:tcPr>
            <w:tcW w:w="3685" w:type="dxa"/>
            <w:tcBorders>
              <w:top w:val="single" w:sz="2" w:space="0" w:color="000001"/>
              <w:left w:val="nil"/>
              <w:bottom w:val="nil"/>
              <w:right w:val="nil"/>
            </w:tcBorders>
            <w:shd w:val="clear" w:color="000000" w:fill="FFFFFF"/>
          </w:tcPr>
          <w:p w14:paraId="12085C5A" w14:textId="77777777" w:rsidR="00FF2380" w:rsidRDefault="00FF2380">
            <w:pPr>
              <w:pStyle w:val="Table"/>
              <w:rPr>
                <w:rFonts w:ascii="Mangal" w:hAnsi="Mangal" w:cs="Mangal" w:hint="eastAsia"/>
              </w:rPr>
            </w:pPr>
            <w:r>
              <w:t>Second-line aspirin</w:t>
            </w:r>
          </w:p>
        </w:tc>
      </w:tr>
      <w:tr w:rsidR="00FF2380" w14:paraId="63E81AC3" w14:textId="77777777">
        <w:tc>
          <w:tcPr>
            <w:tcW w:w="5668" w:type="dxa"/>
            <w:tcBorders>
              <w:top w:val="nil"/>
              <w:left w:val="nil"/>
              <w:bottom w:val="nil"/>
              <w:right w:val="nil"/>
            </w:tcBorders>
            <w:shd w:val="clear" w:color="000000" w:fill="FFFFFF"/>
            <w:vAlign w:val="center"/>
          </w:tcPr>
          <w:p w14:paraId="52DF0B5E" w14:textId="77777777" w:rsidR="00FF2380" w:rsidRDefault="00FF2380">
            <w:pPr>
              <w:pStyle w:val="Table"/>
              <w:rPr>
                <w:rFonts w:ascii="Mangal" w:hAnsi="Mangal" w:cs="Mangal" w:hint="eastAsia"/>
              </w:rPr>
            </w:pPr>
            <w:r>
              <w:t xml:space="preserve">Stroke </w:t>
            </w:r>
          </w:p>
        </w:tc>
        <w:tc>
          <w:tcPr>
            <w:tcW w:w="3685" w:type="dxa"/>
            <w:tcBorders>
              <w:top w:val="nil"/>
              <w:left w:val="nil"/>
              <w:bottom w:val="nil"/>
              <w:right w:val="nil"/>
            </w:tcBorders>
            <w:shd w:val="clear" w:color="000000" w:fill="FFFFFF"/>
            <w:vAlign w:val="center"/>
          </w:tcPr>
          <w:p w14:paraId="51C3E9AB" w14:textId="77777777" w:rsidR="00FF2380" w:rsidRDefault="00FF2380">
            <w:pPr>
              <w:pStyle w:val="Table"/>
              <w:rPr>
                <w:rFonts w:ascii="Mangal" w:hAnsi="Mangal" w:cs="Mangal" w:hint="eastAsia"/>
              </w:rPr>
            </w:pPr>
            <w:r>
              <w:t>3.45</w:t>
            </w:r>
          </w:p>
        </w:tc>
      </w:tr>
      <w:tr w:rsidR="00FF2380" w14:paraId="75F67B0C" w14:textId="77777777">
        <w:tc>
          <w:tcPr>
            <w:tcW w:w="5668" w:type="dxa"/>
            <w:tcBorders>
              <w:top w:val="nil"/>
              <w:left w:val="nil"/>
              <w:bottom w:val="nil"/>
              <w:right w:val="nil"/>
            </w:tcBorders>
            <w:shd w:val="clear" w:color="000000" w:fill="FFFFFF"/>
            <w:vAlign w:val="center"/>
          </w:tcPr>
          <w:p w14:paraId="5A579C48" w14:textId="77777777" w:rsidR="00FF2380" w:rsidRDefault="00FF2380">
            <w:pPr>
              <w:pStyle w:val="Table"/>
              <w:rPr>
                <w:rFonts w:ascii="Mangal" w:hAnsi="Mangal" w:cs="Mangal" w:hint="eastAsia"/>
              </w:rPr>
            </w:pPr>
            <w:r>
              <w:t>Systemic embolism</w:t>
            </w:r>
          </w:p>
        </w:tc>
        <w:tc>
          <w:tcPr>
            <w:tcW w:w="3685" w:type="dxa"/>
            <w:tcBorders>
              <w:top w:val="nil"/>
              <w:left w:val="nil"/>
              <w:bottom w:val="nil"/>
              <w:right w:val="nil"/>
            </w:tcBorders>
            <w:shd w:val="clear" w:color="000000" w:fill="FFFFFF"/>
            <w:vAlign w:val="center"/>
          </w:tcPr>
          <w:p w14:paraId="6E135025" w14:textId="77777777" w:rsidR="00FF2380" w:rsidRDefault="00FF2380">
            <w:pPr>
              <w:pStyle w:val="Table"/>
              <w:rPr>
                <w:rFonts w:ascii="Mangal" w:hAnsi="Mangal" w:cs="Mangal" w:hint="eastAsia"/>
              </w:rPr>
            </w:pPr>
            <w:r>
              <w:t>0.32</w:t>
            </w:r>
          </w:p>
        </w:tc>
      </w:tr>
      <w:tr w:rsidR="00FF2380" w14:paraId="37ECC57E" w14:textId="77777777">
        <w:tc>
          <w:tcPr>
            <w:tcW w:w="5668" w:type="dxa"/>
            <w:tcBorders>
              <w:top w:val="nil"/>
              <w:left w:val="nil"/>
              <w:bottom w:val="nil"/>
              <w:right w:val="nil"/>
            </w:tcBorders>
            <w:shd w:val="clear" w:color="000000" w:fill="FFFFFF"/>
            <w:vAlign w:val="center"/>
          </w:tcPr>
          <w:p w14:paraId="0BDB72E0" w14:textId="77777777" w:rsidR="00FF2380" w:rsidRDefault="00FF2380">
            <w:pPr>
              <w:pStyle w:val="Table"/>
              <w:rPr>
                <w:rFonts w:ascii="Mangal" w:hAnsi="Mangal" w:cs="Mangal" w:hint="eastAsia"/>
              </w:rPr>
            </w:pPr>
            <w:proofErr w:type="spellStart"/>
            <w:r>
              <w:t>ICH</w:t>
            </w:r>
            <w:r>
              <w:rPr>
                <w:vertAlign w:val="superscript"/>
              </w:rPr>
              <w:t>a</w:t>
            </w:r>
            <w:proofErr w:type="spellEnd"/>
          </w:p>
        </w:tc>
        <w:tc>
          <w:tcPr>
            <w:tcW w:w="3685" w:type="dxa"/>
            <w:tcBorders>
              <w:top w:val="nil"/>
              <w:left w:val="nil"/>
              <w:bottom w:val="nil"/>
              <w:right w:val="nil"/>
            </w:tcBorders>
            <w:shd w:val="clear" w:color="000000" w:fill="FFFFFF"/>
            <w:vAlign w:val="center"/>
          </w:tcPr>
          <w:p w14:paraId="7CD2A40F" w14:textId="77777777" w:rsidR="00FF2380" w:rsidRDefault="00FF2380">
            <w:pPr>
              <w:pStyle w:val="Table"/>
              <w:rPr>
                <w:rFonts w:ascii="Mangal" w:hAnsi="Mangal" w:cs="Mangal" w:hint="eastAsia"/>
              </w:rPr>
            </w:pPr>
            <w:r>
              <w:t>0.89</w:t>
            </w:r>
          </w:p>
        </w:tc>
      </w:tr>
      <w:tr w:rsidR="00FF2380" w14:paraId="27027352" w14:textId="77777777">
        <w:tc>
          <w:tcPr>
            <w:tcW w:w="5668" w:type="dxa"/>
            <w:tcBorders>
              <w:top w:val="nil"/>
              <w:left w:val="nil"/>
              <w:bottom w:val="nil"/>
              <w:right w:val="nil"/>
            </w:tcBorders>
            <w:shd w:val="clear" w:color="000000" w:fill="FFFFFF"/>
            <w:vAlign w:val="center"/>
          </w:tcPr>
          <w:p w14:paraId="116137EF" w14:textId="77777777" w:rsidR="00FF2380" w:rsidRDefault="00FF2380">
            <w:pPr>
              <w:pStyle w:val="Table"/>
              <w:rPr>
                <w:rFonts w:ascii="Mangal" w:hAnsi="Mangal" w:cs="Mangal" w:hint="eastAsia"/>
              </w:rPr>
            </w:pPr>
            <w:r>
              <w:t>Other major bleeding</w:t>
            </w:r>
          </w:p>
        </w:tc>
        <w:tc>
          <w:tcPr>
            <w:tcW w:w="3685" w:type="dxa"/>
            <w:tcBorders>
              <w:top w:val="nil"/>
              <w:left w:val="nil"/>
              <w:bottom w:val="nil"/>
              <w:right w:val="nil"/>
            </w:tcBorders>
            <w:shd w:val="clear" w:color="000000" w:fill="FFFFFF"/>
            <w:vAlign w:val="center"/>
          </w:tcPr>
          <w:p w14:paraId="59AB9866" w14:textId="77777777" w:rsidR="00FF2380" w:rsidRDefault="00FF2380">
            <w:pPr>
              <w:pStyle w:val="Table"/>
              <w:rPr>
                <w:rFonts w:ascii="Mangal" w:hAnsi="Mangal" w:cs="Mangal" w:hint="eastAsia"/>
              </w:rPr>
            </w:pPr>
            <w:r>
              <w:t>2.94</w:t>
            </w:r>
          </w:p>
        </w:tc>
      </w:tr>
      <w:tr w:rsidR="00FF2380" w14:paraId="4A290C2D" w14:textId="77777777">
        <w:tc>
          <w:tcPr>
            <w:tcW w:w="5668" w:type="dxa"/>
            <w:tcBorders>
              <w:top w:val="nil"/>
              <w:left w:val="nil"/>
              <w:bottom w:val="nil"/>
              <w:right w:val="nil"/>
            </w:tcBorders>
            <w:shd w:val="clear" w:color="000000" w:fill="FFFFFF"/>
            <w:vAlign w:val="center"/>
          </w:tcPr>
          <w:p w14:paraId="240EEAB4" w14:textId="77777777" w:rsidR="00FF2380" w:rsidRDefault="00FF2380">
            <w:pPr>
              <w:pStyle w:val="Table"/>
              <w:rPr>
                <w:rFonts w:ascii="Mangal" w:hAnsi="Mangal" w:cs="Mangal" w:hint="eastAsia"/>
              </w:rPr>
            </w:pPr>
            <w:r>
              <w:t>CRNMB</w:t>
            </w:r>
          </w:p>
        </w:tc>
        <w:tc>
          <w:tcPr>
            <w:tcW w:w="3685" w:type="dxa"/>
            <w:tcBorders>
              <w:top w:val="nil"/>
              <w:left w:val="nil"/>
              <w:bottom w:val="nil"/>
              <w:right w:val="nil"/>
            </w:tcBorders>
            <w:shd w:val="clear" w:color="000000" w:fill="FFFFFF"/>
            <w:vAlign w:val="center"/>
          </w:tcPr>
          <w:p w14:paraId="6B4ED407" w14:textId="77777777" w:rsidR="00FF2380" w:rsidRDefault="00FF2380">
            <w:pPr>
              <w:pStyle w:val="Table"/>
              <w:rPr>
                <w:rFonts w:ascii="Mangal" w:hAnsi="Mangal" w:cs="Mangal" w:hint="eastAsia"/>
              </w:rPr>
            </w:pPr>
            <w:r>
              <w:t>1.10</w:t>
            </w:r>
          </w:p>
        </w:tc>
      </w:tr>
      <w:tr w:rsidR="00FF2380" w14:paraId="32DA7EBF" w14:textId="77777777">
        <w:tc>
          <w:tcPr>
            <w:tcW w:w="5668" w:type="dxa"/>
            <w:tcBorders>
              <w:top w:val="nil"/>
              <w:left w:val="nil"/>
              <w:bottom w:val="nil"/>
              <w:right w:val="nil"/>
            </w:tcBorders>
            <w:shd w:val="clear" w:color="000000" w:fill="FFFFFF"/>
            <w:vAlign w:val="center"/>
          </w:tcPr>
          <w:p w14:paraId="23C4E919" w14:textId="77777777" w:rsidR="00FF2380" w:rsidRDefault="00FF2380">
            <w:pPr>
              <w:pStyle w:val="Table"/>
              <w:rPr>
                <w:rFonts w:ascii="Mangal" w:hAnsi="Mangal" w:cs="Mangal" w:hint="eastAsia"/>
              </w:rPr>
            </w:pPr>
            <w:r>
              <w:t>MI</w:t>
            </w:r>
          </w:p>
        </w:tc>
        <w:tc>
          <w:tcPr>
            <w:tcW w:w="3685" w:type="dxa"/>
            <w:tcBorders>
              <w:top w:val="nil"/>
              <w:left w:val="nil"/>
              <w:bottom w:val="nil"/>
              <w:right w:val="nil"/>
            </w:tcBorders>
            <w:shd w:val="clear" w:color="000000" w:fill="FFFFFF"/>
            <w:vAlign w:val="center"/>
          </w:tcPr>
          <w:p w14:paraId="542F3A40" w14:textId="77777777" w:rsidR="00FF2380" w:rsidRDefault="00FF2380">
            <w:pPr>
              <w:pStyle w:val="Table"/>
              <w:rPr>
                <w:rFonts w:ascii="Mangal" w:hAnsi="Mangal" w:cs="Mangal" w:hint="eastAsia"/>
              </w:rPr>
            </w:pPr>
            <w:r>
              <w:t>0.44</w:t>
            </w:r>
          </w:p>
        </w:tc>
      </w:tr>
      <w:tr w:rsidR="00FF2380" w14:paraId="6B86974A" w14:textId="77777777">
        <w:tc>
          <w:tcPr>
            <w:tcW w:w="5668" w:type="dxa"/>
            <w:tcBorders>
              <w:top w:val="single" w:sz="2" w:space="0" w:color="000001"/>
              <w:left w:val="nil"/>
              <w:bottom w:val="single" w:sz="2" w:space="0" w:color="000001"/>
              <w:right w:val="nil"/>
            </w:tcBorders>
            <w:shd w:val="clear" w:color="000000" w:fill="FFFFFF"/>
            <w:vAlign w:val="center"/>
          </w:tcPr>
          <w:p w14:paraId="033D2288" w14:textId="77777777" w:rsidR="00FF2380" w:rsidRDefault="00FF2380">
            <w:pPr>
              <w:pStyle w:val="Table"/>
              <w:rPr>
                <w:rFonts w:ascii="Mangal" w:hAnsi="Mangal" w:cs="Mangal" w:hint="eastAsia"/>
              </w:rPr>
            </w:pPr>
            <w:r>
              <w:t>Other CV hospitalizations</w:t>
            </w:r>
          </w:p>
        </w:tc>
        <w:tc>
          <w:tcPr>
            <w:tcW w:w="3685" w:type="dxa"/>
            <w:tcBorders>
              <w:top w:val="single" w:sz="2" w:space="0" w:color="000001"/>
              <w:left w:val="nil"/>
              <w:bottom w:val="single" w:sz="2" w:space="0" w:color="000001"/>
              <w:right w:val="nil"/>
            </w:tcBorders>
            <w:shd w:val="clear" w:color="000000" w:fill="FFFFFF"/>
            <w:vAlign w:val="center"/>
          </w:tcPr>
          <w:p w14:paraId="5B627746" w14:textId="77777777" w:rsidR="00FF2380" w:rsidRDefault="00FF2380">
            <w:pPr>
              <w:pStyle w:val="Table"/>
              <w:rPr>
                <w:rFonts w:ascii="Mangal" w:hAnsi="Mangal" w:cs="Mangal" w:hint="eastAsia"/>
              </w:rPr>
            </w:pPr>
            <w:r>
              <w:t>13.57</w:t>
            </w:r>
          </w:p>
        </w:tc>
      </w:tr>
    </w:tbl>
    <w:p w14:paraId="2566E114" w14:textId="77777777" w:rsidR="00FF2380" w:rsidRDefault="00FF2380">
      <w:pPr>
        <w:pStyle w:val="Legends"/>
        <w:rPr>
          <w:rFonts w:ascii="Mangal" w:hAnsi="Mangal" w:cs="Mangal" w:hint="eastAsia"/>
        </w:rPr>
      </w:pPr>
      <w:r>
        <w:t>Source: secondary analysis of the AVERROES trial.</w:t>
      </w:r>
      <w:r>
        <w:rPr>
          <w:vertAlign w:val="superscript"/>
        </w:rPr>
        <w:t>51</w:t>
      </w:r>
    </w:p>
    <w:p w14:paraId="76D58505" w14:textId="77777777" w:rsidR="00FF2380" w:rsidRDefault="00FF2380">
      <w:pPr>
        <w:pStyle w:val="Legends"/>
        <w:rPr>
          <w:rFonts w:ascii="Mangal" w:hAnsi="Mangal" w:cs="Mangal" w:hint="eastAsia"/>
        </w:rPr>
      </w:pPr>
      <w:proofErr w:type="gramStart"/>
      <w:r>
        <w:rPr>
          <w:vertAlign w:val="superscript"/>
        </w:rPr>
        <w:t>a</w:t>
      </w:r>
      <w:proofErr w:type="gramEnd"/>
      <w:r>
        <w:t xml:space="preserve"> Intracranial hemorrhage includes hemorrhagic stroke and other types of intracranial hemorrhage. The proportion of hemorrhagic stroke in patients taking second-line aspirin was 55%.</w:t>
      </w:r>
    </w:p>
    <w:p w14:paraId="785CF8F7" w14:textId="77777777" w:rsidR="00FF2380" w:rsidRDefault="00FF2380">
      <w:pPr>
        <w:pStyle w:val="Legends"/>
        <w:rPr>
          <w:rFonts w:ascii="Mangal" w:hAnsi="Mangal" w:cs="Mangal" w:hint="eastAsia"/>
        </w:rPr>
      </w:pPr>
      <w:r>
        <w:t>CRNMB: clinically relevant non-major bleeding; CV: cardiovascular; ICH: intracranial hemorrhage; MI: myocardial infarction.</w:t>
      </w:r>
    </w:p>
    <w:p w14:paraId="21C80827" w14:textId="77777777" w:rsidR="00FF2380" w:rsidRDefault="00FF2380">
      <w:pPr>
        <w:pStyle w:val="Caption"/>
        <w:rPr>
          <w:rFonts w:ascii="Mangal" w:hAnsi="Mangal" w:cs="Mangal" w:hint="eastAsia"/>
        </w:rPr>
      </w:pPr>
      <w:r>
        <w:rPr>
          <w:b/>
          <w:bCs/>
        </w:rPr>
        <w:lastRenderedPageBreak/>
        <w:t>Supplementary Table 9</w:t>
      </w:r>
      <w:r>
        <w:t xml:space="preserve"> Factors used to adjust mortality risk.</w:t>
      </w:r>
    </w:p>
    <w:tbl>
      <w:tblPr>
        <w:tblW w:w="9354" w:type="dxa"/>
        <w:tblInd w:w="-55" w:type="dxa"/>
        <w:tblBorders>
          <w:top w:val="single" w:sz="2" w:space="0" w:color="000001"/>
        </w:tblBorders>
        <w:tblCellMar>
          <w:left w:w="57" w:type="dxa"/>
          <w:right w:w="57" w:type="dxa"/>
        </w:tblCellMar>
        <w:tblLook w:val="0000" w:firstRow="0" w:lastRow="0" w:firstColumn="0" w:lastColumn="0" w:noHBand="0" w:noVBand="0"/>
      </w:tblPr>
      <w:tblGrid>
        <w:gridCol w:w="5669"/>
        <w:gridCol w:w="3685"/>
      </w:tblGrid>
      <w:tr w:rsidR="00FF2380" w14:paraId="167933A2" w14:textId="77777777">
        <w:tc>
          <w:tcPr>
            <w:tcW w:w="5668" w:type="dxa"/>
            <w:tcBorders>
              <w:top w:val="single" w:sz="2" w:space="0" w:color="000001"/>
              <w:left w:val="nil"/>
              <w:bottom w:val="nil"/>
              <w:right w:val="nil"/>
            </w:tcBorders>
            <w:shd w:val="clear" w:color="000000" w:fill="FFFFFF"/>
            <w:vAlign w:val="center"/>
          </w:tcPr>
          <w:p w14:paraId="11ED93B7" w14:textId="77777777" w:rsidR="00FF2380" w:rsidRDefault="00FF2380">
            <w:pPr>
              <w:pStyle w:val="Table"/>
              <w:rPr>
                <w:rFonts w:ascii="Mangal" w:hAnsi="Mangal" w:cs="Mangal" w:hint="eastAsia"/>
              </w:rPr>
            </w:pPr>
            <w:r>
              <w:t>Event</w:t>
            </w:r>
          </w:p>
        </w:tc>
        <w:tc>
          <w:tcPr>
            <w:tcW w:w="3685" w:type="dxa"/>
            <w:tcBorders>
              <w:top w:val="single" w:sz="2" w:space="0" w:color="000001"/>
              <w:left w:val="nil"/>
              <w:bottom w:val="nil"/>
              <w:right w:val="nil"/>
            </w:tcBorders>
            <w:shd w:val="clear" w:color="000000" w:fill="FFFFFF"/>
            <w:vAlign w:val="center"/>
          </w:tcPr>
          <w:p w14:paraId="62489B43" w14:textId="77777777" w:rsidR="00FF2380" w:rsidRDefault="00FF2380">
            <w:pPr>
              <w:pStyle w:val="Table"/>
              <w:rPr>
                <w:rFonts w:ascii="Mangal" w:hAnsi="Mangal" w:cs="Mangal" w:hint="eastAsia"/>
              </w:rPr>
            </w:pPr>
            <w:r>
              <w:t>HR (95% CI)</w:t>
            </w:r>
          </w:p>
        </w:tc>
      </w:tr>
      <w:tr w:rsidR="00FF2380" w14:paraId="613B0CB7" w14:textId="77777777">
        <w:tc>
          <w:tcPr>
            <w:tcW w:w="5668" w:type="dxa"/>
            <w:tcBorders>
              <w:top w:val="nil"/>
              <w:left w:val="nil"/>
              <w:bottom w:val="nil"/>
              <w:right w:val="nil"/>
            </w:tcBorders>
            <w:shd w:val="clear" w:color="000000" w:fill="FFFFFF"/>
            <w:vAlign w:val="center"/>
          </w:tcPr>
          <w:p w14:paraId="42BE7C9B" w14:textId="77777777" w:rsidR="00FF2380" w:rsidRDefault="00FF2380">
            <w:pPr>
              <w:pStyle w:val="Table"/>
              <w:rPr>
                <w:rFonts w:ascii="Mangal" w:hAnsi="Mangal" w:cs="Mangal" w:hint="eastAsia"/>
              </w:rPr>
            </w:pPr>
            <w:r>
              <w:t>Non-</w:t>
            </w:r>
            <w:proofErr w:type="spellStart"/>
            <w:r>
              <w:t>valvular</w:t>
            </w:r>
            <w:proofErr w:type="spellEnd"/>
            <w:r>
              <w:t xml:space="preserve"> AF</w:t>
            </w:r>
          </w:p>
        </w:tc>
        <w:tc>
          <w:tcPr>
            <w:tcW w:w="3685" w:type="dxa"/>
            <w:tcBorders>
              <w:top w:val="nil"/>
              <w:left w:val="nil"/>
              <w:bottom w:val="nil"/>
              <w:right w:val="nil"/>
            </w:tcBorders>
            <w:shd w:val="clear" w:color="000000" w:fill="FFFFFF"/>
            <w:vAlign w:val="center"/>
          </w:tcPr>
          <w:p w14:paraId="20BF2D56" w14:textId="77777777" w:rsidR="00FF2380" w:rsidRDefault="00FF2380">
            <w:pPr>
              <w:pStyle w:val="Table"/>
              <w:rPr>
                <w:rFonts w:ascii="Mangal" w:hAnsi="Mangal" w:cs="Mangal" w:hint="eastAsia"/>
              </w:rPr>
            </w:pPr>
            <w:r>
              <w:t>1.34 (1.20–1.53)</w:t>
            </w:r>
          </w:p>
        </w:tc>
      </w:tr>
      <w:tr w:rsidR="00FF2380" w14:paraId="56CFB007" w14:textId="77777777">
        <w:tc>
          <w:tcPr>
            <w:tcW w:w="9353" w:type="dxa"/>
            <w:gridSpan w:val="2"/>
            <w:tcBorders>
              <w:top w:val="nil"/>
              <w:left w:val="nil"/>
              <w:bottom w:val="nil"/>
              <w:right w:val="nil"/>
            </w:tcBorders>
            <w:shd w:val="clear" w:color="000000" w:fill="FFFFFF"/>
            <w:vAlign w:val="center"/>
          </w:tcPr>
          <w:p w14:paraId="3163A578" w14:textId="77777777" w:rsidR="00FF2380" w:rsidRDefault="00FF2380">
            <w:pPr>
              <w:pStyle w:val="Table"/>
              <w:rPr>
                <w:rFonts w:ascii="Mangal" w:hAnsi="Mangal" w:cs="Mangal" w:hint="eastAsia"/>
              </w:rPr>
            </w:pPr>
            <w:r>
              <w:t>Stroke (ischemic or hemorrhagic)</w:t>
            </w:r>
          </w:p>
        </w:tc>
      </w:tr>
      <w:tr w:rsidR="00FF2380" w14:paraId="429E274A" w14:textId="77777777">
        <w:tc>
          <w:tcPr>
            <w:tcW w:w="5668" w:type="dxa"/>
            <w:tcBorders>
              <w:top w:val="nil"/>
              <w:left w:val="nil"/>
              <w:bottom w:val="nil"/>
              <w:right w:val="nil"/>
            </w:tcBorders>
            <w:shd w:val="clear" w:color="000000" w:fill="FFFFFF"/>
            <w:vAlign w:val="center"/>
          </w:tcPr>
          <w:p w14:paraId="78A0E8A9" w14:textId="77777777" w:rsidR="00FF2380" w:rsidRDefault="00FF2380">
            <w:pPr>
              <w:pStyle w:val="Table"/>
              <w:ind w:left="170"/>
              <w:rPr>
                <w:rFonts w:ascii="Mangal" w:hAnsi="Mangal" w:cs="Mangal" w:hint="eastAsia"/>
              </w:rPr>
            </w:pPr>
            <w:r>
              <w:t>Mild</w:t>
            </w:r>
          </w:p>
        </w:tc>
        <w:tc>
          <w:tcPr>
            <w:tcW w:w="3685" w:type="dxa"/>
            <w:tcBorders>
              <w:top w:val="nil"/>
              <w:left w:val="nil"/>
              <w:bottom w:val="nil"/>
              <w:right w:val="nil"/>
            </w:tcBorders>
            <w:shd w:val="clear" w:color="000000" w:fill="FFFFFF"/>
            <w:vAlign w:val="center"/>
          </w:tcPr>
          <w:p w14:paraId="500A9FB8" w14:textId="77777777" w:rsidR="00FF2380" w:rsidRDefault="00FF2380">
            <w:pPr>
              <w:pStyle w:val="Table"/>
              <w:rPr>
                <w:rFonts w:ascii="Mangal" w:hAnsi="Mangal" w:cs="Mangal" w:hint="eastAsia"/>
              </w:rPr>
            </w:pPr>
            <w:r>
              <w:t>3.18 (1.82–4.92)</w:t>
            </w:r>
          </w:p>
        </w:tc>
      </w:tr>
      <w:tr w:rsidR="00FF2380" w14:paraId="485ECB4F" w14:textId="77777777">
        <w:tc>
          <w:tcPr>
            <w:tcW w:w="5668" w:type="dxa"/>
            <w:tcBorders>
              <w:top w:val="nil"/>
              <w:left w:val="nil"/>
              <w:bottom w:val="nil"/>
              <w:right w:val="nil"/>
            </w:tcBorders>
            <w:shd w:val="clear" w:color="000000" w:fill="FFFFFF"/>
            <w:vAlign w:val="center"/>
          </w:tcPr>
          <w:p w14:paraId="48562CBB" w14:textId="77777777" w:rsidR="00FF2380" w:rsidRDefault="00FF2380">
            <w:pPr>
              <w:pStyle w:val="Table"/>
              <w:ind w:left="170"/>
              <w:rPr>
                <w:rFonts w:ascii="Mangal" w:hAnsi="Mangal" w:cs="Mangal" w:hint="eastAsia"/>
              </w:rPr>
            </w:pPr>
            <w:r>
              <w:t>Moderate</w:t>
            </w:r>
          </w:p>
        </w:tc>
        <w:tc>
          <w:tcPr>
            <w:tcW w:w="3685" w:type="dxa"/>
            <w:tcBorders>
              <w:top w:val="nil"/>
              <w:left w:val="nil"/>
              <w:bottom w:val="nil"/>
              <w:right w:val="nil"/>
            </w:tcBorders>
            <w:shd w:val="clear" w:color="000000" w:fill="FFFFFF"/>
            <w:vAlign w:val="center"/>
          </w:tcPr>
          <w:p w14:paraId="2CFEDC86" w14:textId="77777777" w:rsidR="00FF2380" w:rsidRDefault="00FF2380">
            <w:pPr>
              <w:pStyle w:val="Table"/>
              <w:rPr>
                <w:rFonts w:ascii="Mangal" w:hAnsi="Mangal" w:cs="Mangal" w:hint="eastAsia"/>
              </w:rPr>
            </w:pPr>
            <w:r>
              <w:t>5.84 (4.08–7.60)</w:t>
            </w:r>
          </w:p>
        </w:tc>
      </w:tr>
      <w:tr w:rsidR="00FF2380" w14:paraId="14DACF30" w14:textId="77777777">
        <w:tc>
          <w:tcPr>
            <w:tcW w:w="5668" w:type="dxa"/>
            <w:tcBorders>
              <w:top w:val="nil"/>
              <w:left w:val="nil"/>
              <w:bottom w:val="nil"/>
              <w:right w:val="nil"/>
            </w:tcBorders>
            <w:shd w:val="clear" w:color="000000" w:fill="FFFFFF"/>
            <w:vAlign w:val="center"/>
          </w:tcPr>
          <w:p w14:paraId="77AA6C3D" w14:textId="77777777" w:rsidR="00FF2380" w:rsidRDefault="00FF2380">
            <w:pPr>
              <w:pStyle w:val="Table"/>
              <w:ind w:left="170"/>
              <w:rPr>
                <w:rFonts w:ascii="Mangal" w:hAnsi="Mangal" w:cs="Mangal" w:hint="eastAsia"/>
              </w:rPr>
            </w:pPr>
            <w:r>
              <w:t>Severe</w:t>
            </w:r>
          </w:p>
        </w:tc>
        <w:tc>
          <w:tcPr>
            <w:tcW w:w="3685" w:type="dxa"/>
            <w:tcBorders>
              <w:top w:val="nil"/>
              <w:left w:val="nil"/>
              <w:bottom w:val="nil"/>
              <w:right w:val="nil"/>
            </w:tcBorders>
            <w:shd w:val="clear" w:color="000000" w:fill="FFFFFF"/>
            <w:vAlign w:val="center"/>
          </w:tcPr>
          <w:p w14:paraId="6007587E" w14:textId="77777777" w:rsidR="00FF2380" w:rsidRDefault="00FF2380">
            <w:pPr>
              <w:pStyle w:val="Table"/>
              <w:rPr>
                <w:rFonts w:ascii="Mangal" w:hAnsi="Mangal" w:cs="Mangal" w:hint="eastAsia"/>
              </w:rPr>
            </w:pPr>
            <w:r>
              <w:t>15.75 (13.99–17.51)</w:t>
            </w:r>
          </w:p>
        </w:tc>
      </w:tr>
      <w:tr w:rsidR="00FF2380" w14:paraId="3EDFB049" w14:textId="77777777">
        <w:tc>
          <w:tcPr>
            <w:tcW w:w="5668" w:type="dxa"/>
            <w:tcBorders>
              <w:top w:val="nil"/>
              <w:left w:val="nil"/>
              <w:bottom w:val="nil"/>
              <w:right w:val="nil"/>
            </w:tcBorders>
            <w:shd w:val="clear" w:color="000000" w:fill="FFFFFF"/>
            <w:vAlign w:val="center"/>
          </w:tcPr>
          <w:p w14:paraId="294B301E" w14:textId="77777777" w:rsidR="00FF2380" w:rsidRDefault="00FF2380">
            <w:pPr>
              <w:pStyle w:val="Table"/>
              <w:rPr>
                <w:rFonts w:ascii="Mangal" w:hAnsi="Mangal" w:cs="Mangal" w:hint="eastAsia"/>
              </w:rPr>
            </w:pPr>
            <w:r>
              <w:t>Systemic embolism</w:t>
            </w:r>
          </w:p>
        </w:tc>
        <w:tc>
          <w:tcPr>
            <w:tcW w:w="3685" w:type="dxa"/>
            <w:tcBorders>
              <w:top w:val="nil"/>
              <w:left w:val="nil"/>
              <w:bottom w:val="nil"/>
              <w:right w:val="nil"/>
            </w:tcBorders>
            <w:shd w:val="clear" w:color="000000" w:fill="FFFFFF"/>
            <w:vAlign w:val="center"/>
          </w:tcPr>
          <w:p w14:paraId="4481B3E8" w14:textId="77777777" w:rsidR="00FF2380" w:rsidRDefault="00FF2380">
            <w:pPr>
              <w:pStyle w:val="Table"/>
              <w:rPr>
                <w:rFonts w:ascii="Mangal" w:hAnsi="Mangal" w:cs="Mangal" w:hint="eastAsia"/>
              </w:rPr>
            </w:pPr>
            <w:r>
              <w:t>1.34 (1.20–1.53)</w:t>
            </w:r>
          </w:p>
        </w:tc>
      </w:tr>
      <w:tr w:rsidR="00FF2380" w14:paraId="41835B6B" w14:textId="77777777">
        <w:tc>
          <w:tcPr>
            <w:tcW w:w="5668" w:type="dxa"/>
            <w:tcBorders>
              <w:top w:val="nil"/>
              <w:left w:val="nil"/>
              <w:bottom w:val="nil"/>
              <w:right w:val="nil"/>
            </w:tcBorders>
            <w:shd w:val="clear" w:color="000000" w:fill="FFFFFF"/>
            <w:vAlign w:val="center"/>
          </w:tcPr>
          <w:p w14:paraId="267AB4AA" w14:textId="77777777" w:rsidR="00FF2380" w:rsidRDefault="00FF2380">
            <w:pPr>
              <w:pStyle w:val="Table"/>
              <w:rPr>
                <w:rFonts w:ascii="Mangal" w:hAnsi="Mangal" w:cs="Mangal" w:hint="eastAsia"/>
              </w:rPr>
            </w:pPr>
            <w:r>
              <w:t>MI</w:t>
            </w:r>
          </w:p>
        </w:tc>
        <w:tc>
          <w:tcPr>
            <w:tcW w:w="3685" w:type="dxa"/>
            <w:tcBorders>
              <w:top w:val="nil"/>
              <w:left w:val="nil"/>
              <w:bottom w:val="nil"/>
              <w:right w:val="nil"/>
            </w:tcBorders>
            <w:shd w:val="clear" w:color="000000" w:fill="FFFFFF"/>
            <w:vAlign w:val="center"/>
          </w:tcPr>
          <w:p w14:paraId="4C71B6EC" w14:textId="77777777" w:rsidR="00FF2380" w:rsidRDefault="00FF2380">
            <w:pPr>
              <w:pStyle w:val="Table"/>
              <w:rPr>
                <w:rFonts w:ascii="Mangal" w:hAnsi="Mangal" w:cs="Mangal" w:hint="eastAsia"/>
              </w:rPr>
            </w:pPr>
          </w:p>
        </w:tc>
      </w:tr>
      <w:tr w:rsidR="00FF2380" w14:paraId="26022F4A" w14:textId="77777777">
        <w:tc>
          <w:tcPr>
            <w:tcW w:w="5668" w:type="dxa"/>
            <w:tcBorders>
              <w:top w:val="nil"/>
              <w:left w:val="nil"/>
              <w:bottom w:val="nil"/>
              <w:right w:val="nil"/>
            </w:tcBorders>
            <w:shd w:val="clear" w:color="000000" w:fill="FFFFFF"/>
            <w:vAlign w:val="center"/>
          </w:tcPr>
          <w:p w14:paraId="6756EFFC" w14:textId="77777777" w:rsidR="00FF2380" w:rsidRDefault="00FF2380">
            <w:pPr>
              <w:pStyle w:val="Table"/>
              <w:rPr>
                <w:rFonts w:ascii="Mangal" w:hAnsi="Mangal" w:cs="Mangal" w:hint="eastAsia"/>
              </w:rPr>
            </w:pPr>
            <w:r>
              <w:t>Men</w:t>
            </w:r>
          </w:p>
        </w:tc>
        <w:tc>
          <w:tcPr>
            <w:tcW w:w="3685" w:type="dxa"/>
            <w:tcBorders>
              <w:top w:val="nil"/>
              <w:left w:val="nil"/>
              <w:bottom w:val="nil"/>
              <w:right w:val="nil"/>
            </w:tcBorders>
            <w:shd w:val="clear" w:color="000000" w:fill="FFFFFF"/>
            <w:vAlign w:val="center"/>
          </w:tcPr>
          <w:p w14:paraId="0D4187C4" w14:textId="77777777" w:rsidR="00FF2380" w:rsidRDefault="00FF2380">
            <w:pPr>
              <w:pStyle w:val="Table"/>
              <w:rPr>
                <w:rFonts w:ascii="Mangal" w:hAnsi="Mangal" w:cs="Mangal" w:hint="eastAsia"/>
              </w:rPr>
            </w:pPr>
            <w:r>
              <w:t>2.56 (3.44–5.03)</w:t>
            </w:r>
          </w:p>
        </w:tc>
      </w:tr>
      <w:tr w:rsidR="00FF2380" w14:paraId="60DF5FA6" w14:textId="77777777">
        <w:tc>
          <w:tcPr>
            <w:tcW w:w="5668" w:type="dxa"/>
            <w:tcBorders>
              <w:top w:val="single" w:sz="2" w:space="0" w:color="000001"/>
              <w:left w:val="nil"/>
              <w:bottom w:val="single" w:sz="2" w:space="0" w:color="000001"/>
              <w:right w:val="nil"/>
            </w:tcBorders>
            <w:shd w:val="clear" w:color="000000" w:fill="FFFFFF"/>
            <w:vAlign w:val="center"/>
          </w:tcPr>
          <w:p w14:paraId="3CDCEF7E" w14:textId="77777777" w:rsidR="00FF2380" w:rsidRDefault="00FF2380">
            <w:pPr>
              <w:pStyle w:val="Table"/>
              <w:rPr>
                <w:rFonts w:ascii="Mangal" w:hAnsi="Mangal" w:cs="Mangal" w:hint="eastAsia"/>
              </w:rPr>
            </w:pPr>
            <w:r>
              <w:t>Women</w:t>
            </w:r>
          </w:p>
        </w:tc>
        <w:tc>
          <w:tcPr>
            <w:tcW w:w="3685" w:type="dxa"/>
            <w:tcBorders>
              <w:top w:val="single" w:sz="2" w:space="0" w:color="000001"/>
              <w:left w:val="nil"/>
              <w:bottom w:val="single" w:sz="2" w:space="0" w:color="000001"/>
              <w:right w:val="nil"/>
            </w:tcBorders>
            <w:shd w:val="clear" w:color="000000" w:fill="FFFFFF"/>
            <w:vAlign w:val="center"/>
          </w:tcPr>
          <w:p w14:paraId="02DC84CD" w14:textId="77777777" w:rsidR="00FF2380" w:rsidRDefault="00FF2380">
            <w:pPr>
              <w:pStyle w:val="Table"/>
              <w:rPr>
                <w:rFonts w:ascii="Mangal" w:hAnsi="Mangal" w:cs="Mangal" w:hint="eastAsia"/>
              </w:rPr>
            </w:pPr>
            <w:r>
              <w:t>4.16 (2.27–2.88)</w:t>
            </w:r>
          </w:p>
        </w:tc>
      </w:tr>
    </w:tbl>
    <w:p w14:paraId="74653F77" w14:textId="77777777" w:rsidR="00FF2380" w:rsidRDefault="00FF2380">
      <w:pPr>
        <w:pStyle w:val="Legends"/>
        <w:rPr>
          <w:rFonts w:ascii="Mangal" w:hAnsi="Mangal" w:cs="Mangal" w:hint="eastAsia"/>
        </w:rPr>
      </w:pPr>
      <w:r>
        <w:t xml:space="preserve">Source: </w:t>
      </w:r>
      <w:proofErr w:type="spellStart"/>
      <w:r>
        <w:t>Brønnum</w:t>
      </w:r>
      <w:proofErr w:type="spellEnd"/>
      <w:r>
        <w:t>-Hansen et al.</w:t>
      </w:r>
      <w:proofErr w:type="gramStart"/>
      <w:r>
        <w:t>,</w:t>
      </w:r>
      <w:r>
        <w:rPr>
          <w:vertAlign w:val="superscript"/>
        </w:rPr>
        <w:t>52</w:t>
      </w:r>
      <w:r>
        <w:t>Henriksson</w:t>
      </w:r>
      <w:proofErr w:type="gramEnd"/>
      <w:r>
        <w:t xml:space="preserve"> et al.,</w:t>
      </w:r>
      <w:r>
        <w:rPr>
          <w:vertAlign w:val="superscript"/>
        </w:rPr>
        <w:t>53</w:t>
      </w:r>
      <w:r>
        <w:t>Huybrechts et al.</w:t>
      </w:r>
      <w:r>
        <w:rPr>
          <w:vertAlign w:val="superscript"/>
        </w:rPr>
        <w:t>54</w:t>
      </w:r>
    </w:p>
    <w:p w14:paraId="6B40B91B" w14:textId="77777777" w:rsidR="00FF2380" w:rsidRDefault="00FF2380">
      <w:pPr>
        <w:pStyle w:val="Legends"/>
        <w:rPr>
          <w:rFonts w:ascii="Mangal" w:hAnsi="Mangal" w:cs="Mangal" w:hint="eastAsia"/>
        </w:rPr>
      </w:pPr>
      <w:r>
        <w:t>AF: atrial fibrillation; CI: confidence interval; HR: hazard ratio; MI: myocardial infarction.</w:t>
      </w:r>
    </w:p>
    <w:p w14:paraId="2D0A2AD5" w14:textId="77777777" w:rsidR="00FF2380" w:rsidRDefault="00FF2380">
      <w:pPr>
        <w:pStyle w:val="Caption"/>
        <w:rPr>
          <w:rFonts w:ascii="Mangal" w:hAnsi="Mangal" w:cs="Mangal" w:hint="eastAsia"/>
        </w:rPr>
      </w:pPr>
      <w:r>
        <w:rPr>
          <w:b/>
          <w:bCs/>
        </w:rPr>
        <w:t>Supplementary Table 14</w:t>
      </w:r>
      <w:r>
        <w:t xml:space="preserve"> Summary of results of sensitivity analyses.</w:t>
      </w:r>
    </w:p>
    <w:tbl>
      <w:tblPr>
        <w:tblW w:w="9708" w:type="dxa"/>
        <w:tblInd w:w="-55" w:type="dxa"/>
        <w:tblBorders>
          <w:top w:val="single" w:sz="2" w:space="0" w:color="000001"/>
        </w:tblBorders>
        <w:tblCellMar>
          <w:left w:w="57" w:type="dxa"/>
          <w:right w:w="57" w:type="dxa"/>
        </w:tblCellMar>
        <w:tblLook w:val="0000" w:firstRow="0" w:lastRow="0" w:firstColumn="0" w:lastColumn="0" w:noHBand="0" w:noVBand="0"/>
      </w:tblPr>
      <w:tblGrid>
        <w:gridCol w:w="1273"/>
        <w:gridCol w:w="3764"/>
        <w:gridCol w:w="1594"/>
        <w:gridCol w:w="1521"/>
        <w:gridCol w:w="1556"/>
      </w:tblGrid>
      <w:tr w:rsidR="00FF2380" w14:paraId="10358722" w14:textId="77777777">
        <w:trPr>
          <w:cantSplit/>
        </w:trPr>
        <w:tc>
          <w:tcPr>
            <w:tcW w:w="1273" w:type="dxa"/>
            <w:vMerge w:val="restart"/>
            <w:tcBorders>
              <w:top w:val="single" w:sz="2" w:space="0" w:color="000001"/>
              <w:left w:val="nil"/>
              <w:bottom w:val="nil"/>
              <w:right w:val="nil"/>
            </w:tcBorders>
            <w:vAlign w:val="center"/>
          </w:tcPr>
          <w:p w14:paraId="7A1A081D" w14:textId="77777777" w:rsidR="00FF2380" w:rsidRDefault="00FF2380">
            <w:pPr>
              <w:pStyle w:val="Table"/>
              <w:rPr>
                <w:rFonts w:ascii="Mangal" w:hAnsi="Mangal" w:cs="Mangal" w:hint="eastAsia"/>
              </w:rPr>
            </w:pPr>
            <w:r>
              <w:t>Parameter</w:t>
            </w:r>
          </w:p>
        </w:tc>
        <w:tc>
          <w:tcPr>
            <w:tcW w:w="3764" w:type="dxa"/>
            <w:vMerge w:val="restart"/>
            <w:tcBorders>
              <w:top w:val="single" w:sz="2" w:space="0" w:color="000001"/>
              <w:left w:val="nil"/>
              <w:bottom w:val="nil"/>
              <w:right w:val="nil"/>
            </w:tcBorders>
            <w:vAlign w:val="center"/>
          </w:tcPr>
          <w:p w14:paraId="53B63F76" w14:textId="77777777" w:rsidR="00FF2380" w:rsidRDefault="00FF2380">
            <w:pPr>
              <w:pStyle w:val="Table"/>
              <w:rPr>
                <w:rFonts w:ascii="Mangal" w:hAnsi="Mangal" w:cs="Mangal" w:hint="eastAsia"/>
              </w:rPr>
            </w:pPr>
            <w:r>
              <w:t>Analysis</w:t>
            </w:r>
          </w:p>
        </w:tc>
        <w:tc>
          <w:tcPr>
            <w:tcW w:w="1594" w:type="dxa"/>
            <w:tcBorders>
              <w:top w:val="single" w:sz="2" w:space="0" w:color="000001"/>
              <w:left w:val="nil"/>
              <w:bottom w:val="single" w:sz="2" w:space="0" w:color="000001"/>
              <w:right w:val="nil"/>
            </w:tcBorders>
            <w:vAlign w:val="center"/>
          </w:tcPr>
          <w:p w14:paraId="11AD86AF" w14:textId="77777777" w:rsidR="00FF2380" w:rsidRDefault="00FF2380">
            <w:pPr>
              <w:pStyle w:val="Table"/>
              <w:rPr>
                <w:rFonts w:ascii="Mangal" w:hAnsi="Mangal" w:cs="Mangal" w:hint="eastAsia"/>
              </w:rPr>
            </w:pPr>
            <w:r>
              <w:t>Warfarin</w:t>
            </w:r>
          </w:p>
        </w:tc>
        <w:tc>
          <w:tcPr>
            <w:tcW w:w="1521" w:type="dxa"/>
            <w:tcBorders>
              <w:top w:val="single" w:sz="2" w:space="0" w:color="000001"/>
              <w:left w:val="nil"/>
              <w:bottom w:val="single" w:sz="2" w:space="0" w:color="000001"/>
              <w:right w:val="nil"/>
            </w:tcBorders>
            <w:vAlign w:val="center"/>
          </w:tcPr>
          <w:p w14:paraId="4914A1DE" w14:textId="77777777" w:rsidR="00FF2380" w:rsidRDefault="00FF2380">
            <w:pPr>
              <w:pStyle w:val="Table"/>
              <w:rPr>
                <w:rFonts w:ascii="Mangal" w:hAnsi="Mangal" w:cs="Mangal" w:hint="eastAsia"/>
              </w:rPr>
            </w:pPr>
            <w:proofErr w:type="spellStart"/>
            <w:r>
              <w:t>Dabigatran</w:t>
            </w:r>
            <w:proofErr w:type="spellEnd"/>
          </w:p>
        </w:tc>
        <w:tc>
          <w:tcPr>
            <w:tcW w:w="1556" w:type="dxa"/>
            <w:tcBorders>
              <w:top w:val="single" w:sz="2" w:space="0" w:color="000001"/>
              <w:left w:val="nil"/>
              <w:bottom w:val="single" w:sz="2" w:space="0" w:color="000001"/>
              <w:right w:val="nil"/>
            </w:tcBorders>
            <w:vAlign w:val="center"/>
          </w:tcPr>
          <w:p w14:paraId="3792A7A0" w14:textId="77777777" w:rsidR="00FF2380" w:rsidRDefault="00FF2380">
            <w:pPr>
              <w:pStyle w:val="Table"/>
              <w:rPr>
                <w:rFonts w:ascii="Mangal" w:hAnsi="Mangal" w:cs="Mangal" w:hint="eastAsia"/>
              </w:rPr>
            </w:pPr>
            <w:proofErr w:type="spellStart"/>
            <w:r>
              <w:t>Rivaroxaban</w:t>
            </w:r>
            <w:proofErr w:type="spellEnd"/>
          </w:p>
        </w:tc>
      </w:tr>
      <w:tr w:rsidR="00FF2380" w14:paraId="70F68F9B" w14:textId="77777777">
        <w:trPr>
          <w:cantSplit/>
        </w:trPr>
        <w:tc>
          <w:tcPr>
            <w:tcW w:w="1273" w:type="dxa"/>
            <w:vMerge/>
            <w:tcBorders>
              <w:top w:val="nil"/>
              <w:left w:val="nil"/>
              <w:bottom w:val="nil"/>
              <w:right w:val="nil"/>
            </w:tcBorders>
            <w:shd w:val="clear" w:color="000000" w:fill="FFFFFF"/>
            <w:vAlign w:val="center"/>
          </w:tcPr>
          <w:p w14:paraId="708DED4E" w14:textId="77777777" w:rsidR="00FF2380" w:rsidRDefault="00FF2380">
            <w:pPr>
              <w:spacing w:line="240" w:lineRule="auto"/>
              <w:rPr>
                <w:rFonts w:ascii="Mangal" w:hAnsi="Mangal" w:cs="Mangal" w:hint="eastAsia"/>
                <w:sz w:val="20"/>
                <w:szCs w:val="20"/>
              </w:rPr>
            </w:pPr>
          </w:p>
        </w:tc>
        <w:tc>
          <w:tcPr>
            <w:tcW w:w="3764" w:type="dxa"/>
            <w:vMerge/>
            <w:tcBorders>
              <w:top w:val="nil"/>
              <w:left w:val="nil"/>
              <w:bottom w:val="nil"/>
              <w:right w:val="nil"/>
            </w:tcBorders>
            <w:shd w:val="clear" w:color="000000" w:fill="FFFFFF"/>
            <w:vAlign w:val="center"/>
          </w:tcPr>
          <w:p w14:paraId="0FD5ADE5" w14:textId="77777777" w:rsidR="00FF2380" w:rsidRDefault="00FF2380">
            <w:pPr>
              <w:spacing w:line="240" w:lineRule="auto"/>
              <w:rPr>
                <w:rFonts w:ascii="Mangal" w:hAnsi="Mangal" w:cs="Mangal" w:hint="eastAsia"/>
                <w:sz w:val="20"/>
                <w:szCs w:val="20"/>
              </w:rPr>
            </w:pPr>
          </w:p>
        </w:tc>
        <w:tc>
          <w:tcPr>
            <w:tcW w:w="1594" w:type="dxa"/>
            <w:tcBorders>
              <w:top w:val="nil"/>
              <w:left w:val="nil"/>
              <w:bottom w:val="nil"/>
              <w:right w:val="nil"/>
            </w:tcBorders>
            <w:vAlign w:val="center"/>
          </w:tcPr>
          <w:p w14:paraId="137CD4AE" w14:textId="77777777" w:rsidR="00FF2380" w:rsidRDefault="00FF2380">
            <w:pPr>
              <w:pStyle w:val="Table"/>
              <w:rPr>
                <w:rFonts w:ascii="Mangal" w:hAnsi="Mangal" w:cs="Mangal" w:hint="eastAsia"/>
                <w:color w:val="auto"/>
              </w:rPr>
            </w:pPr>
            <w:r>
              <w:rPr>
                <w:color w:val="auto"/>
              </w:rPr>
              <w:t>ICUR (€/QALY)</w:t>
            </w:r>
          </w:p>
        </w:tc>
        <w:tc>
          <w:tcPr>
            <w:tcW w:w="1521" w:type="dxa"/>
            <w:tcBorders>
              <w:top w:val="nil"/>
              <w:left w:val="nil"/>
              <w:bottom w:val="nil"/>
              <w:right w:val="nil"/>
            </w:tcBorders>
            <w:vAlign w:val="center"/>
          </w:tcPr>
          <w:p w14:paraId="36F7CA50" w14:textId="77777777" w:rsidR="00FF2380" w:rsidRDefault="00FF2380">
            <w:pPr>
              <w:pStyle w:val="Table"/>
              <w:rPr>
                <w:rFonts w:ascii="Mangal" w:hAnsi="Mangal" w:cs="Mangal" w:hint="eastAsia"/>
                <w:color w:val="auto"/>
              </w:rPr>
            </w:pPr>
            <w:r>
              <w:rPr>
                <w:color w:val="auto"/>
              </w:rPr>
              <w:t>ICUR (€/QALY)</w:t>
            </w:r>
          </w:p>
        </w:tc>
        <w:tc>
          <w:tcPr>
            <w:tcW w:w="1556" w:type="dxa"/>
            <w:tcBorders>
              <w:top w:val="nil"/>
              <w:left w:val="nil"/>
              <w:bottom w:val="nil"/>
              <w:right w:val="nil"/>
            </w:tcBorders>
            <w:vAlign w:val="center"/>
          </w:tcPr>
          <w:p w14:paraId="5B193441" w14:textId="77777777" w:rsidR="00FF2380" w:rsidRDefault="00FF2380">
            <w:pPr>
              <w:pStyle w:val="Table"/>
              <w:rPr>
                <w:rFonts w:ascii="Mangal" w:hAnsi="Mangal" w:cs="Mangal" w:hint="eastAsia"/>
              </w:rPr>
            </w:pPr>
            <w:r>
              <w:t xml:space="preserve">Net </w:t>
            </w:r>
            <w:proofErr w:type="spellStart"/>
            <w:r>
              <w:t>benefit</w:t>
            </w:r>
            <w:r>
              <w:rPr>
                <w:vertAlign w:val="superscript"/>
              </w:rPr>
              <w:t>a</w:t>
            </w:r>
            <w:proofErr w:type="spellEnd"/>
            <w:r>
              <w:t xml:space="preserve"> (€)</w:t>
            </w:r>
          </w:p>
        </w:tc>
      </w:tr>
      <w:tr w:rsidR="00FF2380" w14:paraId="66E6177D" w14:textId="77777777">
        <w:tc>
          <w:tcPr>
            <w:tcW w:w="1273" w:type="dxa"/>
            <w:tcBorders>
              <w:top w:val="nil"/>
              <w:left w:val="nil"/>
              <w:bottom w:val="nil"/>
              <w:right w:val="nil"/>
            </w:tcBorders>
            <w:vAlign w:val="center"/>
          </w:tcPr>
          <w:p w14:paraId="3DF02006" w14:textId="77777777" w:rsidR="00FF2380" w:rsidRDefault="00FF2380">
            <w:pPr>
              <w:pStyle w:val="Table"/>
              <w:rPr>
                <w:rFonts w:ascii="Mangal" w:hAnsi="Mangal" w:cs="Mangal" w:hint="eastAsia"/>
              </w:rPr>
            </w:pPr>
            <w:r>
              <w:t>1</w:t>
            </w:r>
          </w:p>
        </w:tc>
        <w:tc>
          <w:tcPr>
            <w:tcW w:w="3764" w:type="dxa"/>
            <w:tcBorders>
              <w:top w:val="nil"/>
              <w:left w:val="nil"/>
              <w:bottom w:val="nil"/>
              <w:right w:val="nil"/>
            </w:tcBorders>
            <w:vAlign w:val="center"/>
          </w:tcPr>
          <w:p w14:paraId="4009639E" w14:textId="77777777" w:rsidR="00FF2380" w:rsidRDefault="00FF2380">
            <w:pPr>
              <w:pStyle w:val="Table"/>
              <w:rPr>
                <w:rFonts w:ascii="Mangal" w:hAnsi="Mangal" w:cs="Mangal" w:hint="eastAsia"/>
              </w:rPr>
            </w:pPr>
            <w:r>
              <w:t>Use of the HRs estimated by Mitchell et al.</w:t>
            </w:r>
            <w:r>
              <w:rPr>
                <w:vertAlign w:val="superscript"/>
              </w:rPr>
              <w:t>20</w:t>
            </w:r>
          </w:p>
        </w:tc>
        <w:tc>
          <w:tcPr>
            <w:tcW w:w="1594" w:type="dxa"/>
            <w:tcBorders>
              <w:top w:val="nil"/>
              <w:left w:val="nil"/>
              <w:bottom w:val="nil"/>
              <w:right w:val="nil"/>
            </w:tcBorders>
            <w:vAlign w:val="center"/>
          </w:tcPr>
          <w:p w14:paraId="433F6B48" w14:textId="77777777" w:rsidR="00FF2380" w:rsidRDefault="00FF2380">
            <w:pPr>
              <w:pStyle w:val="Table"/>
              <w:rPr>
                <w:rFonts w:ascii="Mangal" w:hAnsi="Mangal" w:cs="Mangal" w:hint="eastAsia"/>
              </w:rPr>
            </w:pPr>
            <w:r>
              <w:t>5590.52</w:t>
            </w:r>
          </w:p>
        </w:tc>
        <w:tc>
          <w:tcPr>
            <w:tcW w:w="1521" w:type="dxa"/>
            <w:tcBorders>
              <w:top w:val="nil"/>
              <w:left w:val="nil"/>
              <w:bottom w:val="nil"/>
              <w:right w:val="nil"/>
            </w:tcBorders>
            <w:vAlign w:val="center"/>
          </w:tcPr>
          <w:p w14:paraId="73037C8C" w14:textId="77777777" w:rsidR="00FF2380" w:rsidRDefault="00FF2380">
            <w:pPr>
              <w:pStyle w:val="Table"/>
              <w:rPr>
                <w:rFonts w:ascii="Mangal" w:hAnsi="Mangal" w:cs="Mangal" w:hint="eastAsia"/>
              </w:rPr>
            </w:pPr>
            <w:r>
              <w:t>10599.93</w:t>
            </w:r>
          </w:p>
        </w:tc>
        <w:tc>
          <w:tcPr>
            <w:tcW w:w="1556" w:type="dxa"/>
            <w:tcBorders>
              <w:top w:val="nil"/>
              <w:left w:val="nil"/>
              <w:bottom w:val="nil"/>
              <w:right w:val="nil"/>
            </w:tcBorders>
            <w:vAlign w:val="center"/>
          </w:tcPr>
          <w:p w14:paraId="67CE0D6E" w14:textId="77777777" w:rsidR="00FF2380" w:rsidRDefault="00FF2380">
            <w:pPr>
              <w:pStyle w:val="Table"/>
              <w:rPr>
                <w:rFonts w:ascii="Mangal" w:hAnsi="Mangal" w:cs="Mangal" w:hint="eastAsia"/>
              </w:rPr>
            </w:pPr>
            <w:r>
              <w:t>737.27</w:t>
            </w:r>
          </w:p>
        </w:tc>
      </w:tr>
      <w:tr w:rsidR="00FF2380" w14:paraId="76391C2E" w14:textId="77777777">
        <w:tc>
          <w:tcPr>
            <w:tcW w:w="1273" w:type="dxa"/>
            <w:tcBorders>
              <w:top w:val="nil"/>
              <w:left w:val="nil"/>
              <w:bottom w:val="nil"/>
              <w:right w:val="nil"/>
            </w:tcBorders>
            <w:vAlign w:val="center"/>
          </w:tcPr>
          <w:p w14:paraId="24201125" w14:textId="77777777" w:rsidR="00FF2380" w:rsidRDefault="00FF2380">
            <w:pPr>
              <w:pStyle w:val="Table"/>
              <w:rPr>
                <w:rFonts w:ascii="Mangal" w:hAnsi="Mangal" w:cs="Mangal" w:hint="eastAsia"/>
              </w:rPr>
            </w:pPr>
            <w:r>
              <w:t>2</w:t>
            </w:r>
          </w:p>
        </w:tc>
        <w:tc>
          <w:tcPr>
            <w:tcW w:w="3764" w:type="dxa"/>
            <w:tcBorders>
              <w:top w:val="nil"/>
              <w:left w:val="nil"/>
              <w:bottom w:val="nil"/>
              <w:right w:val="nil"/>
            </w:tcBorders>
            <w:vAlign w:val="center"/>
          </w:tcPr>
          <w:p w14:paraId="7D3E8025" w14:textId="77777777" w:rsidR="00FF2380" w:rsidRDefault="00FF2380">
            <w:pPr>
              <w:pStyle w:val="Table"/>
              <w:rPr>
                <w:rFonts w:ascii="Mangal" w:hAnsi="Mangal" w:cs="Mangal" w:hint="eastAsia"/>
              </w:rPr>
            </w:pPr>
            <w:r>
              <w:t>Anticoagulation levels as reported in the clinical trials</w:t>
            </w:r>
          </w:p>
        </w:tc>
        <w:tc>
          <w:tcPr>
            <w:tcW w:w="1594" w:type="dxa"/>
            <w:tcBorders>
              <w:top w:val="nil"/>
              <w:left w:val="nil"/>
              <w:bottom w:val="nil"/>
              <w:right w:val="nil"/>
            </w:tcBorders>
            <w:vAlign w:val="center"/>
          </w:tcPr>
          <w:p w14:paraId="61C70520" w14:textId="77777777" w:rsidR="00FF2380" w:rsidRDefault="00FF2380">
            <w:pPr>
              <w:pStyle w:val="Table"/>
              <w:rPr>
                <w:rFonts w:ascii="Mangal" w:hAnsi="Mangal" w:cs="Mangal" w:hint="eastAsia"/>
              </w:rPr>
            </w:pPr>
            <w:r>
              <w:t>6740.70</w:t>
            </w:r>
          </w:p>
        </w:tc>
        <w:tc>
          <w:tcPr>
            <w:tcW w:w="1521" w:type="dxa"/>
            <w:tcBorders>
              <w:top w:val="nil"/>
              <w:left w:val="nil"/>
              <w:bottom w:val="nil"/>
              <w:right w:val="nil"/>
            </w:tcBorders>
            <w:vAlign w:val="center"/>
          </w:tcPr>
          <w:p w14:paraId="2B1C75DE" w14:textId="77777777" w:rsidR="00FF2380" w:rsidRDefault="00FF2380">
            <w:pPr>
              <w:pStyle w:val="Table"/>
              <w:rPr>
                <w:rFonts w:ascii="Mangal" w:hAnsi="Mangal" w:cs="Mangal" w:hint="eastAsia"/>
              </w:rPr>
            </w:pPr>
            <w:r>
              <w:t>8229.74</w:t>
            </w:r>
          </w:p>
        </w:tc>
        <w:tc>
          <w:tcPr>
            <w:tcW w:w="1556" w:type="dxa"/>
            <w:tcBorders>
              <w:top w:val="nil"/>
              <w:left w:val="nil"/>
              <w:bottom w:val="nil"/>
              <w:right w:val="nil"/>
            </w:tcBorders>
            <w:vAlign w:val="center"/>
          </w:tcPr>
          <w:p w14:paraId="7DE285EF" w14:textId="77777777" w:rsidR="00FF2380" w:rsidRDefault="00FF2380">
            <w:pPr>
              <w:pStyle w:val="Table"/>
              <w:rPr>
                <w:rFonts w:ascii="Mangal" w:hAnsi="Mangal" w:cs="Mangal" w:hint="eastAsia"/>
              </w:rPr>
            </w:pPr>
            <w:r>
              <w:t>874.30</w:t>
            </w:r>
          </w:p>
        </w:tc>
      </w:tr>
      <w:tr w:rsidR="00FF2380" w14:paraId="3364994F" w14:textId="77777777">
        <w:tc>
          <w:tcPr>
            <w:tcW w:w="1273" w:type="dxa"/>
            <w:tcBorders>
              <w:top w:val="nil"/>
              <w:left w:val="nil"/>
              <w:bottom w:val="nil"/>
              <w:right w:val="nil"/>
            </w:tcBorders>
            <w:vAlign w:val="center"/>
          </w:tcPr>
          <w:p w14:paraId="07FB0262" w14:textId="77777777" w:rsidR="00FF2380" w:rsidRDefault="00FF2380">
            <w:pPr>
              <w:pStyle w:val="Table"/>
              <w:rPr>
                <w:rFonts w:ascii="Mangal" w:hAnsi="Mangal" w:cs="Mangal" w:hint="eastAsia"/>
              </w:rPr>
            </w:pPr>
            <w:r>
              <w:t>3</w:t>
            </w:r>
          </w:p>
        </w:tc>
        <w:tc>
          <w:tcPr>
            <w:tcW w:w="3764" w:type="dxa"/>
            <w:tcBorders>
              <w:top w:val="nil"/>
              <w:left w:val="nil"/>
              <w:bottom w:val="nil"/>
              <w:right w:val="nil"/>
            </w:tcBorders>
            <w:vAlign w:val="center"/>
          </w:tcPr>
          <w:p w14:paraId="43970BD8" w14:textId="77777777" w:rsidR="00FF2380" w:rsidRDefault="00FF2380">
            <w:pPr>
              <w:pStyle w:val="Table"/>
              <w:rPr>
                <w:rFonts w:ascii="Mangal" w:hAnsi="Mangal" w:cs="Mangal" w:hint="eastAsia"/>
              </w:rPr>
            </w:pPr>
            <w:r>
              <w:t>Duration of the acute phase of hospitalization 6 weeks</w:t>
            </w:r>
          </w:p>
        </w:tc>
        <w:tc>
          <w:tcPr>
            <w:tcW w:w="1594" w:type="dxa"/>
            <w:tcBorders>
              <w:top w:val="nil"/>
              <w:left w:val="nil"/>
              <w:bottom w:val="nil"/>
              <w:right w:val="nil"/>
            </w:tcBorders>
            <w:vAlign w:val="center"/>
          </w:tcPr>
          <w:p w14:paraId="14AE37AF" w14:textId="77777777" w:rsidR="00FF2380" w:rsidRDefault="00FF2380">
            <w:pPr>
              <w:pStyle w:val="Table"/>
              <w:rPr>
                <w:rFonts w:ascii="Mangal" w:hAnsi="Mangal" w:cs="Mangal" w:hint="eastAsia"/>
              </w:rPr>
            </w:pPr>
            <w:r>
              <w:t>5531.95</w:t>
            </w:r>
          </w:p>
        </w:tc>
        <w:tc>
          <w:tcPr>
            <w:tcW w:w="1521" w:type="dxa"/>
            <w:tcBorders>
              <w:top w:val="nil"/>
              <w:left w:val="nil"/>
              <w:bottom w:val="nil"/>
              <w:right w:val="nil"/>
            </w:tcBorders>
            <w:vAlign w:val="center"/>
          </w:tcPr>
          <w:p w14:paraId="7A9B02B9" w14:textId="77777777" w:rsidR="00FF2380" w:rsidRDefault="00FF2380">
            <w:pPr>
              <w:pStyle w:val="Table"/>
              <w:rPr>
                <w:rFonts w:ascii="Mangal" w:hAnsi="Mangal" w:cs="Mangal" w:hint="eastAsia"/>
              </w:rPr>
            </w:pPr>
            <w:r>
              <w:t>9160.65</w:t>
            </w:r>
          </w:p>
        </w:tc>
        <w:tc>
          <w:tcPr>
            <w:tcW w:w="1556" w:type="dxa"/>
            <w:tcBorders>
              <w:top w:val="nil"/>
              <w:left w:val="nil"/>
              <w:bottom w:val="nil"/>
              <w:right w:val="nil"/>
            </w:tcBorders>
            <w:vAlign w:val="center"/>
          </w:tcPr>
          <w:p w14:paraId="27C45E5B" w14:textId="77777777" w:rsidR="00FF2380" w:rsidRDefault="00FF2380">
            <w:pPr>
              <w:pStyle w:val="Table"/>
              <w:rPr>
                <w:rFonts w:ascii="Mangal" w:hAnsi="Mangal" w:cs="Mangal" w:hint="eastAsia"/>
              </w:rPr>
            </w:pPr>
            <w:r>
              <w:t>730.37</w:t>
            </w:r>
          </w:p>
        </w:tc>
      </w:tr>
      <w:tr w:rsidR="00FF2380" w14:paraId="541FBCEF" w14:textId="77777777">
        <w:tc>
          <w:tcPr>
            <w:tcW w:w="1273" w:type="dxa"/>
            <w:tcBorders>
              <w:top w:val="nil"/>
              <w:left w:val="nil"/>
              <w:bottom w:val="nil"/>
              <w:right w:val="nil"/>
            </w:tcBorders>
            <w:vAlign w:val="center"/>
          </w:tcPr>
          <w:p w14:paraId="355A33C8" w14:textId="77777777" w:rsidR="00FF2380" w:rsidRDefault="00FF2380">
            <w:pPr>
              <w:pStyle w:val="Table"/>
              <w:rPr>
                <w:rFonts w:ascii="Mangal" w:hAnsi="Mangal" w:cs="Mangal" w:hint="eastAsia"/>
              </w:rPr>
            </w:pPr>
            <w:r>
              <w:t>4</w:t>
            </w:r>
          </w:p>
        </w:tc>
        <w:tc>
          <w:tcPr>
            <w:tcW w:w="3764" w:type="dxa"/>
            <w:tcBorders>
              <w:top w:val="nil"/>
              <w:left w:val="nil"/>
              <w:bottom w:val="nil"/>
              <w:right w:val="nil"/>
            </w:tcBorders>
            <w:vAlign w:val="center"/>
          </w:tcPr>
          <w:p w14:paraId="60814F74" w14:textId="77777777" w:rsidR="00FF2380" w:rsidRDefault="00FF2380">
            <w:pPr>
              <w:pStyle w:val="Table"/>
              <w:rPr>
                <w:rFonts w:ascii="Mangal" w:hAnsi="Mangal" w:cs="Mangal" w:hint="eastAsia"/>
              </w:rPr>
            </w:pPr>
            <w:r>
              <w:t>Costs of stroke depending on severity, based on UK figures)</w:t>
            </w:r>
          </w:p>
        </w:tc>
        <w:tc>
          <w:tcPr>
            <w:tcW w:w="1594" w:type="dxa"/>
            <w:tcBorders>
              <w:top w:val="nil"/>
              <w:left w:val="nil"/>
              <w:bottom w:val="nil"/>
              <w:right w:val="nil"/>
            </w:tcBorders>
            <w:vAlign w:val="center"/>
          </w:tcPr>
          <w:p w14:paraId="5BD20023" w14:textId="77777777" w:rsidR="00FF2380" w:rsidRDefault="00FF2380">
            <w:pPr>
              <w:pStyle w:val="Table"/>
              <w:rPr>
                <w:rFonts w:ascii="Mangal" w:hAnsi="Mangal" w:cs="Mangal" w:hint="eastAsia"/>
              </w:rPr>
            </w:pPr>
            <w:r>
              <w:t>5559.85</w:t>
            </w:r>
          </w:p>
        </w:tc>
        <w:tc>
          <w:tcPr>
            <w:tcW w:w="1521" w:type="dxa"/>
            <w:tcBorders>
              <w:top w:val="nil"/>
              <w:left w:val="nil"/>
              <w:bottom w:val="nil"/>
              <w:right w:val="nil"/>
            </w:tcBorders>
            <w:vAlign w:val="center"/>
          </w:tcPr>
          <w:p w14:paraId="225C273E" w14:textId="77777777" w:rsidR="00FF2380" w:rsidRDefault="00FF2380">
            <w:pPr>
              <w:pStyle w:val="Table"/>
              <w:rPr>
                <w:rFonts w:ascii="Mangal" w:hAnsi="Mangal" w:cs="Mangal" w:hint="eastAsia"/>
              </w:rPr>
            </w:pPr>
            <w:r>
              <w:t>8449.95</w:t>
            </w:r>
          </w:p>
        </w:tc>
        <w:tc>
          <w:tcPr>
            <w:tcW w:w="1556" w:type="dxa"/>
            <w:tcBorders>
              <w:top w:val="nil"/>
              <w:left w:val="nil"/>
              <w:bottom w:val="nil"/>
              <w:right w:val="nil"/>
            </w:tcBorders>
            <w:vAlign w:val="center"/>
          </w:tcPr>
          <w:p w14:paraId="445A37E9" w14:textId="77777777" w:rsidR="00FF2380" w:rsidRDefault="00FF2380">
            <w:pPr>
              <w:pStyle w:val="Table"/>
              <w:rPr>
                <w:rFonts w:ascii="Mangal" w:hAnsi="Mangal" w:cs="Mangal" w:hint="eastAsia"/>
              </w:rPr>
            </w:pPr>
            <w:r>
              <w:t>723.18</w:t>
            </w:r>
          </w:p>
        </w:tc>
      </w:tr>
      <w:tr w:rsidR="00FF2380" w14:paraId="7DBBA9C1" w14:textId="77777777">
        <w:tc>
          <w:tcPr>
            <w:tcW w:w="1273" w:type="dxa"/>
            <w:tcBorders>
              <w:top w:val="nil"/>
              <w:left w:val="nil"/>
              <w:bottom w:val="nil"/>
              <w:right w:val="nil"/>
            </w:tcBorders>
            <w:vAlign w:val="center"/>
          </w:tcPr>
          <w:p w14:paraId="60A00E1D" w14:textId="77777777" w:rsidR="00FF2380" w:rsidRDefault="00FF2380">
            <w:pPr>
              <w:pStyle w:val="Table"/>
              <w:rPr>
                <w:rFonts w:ascii="Mangal" w:hAnsi="Mangal" w:cs="Mangal" w:hint="eastAsia"/>
              </w:rPr>
            </w:pPr>
            <w:r>
              <w:t>5</w:t>
            </w:r>
          </w:p>
        </w:tc>
        <w:tc>
          <w:tcPr>
            <w:tcW w:w="3764" w:type="dxa"/>
            <w:tcBorders>
              <w:top w:val="nil"/>
              <w:left w:val="nil"/>
              <w:bottom w:val="nil"/>
              <w:right w:val="nil"/>
            </w:tcBorders>
            <w:vAlign w:val="center"/>
          </w:tcPr>
          <w:p w14:paraId="774A60F3" w14:textId="77777777" w:rsidR="00FF2380" w:rsidRDefault="00FF2380">
            <w:pPr>
              <w:pStyle w:val="Table"/>
              <w:rPr>
                <w:rFonts w:ascii="Mangal" w:hAnsi="Mangal" w:cs="Mangal" w:hint="eastAsia"/>
              </w:rPr>
            </w:pPr>
            <w:r>
              <w:t xml:space="preserve">The same distribution of stroke of similar severity for all </w:t>
            </w:r>
            <w:proofErr w:type="spellStart"/>
            <w:r>
              <w:t>comparators</w:t>
            </w:r>
            <w:r>
              <w:rPr>
                <w:vertAlign w:val="superscript"/>
              </w:rPr>
              <w:t>b</w:t>
            </w:r>
            <w:proofErr w:type="spellEnd"/>
          </w:p>
        </w:tc>
        <w:tc>
          <w:tcPr>
            <w:tcW w:w="1594" w:type="dxa"/>
            <w:tcBorders>
              <w:top w:val="nil"/>
              <w:left w:val="nil"/>
              <w:bottom w:val="nil"/>
              <w:right w:val="nil"/>
            </w:tcBorders>
            <w:vAlign w:val="center"/>
          </w:tcPr>
          <w:p w14:paraId="7B763220" w14:textId="77777777" w:rsidR="00FF2380" w:rsidRDefault="00FF2380">
            <w:pPr>
              <w:pStyle w:val="Table"/>
              <w:rPr>
                <w:rFonts w:ascii="Mangal" w:hAnsi="Mangal" w:cs="Mangal" w:hint="eastAsia"/>
              </w:rPr>
            </w:pPr>
            <w:r>
              <w:t>5601.85</w:t>
            </w:r>
          </w:p>
        </w:tc>
        <w:tc>
          <w:tcPr>
            <w:tcW w:w="1521" w:type="dxa"/>
            <w:tcBorders>
              <w:top w:val="nil"/>
              <w:left w:val="nil"/>
              <w:bottom w:val="nil"/>
              <w:right w:val="nil"/>
            </w:tcBorders>
            <w:vAlign w:val="center"/>
          </w:tcPr>
          <w:p w14:paraId="006DEC8A" w14:textId="77777777" w:rsidR="00FF2380" w:rsidRDefault="00FF2380">
            <w:pPr>
              <w:pStyle w:val="Table"/>
              <w:rPr>
                <w:rFonts w:ascii="Mangal" w:hAnsi="Mangal" w:cs="Mangal" w:hint="eastAsia"/>
              </w:rPr>
            </w:pPr>
            <w:r>
              <w:t>12016.36</w:t>
            </w:r>
          </w:p>
        </w:tc>
        <w:tc>
          <w:tcPr>
            <w:tcW w:w="1556" w:type="dxa"/>
            <w:tcBorders>
              <w:top w:val="nil"/>
              <w:left w:val="nil"/>
              <w:bottom w:val="nil"/>
              <w:right w:val="nil"/>
            </w:tcBorders>
            <w:vAlign w:val="center"/>
          </w:tcPr>
          <w:p w14:paraId="141827CD" w14:textId="77777777" w:rsidR="00FF2380" w:rsidRDefault="00FF2380">
            <w:pPr>
              <w:pStyle w:val="Table"/>
              <w:rPr>
                <w:rFonts w:ascii="Mangal" w:hAnsi="Mangal" w:cs="Mangal" w:hint="eastAsia"/>
              </w:rPr>
            </w:pPr>
            <w:r>
              <w:t>564.64</w:t>
            </w:r>
          </w:p>
        </w:tc>
      </w:tr>
      <w:tr w:rsidR="00FF2380" w14:paraId="0EA414F1" w14:textId="77777777">
        <w:tc>
          <w:tcPr>
            <w:tcW w:w="1273" w:type="dxa"/>
            <w:tcBorders>
              <w:top w:val="nil"/>
              <w:left w:val="nil"/>
              <w:bottom w:val="nil"/>
              <w:right w:val="nil"/>
            </w:tcBorders>
            <w:vAlign w:val="center"/>
          </w:tcPr>
          <w:p w14:paraId="236C44FE" w14:textId="77777777" w:rsidR="00FF2380" w:rsidRDefault="00FF2380">
            <w:pPr>
              <w:pStyle w:val="Table"/>
              <w:rPr>
                <w:rFonts w:ascii="Mangal" w:hAnsi="Mangal" w:cs="Mangal" w:hint="eastAsia"/>
              </w:rPr>
            </w:pPr>
            <w:r>
              <w:t>6</w:t>
            </w:r>
          </w:p>
        </w:tc>
        <w:tc>
          <w:tcPr>
            <w:tcW w:w="3764" w:type="dxa"/>
            <w:tcBorders>
              <w:top w:val="nil"/>
              <w:left w:val="nil"/>
              <w:bottom w:val="nil"/>
              <w:right w:val="nil"/>
            </w:tcBorders>
            <w:vAlign w:val="center"/>
          </w:tcPr>
          <w:p w14:paraId="0B9F877D" w14:textId="77777777" w:rsidR="00FF2380" w:rsidRDefault="00FF2380">
            <w:pPr>
              <w:pStyle w:val="Table"/>
              <w:rPr>
                <w:rFonts w:ascii="Mangal" w:hAnsi="Mangal" w:cs="Mangal" w:hint="eastAsia"/>
              </w:rPr>
            </w:pPr>
            <w:r>
              <w:t xml:space="preserve">The same treatment discontinuation rates for non-vascular causes for all comparators from the beginning of </w:t>
            </w:r>
            <w:proofErr w:type="spellStart"/>
            <w:r>
              <w:t>treatment</w:t>
            </w:r>
            <w:r>
              <w:rPr>
                <w:vertAlign w:val="superscript"/>
              </w:rPr>
              <w:t>b</w:t>
            </w:r>
            <w:proofErr w:type="spellEnd"/>
          </w:p>
        </w:tc>
        <w:tc>
          <w:tcPr>
            <w:tcW w:w="1594" w:type="dxa"/>
            <w:tcBorders>
              <w:top w:val="nil"/>
              <w:left w:val="nil"/>
              <w:bottom w:val="nil"/>
              <w:right w:val="nil"/>
            </w:tcBorders>
            <w:vAlign w:val="center"/>
          </w:tcPr>
          <w:p w14:paraId="021D7744" w14:textId="77777777" w:rsidR="00FF2380" w:rsidRDefault="00FF2380">
            <w:pPr>
              <w:pStyle w:val="Table"/>
              <w:rPr>
                <w:rFonts w:ascii="Mangal" w:hAnsi="Mangal" w:cs="Mangal" w:hint="eastAsia"/>
              </w:rPr>
            </w:pPr>
            <w:r>
              <w:t>5313.84</w:t>
            </w:r>
          </w:p>
        </w:tc>
        <w:tc>
          <w:tcPr>
            <w:tcW w:w="1521" w:type="dxa"/>
            <w:tcBorders>
              <w:top w:val="nil"/>
              <w:left w:val="nil"/>
              <w:bottom w:val="nil"/>
              <w:right w:val="nil"/>
            </w:tcBorders>
            <w:vAlign w:val="center"/>
          </w:tcPr>
          <w:p w14:paraId="3F752FAA" w14:textId="77777777" w:rsidR="00FF2380" w:rsidRDefault="00FF2380">
            <w:pPr>
              <w:pStyle w:val="Table"/>
              <w:rPr>
                <w:rFonts w:ascii="Mangal" w:hAnsi="Mangal" w:cs="Mangal" w:hint="eastAsia"/>
              </w:rPr>
            </w:pPr>
            <w:r>
              <w:t>5161.81</w:t>
            </w:r>
          </w:p>
        </w:tc>
        <w:tc>
          <w:tcPr>
            <w:tcW w:w="1556" w:type="dxa"/>
            <w:tcBorders>
              <w:top w:val="nil"/>
              <w:left w:val="nil"/>
              <w:bottom w:val="nil"/>
              <w:right w:val="nil"/>
            </w:tcBorders>
            <w:vAlign w:val="center"/>
          </w:tcPr>
          <w:p w14:paraId="0DB25CF0" w14:textId="77777777" w:rsidR="00FF2380" w:rsidRDefault="00FF2380">
            <w:pPr>
              <w:pStyle w:val="Table"/>
              <w:rPr>
                <w:rFonts w:ascii="Mangal" w:hAnsi="Mangal" w:cs="Mangal" w:hint="eastAsia"/>
              </w:rPr>
            </w:pPr>
            <w:r>
              <w:t>679.93</w:t>
            </w:r>
          </w:p>
        </w:tc>
      </w:tr>
      <w:tr w:rsidR="00FF2380" w14:paraId="1BB81B4C" w14:textId="77777777">
        <w:tc>
          <w:tcPr>
            <w:tcW w:w="1273" w:type="dxa"/>
            <w:tcBorders>
              <w:top w:val="nil"/>
              <w:left w:val="nil"/>
              <w:bottom w:val="nil"/>
              <w:right w:val="nil"/>
            </w:tcBorders>
            <w:vAlign w:val="center"/>
          </w:tcPr>
          <w:p w14:paraId="47C42C67" w14:textId="77777777" w:rsidR="00FF2380" w:rsidRDefault="00FF2380">
            <w:pPr>
              <w:pStyle w:val="Table"/>
              <w:rPr>
                <w:rFonts w:ascii="Mangal" w:hAnsi="Mangal" w:cs="Mangal" w:hint="eastAsia"/>
              </w:rPr>
            </w:pPr>
            <w:r>
              <w:t>7</w:t>
            </w:r>
          </w:p>
        </w:tc>
        <w:tc>
          <w:tcPr>
            <w:tcW w:w="3764" w:type="dxa"/>
            <w:tcBorders>
              <w:top w:val="nil"/>
              <w:left w:val="nil"/>
              <w:bottom w:val="nil"/>
              <w:right w:val="nil"/>
            </w:tcBorders>
            <w:vAlign w:val="center"/>
          </w:tcPr>
          <w:p w14:paraId="4BE856DD" w14:textId="77777777" w:rsidR="00FF2380" w:rsidRDefault="00FF2380">
            <w:pPr>
              <w:pStyle w:val="Table"/>
              <w:rPr>
                <w:rFonts w:ascii="Mangal" w:hAnsi="Mangal" w:cs="Mangal" w:hint="eastAsia"/>
              </w:rPr>
            </w:pPr>
            <w:r>
              <w:t>Mortality rates after the trial period the same as for the general population</w:t>
            </w:r>
          </w:p>
        </w:tc>
        <w:tc>
          <w:tcPr>
            <w:tcW w:w="1594" w:type="dxa"/>
            <w:tcBorders>
              <w:top w:val="nil"/>
              <w:left w:val="nil"/>
              <w:bottom w:val="nil"/>
              <w:right w:val="nil"/>
            </w:tcBorders>
            <w:vAlign w:val="center"/>
          </w:tcPr>
          <w:p w14:paraId="2B594842" w14:textId="77777777" w:rsidR="00FF2380" w:rsidRDefault="00FF2380">
            <w:pPr>
              <w:pStyle w:val="Table"/>
              <w:rPr>
                <w:rFonts w:ascii="Mangal" w:hAnsi="Mangal" w:cs="Mangal" w:hint="eastAsia"/>
              </w:rPr>
            </w:pPr>
            <w:r>
              <w:t>5234.19</w:t>
            </w:r>
          </w:p>
        </w:tc>
        <w:tc>
          <w:tcPr>
            <w:tcW w:w="1521" w:type="dxa"/>
            <w:tcBorders>
              <w:top w:val="nil"/>
              <w:left w:val="nil"/>
              <w:bottom w:val="nil"/>
              <w:right w:val="nil"/>
            </w:tcBorders>
            <w:vAlign w:val="center"/>
          </w:tcPr>
          <w:p w14:paraId="1B35DC01" w14:textId="77777777" w:rsidR="00FF2380" w:rsidRDefault="00FF2380">
            <w:pPr>
              <w:pStyle w:val="Table"/>
              <w:rPr>
                <w:rFonts w:ascii="Mangal" w:hAnsi="Mangal" w:cs="Mangal" w:hint="eastAsia"/>
              </w:rPr>
            </w:pPr>
            <w:r>
              <w:t>8444.37</w:t>
            </w:r>
          </w:p>
        </w:tc>
        <w:tc>
          <w:tcPr>
            <w:tcW w:w="1556" w:type="dxa"/>
            <w:tcBorders>
              <w:top w:val="nil"/>
              <w:left w:val="nil"/>
              <w:bottom w:val="nil"/>
              <w:right w:val="nil"/>
            </w:tcBorders>
            <w:vAlign w:val="center"/>
          </w:tcPr>
          <w:p w14:paraId="7C45C589" w14:textId="77777777" w:rsidR="00FF2380" w:rsidRDefault="00FF2380">
            <w:pPr>
              <w:pStyle w:val="Table"/>
              <w:rPr>
                <w:rFonts w:ascii="Mangal" w:hAnsi="Mangal" w:cs="Mangal" w:hint="eastAsia"/>
              </w:rPr>
            </w:pPr>
            <w:r>
              <w:t>767.13</w:t>
            </w:r>
          </w:p>
        </w:tc>
      </w:tr>
      <w:tr w:rsidR="00FF2380" w14:paraId="3AD9DC6F" w14:textId="77777777">
        <w:tc>
          <w:tcPr>
            <w:tcW w:w="1273" w:type="dxa"/>
            <w:tcBorders>
              <w:top w:val="nil"/>
              <w:left w:val="nil"/>
              <w:bottom w:val="nil"/>
              <w:right w:val="nil"/>
            </w:tcBorders>
            <w:vAlign w:val="center"/>
          </w:tcPr>
          <w:p w14:paraId="00FBF646" w14:textId="77777777" w:rsidR="00FF2380" w:rsidRDefault="00FF2380">
            <w:pPr>
              <w:pStyle w:val="Table"/>
              <w:rPr>
                <w:rFonts w:ascii="Mangal" w:hAnsi="Mangal" w:cs="Mangal" w:hint="eastAsia"/>
              </w:rPr>
            </w:pPr>
            <w:r>
              <w:t>8</w:t>
            </w:r>
          </w:p>
        </w:tc>
        <w:tc>
          <w:tcPr>
            <w:tcW w:w="3764" w:type="dxa"/>
            <w:tcBorders>
              <w:top w:val="nil"/>
              <w:left w:val="nil"/>
              <w:bottom w:val="nil"/>
              <w:right w:val="nil"/>
            </w:tcBorders>
            <w:vAlign w:val="center"/>
          </w:tcPr>
          <w:p w14:paraId="5D238FBA" w14:textId="77777777" w:rsidR="00FF2380" w:rsidRDefault="00FF2380">
            <w:pPr>
              <w:pStyle w:val="Table"/>
              <w:rPr>
                <w:rFonts w:ascii="Mangal" w:hAnsi="Mangal" w:cs="Mangal" w:hint="eastAsia"/>
              </w:rPr>
            </w:pPr>
            <w:r>
              <w:t>Utilities estimated by Sullivan et al.</w:t>
            </w:r>
            <w:r>
              <w:rPr>
                <w:color w:val="auto"/>
                <w:vertAlign w:val="superscript"/>
              </w:rPr>
              <w:t>46</w:t>
            </w:r>
          </w:p>
        </w:tc>
        <w:tc>
          <w:tcPr>
            <w:tcW w:w="1594" w:type="dxa"/>
            <w:tcBorders>
              <w:top w:val="nil"/>
              <w:left w:val="nil"/>
              <w:bottom w:val="nil"/>
              <w:right w:val="nil"/>
            </w:tcBorders>
            <w:vAlign w:val="center"/>
          </w:tcPr>
          <w:p w14:paraId="384DCA88" w14:textId="77777777" w:rsidR="00FF2380" w:rsidRDefault="00FF2380">
            <w:pPr>
              <w:pStyle w:val="Table"/>
              <w:rPr>
                <w:rFonts w:ascii="Mangal" w:hAnsi="Mangal" w:cs="Mangal" w:hint="eastAsia"/>
              </w:rPr>
            </w:pPr>
            <w:r>
              <w:t>5125.67</w:t>
            </w:r>
          </w:p>
        </w:tc>
        <w:tc>
          <w:tcPr>
            <w:tcW w:w="1521" w:type="dxa"/>
            <w:tcBorders>
              <w:top w:val="nil"/>
              <w:left w:val="nil"/>
              <w:bottom w:val="nil"/>
              <w:right w:val="nil"/>
            </w:tcBorders>
            <w:vAlign w:val="center"/>
          </w:tcPr>
          <w:p w14:paraId="1B5FA14B" w14:textId="77777777" w:rsidR="00FF2380" w:rsidRDefault="00FF2380">
            <w:pPr>
              <w:pStyle w:val="Table"/>
              <w:rPr>
                <w:rFonts w:ascii="Mangal" w:hAnsi="Mangal" w:cs="Mangal" w:hint="eastAsia"/>
              </w:rPr>
            </w:pPr>
            <w:r>
              <w:t>7926.91</w:t>
            </w:r>
          </w:p>
        </w:tc>
        <w:tc>
          <w:tcPr>
            <w:tcW w:w="1556" w:type="dxa"/>
            <w:tcBorders>
              <w:top w:val="nil"/>
              <w:left w:val="nil"/>
              <w:bottom w:val="nil"/>
              <w:right w:val="nil"/>
            </w:tcBorders>
            <w:vAlign w:val="center"/>
          </w:tcPr>
          <w:p w14:paraId="3EBB8493" w14:textId="77777777" w:rsidR="00FF2380" w:rsidRDefault="00FF2380">
            <w:pPr>
              <w:pStyle w:val="Table"/>
              <w:rPr>
                <w:rFonts w:ascii="Mangal" w:hAnsi="Mangal" w:cs="Mangal" w:hint="eastAsia"/>
              </w:rPr>
            </w:pPr>
            <w:r>
              <w:t>746.79</w:t>
            </w:r>
          </w:p>
        </w:tc>
      </w:tr>
      <w:tr w:rsidR="00FF2380" w14:paraId="41594A21" w14:textId="77777777">
        <w:tc>
          <w:tcPr>
            <w:tcW w:w="1273" w:type="dxa"/>
            <w:tcBorders>
              <w:top w:val="single" w:sz="2" w:space="0" w:color="000001"/>
              <w:left w:val="nil"/>
              <w:bottom w:val="single" w:sz="2" w:space="0" w:color="000001"/>
              <w:right w:val="nil"/>
            </w:tcBorders>
            <w:vAlign w:val="center"/>
          </w:tcPr>
          <w:p w14:paraId="52EA70C7" w14:textId="77777777" w:rsidR="00FF2380" w:rsidRDefault="00FF2380">
            <w:pPr>
              <w:pStyle w:val="Table"/>
              <w:rPr>
                <w:rFonts w:ascii="Mangal" w:hAnsi="Mangal" w:cs="Mangal" w:hint="eastAsia"/>
              </w:rPr>
            </w:pPr>
            <w:r>
              <w:t>9</w:t>
            </w:r>
          </w:p>
        </w:tc>
        <w:tc>
          <w:tcPr>
            <w:tcW w:w="3764" w:type="dxa"/>
            <w:tcBorders>
              <w:top w:val="single" w:sz="2" w:space="0" w:color="000001"/>
              <w:left w:val="nil"/>
              <w:bottom w:val="single" w:sz="2" w:space="0" w:color="000001"/>
              <w:right w:val="nil"/>
            </w:tcBorders>
            <w:vAlign w:val="center"/>
          </w:tcPr>
          <w:p w14:paraId="06F57610" w14:textId="77777777" w:rsidR="00FF2380" w:rsidRDefault="00FF2380">
            <w:pPr>
              <w:pStyle w:val="Table"/>
              <w:rPr>
                <w:rFonts w:ascii="Mangal" w:hAnsi="Mangal" w:cs="Mangal" w:hint="eastAsia"/>
              </w:rPr>
            </w:pPr>
            <w:r>
              <w:t>Discount rate for costs and utilities of 0% or 3%</w:t>
            </w:r>
          </w:p>
        </w:tc>
        <w:tc>
          <w:tcPr>
            <w:tcW w:w="1594" w:type="dxa"/>
            <w:tcBorders>
              <w:top w:val="single" w:sz="2" w:space="0" w:color="000001"/>
              <w:left w:val="nil"/>
              <w:bottom w:val="single" w:sz="2" w:space="0" w:color="000001"/>
              <w:right w:val="nil"/>
            </w:tcBorders>
            <w:vAlign w:val="center"/>
          </w:tcPr>
          <w:p w14:paraId="11BEE948" w14:textId="77777777" w:rsidR="00FF2380" w:rsidRDefault="00FF2380">
            <w:pPr>
              <w:pStyle w:val="Table"/>
              <w:rPr>
                <w:rFonts w:ascii="Mangal" w:hAnsi="Mangal" w:cs="Mangal" w:hint="eastAsia"/>
              </w:rPr>
            </w:pPr>
            <w:r>
              <w:t>5285.03 and 4908.75</w:t>
            </w:r>
          </w:p>
        </w:tc>
        <w:tc>
          <w:tcPr>
            <w:tcW w:w="1521" w:type="dxa"/>
            <w:tcBorders>
              <w:top w:val="single" w:sz="2" w:space="0" w:color="000001"/>
              <w:left w:val="nil"/>
              <w:bottom w:val="single" w:sz="2" w:space="0" w:color="000001"/>
              <w:right w:val="nil"/>
            </w:tcBorders>
            <w:vAlign w:val="center"/>
          </w:tcPr>
          <w:p w14:paraId="64081BBD" w14:textId="77777777" w:rsidR="00FF2380" w:rsidRDefault="00FF2380">
            <w:pPr>
              <w:pStyle w:val="Table"/>
              <w:rPr>
                <w:rFonts w:ascii="Mangal" w:hAnsi="Mangal" w:cs="Mangal" w:hint="eastAsia"/>
              </w:rPr>
            </w:pPr>
            <w:r>
              <w:t>8839.03 and 8313.47</w:t>
            </w:r>
          </w:p>
        </w:tc>
        <w:tc>
          <w:tcPr>
            <w:tcW w:w="1556" w:type="dxa"/>
            <w:tcBorders>
              <w:top w:val="single" w:sz="2" w:space="0" w:color="000001"/>
              <w:left w:val="nil"/>
              <w:bottom w:val="single" w:sz="2" w:space="0" w:color="000001"/>
              <w:right w:val="nil"/>
            </w:tcBorders>
            <w:vAlign w:val="center"/>
          </w:tcPr>
          <w:p w14:paraId="261CFE6C" w14:textId="77777777" w:rsidR="00FF2380" w:rsidRDefault="00FF2380">
            <w:pPr>
              <w:pStyle w:val="Table"/>
              <w:rPr>
                <w:rFonts w:ascii="Mangal" w:hAnsi="Mangal" w:cs="Mangal" w:hint="eastAsia"/>
              </w:rPr>
            </w:pPr>
            <w:r>
              <w:t>720.59 and 1096.69</w:t>
            </w:r>
          </w:p>
        </w:tc>
      </w:tr>
    </w:tbl>
    <w:p w14:paraId="197DA61D" w14:textId="77777777" w:rsidR="00FF2380" w:rsidRDefault="00FF2380">
      <w:pPr>
        <w:pStyle w:val="Legends"/>
        <w:rPr>
          <w:rFonts w:ascii="Mangal" w:hAnsi="Mangal" w:cs="Mangal" w:hint="eastAsia"/>
          <w:color w:val="auto"/>
        </w:rPr>
      </w:pPr>
      <w:r>
        <w:rPr>
          <w:color w:val="auto"/>
        </w:rPr>
        <w:t>ICUR: incremental cost-utility ratio</w:t>
      </w:r>
      <w:r>
        <w:rPr>
          <w:rFonts w:ascii="Mangal" w:hAnsi="Mangal" w:cs="Mangal"/>
          <w:color w:val="auto"/>
        </w:rPr>
        <w:t>.</w:t>
      </w:r>
    </w:p>
    <w:p w14:paraId="045A5D03" w14:textId="77777777" w:rsidR="00FF2380" w:rsidRDefault="00FF2380">
      <w:pPr>
        <w:pStyle w:val="Legends"/>
        <w:rPr>
          <w:rFonts w:ascii="Mangal" w:hAnsi="Mangal" w:cs="Mangal" w:hint="eastAsia"/>
        </w:rPr>
      </w:pPr>
      <w:proofErr w:type="gramStart"/>
      <w:r>
        <w:rPr>
          <w:vertAlign w:val="superscript"/>
        </w:rPr>
        <w:t>a</w:t>
      </w:r>
      <w:proofErr w:type="gramEnd"/>
      <w:r>
        <w:t xml:space="preserve"> Based on a willingness to pay of 20 000€/QALY.</w:t>
      </w:r>
    </w:p>
    <w:p w14:paraId="19AEF197" w14:textId="77777777" w:rsidR="00FF2380" w:rsidRDefault="00FF2380">
      <w:pPr>
        <w:pStyle w:val="Legends"/>
        <w:rPr>
          <w:rFonts w:ascii="Mangal" w:hAnsi="Mangal" w:cs="Mangal" w:hint="eastAsia"/>
        </w:rPr>
      </w:pPr>
      <w:proofErr w:type="gramStart"/>
      <w:r>
        <w:rPr>
          <w:vertAlign w:val="superscript"/>
        </w:rPr>
        <w:t>b</w:t>
      </w:r>
      <w:proofErr w:type="gramEnd"/>
      <w:r>
        <w:t xml:space="preserve"> Based on the results of the </w:t>
      </w:r>
      <w:proofErr w:type="spellStart"/>
      <w:r>
        <w:t>apixaban</w:t>
      </w:r>
      <w:proofErr w:type="spellEnd"/>
      <w:r>
        <w:t xml:space="preserve"> arm of the ARISTOTLE trial.</w:t>
      </w:r>
    </w:p>
    <w:p w14:paraId="6776FBDB" w14:textId="77777777" w:rsidR="00FF2380" w:rsidRDefault="00FF2380">
      <w:pPr>
        <w:pStyle w:val="LO-Normal"/>
        <w:rPr>
          <w:rFonts w:ascii="Mangal" w:hAnsi="Mangal" w:cs="Mangal" w:hint="eastAsia"/>
        </w:rPr>
      </w:pPr>
    </w:p>
    <w:sectPr w:rsidR="00FF2380" w:rsidSect="00FF2380">
      <w:pgSz w:w="11906" w:h="16838"/>
      <w:pgMar w:top="850" w:right="1134" w:bottom="567" w:left="1417" w:header="0" w:footer="0" w:gutter="0"/>
      <w:cols w:space="720"/>
      <w:formProt w:val="0"/>
      <w:docGrid w:linePitch="28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SimSun">
    <w:altName w:val="宋体"/>
    <w:charset w:val="86"/>
    <w:family w:val="auto"/>
    <w:pitch w:val="variable"/>
    <w:sig w:usb0="00000003" w:usb1="288F0000" w:usb2="00000016" w:usb3="00000000" w:csb0="00040001" w:csb1="00000000"/>
  </w:font>
  <w:font w:name="Microsoft YaHei">
    <w:charset w:val="86"/>
    <w:family w:val="swiss"/>
    <w:pitch w:val="variable"/>
    <w:sig w:usb0="80000287" w:usb1="280F3C52" w:usb2="00000016" w:usb3="00000000" w:csb0="0004001F" w:csb1="00000000"/>
  </w:font>
  <w:font w:name="Arial">
    <w:panose1 w:val="020B06040202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Mangal">
    <w:altName w:val="Times New Roman"/>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2F2F"/>
    <w:multiLevelType w:val="multilevel"/>
    <w:tmpl w:val="B802A1A2"/>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1">
    <w:nsid w:val="07EF1E2D"/>
    <w:multiLevelType w:val="multilevel"/>
    <w:tmpl w:val="98B83D9C"/>
    <w:lvl w:ilvl="0">
      <w:start w:val="1"/>
      <w:numFmt w:val="none"/>
      <w:suff w:val="nothing"/>
      <w:lvlText w:val=""/>
      <w:lvlJc w:val="left"/>
      <w:pPr>
        <w:ind w:left="432" w:hanging="432"/>
      </w:pPr>
      <w:rPr>
        <w:rFonts w:ascii="Times New Roman" w:hAnsi="Times New Roman" w:cs="Times New Roman"/>
      </w:rPr>
    </w:lvl>
    <w:lvl w:ilvl="1">
      <w:start w:val="1"/>
      <w:numFmt w:val="none"/>
      <w:suff w:val="nothing"/>
      <w:lvlText w:val=""/>
      <w:lvlJc w:val="left"/>
      <w:pPr>
        <w:ind w:left="576" w:hanging="576"/>
      </w:pPr>
      <w:rPr>
        <w:rFonts w:ascii="Times New Roman" w:hAnsi="Times New Roman" w:cs="Times New Roman"/>
      </w:rPr>
    </w:lvl>
    <w:lvl w:ilvl="2">
      <w:start w:val="1"/>
      <w:numFmt w:val="none"/>
      <w:suff w:val="nothing"/>
      <w:lvlText w:val=""/>
      <w:lvlJc w:val="left"/>
      <w:pPr>
        <w:ind w:left="720" w:hanging="720"/>
      </w:pPr>
      <w:rPr>
        <w:rFonts w:ascii="Times New Roman" w:hAnsi="Times New Roman" w:cs="Times New Roman"/>
      </w:rPr>
    </w:lvl>
    <w:lvl w:ilvl="3">
      <w:start w:val="1"/>
      <w:numFmt w:val="none"/>
      <w:suff w:val="nothing"/>
      <w:lvlText w:val=""/>
      <w:lvlJc w:val="left"/>
      <w:pPr>
        <w:ind w:left="864" w:hanging="864"/>
      </w:pPr>
      <w:rPr>
        <w:rFonts w:ascii="Times New Roman" w:hAnsi="Times New Roman" w:cs="Times New Roman"/>
      </w:rPr>
    </w:lvl>
    <w:lvl w:ilvl="4">
      <w:start w:val="1"/>
      <w:numFmt w:val="none"/>
      <w:suff w:val="nothing"/>
      <w:lvlText w:val=""/>
      <w:lvlJc w:val="left"/>
      <w:pPr>
        <w:ind w:left="1008" w:hanging="1008"/>
      </w:pPr>
      <w:rPr>
        <w:rFonts w:ascii="Times New Roman" w:hAnsi="Times New Roman" w:cs="Times New Roman"/>
      </w:rPr>
    </w:lvl>
    <w:lvl w:ilvl="5">
      <w:start w:val="1"/>
      <w:numFmt w:val="none"/>
      <w:suff w:val="nothing"/>
      <w:lvlText w:val=""/>
      <w:lvlJc w:val="left"/>
      <w:pPr>
        <w:ind w:left="1152" w:hanging="1152"/>
      </w:pPr>
      <w:rPr>
        <w:rFonts w:ascii="Times New Roman" w:hAnsi="Times New Roman" w:cs="Times New Roman"/>
      </w:rPr>
    </w:lvl>
    <w:lvl w:ilvl="6">
      <w:start w:val="1"/>
      <w:numFmt w:val="none"/>
      <w:suff w:val="nothing"/>
      <w:lvlText w:val=""/>
      <w:lvlJc w:val="left"/>
      <w:pPr>
        <w:ind w:left="1296" w:hanging="1296"/>
      </w:pPr>
      <w:rPr>
        <w:rFonts w:ascii="Times New Roman" w:hAnsi="Times New Roman" w:cs="Times New Roman"/>
      </w:rPr>
    </w:lvl>
    <w:lvl w:ilvl="7">
      <w:start w:val="1"/>
      <w:numFmt w:val="none"/>
      <w:suff w:val="nothing"/>
      <w:lvlText w:val=""/>
      <w:lvlJc w:val="left"/>
      <w:pPr>
        <w:ind w:left="1440" w:hanging="1440"/>
      </w:pPr>
      <w:rPr>
        <w:rFonts w:ascii="Times New Roman" w:hAnsi="Times New Roman" w:cs="Times New Roman"/>
      </w:rPr>
    </w:lvl>
    <w:lvl w:ilvl="8">
      <w:start w:val="1"/>
      <w:numFmt w:val="none"/>
      <w:suff w:val="nothing"/>
      <w:lvlText w:val=""/>
      <w:lvlJc w:val="left"/>
      <w:pPr>
        <w:ind w:left="1584" w:hanging="1584"/>
      </w:pPr>
      <w:rPr>
        <w:rFonts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380"/>
    <w:rsid w:val="00900475"/>
    <w:rsid w:val="009A5722"/>
    <w:rsid w:val="00FF2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001F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semiHidden="0" w:unhideWhenUsed="0" w:qFormat="1"/>
    <w:lsdException w:name="List" w:unhideWhenUsed="0"/>
    <w:lsdException w:name="Title" w:semiHidden="0" w:unhideWhenUsed="0" w:qFormat="1"/>
    <w:lsdException w:name="Signature" w:unhideWhenUsed="0"/>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line="360" w:lineRule="auto"/>
      <w:ind w:firstLine="283"/>
      <w:jc w:val="both"/>
    </w:pPr>
    <w:rPr>
      <w:rFonts w:ascii="Times New Roman" w:eastAsia="SimSun" w:hAnsi="Times New Roman" w:cs="Times New Roman"/>
      <w:color w:val="00000A"/>
      <w:lang w:eastAsia="zh-CN"/>
    </w:rPr>
  </w:style>
  <w:style w:type="paragraph" w:styleId="Heading1">
    <w:name w:val="heading 1"/>
    <w:basedOn w:val="Heading"/>
    <w:link w:val="Heading1Char"/>
    <w:uiPriority w:val="99"/>
    <w:qFormat/>
    <w:pPr>
      <w:spacing w:before="227" w:after="113"/>
      <w:ind w:firstLine="0"/>
      <w:outlineLvl w:val="0"/>
    </w:pPr>
    <w:rPr>
      <w:rFonts w:ascii="Times New Roman" w:hAnsi="Times New Roman" w:cs="Times New Roman"/>
      <w:b/>
      <w:bCs/>
      <w:sz w:val="24"/>
      <w:szCs w:val="24"/>
    </w:rPr>
  </w:style>
  <w:style w:type="paragraph" w:styleId="Heading2">
    <w:name w:val="heading 2"/>
    <w:basedOn w:val="Heading"/>
    <w:link w:val="Heading2Char"/>
    <w:uiPriority w:val="99"/>
    <w:qFormat/>
    <w:pPr>
      <w:spacing w:before="113" w:after="113"/>
      <w:ind w:firstLine="0"/>
      <w:outlineLvl w:val="1"/>
    </w:pPr>
    <w:rPr>
      <w:rFonts w:ascii="Times New Roman" w:hAnsi="Times New Roman" w:cs="Times New Roman"/>
      <w:b/>
      <w:bCs/>
      <w:sz w:val="22"/>
      <w:szCs w:val="22"/>
    </w:rPr>
  </w:style>
  <w:style w:type="paragraph" w:styleId="Heading3">
    <w:name w:val="heading 3"/>
    <w:basedOn w:val="Heading"/>
    <w:link w:val="Heading3Char"/>
    <w:uiPriority w:val="99"/>
    <w:qFormat/>
    <w:pPr>
      <w:spacing w:before="113" w:after="113"/>
      <w:ind w:firstLine="0"/>
      <w:outlineLvl w:val="2"/>
    </w:pPr>
    <w:rPr>
      <w:rFonts w:ascii="Times New Roman" w:hAnsi="Times New Roman" w:cs="Times New Roman"/>
      <w:i/>
      <w:iCs/>
      <w:sz w:val="22"/>
      <w:szCs w:val="22"/>
    </w:rPr>
  </w:style>
  <w:style w:type="paragraph" w:styleId="Heading4">
    <w:name w:val="heading 4"/>
    <w:basedOn w:val="Heading"/>
    <w:link w:val="Heading4Char"/>
    <w:uiPriority w:val="99"/>
    <w:qFormat/>
    <w:pPr>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00000A"/>
      <w:kern w:val="32"/>
      <w:sz w:val="32"/>
      <w:szCs w:val="32"/>
      <w:lang w:eastAsia="zh-CN"/>
    </w:rPr>
  </w:style>
  <w:style w:type="character" w:customStyle="1" w:styleId="Heading2Char">
    <w:name w:val="Heading 2 Char"/>
    <w:basedOn w:val="DefaultParagraphFont"/>
    <w:link w:val="Heading2"/>
    <w:uiPriority w:val="99"/>
    <w:rPr>
      <w:rFonts w:ascii="Cambria" w:hAnsi="Cambria" w:cs="Cambria"/>
      <w:b/>
      <w:bCs/>
      <w:i/>
      <w:iCs/>
      <w:color w:val="00000A"/>
      <w:sz w:val="28"/>
      <w:szCs w:val="28"/>
      <w:lang w:eastAsia="zh-CN"/>
    </w:rPr>
  </w:style>
  <w:style w:type="character" w:customStyle="1" w:styleId="Heading3Char">
    <w:name w:val="Heading 3 Char"/>
    <w:basedOn w:val="DefaultParagraphFont"/>
    <w:link w:val="Heading3"/>
    <w:uiPriority w:val="99"/>
    <w:rPr>
      <w:rFonts w:ascii="Cambria" w:hAnsi="Cambria" w:cs="Cambria"/>
      <w:b/>
      <w:bCs/>
      <w:color w:val="00000A"/>
      <w:sz w:val="26"/>
      <w:szCs w:val="26"/>
      <w:lang w:eastAsia="zh-CN"/>
    </w:rPr>
  </w:style>
  <w:style w:type="character" w:customStyle="1" w:styleId="Heading4Char">
    <w:name w:val="Heading 4 Char"/>
    <w:basedOn w:val="DefaultParagraphFont"/>
    <w:link w:val="Heading4"/>
    <w:uiPriority w:val="99"/>
    <w:rPr>
      <w:rFonts w:ascii="Times New Roman" w:hAnsi="Times New Roman" w:cs="Times New Roman"/>
      <w:b/>
      <w:bCs/>
      <w:color w:val="00000A"/>
      <w:sz w:val="28"/>
      <w:szCs w:val="28"/>
      <w:lang w:eastAsia="zh-CN"/>
    </w:rPr>
  </w:style>
  <w:style w:type="character" w:customStyle="1" w:styleId="InternetLink">
    <w:name w:val="Internet Link"/>
    <w:uiPriority w:val="99"/>
    <w:rPr>
      <w:color w:val="000080"/>
      <w:u w:val="single"/>
      <w:lang w:val="uz-Cyrl-UZ" w:eastAsia="uz-Cyrl-UZ"/>
    </w:rPr>
  </w:style>
  <w:style w:type="paragraph" w:customStyle="1" w:styleId="Heading">
    <w:name w:val="Heading"/>
    <w:basedOn w:val="Normal"/>
    <w:next w:val="TextBody"/>
    <w:uiPriority w:val="99"/>
    <w:pPr>
      <w:keepNext/>
      <w:spacing w:before="240" w:after="120"/>
    </w:pPr>
    <w:rPr>
      <w:rFonts w:ascii="Arial" w:eastAsia="Microsoft YaHei" w:hAnsi="Arial" w:cs="Arial"/>
      <w:sz w:val="28"/>
      <w:szCs w:val="28"/>
    </w:rPr>
  </w:style>
  <w:style w:type="paragraph" w:customStyle="1" w:styleId="TextBody">
    <w:name w:val="Text Body"/>
    <w:basedOn w:val="Normal"/>
    <w:uiPriority w:val="99"/>
    <w:pPr>
      <w:spacing w:after="120" w:line="288" w:lineRule="auto"/>
    </w:pPr>
  </w:style>
  <w:style w:type="paragraph" w:styleId="List">
    <w:name w:val="List"/>
    <w:basedOn w:val="TextBody"/>
    <w:uiPriority w:val="99"/>
  </w:style>
  <w:style w:type="paragraph" w:styleId="Caption">
    <w:name w:val="caption"/>
    <w:basedOn w:val="Normal"/>
    <w:uiPriority w:val="99"/>
    <w:qFormat/>
    <w:pPr>
      <w:suppressLineNumbers/>
      <w:spacing w:line="480" w:lineRule="auto"/>
      <w:ind w:firstLine="0"/>
      <w:jc w:val="left"/>
    </w:pPr>
  </w:style>
  <w:style w:type="paragraph" w:customStyle="1" w:styleId="Index">
    <w:name w:val="Index"/>
    <w:basedOn w:val="Normal"/>
    <w:uiPriority w:val="99"/>
    <w:pPr>
      <w:suppressLineNumbers/>
    </w:pPr>
  </w:style>
  <w:style w:type="paragraph" w:customStyle="1" w:styleId="Marginalia">
    <w:name w:val="Marginalia"/>
    <w:basedOn w:val="TextBody"/>
    <w:uiPriority w:val="99"/>
    <w:pPr>
      <w:spacing w:after="0"/>
      <w:ind w:left="2268" w:firstLine="0"/>
    </w:pPr>
  </w:style>
  <w:style w:type="paragraph" w:styleId="Signature">
    <w:name w:val="Signature"/>
    <w:basedOn w:val="Normal"/>
    <w:link w:val="SignatureChar"/>
    <w:uiPriority w:val="99"/>
    <w:pPr>
      <w:suppressLineNumbers/>
    </w:pPr>
  </w:style>
  <w:style w:type="character" w:customStyle="1" w:styleId="SignatureChar">
    <w:name w:val="Signature Char"/>
    <w:basedOn w:val="DefaultParagraphFont"/>
    <w:link w:val="Signature"/>
    <w:uiPriority w:val="99"/>
    <w:rPr>
      <w:rFonts w:ascii="Times New Roman" w:eastAsia="SimSun" w:hAnsi="Times New Roman" w:cs="Times New Roman"/>
      <w:color w:val="00000A"/>
      <w:lang w:eastAsia="zh-CN"/>
    </w:rPr>
  </w:style>
  <w:style w:type="paragraph" w:customStyle="1" w:styleId="TextBodyIndent">
    <w:name w:val="Text Body Indent"/>
    <w:basedOn w:val="TextBody"/>
    <w:uiPriority w:val="99"/>
    <w:pPr>
      <w:spacing w:after="0"/>
      <w:ind w:left="283" w:firstLine="0"/>
    </w:pPr>
  </w:style>
  <w:style w:type="paragraph" w:customStyle="1" w:styleId="ComplimentaryClose">
    <w:name w:val="Complimentary Close"/>
    <w:basedOn w:val="Normal"/>
    <w:uiPriority w:val="99"/>
    <w:pPr>
      <w:suppressLineNumbers/>
    </w:pPr>
  </w:style>
  <w:style w:type="paragraph" w:styleId="Title">
    <w:name w:val="Title"/>
    <w:basedOn w:val="Heading"/>
    <w:link w:val="TitleChar"/>
    <w:uiPriority w:val="99"/>
    <w:qFormat/>
    <w:pPr>
      <w:spacing w:before="0" w:after="227" w:line="240" w:lineRule="auto"/>
      <w:ind w:firstLine="0"/>
      <w:jc w:val="center"/>
    </w:pPr>
    <w:rPr>
      <w:rFonts w:ascii="Times New Roman" w:eastAsia="SimSun" w:hAnsi="Times New Roman" w:cs="Times New Roman"/>
      <w:b/>
      <w:bCs/>
      <w:sz w:val="22"/>
      <w:szCs w:val="22"/>
    </w:rPr>
  </w:style>
  <w:style w:type="character" w:customStyle="1" w:styleId="TitleChar">
    <w:name w:val="Title Char"/>
    <w:basedOn w:val="DefaultParagraphFont"/>
    <w:link w:val="Title"/>
    <w:uiPriority w:val="99"/>
    <w:rPr>
      <w:rFonts w:ascii="Cambria" w:hAnsi="Cambria" w:cs="Cambria"/>
      <w:b/>
      <w:bCs/>
      <w:color w:val="00000A"/>
      <w:kern w:val="28"/>
      <w:sz w:val="32"/>
      <w:szCs w:val="32"/>
      <w:lang w:eastAsia="zh-CN"/>
    </w:rPr>
  </w:style>
  <w:style w:type="paragraph" w:styleId="Subtitle">
    <w:name w:val="Subtitle"/>
    <w:basedOn w:val="Heading"/>
    <w:link w:val="SubtitleChar"/>
    <w:uiPriority w:val="99"/>
    <w:qFormat/>
    <w:pPr>
      <w:jc w:val="center"/>
    </w:pPr>
    <w:rPr>
      <w:i/>
      <w:iCs/>
    </w:rPr>
  </w:style>
  <w:style w:type="character" w:customStyle="1" w:styleId="SubtitleChar">
    <w:name w:val="Subtitle Char"/>
    <w:basedOn w:val="DefaultParagraphFont"/>
    <w:link w:val="Subtitle"/>
    <w:uiPriority w:val="99"/>
    <w:rPr>
      <w:rFonts w:ascii="Cambria" w:hAnsi="Cambria" w:cs="Cambria"/>
      <w:color w:val="00000A"/>
      <w:sz w:val="24"/>
      <w:szCs w:val="24"/>
      <w:lang w:eastAsia="zh-CN"/>
    </w:rPr>
  </w:style>
  <w:style w:type="paragraph" w:customStyle="1" w:styleId="Table">
    <w:name w:val="Table"/>
    <w:basedOn w:val="Caption"/>
    <w:uiPriority w:val="99"/>
    <w:pPr>
      <w:spacing w:before="57" w:after="57" w:line="240" w:lineRule="auto"/>
      <w:ind w:left="28" w:right="28"/>
    </w:pPr>
    <w:rPr>
      <w:sz w:val="20"/>
      <w:szCs w:val="20"/>
    </w:rPr>
  </w:style>
  <w:style w:type="paragraph" w:customStyle="1" w:styleId="Referencesunnumbered">
    <w:name w:val="References (unnumbered)"/>
    <w:uiPriority w:val="99"/>
    <w:pPr>
      <w:widowControl w:val="0"/>
      <w:suppressAutoHyphens/>
      <w:spacing w:line="360" w:lineRule="auto"/>
      <w:ind w:left="283" w:hanging="283"/>
    </w:pPr>
    <w:rPr>
      <w:rFonts w:ascii="Times New Roman" w:eastAsia="SimSun" w:hAnsi="Times New Roman" w:cs="Times New Roman"/>
      <w:color w:val="00000A"/>
      <w:lang w:eastAsia="zh-CN"/>
    </w:rPr>
  </w:style>
  <w:style w:type="paragraph" w:customStyle="1" w:styleId="Keywords">
    <w:name w:val="Keywords"/>
    <w:uiPriority w:val="99"/>
    <w:pPr>
      <w:widowControl w:val="0"/>
      <w:suppressAutoHyphens/>
      <w:spacing w:before="57" w:line="360" w:lineRule="auto"/>
    </w:pPr>
    <w:rPr>
      <w:rFonts w:ascii="Times New Roman" w:eastAsia="SimSun" w:hAnsi="Times New Roman" w:cs="Times New Roman"/>
      <w:color w:val="00000A"/>
      <w:sz w:val="20"/>
      <w:szCs w:val="20"/>
      <w:lang w:eastAsia="zh-CN"/>
    </w:rPr>
  </w:style>
  <w:style w:type="paragraph" w:customStyle="1" w:styleId="Legends">
    <w:name w:val="Legends"/>
    <w:basedOn w:val="Keywords"/>
    <w:uiPriority w:val="99"/>
    <w:pPr>
      <w:spacing w:before="113" w:after="113"/>
    </w:pPr>
    <w:rPr>
      <w:sz w:val="18"/>
      <w:szCs w:val="18"/>
    </w:rPr>
  </w:style>
  <w:style w:type="paragraph" w:customStyle="1" w:styleId="Graphic">
    <w:name w:val="Graphic"/>
    <w:basedOn w:val="Legends"/>
    <w:uiPriority w:val="99"/>
    <w:pPr>
      <w:spacing w:before="0" w:after="0" w:line="200" w:lineRule="atLeast"/>
      <w:jc w:val="center"/>
    </w:pPr>
    <w:rPr>
      <w:rFonts w:ascii="Arial" w:hAnsi="Arial" w:cs="Arial"/>
    </w:rPr>
  </w:style>
  <w:style w:type="paragraph" w:customStyle="1" w:styleId="Authors">
    <w:name w:val="Authors"/>
    <w:uiPriority w:val="99"/>
    <w:pPr>
      <w:widowControl w:val="0"/>
      <w:suppressAutoHyphens/>
      <w:spacing w:after="227"/>
    </w:pPr>
    <w:rPr>
      <w:rFonts w:ascii="Times New Roman" w:eastAsia="SimSun" w:hAnsi="Times New Roman" w:cs="Times New Roman"/>
      <w:color w:val="FF00FF"/>
      <w:sz w:val="20"/>
      <w:szCs w:val="20"/>
      <w:lang w:eastAsia="zh-CN"/>
    </w:rPr>
  </w:style>
  <w:style w:type="paragraph" w:styleId="Footer">
    <w:name w:val="footer"/>
    <w:basedOn w:val="Normal"/>
    <w:link w:val="FooterChar"/>
    <w:uiPriority w:val="99"/>
    <w:pPr>
      <w:suppressLineNumbers/>
      <w:tabs>
        <w:tab w:val="center" w:pos="4677"/>
        <w:tab w:val="right" w:pos="9354"/>
      </w:tabs>
      <w:spacing w:line="240" w:lineRule="auto"/>
      <w:ind w:firstLine="0"/>
      <w:jc w:val="left"/>
    </w:pPr>
    <w:rPr>
      <w:rFonts w:ascii="Arial" w:hAnsi="Arial" w:cs="Arial"/>
      <w:b/>
      <w:bCs/>
      <w:sz w:val="14"/>
      <w:szCs w:val="14"/>
    </w:rPr>
  </w:style>
  <w:style w:type="character" w:customStyle="1" w:styleId="FooterChar">
    <w:name w:val="Footer Char"/>
    <w:basedOn w:val="DefaultParagraphFont"/>
    <w:link w:val="Footer"/>
    <w:uiPriority w:val="99"/>
    <w:rPr>
      <w:rFonts w:ascii="Times New Roman" w:eastAsia="SimSun" w:hAnsi="Times New Roman" w:cs="Times New Roman"/>
      <w:color w:val="00000A"/>
      <w:lang w:eastAsia="zh-CN"/>
    </w:rPr>
  </w:style>
  <w:style w:type="paragraph" w:customStyle="1" w:styleId="LO-Normal">
    <w:name w:val="LO-Normal"/>
    <w:uiPriority w:val="99"/>
    <w:pPr>
      <w:widowControl w:val="0"/>
      <w:suppressAutoHyphens/>
      <w:spacing w:line="480" w:lineRule="auto"/>
      <w:ind w:firstLine="283"/>
      <w:jc w:val="both"/>
    </w:pPr>
    <w:rPr>
      <w:rFonts w:ascii="Times New Roman" w:eastAsia="SimSun" w:hAnsi="Times New Roman" w:cs="Times New Roman"/>
      <w:color w:val="00000A"/>
      <w:lang w:eastAsia="zh-CN"/>
    </w:rPr>
  </w:style>
  <w:style w:type="paragraph" w:customStyle="1" w:styleId="Referencesnumbered">
    <w:name w:val="References (numbered)"/>
    <w:uiPriority w:val="99"/>
    <w:pPr>
      <w:widowControl w:val="0"/>
      <w:suppressAutoHyphens/>
      <w:spacing w:line="360" w:lineRule="auto"/>
      <w:ind w:left="283" w:hanging="283"/>
    </w:pPr>
    <w:rPr>
      <w:rFonts w:ascii="Times New Roman" w:eastAsia="SimSun" w:hAnsi="Times New Roman" w:cs="Times New Roman"/>
      <w:color w:val="00000A"/>
      <w:sz w:val="24"/>
      <w:szCs w:val="24"/>
      <w:lang w:eastAsia="zh-CN"/>
    </w:rPr>
  </w:style>
  <w:style w:type="paragraph" w:customStyle="1" w:styleId="Quotations">
    <w:name w:val="Quotations"/>
    <w:basedOn w:val="Normal"/>
    <w:uiPriority w:val="99"/>
    <w:pPr>
      <w:spacing w:after="283"/>
      <w:ind w:left="567" w:right="567" w:firstLine="0"/>
    </w:pPr>
  </w:style>
  <w:style w:type="paragraph" w:customStyle="1" w:styleId="TableContents">
    <w:name w:val="Table Contents"/>
    <w:basedOn w:val="Normal"/>
    <w:uiPriority w:val="99"/>
  </w:style>
  <w:style w:type="paragraph" w:customStyle="1" w:styleId="TableHeading">
    <w:name w:val="Table Heading"/>
    <w:basedOn w:val="TableContents"/>
    <w:uiPriority w:val="9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774</Words>
  <Characters>4415</Characters>
  <Application>Microsoft Macintosh Word</Application>
  <DocSecurity>0</DocSecurity>
  <Lines>36</Lines>
  <Paragraphs>10</Paragraphs>
  <ScaleCrop>false</ScaleCrop>
  <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Cost-effectiveness of non-vitamin K antagonist oral anticoagulants for atrial fibrillation in Portugal</dc:title>
  <dc:subject/>
  <dc:creator>Paul </dc:creator>
  <cp:keywords/>
  <dc:description/>
  <cp:lastModifiedBy>deepak</cp:lastModifiedBy>
  <cp:revision>7</cp:revision>
  <cp:lastPrinted>2015-10-21T00:00:00Z</cp:lastPrinted>
  <dcterms:created xsi:type="dcterms:W3CDTF">2015-11-21T18:23:00Z</dcterms:created>
  <dcterms:modified xsi:type="dcterms:W3CDTF">2015-11-23T13:46:00Z</dcterms:modified>
</cp:coreProperties>
</file>