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B" w:rsidRPr="00467B3B" w:rsidRDefault="00467B3B" w:rsidP="00467B3B">
      <w:pPr>
        <w:pStyle w:val="Ttulo1"/>
        <w:numPr>
          <w:ilvl w:val="0"/>
          <w:numId w:val="1"/>
        </w:numPr>
        <w:ind w:left="0" w:firstLine="0"/>
        <w:rPr>
          <w:color w:val="auto"/>
        </w:rPr>
      </w:pPr>
      <w:r w:rsidRPr="00467B3B">
        <w:rPr>
          <w:color w:val="auto"/>
        </w:rPr>
        <w:t>Supplementary material</w:t>
      </w:r>
    </w:p>
    <w:p w:rsidR="00467B3B" w:rsidRPr="00467B3B" w:rsidRDefault="00467B3B" w:rsidP="00467B3B">
      <w:pPr>
        <w:pStyle w:val="Legenda"/>
        <w:rPr>
          <w:color w:val="auto"/>
        </w:rPr>
      </w:pPr>
      <w:proofErr w:type="gramStart"/>
      <w:r w:rsidRPr="00467B3B">
        <w:rPr>
          <w:b/>
          <w:bCs/>
          <w:color w:val="auto"/>
        </w:rPr>
        <w:t>Supplementary Table 1</w:t>
      </w:r>
      <w:r w:rsidR="001674E5">
        <w:rPr>
          <w:b/>
          <w:bCs/>
          <w:color w:val="auto"/>
        </w:rPr>
        <w:t>.</w:t>
      </w:r>
      <w:proofErr w:type="gramEnd"/>
      <w:r w:rsidRPr="00467B3B">
        <w:rPr>
          <w:color w:val="auto"/>
        </w:rPr>
        <w:t xml:space="preserve"> Associated conditions in the study population. </w:t>
      </w:r>
    </w:p>
    <w:tbl>
      <w:tblPr>
        <w:tblW w:w="9360" w:type="dxa"/>
        <w:tblInd w:w="57" w:type="dxa"/>
        <w:tblBorders>
          <w:top w:val="single" w:sz="2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3228"/>
        <w:gridCol w:w="1306"/>
        <w:gridCol w:w="1188"/>
        <w:gridCol w:w="1308"/>
        <w:gridCol w:w="1294"/>
        <w:gridCol w:w="1036"/>
      </w:tblGrid>
      <w:tr w:rsidR="00467B3B" w:rsidRPr="00467B3B" w:rsidTr="00D6131A">
        <w:trPr>
          <w:cantSplit/>
        </w:trPr>
        <w:tc>
          <w:tcPr>
            <w:tcW w:w="3227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ind w:left="0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2" w:space="0" w:color="00000A"/>
            </w:tcBorders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Total</w:t>
            </w:r>
          </w:p>
        </w:tc>
        <w:tc>
          <w:tcPr>
            <w:tcW w:w="1188" w:type="dxa"/>
            <w:tcBorders>
              <w:top w:val="single" w:sz="2" w:space="0" w:color="00000A"/>
            </w:tcBorders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Group A</w:t>
            </w:r>
          </w:p>
        </w:tc>
        <w:tc>
          <w:tcPr>
            <w:tcW w:w="1308" w:type="dxa"/>
            <w:tcBorders>
              <w:top w:val="single" w:sz="2" w:space="0" w:color="00000A"/>
            </w:tcBorders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Group B</w:t>
            </w:r>
          </w:p>
        </w:tc>
        <w:tc>
          <w:tcPr>
            <w:tcW w:w="1294" w:type="dxa"/>
            <w:tcBorders>
              <w:top w:val="single" w:sz="2" w:space="0" w:color="00000A"/>
            </w:tcBorders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Group C</w:t>
            </w:r>
          </w:p>
        </w:tc>
        <w:tc>
          <w:tcPr>
            <w:tcW w:w="1036" w:type="dxa"/>
            <w:tcBorders>
              <w:top w:val="single" w:sz="2" w:space="0" w:color="00000A"/>
            </w:tcBorders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Patients, n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811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128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449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-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Systemic hypertension,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403 (49.7%)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43 (33.6%)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136 (58.1%)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224 (49.9%)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&lt;0.001</w:t>
            </w:r>
            <w:r w:rsidRPr="00467B3B">
              <w:rPr>
                <w:color w:val="auto"/>
                <w:vertAlign w:val="superscript"/>
              </w:rPr>
              <w:t>a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Age at HCM diagnosis, years ± SD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62±12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63±13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62±11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61±13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0.773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Other non-CV diseases, n (%)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326 (40.2%)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56 (43.8%)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98 (41.9%)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172 (38.3%)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0.446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Age at HCM diagnosis, years ± SD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62±12</w:t>
            </w:r>
            <w:bookmarkStart w:id="0" w:name="_GoBack"/>
            <w:bookmarkEnd w:id="0"/>
          </w:p>
        </w:tc>
        <w:tc>
          <w:tcPr>
            <w:tcW w:w="118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63±13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62±11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61±13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0.773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Cerebrovascular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26 (3.2%)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 (3.1%)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 (1.7%)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18 (4.0%)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0.269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Other neurologic diseases,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18 (2.2%)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 (0.8%)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9 (3.8%)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 (1.8%)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0.107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Renal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31 (3.8%)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 (3.1%)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 (3.4%)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19 (4.2%)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0.788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Musculoskeletal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6 (0.7%)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 (0.8%)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 (0.9%)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 (0.7%)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1.000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Pulmonary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69 (8.5%)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14 (10.9%)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18 (7.7%)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37 (8.2%)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0.546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Hepatic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 (1%)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 (0.8%)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 (0.9%)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5 (1.1%)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1.000</w:t>
            </w:r>
          </w:p>
        </w:tc>
      </w:tr>
      <w:tr w:rsidR="00467B3B" w:rsidRPr="00467B3B" w:rsidTr="00D6131A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Hematologic disease, n (%)</w:t>
            </w:r>
          </w:p>
        </w:tc>
        <w:tc>
          <w:tcPr>
            <w:tcW w:w="13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16 (2.0%)</w:t>
            </w:r>
          </w:p>
        </w:tc>
        <w:tc>
          <w:tcPr>
            <w:tcW w:w="11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 (2.3%)</w:t>
            </w:r>
          </w:p>
        </w:tc>
        <w:tc>
          <w:tcPr>
            <w:tcW w:w="130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 (3.4%)</w:t>
            </w:r>
          </w:p>
        </w:tc>
        <w:tc>
          <w:tcPr>
            <w:tcW w:w="129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5 (1.1%)</w:t>
            </w:r>
          </w:p>
        </w:tc>
        <w:tc>
          <w:tcPr>
            <w:tcW w:w="103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0.101</w:t>
            </w:r>
          </w:p>
        </w:tc>
      </w:tr>
      <w:tr w:rsidR="00467B3B" w:rsidRPr="00467B3B" w:rsidTr="001674E5">
        <w:trPr>
          <w:cantSplit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Cancer, n (%)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25 (3.1 %)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 (0.8%)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12 (5.1%)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12 (2.7%)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0.055</w:t>
            </w:r>
          </w:p>
        </w:tc>
      </w:tr>
      <w:tr w:rsidR="00467B3B" w:rsidRPr="00467B3B" w:rsidTr="001674E5">
        <w:trPr>
          <w:cantSplit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Other non-specified diseases, n (%)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151 (18.6%)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28 (22%)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40 (17.1%)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83 (18.5%)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0.533</w:t>
            </w:r>
          </w:p>
        </w:tc>
      </w:tr>
    </w:tbl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  <w:vertAlign w:val="superscript"/>
        </w:rPr>
        <w:t>a</w:t>
      </w:r>
      <w:r w:rsidRPr="00467B3B">
        <w:rPr>
          <w:color w:val="auto"/>
        </w:rPr>
        <w:t xml:space="preserve"> p≤0.001 for A vs. B, p=0.041 for B vs. C.</w:t>
      </w:r>
    </w:p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</w:rPr>
        <w:t xml:space="preserve">CV: cardiovascular; Group A: patients with identified pathogenic or likely pathogenic mutation(s)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 (see text for details); Group B: patients with no identified pathogenic or likely pathogenic mutations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Group C: patients who did not undergo genetic testing for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HCM: hypertrophic </w:t>
      </w:r>
      <w:proofErr w:type="spellStart"/>
      <w:r w:rsidRPr="00467B3B">
        <w:rPr>
          <w:color w:val="auto"/>
        </w:rPr>
        <w:t>cardiomyopathy</w:t>
      </w:r>
      <w:proofErr w:type="spellEnd"/>
      <w:r w:rsidRPr="00467B3B">
        <w:rPr>
          <w:color w:val="auto"/>
        </w:rPr>
        <w:t xml:space="preserve">; </w:t>
      </w:r>
      <w:r w:rsidR="001674E5">
        <w:rPr>
          <w:color w:val="auto"/>
        </w:rPr>
        <w:t xml:space="preserve">n: number of patients; </w:t>
      </w:r>
      <w:r w:rsidRPr="00467B3B">
        <w:rPr>
          <w:color w:val="auto"/>
        </w:rPr>
        <w:t>SD: standard de</w:t>
      </w:r>
      <w:r w:rsidR="001674E5">
        <w:rPr>
          <w:color w:val="auto"/>
        </w:rPr>
        <w:t>viation.</w:t>
      </w: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color w:val="auto"/>
        </w:rPr>
      </w:pPr>
      <w:proofErr w:type="gramStart"/>
      <w:r w:rsidRPr="00467B3B">
        <w:rPr>
          <w:b/>
          <w:bCs/>
          <w:color w:val="auto"/>
        </w:rPr>
        <w:t>Supplementary Table 2</w:t>
      </w:r>
      <w:r w:rsidR="001674E5">
        <w:rPr>
          <w:b/>
          <w:bCs/>
          <w:color w:val="auto"/>
        </w:rPr>
        <w:t>.</w:t>
      </w:r>
      <w:proofErr w:type="gramEnd"/>
      <w:r w:rsidRPr="00467B3B">
        <w:rPr>
          <w:color w:val="auto"/>
        </w:rPr>
        <w:t xml:space="preserve"> Electrocardiographic data in the study population.</w:t>
      </w:r>
    </w:p>
    <w:tbl>
      <w:tblPr>
        <w:tblW w:w="9355" w:type="dxa"/>
        <w:tblInd w:w="57" w:type="dxa"/>
        <w:tblCellMar>
          <w:left w:w="57" w:type="dxa"/>
          <w:right w:w="57" w:type="dxa"/>
        </w:tblCellMar>
        <w:tblLook w:val="0000"/>
      </w:tblPr>
      <w:tblGrid>
        <w:gridCol w:w="2120"/>
        <w:gridCol w:w="1574"/>
        <w:gridCol w:w="1557"/>
        <w:gridCol w:w="1574"/>
        <w:gridCol w:w="1571"/>
        <w:gridCol w:w="959"/>
      </w:tblGrid>
      <w:tr w:rsidR="00467B3B" w:rsidRPr="00467B3B" w:rsidTr="001674E5">
        <w:trPr>
          <w:cantSplit/>
        </w:trPr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A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B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C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 xml:space="preserve">Patients, </w:t>
            </w:r>
            <w:proofErr w:type="spellStart"/>
            <w:r w:rsidRPr="00467B3B">
              <w:rPr>
                <w:color w:val="auto"/>
              </w:rPr>
              <w:t>n</w:t>
            </w:r>
            <w:r w:rsidRPr="00467B3B">
              <w:rPr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803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128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229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446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Abnormal ECG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764/803 (95.1%)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121/128 (94.5%)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219/229 (95.6%)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424/446 (95.1%)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0.892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Atrial fibrillation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76/764 (9.9%)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14/121 (11.6%)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17/219 (7.8%)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45/424 (10.6%)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0.421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LVH pattern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491/764 (64.3%)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72/121 (59.5%)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151/219 (68.9%)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268/424 (63.2%)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0.174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Abnormal ST-T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628/764 (82.2%)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101/121 (83.5%)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171/219 (78.1%)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356/424 (84%)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0.168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LAFB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99/764 (13%)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17/121 (14%)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28/219 (12.8%)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54/424 (12.7%)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0.927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Short PR interval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25/764 (3.3%)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3/121 (2.5%)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8/219 (3.7%)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14/424 (3.3%)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0.843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Prolonged PR interval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11/764 (1.4%)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3/121 (2.5%)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2/219 (0.9%)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6/424 (1.4%)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0.531</w:t>
            </w:r>
          </w:p>
        </w:tc>
      </w:tr>
      <w:tr w:rsidR="00467B3B" w:rsidRPr="00467B3B" w:rsidTr="00D6131A">
        <w:trPr>
          <w:cantSplit/>
        </w:trPr>
        <w:tc>
          <w:tcPr>
            <w:tcW w:w="2119" w:type="dxa"/>
            <w:shd w:val="clear" w:color="auto" w:fill="auto"/>
            <w:vAlign w:val="center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LBBB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36/764 (4.7%)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3/121 (2.5%)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15/219 (6.8%)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18/424 (4.2%)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0.151</w:t>
            </w:r>
          </w:p>
        </w:tc>
      </w:tr>
      <w:tr w:rsidR="00467B3B" w:rsidRPr="00467B3B" w:rsidTr="001674E5">
        <w:trPr>
          <w:cantSplit/>
        </w:trPr>
        <w:tc>
          <w:tcPr>
            <w:tcW w:w="21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RBBB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76/764 (9.9%)</w:t>
            </w:r>
          </w:p>
        </w:tc>
        <w:tc>
          <w:tcPr>
            <w:tcW w:w="1557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10/121 (8.3%)</w:t>
            </w:r>
          </w:p>
        </w:tc>
        <w:tc>
          <w:tcPr>
            <w:tcW w:w="1574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22/219 (10.0%)</w:t>
            </w:r>
          </w:p>
        </w:tc>
        <w:tc>
          <w:tcPr>
            <w:tcW w:w="1571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44/424 (10.4%)</w:t>
            </w:r>
          </w:p>
        </w:tc>
        <w:tc>
          <w:tcPr>
            <w:tcW w:w="95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0.790</w:t>
            </w:r>
          </w:p>
        </w:tc>
      </w:tr>
      <w:tr w:rsidR="00467B3B" w:rsidRPr="00467B3B" w:rsidTr="001674E5">
        <w:trPr>
          <w:cantSplit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467B3B">
              <w:rPr>
                <w:color w:val="auto"/>
              </w:rPr>
              <w:t>Pacemaker</w:t>
            </w:r>
            <w:r w:rsidRPr="00467B3B">
              <w:rPr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53/811 (6.5%)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11/128 (8.6%)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19/234 (8.1%)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23/449 (5.1%)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0.190</w:t>
            </w:r>
          </w:p>
        </w:tc>
      </w:tr>
    </w:tbl>
    <w:p w:rsidR="00467B3B" w:rsidRPr="00467B3B" w:rsidRDefault="00467B3B" w:rsidP="00467B3B">
      <w:pPr>
        <w:pStyle w:val="Legends"/>
        <w:rPr>
          <w:color w:val="auto"/>
        </w:rPr>
      </w:pPr>
      <w:proofErr w:type="gramStart"/>
      <w:r w:rsidRPr="00467B3B">
        <w:rPr>
          <w:color w:val="auto"/>
          <w:vertAlign w:val="superscript"/>
        </w:rPr>
        <w:t>a</w:t>
      </w:r>
      <w:proofErr w:type="gramEnd"/>
      <w:r w:rsidRPr="00467B3B">
        <w:rPr>
          <w:color w:val="auto"/>
        </w:rPr>
        <w:t xml:space="preserve"> number of patients with all electrocardiographic data in the table available.</w:t>
      </w:r>
    </w:p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  <w:vertAlign w:val="superscript"/>
        </w:rPr>
        <w:t>b</w:t>
      </w:r>
      <w:r w:rsidRPr="00467B3B">
        <w:rPr>
          <w:color w:val="auto"/>
        </w:rPr>
        <w:t xml:space="preserve"> pacemaker implantation due to conduction disturbances or </w:t>
      </w:r>
      <w:proofErr w:type="spellStart"/>
      <w:r w:rsidRPr="00467B3B">
        <w:rPr>
          <w:color w:val="auto"/>
        </w:rPr>
        <w:t>bradyarrhythmias</w:t>
      </w:r>
      <w:proofErr w:type="spellEnd"/>
      <w:r w:rsidRPr="00467B3B">
        <w:rPr>
          <w:color w:val="auto"/>
        </w:rPr>
        <w:t xml:space="preserve"> (data were available for the 811 patients included in the study).</w:t>
      </w:r>
    </w:p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</w:rPr>
        <w:t xml:space="preserve">ECG: electrocardiogram; Group A: patients with identified pathogenic or likely pathogenic mutation(s)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 (see text for details); Group B: patients with no identified pathogenic or likely pathogenic mutations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Group C: patients who did not undergo genetic testing for</w:t>
      </w:r>
      <w:bookmarkStart w:id="1" w:name="_GoBack1"/>
      <w:bookmarkEnd w:id="1"/>
      <w:r w:rsidRPr="00467B3B">
        <w:rPr>
          <w:color w:val="auto"/>
        </w:rPr>
        <w:t xml:space="preserve">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HCM: hypertrophic cardiomyopathy; LAFB: left anterior fascicular block; LBBB: left bundle branch block; LVH: left ventricular hypertrophy (ECG criteria); RBBB: right bundle branch block.</w:t>
      </w: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b/>
          <w:bCs/>
          <w:color w:val="auto"/>
        </w:rPr>
      </w:pPr>
    </w:p>
    <w:p w:rsidR="00467B3B" w:rsidRPr="00467B3B" w:rsidRDefault="00467B3B" w:rsidP="00467B3B">
      <w:pPr>
        <w:pStyle w:val="Legenda"/>
        <w:rPr>
          <w:color w:val="auto"/>
        </w:rPr>
      </w:pPr>
      <w:proofErr w:type="gramStart"/>
      <w:r w:rsidRPr="00467B3B">
        <w:rPr>
          <w:b/>
          <w:bCs/>
          <w:color w:val="auto"/>
        </w:rPr>
        <w:lastRenderedPageBreak/>
        <w:t>Supplementary Table 3</w:t>
      </w:r>
      <w:r w:rsidR="001674E5">
        <w:rPr>
          <w:b/>
          <w:bCs/>
          <w:color w:val="auto"/>
        </w:rPr>
        <w:t>.</w:t>
      </w:r>
      <w:proofErr w:type="gramEnd"/>
      <w:r w:rsidRPr="00467B3B">
        <w:rPr>
          <w:color w:val="auto"/>
        </w:rPr>
        <w:t xml:space="preserve"> Concentric left ventricular hypertrophy or presence of left ventricular obstruction on echocardiography.</w:t>
      </w:r>
    </w:p>
    <w:tbl>
      <w:tblPr>
        <w:tblW w:w="9360" w:type="dxa"/>
        <w:tblInd w:w="57" w:type="dxa"/>
        <w:tblBorders>
          <w:top w:val="single" w:sz="2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1894"/>
        <w:gridCol w:w="1719"/>
        <w:gridCol w:w="1588"/>
        <w:gridCol w:w="1706"/>
        <w:gridCol w:w="1763"/>
        <w:gridCol w:w="690"/>
      </w:tblGrid>
      <w:tr w:rsidR="00467B3B" w:rsidRPr="00467B3B" w:rsidTr="00D6131A">
        <w:trPr>
          <w:cantSplit/>
        </w:trPr>
        <w:tc>
          <w:tcPr>
            <w:tcW w:w="1893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719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Total</w:t>
            </w:r>
          </w:p>
        </w:tc>
        <w:tc>
          <w:tcPr>
            <w:tcW w:w="1588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A</w:t>
            </w:r>
          </w:p>
        </w:tc>
        <w:tc>
          <w:tcPr>
            <w:tcW w:w="1706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B</w:t>
            </w:r>
          </w:p>
        </w:tc>
        <w:tc>
          <w:tcPr>
            <w:tcW w:w="1763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Group C</w:t>
            </w:r>
          </w:p>
        </w:tc>
        <w:tc>
          <w:tcPr>
            <w:tcW w:w="690" w:type="dxa"/>
            <w:tcBorders>
              <w:top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  <w:lang w:val="en-GB"/>
              </w:rPr>
              <w:t>p</w:t>
            </w:r>
          </w:p>
        </w:tc>
      </w:tr>
      <w:tr w:rsidR="00467B3B" w:rsidRPr="00467B3B" w:rsidTr="00D6131A">
        <w:trPr>
          <w:cantSplit/>
        </w:trPr>
        <w:tc>
          <w:tcPr>
            <w:tcW w:w="1893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Patients, n</w:t>
            </w:r>
          </w:p>
        </w:tc>
        <w:tc>
          <w:tcPr>
            <w:tcW w:w="1719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128</w:t>
            </w:r>
          </w:p>
        </w:tc>
        <w:tc>
          <w:tcPr>
            <w:tcW w:w="1706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234</w:t>
            </w:r>
          </w:p>
        </w:tc>
        <w:tc>
          <w:tcPr>
            <w:tcW w:w="1763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449</w:t>
            </w:r>
          </w:p>
        </w:tc>
        <w:tc>
          <w:tcPr>
            <w:tcW w:w="690" w:type="dxa"/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</w:p>
        </w:tc>
      </w:tr>
      <w:tr w:rsidR="00467B3B" w:rsidRPr="00467B3B" w:rsidTr="001674E5">
        <w:trPr>
          <w:cantSplit/>
        </w:trPr>
        <w:tc>
          <w:tcPr>
            <w:tcW w:w="1893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Concentric LVH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63/806</w:t>
            </w:r>
            <w:r w:rsidRPr="00467B3B">
              <w:rPr>
                <w:color w:val="auto"/>
                <w:vertAlign w:val="superscript"/>
              </w:rPr>
              <w:t>a</w:t>
            </w:r>
            <w:r w:rsidRPr="00467B3B">
              <w:rPr>
                <w:color w:val="auto"/>
              </w:rPr>
              <w:t xml:space="preserve"> (7.8%)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9/128</w:t>
            </w:r>
            <w:r w:rsidRPr="00467B3B">
              <w:rPr>
                <w:color w:val="auto"/>
                <w:vertAlign w:val="superscript"/>
              </w:rPr>
              <w:t>a</w:t>
            </w:r>
            <w:r w:rsidRPr="00467B3B">
              <w:rPr>
                <w:color w:val="auto"/>
              </w:rPr>
              <w:t xml:space="preserve"> (7%)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19/231</w:t>
            </w:r>
            <w:r w:rsidRPr="00467B3B">
              <w:rPr>
                <w:color w:val="auto"/>
                <w:vertAlign w:val="superscript"/>
              </w:rPr>
              <w:t>a</w:t>
            </w:r>
            <w:r w:rsidRPr="00467B3B">
              <w:rPr>
                <w:color w:val="auto"/>
              </w:rPr>
              <w:t xml:space="preserve"> (8.2%)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35/447</w:t>
            </w:r>
            <w:r w:rsidRPr="00467B3B">
              <w:rPr>
                <w:color w:val="auto"/>
                <w:vertAlign w:val="superscript"/>
              </w:rPr>
              <w:t>a</w:t>
            </w:r>
            <w:r w:rsidRPr="00467B3B">
              <w:rPr>
                <w:color w:val="auto"/>
              </w:rPr>
              <w:t xml:space="preserve"> (7.8%)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0.922</w:t>
            </w:r>
          </w:p>
        </w:tc>
      </w:tr>
      <w:tr w:rsidR="00467B3B" w:rsidRPr="00467B3B" w:rsidTr="001674E5">
        <w:trPr>
          <w:cantSplit/>
        </w:trPr>
        <w:tc>
          <w:tcPr>
            <w:tcW w:w="1893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  <w:lang w:val="en-GB"/>
              </w:rPr>
            </w:pPr>
            <w:r w:rsidRPr="00467B3B">
              <w:rPr>
                <w:color w:val="auto"/>
              </w:rPr>
              <w:t>LV obstruction</w:t>
            </w:r>
          </w:p>
        </w:tc>
        <w:tc>
          <w:tcPr>
            <w:tcW w:w="1719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325/811</w:t>
            </w:r>
            <w:r w:rsidRPr="00467B3B">
              <w:rPr>
                <w:color w:val="auto"/>
                <w:vertAlign w:val="superscript"/>
              </w:rPr>
              <w:t>b</w:t>
            </w:r>
            <w:r w:rsidRPr="00467B3B">
              <w:rPr>
                <w:color w:val="auto"/>
                <w:lang w:val="en-GB"/>
              </w:rPr>
              <w:t xml:space="preserve"> </w:t>
            </w:r>
            <w:r w:rsidRPr="00467B3B">
              <w:rPr>
                <w:color w:val="auto"/>
              </w:rPr>
              <w:t>(40.1%)</w:t>
            </w:r>
          </w:p>
        </w:tc>
        <w:tc>
          <w:tcPr>
            <w:tcW w:w="1588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40/128</w:t>
            </w:r>
            <w:r w:rsidRPr="00467B3B">
              <w:rPr>
                <w:color w:val="auto"/>
                <w:vertAlign w:val="superscript"/>
              </w:rPr>
              <w:t>b</w:t>
            </w:r>
            <w:r w:rsidRPr="00467B3B">
              <w:rPr>
                <w:color w:val="auto"/>
                <w:lang w:val="en-GB"/>
              </w:rPr>
              <w:t xml:space="preserve"> </w:t>
            </w:r>
            <w:r w:rsidRPr="00467B3B">
              <w:rPr>
                <w:color w:val="auto"/>
              </w:rPr>
              <w:t>(31.3%)</w:t>
            </w:r>
          </w:p>
        </w:tc>
        <w:tc>
          <w:tcPr>
            <w:tcW w:w="1706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92/234</w:t>
            </w:r>
            <w:r w:rsidRPr="00467B3B">
              <w:rPr>
                <w:color w:val="auto"/>
                <w:vertAlign w:val="superscript"/>
              </w:rPr>
              <w:t>b</w:t>
            </w:r>
            <w:r w:rsidRPr="00467B3B">
              <w:rPr>
                <w:color w:val="auto"/>
                <w:lang w:val="en-GB"/>
              </w:rPr>
              <w:t xml:space="preserve"> </w:t>
            </w:r>
            <w:r w:rsidRPr="00467B3B">
              <w:rPr>
                <w:color w:val="auto"/>
              </w:rPr>
              <w:t>(39.3%)</w:t>
            </w:r>
          </w:p>
        </w:tc>
        <w:tc>
          <w:tcPr>
            <w:tcW w:w="1763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193/449</w:t>
            </w:r>
            <w:r w:rsidRPr="00467B3B">
              <w:rPr>
                <w:color w:val="auto"/>
                <w:vertAlign w:val="superscript"/>
              </w:rPr>
              <w:t>b</w:t>
            </w:r>
            <w:r w:rsidRPr="00467B3B">
              <w:rPr>
                <w:color w:val="auto"/>
                <w:lang w:val="en-GB"/>
              </w:rPr>
              <w:t xml:space="preserve"> </w:t>
            </w:r>
            <w:r w:rsidRPr="00467B3B">
              <w:rPr>
                <w:color w:val="auto"/>
              </w:rPr>
              <w:t>(43%)</w:t>
            </w:r>
          </w:p>
        </w:tc>
        <w:tc>
          <w:tcPr>
            <w:tcW w:w="690" w:type="dxa"/>
            <w:tcBorders>
              <w:top w:val="nil"/>
              <w:bottom w:val="single" w:sz="2" w:space="0" w:color="00000A"/>
            </w:tcBorders>
            <w:shd w:val="clear" w:color="auto" w:fill="auto"/>
          </w:tcPr>
          <w:p w:rsidR="00467B3B" w:rsidRPr="00467B3B" w:rsidRDefault="00467B3B" w:rsidP="00D6131A">
            <w:pPr>
              <w:pStyle w:val="Table"/>
              <w:spacing w:line="240" w:lineRule="auto"/>
              <w:rPr>
                <w:color w:val="auto"/>
              </w:rPr>
            </w:pPr>
            <w:r w:rsidRPr="00467B3B">
              <w:rPr>
                <w:color w:val="auto"/>
              </w:rPr>
              <w:t>0.055</w:t>
            </w:r>
          </w:p>
        </w:tc>
      </w:tr>
    </w:tbl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</w:rPr>
        <w:t xml:space="preserve"> </w:t>
      </w:r>
      <w:r w:rsidRPr="00467B3B">
        <w:rPr>
          <w:color w:val="auto"/>
          <w:vertAlign w:val="superscript"/>
        </w:rPr>
        <w:t>a</w:t>
      </w:r>
      <w:r w:rsidRPr="00467B3B">
        <w:rPr>
          <w:color w:val="auto"/>
        </w:rPr>
        <w:t xml:space="preserve"> total number of patients in each group with echocardiographic (echo) information regarding type and distribution of LVH.</w:t>
      </w:r>
    </w:p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  <w:vertAlign w:val="superscript"/>
        </w:rPr>
        <w:t>b</w:t>
      </w:r>
      <w:r w:rsidRPr="00467B3B">
        <w:rPr>
          <w:color w:val="auto"/>
        </w:rPr>
        <w:t xml:space="preserve"> total number of patients in each group with echo information regarding presence of LV obstruction.</w:t>
      </w:r>
    </w:p>
    <w:p w:rsidR="00467B3B" w:rsidRPr="00467B3B" w:rsidRDefault="00467B3B" w:rsidP="00467B3B">
      <w:pPr>
        <w:pStyle w:val="Legends"/>
        <w:rPr>
          <w:color w:val="auto"/>
        </w:rPr>
      </w:pPr>
      <w:r w:rsidRPr="00467B3B">
        <w:rPr>
          <w:color w:val="auto"/>
        </w:rPr>
        <w:t xml:space="preserve">Group A: patients with identified pathogenic or likely pathogenic mutation(s)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 (see text for details); Group B: patients with no identified pathogenic or likely pathogenic mutations in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Group C: patients who did not undergo genetic testing for</w:t>
      </w:r>
      <w:bookmarkStart w:id="2" w:name="_GoBack2"/>
      <w:bookmarkEnd w:id="2"/>
      <w:r w:rsidRPr="00467B3B">
        <w:rPr>
          <w:color w:val="auto"/>
        </w:rPr>
        <w:t xml:space="preserve"> </w:t>
      </w:r>
      <w:proofErr w:type="spellStart"/>
      <w:r w:rsidRPr="00467B3B">
        <w:rPr>
          <w:color w:val="auto"/>
        </w:rPr>
        <w:t>sarcomeric</w:t>
      </w:r>
      <w:proofErr w:type="spellEnd"/>
      <w:r w:rsidRPr="00467B3B">
        <w:rPr>
          <w:color w:val="auto"/>
        </w:rPr>
        <w:t xml:space="preserve"> genes; LVH: left ventricular hypertrophy; LV obstruction: left ventricular outflow tract or intraventricular obstruction.</w:t>
      </w:r>
    </w:p>
    <w:p w:rsidR="00C826A2" w:rsidRPr="00467B3B" w:rsidRDefault="00C826A2">
      <w:pPr>
        <w:rPr>
          <w:color w:val="auto"/>
        </w:rPr>
      </w:pPr>
    </w:p>
    <w:sectPr w:rsidR="00C826A2" w:rsidRPr="00467B3B" w:rsidSect="002C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781"/>
    <w:multiLevelType w:val="multilevel"/>
    <w:tmpl w:val="33440E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F5"/>
    <w:rsid w:val="001674E5"/>
    <w:rsid w:val="002C3761"/>
    <w:rsid w:val="00467B3B"/>
    <w:rsid w:val="00C826A2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B3B"/>
    <w:pPr>
      <w:widowControl w:val="0"/>
      <w:suppressAutoHyphens/>
      <w:overflowPunct w:val="0"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paragraph" w:styleId="Ttulo1">
    <w:name w:val="heading 1"/>
    <w:basedOn w:val="Normal"/>
    <w:link w:val="Ttulo1Carcter"/>
    <w:rsid w:val="00467B3B"/>
    <w:pPr>
      <w:keepNext/>
      <w:spacing w:before="227" w:after="113"/>
      <w:ind w:firstLine="0"/>
      <w:outlineLvl w:val="0"/>
    </w:pPr>
    <w:rPr>
      <w:rFonts w:eastAsia="Microsoft YaHe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467B3B"/>
    <w:rPr>
      <w:rFonts w:ascii="Times New Roman" w:eastAsia="Microsoft YaHei" w:hAnsi="Times New Roman" w:cs="Mangal"/>
      <w:b/>
      <w:bCs/>
      <w:color w:val="00000A"/>
      <w:sz w:val="24"/>
      <w:szCs w:val="24"/>
      <w:lang w:val="en-US" w:eastAsia="zh-CN" w:bidi="hi-IN"/>
    </w:rPr>
  </w:style>
  <w:style w:type="paragraph" w:styleId="Legenda">
    <w:name w:val="caption"/>
    <w:basedOn w:val="Normal"/>
    <w:rsid w:val="00467B3B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Legenda"/>
    <w:rsid w:val="00467B3B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467B3B"/>
    <w:pPr>
      <w:spacing w:before="113" w:after="113"/>
      <w:ind w:firstLine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Ana (ELS-BCL)</dc:creator>
  <cp:lastModifiedBy>Dulce Brito</cp:lastModifiedBy>
  <cp:revision>2</cp:revision>
  <dcterms:created xsi:type="dcterms:W3CDTF">2018-06-04T22:09:00Z</dcterms:created>
  <dcterms:modified xsi:type="dcterms:W3CDTF">2018-06-04T22:09:00Z</dcterms:modified>
</cp:coreProperties>
</file>