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FD75" w14:textId="77777777" w:rsidR="00F020AC" w:rsidRDefault="00F020AC" w:rsidP="00F020AC">
      <w:pPr>
        <w:pStyle w:val="Descripcin"/>
      </w:pPr>
      <w:r>
        <w:rPr>
          <w:b/>
          <w:bCs/>
          <w:color w:val="FF0000"/>
        </w:rPr>
        <w:t>Supplementary Table</w:t>
      </w:r>
      <w:r>
        <w:rPr>
          <w:b/>
          <w:bCs/>
        </w:rPr>
        <w:t xml:space="preserve"> 1</w:t>
      </w:r>
      <w:r>
        <w:t xml:space="preserve"> Echocardiography: methodology and definitions.</w:t>
      </w:r>
    </w:p>
    <w:p w14:paraId="3ACF5B4E" w14:textId="77777777" w:rsidR="00F020AC" w:rsidRDefault="00F020AC" w:rsidP="00F020AC">
      <w:pPr>
        <w:pStyle w:val="LO-Normal"/>
      </w:pPr>
      <w:r>
        <w:t xml:space="preserve">In accordance with the design of the </w:t>
      </w:r>
      <w:proofErr w:type="spellStart"/>
      <w:r>
        <w:t>Síncrone</w:t>
      </w:r>
      <w:proofErr w:type="spellEnd"/>
      <w:r>
        <w:t xml:space="preserve"> study and with the practice of the centers involved, echocardiographic studies were performed before device implantation, at hospital discharge, and at three, six and 12±1 months after implantation.</w:t>
      </w:r>
    </w:p>
    <w:p w14:paraId="3FEE8518" w14:textId="77777777" w:rsidR="00F020AC" w:rsidRDefault="00F020AC" w:rsidP="00F020AC">
      <w:pPr>
        <w:pStyle w:val="LO-Normal"/>
      </w:pPr>
      <w:r>
        <w:t>In line with the recommendations of the European and US guidelines on echocardiography, the following parameters were assessed whenever possible, according to the available facilities and practice of the centers:</w:t>
      </w:r>
    </w:p>
    <w:tbl>
      <w:tblPr>
        <w:tblW w:w="9355" w:type="dxa"/>
        <w:tblInd w:w="57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5"/>
      </w:tblGrid>
      <w:tr w:rsidR="00F020AC" w14:paraId="124EAD89" w14:textId="77777777" w:rsidTr="00392CF0">
        <w:trPr>
          <w:trHeight w:val="1"/>
        </w:trPr>
        <w:tc>
          <w:tcPr>
            <w:tcW w:w="9355" w:type="dxa"/>
            <w:tcBorders>
              <w:top w:val="single" w:sz="2" w:space="0" w:color="000001"/>
            </w:tcBorders>
            <w:shd w:val="clear" w:color="auto" w:fill="FFFFFF"/>
          </w:tcPr>
          <w:p w14:paraId="3C74C7AE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LVEF by Simpson’s biplane method</w:t>
            </w:r>
          </w:p>
          <w:p w14:paraId="671D2F82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LV end-diastolic and end-systolic volumes</w:t>
            </w:r>
          </w:p>
          <w:p w14:paraId="65B46B23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Ejection volume</w:t>
            </w:r>
          </w:p>
          <w:p w14:paraId="557F008B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Cardiac output and cardiac index</w:t>
            </w:r>
          </w:p>
          <w:p w14:paraId="0444C4BE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End-diastolic wall thickness</w:t>
            </w:r>
          </w:p>
          <w:p w14:paraId="5D3C643E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 xml:space="preserve">LA volume </w:t>
            </w:r>
            <w:proofErr w:type="gramStart"/>
            <w:r>
              <w:t>index</w:t>
            </w:r>
            <w:proofErr w:type="gramEnd"/>
          </w:p>
          <w:p w14:paraId="70DE99B4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 xml:space="preserve">E/A ratio of </w:t>
            </w:r>
            <w:proofErr w:type="spellStart"/>
            <w:r>
              <w:t>transmitral</w:t>
            </w:r>
            <w:proofErr w:type="spellEnd"/>
            <w:r>
              <w:t xml:space="preserve"> flow</w:t>
            </w:r>
          </w:p>
          <w:p w14:paraId="26BB7FE9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E-wave deceleration time</w:t>
            </w:r>
          </w:p>
          <w:p w14:paraId="0226C851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Early diastolic septal wave velocity (e') by TDI</w:t>
            </w:r>
          </w:p>
          <w:p w14:paraId="24DF8785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E/e' ratio</w:t>
            </w:r>
          </w:p>
          <w:p w14:paraId="2E5EC6B9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 xml:space="preserve">Diastolic filling time </w:t>
            </w:r>
          </w:p>
          <w:p w14:paraId="04FA63AE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Presence and severity (regurgitant volume) of diastolic MR</w:t>
            </w:r>
          </w:p>
          <w:p w14:paraId="14CEADBB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RV diastolic diameter</w:t>
            </w:r>
          </w:p>
          <w:p w14:paraId="57EB9628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RA volume</w:t>
            </w:r>
          </w:p>
          <w:p w14:paraId="03EC515B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IVC diameter and respiratory variation</w:t>
            </w:r>
          </w:p>
          <w:p w14:paraId="1BF9B4DA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Peak tricuspid regurgitation velocity</w:t>
            </w:r>
          </w:p>
          <w:p w14:paraId="559BC9CA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Estimated PASP</w:t>
            </w:r>
          </w:p>
          <w:p w14:paraId="549925DF" w14:textId="77777777" w:rsidR="00F020AC" w:rsidRDefault="00F020AC" w:rsidP="00392CF0">
            <w:pPr>
              <w:pStyle w:val="Table"/>
              <w:numPr>
                <w:ilvl w:val="0"/>
                <w:numId w:val="1"/>
              </w:numPr>
              <w:spacing w:line="240" w:lineRule="auto"/>
            </w:pPr>
            <w:r>
              <w:t>RV longitudinal systolic function (TAPSE and/or tricuspid annular systolic velocity, S', by TDI)</w:t>
            </w:r>
          </w:p>
        </w:tc>
      </w:tr>
    </w:tbl>
    <w:p w14:paraId="6F642C38" w14:textId="77777777" w:rsidR="00F020AC" w:rsidRDefault="00F020AC" w:rsidP="00F020AC">
      <w:pPr>
        <w:pStyle w:val="Legends"/>
      </w:pPr>
      <w:r>
        <w:t>IVC: inferior vena cava; LA: left atrial; LV: left ventricular; LVEF: left ventricular ejection fraction; MR: mitral regurgitation; PASP: pulmonary artery systolic pressure; RA: right atrial; TAPSE: tricuspid annular plane systolic excursion; TDI: tissue Doppler imaging.</w:t>
      </w:r>
    </w:p>
    <w:p w14:paraId="71015D2C" w14:textId="77777777" w:rsidR="00F020AC" w:rsidRDefault="00F020AC" w:rsidP="00F020AC">
      <w:pPr>
        <w:pStyle w:val="Ttulo2"/>
      </w:pPr>
      <w:r>
        <w:t>Definitions</w:t>
      </w:r>
    </w:p>
    <w:p w14:paraId="5C605280" w14:textId="77777777" w:rsidR="00F020AC" w:rsidRDefault="00F020AC" w:rsidP="00F020AC">
      <w:pPr>
        <w:pStyle w:val="LO-Normal"/>
        <w:numPr>
          <w:ilvl w:val="0"/>
          <w:numId w:val="2"/>
        </w:numPr>
        <w:ind w:left="283" w:hanging="283"/>
      </w:pPr>
      <w:r>
        <w:t xml:space="preserve">Atrioventricular </w:t>
      </w:r>
      <w:proofErr w:type="spellStart"/>
      <w:r>
        <w:t>dyssynchrony</w:t>
      </w:r>
      <w:proofErr w:type="spellEnd"/>
      <w:r>
        <w:t xml:space="preserve"> was assessed by measuring left ventricular filling time (LVFT) and the RR interval and defined as LVFT/RR </w:t>
      </w:r>
      <w:r>
        <w:rPr>
          <w:color w:val="FF0000"/>
        </w:rPr>
        <w:t>(14)</w:t>
      </w:r>
      <w:r>
        <w:t xml:space="preserve"> ≤40%.</w:t>
      </w:r>
    </w:p>
    <w:p w14:paraId="7649D987" w14:textId="77777777" w:rsidR="00F020AC" w:rsidRDefault="00F020AC" w:rsidP="00F020AC">
      <w:pPr>
        <w:pStyle w:val="LO-Normal"/>
        <w:numPr>
          <w:ilvl w:val="0"/>
          <w:numId w:val="2"/>
        </w:numPr>
        <w:ind w:left="283" w:hanging="283"/>
      </w:pPr>
      <w:r>
        <w:t xml:space="preserve"> Interventricular </w:t>
      </w:r>
      <w:proofErr w:type="spellStart"/>
      <w:r>
        <w:t>dyssynchrony</w:t>
      </w:r>
      <w:proofErr w:type="spellEnd"/>
      <w:r>
        <w:t xml:space="preserve"> was defined as a difference of ≥40 </w:t>
      </w:r>
      <w:proofErr w:type="spellStart"/>
      <w:r>
        <w:t>ms</w:t>
      </w:r>
      <w:proofErr w:type="spellEnd"/>
      <w:r>
        <w:t xml:space="preserve"> between left and right ventricular pre-ejection times (from QRS onset to beginning of aortic and pulmonary flow by pulsed Doppler) or as LV pre-</w:t>
      </w:r>
      <w:proofErr w:type="spellStart"/>
      <w:r>
        <w:t>ejection</w:t>
      </w:r>
      <w:proofErr w:type="spellEnd"/>
      <w:r>
        <w:t xml:space="preserve"> time ≥140 </w:t>
      </w:r>
      <w:proofErr w:type="spellStart"/>
      <w:r>
        <w:t>ms.</w:t>
      </w:r>
      <w:proofErr w:type="spellEnd"/>
    </w:p>
    <w:p w14:paraId="0A2B18DE" w14:textId="77777777" w:rsidR="00F020AC" w:rsidRDefault="00F020AC" w:rsidP="00F020AC">
      <w:pPr>
        <w:pStyle w:val="LO-Normal"/>
        <w:numPr>
          <w:ilvl w:val="0"/>
          <w:numId w:val="2"/>
        </w:numPr>
        <w:ind w:left="283" w:hanging="283"/>
      </w:pPr>
      <w:r>
        <w:t xml:space="preserve">Intraventricular </w:t>
      </w:r>
      <w:proofErr w:type="spellStart"/>
      <w:r>
        <w:t>dyssynchrony</w:t>
      </w:r>
      <w:proofErr w:type="spellEnd"/>
      <w:r>
        <w:t xml:space="preserve"> was defined (1) by the method of </w:t>
      </w:r>
      <w:proofErr w:type="spellStart"/>
      <w:r>
        <w:rPr>
          <w:color w:val="FF0000"/>
        </w:rPr>
        <w:t>Pitzalis</w:t>
      </w:r>
      <w:proofErr w:type="spellEnd"/>
      <w:r>
        <w:rPr>
          <w:color w:val="FF0000"/>
        </w:rPr>
        <w:t xml:space="preserve"> et al.</w:t>
      </w:r>
      <w:r>
        <w:t xml:space="preserve">, in left parasternal view on M-mode echocardiography, as time between septal excursion to posterior excursion peak ≥130 </w:t>
      </w:r>
      <w:proofErr w:type="spellStart"/>
      <w:r>
        <w:t>ms</w:t>
      </w:r>
      <w:proofErr w:type="spellEnd"/>
      <w:r>
        <w:t xml:space="preserve"> </w:t>
      </w:r>
      <w:r>
        <w:rPr>
          <w:color w:val="FF0000"/>
        </w:rPr>
        <w:t>and</w:t>
      </w:r>
      <w:r>
        <w:t xml:space="preserve"> (2) by the method of </w:t>
      </w:r>
      <w:proofErr w:type="spellStart"/>
      <w:r>
        <w:rPr>
          <w:color w:val="FF0000"/>
        </w:rPr>
        <w:t>Bax</w:t>
      </w:r>
      <w:proofErr w:type="spellEnd"/>
      <w:r>
        <w:rPr>
          <w:color w:val="FF0000"/>
        </w:rPr>
        <w:t xml:space="preserve"> et al.</w:t>
      </w:r>
      <w:r>
        <w:t xml:space="preserve">, in apical view on tissue Doppler imaging measuring time to peak systolic velocity in the basal segment of the inferior septum and lateral wall in apical 4-chamber view and time </w:t>
      </w:r>
      <w:r>
        <w:lastRenderedPageBreak/>
        <w:t>to peak systolic velocity s' in the basal segment of the anterior septum and the posterior wall in apical 3-chamber view, as a difference of ≥</w:t>
      </w:r>
      <w:r>
        <w:rPr>
          <w:color w:val="FF0000"/>
        </w:rPr>
        <w:t>60</w:t>
      </w:r>
      <w:r>
        <w:t xml:space="preserve"> </w:t>
      </w:r>
      <w:proofErr w:type="spellStart"/>
      <w:r>
        <w:t>ms</w:t>
      </w:r>
      <w:proofErr w:type="spellEnd"/>
      <w:r>
        <w:t xml:space="preserve"> between lateral and septal inferior systolic velocity and/or between posterior and anterior septal systolic velocity.</w:t>
      </w:r>
    </w:p>
    <w:p w14:paraId="3265A3D6" w14:textId="77777777" w:rsidR="00F020AC" w:rsidRDefault="00F020AC" w:rsidP="00F020AC">
      <w:pPr>
        <w:pStyle w:val="LO-Normal"/>
      </w:pPr>
      <w:r>
        <w:t xml:space="preserve">Mechanical </w:t>
      </w:r>
      <w:proofErr w:type="spellStart"/>
      <w:r>
        <w:t>dyssynchrony</w:t>
      </w:r>
      <w:proofErr w:type="spellEnd"/>
      <w:r>
        <w:t xml:space="preserve"> (post-systolic contraction, septal flash, or paradoxical septal motion) was also reported if assessed qualitatively.</w:t>
      </w:r>
    </w:p>
    <w:p w14:paraId="004B2283" w14:textId="77777777" w:rsidR="00F020AC" w:rsidRDefault="00F020AC" w:rsidP="00F020AC">
      <w:pPr>
        <w:pStyle w:val="LO-Normal"/>
      </w:pPr>
      <w:r>
        <w:t>Assessment by speckle-tracking echocardiography was considered optional.</w:t>
      </w:r>
    </w:p>
    <w:p w14:paraId="5D779FEE" w14:textId="77777777" w:rsidR="00F020AC" w:rsidRDefault="00F020AC" w:rsidP="00F020AC">
      <w:pPr>
        <w:pStyle w:val="LO-Normal"/>
        <w:rPr>
          <w:szCs w:val="22"/>
        </w:rPr>
      </w:pPr>
    </w:p>
    <w:p w14:paraId="513F4AF9" w14:textId="77777777" w:rsidR="00F020AC" w:rsidRDefault="00F020AC" w:rsidP="00F020AC">
      <w:pPr>
        <w:pStyle w:val="Descripcin"/>
      </w:pPr>
      <w:r>
        <w:rPr>
          <w:b/>
          <w:bCs/>
          <w:color w:val="FF0000"/>
        </w:rPr>
        <w:t>Supplementary Table</w:t>
      </w:r>
      <w:r>
        <w:rPr>
          <w:b/>
          <w:bCs/>
        </w:rPr>
        <w:t xml:space="preserve"> 2</w:t>
      </w:r>
      <w:r>
        <w:t xml:space="preserve"> Distribution of patients with cardiac resynchronization devices (n=135) by QRS duration and morphology according to the European guidelines on heart failure.</w:t>
      </w:r>
    </w:p>
    <w:tbl>
      <w:tblPr>
        <w:tblW w:w="9360" w:type="dxa"/>
        <w:tblInd w:w="57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47"/>
        <w:gridCol w:w="3013"/>
      </w:tblGrid>
      <w:tr w:rsidR="00F020AC" w14:paraId="293C8D25" w14:textId="77777777" w:rsidTr="00392CF0">
        <w:trPr>
          <w:trHeight w:val="282"/>
        </w:trPr>
        <w:tc>
          <w:tcPr>
            <w:tcW w:w="9359" w:type="dxa"/>
            <w:gridSpan w:val="2"/>
            <w:tcBorders>
              <w:top w:val="single" w:sz="2" w:space="0" w:color="000001"/>
            </w:tcBorders>
            <w:shd w:val="clear" w:color="auto" w:fill="FFFFFF"/>
          </w:tcPr>
          <w:p w14:paraId="042C0EB3" w14:textId="77777777" w:rsidR="00F020AC" w:rsidRDefault="00F020AC" w:rsidP="00392CF0">
            <w:pPr>
              <w:pStyle w:val="Table"/>
              <w:spacing w:line="240" w:lineRule="auto"/>
            </w:pPr>
            <w:r>
              <w:t>Distribution according to the 2008 guidelines</w:t>
            </w:r>
            <w:r>
              <w:rPr>
                <w:vertAlign w:val="superscript"/>
              </w:rPr>
              <w:t>2</w:t>
            </w:r>
          </w:p>
        </w:tc>
      </w:tr>
      <w:tr w:rsidR="00F020AC" w14:paraId="479B8472" w14:textId="77777777" w:rsidTr="00392CF0">
        <w:trPr>
          <w:trHeight w:val="282"/>
        </w:trPr>
        <w:tc>
          <w:tcPr>
            <w:tcW w:w="6346" w:type="dxa"/>
            <w:shd w:val="clear" w:color="auto" w:fill="FFFFFF"/>
            <w:vAlign w:val="center"/>
          </w:tcPr>
          <w:p w14:paraId="12FF8D0D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QRS ≥120 </w:t>
            </w:r>
            <w:proofErr w:type="spellStart"/>
            <w:r>
              <w:t>ms</w:t>
            </w:r>
            <w:proofErr w:type="spellEnd"/>
          </w:p>
          <w:p w14:paraId="70D2DF92" w14:textId="77777777" w:rsidR="00F020AC" w:rsidRDefault="00F020AC" w:rsidP="00392CF0">
            <w:pPr>
              <w:pStyle w:val="Table"/>
              <w:spacing w:line="240" w:lineRule="auto"/>
            </w:pPr>
            <w:r>
              <w:t>(class I recommendation, level of evidence A)</w:t>
            </w:r>
          </w:p>
        </w:tc>
        <w:tc>
          <w:tcPr>
            <w:tcW w:w="3013" w:type="dxa"/>
            <w:shd w:val="clear" w:color="auto" w:fill="FFFFFF"/>
            <w:vAlign w:val="center"/>
          </w:tcPr>
          <w:p w14:paraId="64D7D88D" w14:textId="77777777" w:rsidR="00F020AC" w:rsidRDefault="00F020AC" w:rsidP="00392CF0">
            <w:pPr>
              <w:pStyle w:val="Table"/>
              <w:spacing w:line="240" w:lineRule="auto"/>
            </w:pPr>
            <w:r>
              <w:t>128 (95%)</w:t>
            </w:r>
          </w:p>
        </w:tc>
      </w:tr>
      <w:tr w:rsidR="00F020AC" w14:paraId="4173A9F4" w14:textId="77777777" w:rsidTr="00392CF0">
        <w:trPr>
          <w:trHeight w:val="211"/>
        </w:trPr>
        <w:tc>
          <w:tcPr>
            <w:tcW w:w="634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434E07B" w14:textId="77777777" w:rsidR="00F020AC" w:rsidRDefault="00F020AC" w:rsidP="00392CF0">
            <w:pPr>
              <w:pStyle w:val="Table"/>
              <w:spacing w:line="240" w:lineRule="auto"/>
            </w:pPr>
            <w:r>
              <w:t>Other</w:t>
            </w:r>
          </w:p>
        </w:tc>
        <w:tc>
          <w:tcPr>
            <w:tcW w:w="301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B94AB11" w14:textId="77777777" w:rsidR="00F020AC" w:rsidRDefault="00F020AC" w:rsidP="00392CF0">
            <w:pPr>
              <w:pStyle w:val="Table"/>
              <w:spacing w:line="240" w:lineRule="auto"/>
            </w:pPr>
            <w:r>
              <w:t>7 (5%)</w:t>
            </w:r>
          </w:p>
        </w:tc>
      </w:tr>
    </w:tbl>
    <w:p w14:paraId="0D4BDC5F" w14:textId="77777777" w:rsidR="00F020AC" w:rsidRDefault="00F020AC" w:rsidP="00F020AC">
      <w:pPr>
        <w:rPr>
          <w:lang w:val="en-GB"/>
        </w:rPr>
      </w:pPr>
    </w:p>
    <w:tbl>
      <w:tblPr>
        <w:tblW w:w="9355" w:type="dxa"/>
        <w:tblInd w:w="57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0"/>
        <w:gridCol w:w="2965"/>
      </w:tblGrid>
      <w:tr w:rsidR="00F020AC" w14:paraId="099C68A5" w14:textId="77777777" w:rsidTr="00392CF0">
        <w:trPr>
          <w:trHeight w:val="409"/>
        </w:trPr>
        <w:tc>
          <w:tcPr>
            <w:tcW w:w="9354" w:type="dxa"/>
            <w:gridSpan w:val="2"/>
            <w:tcBorders>
              <w:top w:val="single" w:sz="2" w:space="0" w:color="000001"/>
            </w:tcBorders>
            <w:shd w:val="clear" w:color="auto" w:fill="FFFFFF"/>
          </w:tcPr>
          <w:p w14:paraId="3251DD1D" w14:textId="77777777" w:rsidR="00F020AC" w:rsidRDefault="00F020AC" w:rsidP="00392CF0">
            <w:pPr>
              <w:pStyle w:val="Table"/>
              <w:spacing w:line="240" w:lineRule="auto"/>
            </w:pPr>
            <w:r>
              <w:t>Distribution according to the 2016 guidelines</w:t>
            </w:r>
            <w:r>
              <w:rPr>
                <w:vertAlign w:val="superscript"/>
              </w:rPr>
              <w:t>11</w:t>
            </w:r>
          </w:p>
        </w:tc>
      </w:tr>
      <w:tr w:rsidR="00F020AC" w14:paraId="11A655D4" w14:textId="77777777" w:rsidTr="00392CF0">
        <w:trPr>
          <w:trHeight w:val="438"/>
        </w:trPr>
        <w:tc>
          <w:tcPr>
            <w:tcW w:w="6389" w:type="dxa"/>
            <w:shd w:val="clear" w:color="auto" w:fill="FFFFFF"/>
          </w:tcPr>
          <w:p w14:paraId="506743E1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QRS ≥150 </w:t>
            </w:r>
            <w:proofErr w:type="spellStart"/>
            <w:r>
              <w:t>ms</w:t>
            </w:r>
            <w:proofErr w:type="spellEnd"/>
            <w:r>
              <w:t xml:space="preserve"> and LBBB</w:t>
            </w:r>
          </w:p>
          <w:p w14:paraId="24A3E296" w14:textId="77777777" w:rsidR="00F020AC" w:rsidRDefault="00F020AC" w:rsidP="00392CF0">
            <w:pPr>
              <w:pStyle w:val="Table"/>
              <w:spacing w:line="240" w:lineRule="auto"/>
            </w:pPr>
            <w:r>
              <w:t>(class I recommendation, level of evidence A)</w:t>
            </w:r>
          </w:p>
        </w:tc>
        <w:tc>
          <w:tcPr>
            <w:tcW w:w="2965" w:type="dxa"/>
            <w:shd w:val="clear" w:color="auto" w:fill="FFFFFF"/>
          </w:tcPr>
          <w:p w14:paraId="3E3851C9" w14:textId="77777777" w:rsidR="00F020AC" w:rsidRDefault="00F020AC" w:rsidP="00392CF0">
            <w:pPr>
              <w:pStyle w:val="Table"/>
              <w:spacing w:line="240" w:lineRule="auto"/>
            </w:pPr>
            <w:r>
              <w:t>95 (70%)</w:t>
            </w:r>
          </w:p>
        </w:tc>
      </w:tr>
      <w:tr w:rsidR="00F020AC" w14:paraId="3B34F258" w14:textId="77777777" w:rsidTr="00392CF0">
        <w:trPr>
          <w:trHeight w:val="462"/>
        </w:trPr>
        <w:tc>
          <w:tcPr>
            <w:tcW w:w="6389" w:type="dxa"/>
            <w:shd w:val="clear" w:color="auto" w:fill="FFFFFF"/>
          </w:tcPr>
          <w:p w14:paraId="35375645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QRS ≥150 </w:t>
            </w:r>
            <w:proofErr w:type="spellStart"/>
            <w:r>
              <w:t>ms</w:t>
            </w:r>
            <w:proofErr w:type="spellEnd"/>
            <w:r>
              <w:t xml:space="preserve"> and no LBBB</w:t>
            </w:r>
          </w:p>
          <w:p w14:paraId="26F56E02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(class </w:t>
            </w:r>
            <w:proofErr w:type="spellStart"/>
            <w:r>
              <w:t>IIa</w:t>
            </w:r>
            <w:proofErr w:type="spellEnd"/>
            <w:r>
              <w:t xml:space="preserve"> recommendation, level of evidence B)</w:t>
            </w:r>
          </w:p>
        </w:tc>
        <w:tc>
          <w:tcPr>
            <w:tcW w:w="2965" w:type="dxa"/>
            <w:shd w:val="clear" w:color="auto" w:fill="FFFFFF"/>
          </w:tcPr>
          <w:p w14:paraId="308A0D82" w14:textId="77777777" w:rsidR="00F020AC" w:rsidRDefault="00F020AC" w:rsidP="00392CF0">
            <w:pPr>
              <w:pStyle w:val="Table"/>
              <w:spacing w:line="240" w:lineRule="auto"/>
            </w:pPr>
            <w:r>
              <w:t>4 (3%)</w:t>
            </w:r>
          </w:p>
        </w:tc>
      </w:tr>
      <w:tr w:rsidR="00F020AC" w14:paraId="1D793AFF" w14:textId="77777777" w:rsidTr="00392CF0">
        <w:trPr>
          <w:trHeight w:val="462"/>
        </w:trPr>
        <w:tc>
          <w:tcPr>
            <w:tcW w:w="6389" w:type="dxa"/>
            <w:shd w:val="clear" w:color="auto" w:fill="FFFFFF"/>
          </w:tcPr>
          <w:p w14:paraId="7941E3B2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QRS 130-149 </w:t>
            </w:r>
            <w:proofErr w:type="spellStart"/>
            <w:r>
              <w:t>ms</w:t>
            </w:r>
            <w:proofErr w:type="spellEnd"/>
            <w:r>
              <w:t xml:space="preserve"> and LBBB</w:t>
            </w:r>
          </w:p>
          <w:p w14:paraId="6FC919AC" w14:textId="77777777" w:rsidR="00F020AC" w:rsidRDefault="00F020AC" w:rsidP="00392CF0">
            <w:pPr>
              <w:pStyle w:val="Table"/>
              <w:spacing w:line="240" w:lineRule="auto"/>
            </w:pPr>
            <w:proofErr w:type="gramStart"/>
            <w:r>
              <w:t>( class</w:t>
            </w:r>
            <w:proofErr w:type="gramEnd"/>
            <w:r>
              <w:t xml:space="preserve"> I recommendation, level of evidence B)</w:t>
            </w:r>
          </w:p>
        </w:tc>
        <w:tc>
          <w:tcPr>
            <w:tcW w:w="2965" w:type="dxa"/>
            <w:shd w:val="clear" w:color="auto" w:fill="FFFFFF"/>
          </w:tcPr>
          <w:p w14:paraId="10EADEFD" w14:textId="77777777" w:rsidR="00F020AC" w:rsidRDefault="00F020AC" w:rsidP="00392CF0">
            <w:pPr>
              <w:pStyle w:val="Table"/>
              <w:spacing w:line="240" w:lineRule="auto"/>
            </w:pPr>
            <w:r>
              <w:t>22 (16%)</w:t>
            </w:r>
          </w:p>
        </w:tc>
      </w:tr>
      <w:tr w:rsidR="00F020AC" w14:paraId="79F2EE31" w14:textId="77777777" w:rsidTr="00392CF0">
        <w:trPr>
          <w:trHeight w:val="438"/>
        </w:trPr>
        <w:tc>
          <w:tcPr>
            <w:tcW w:w="6389" w:type="dxa"/>
            <w:shd w:val="clear" w:color="auto" w:fill="FFFFFF"/>
          </w:tcPr>
          <w:p w14:paraId="4ED90D1F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QRS 130-149 </w:t>
            </w:r>
            <w:proofErr w:type="spellStart"/>
            <w:r>
              <w:t>ms</w:t>
            </w:r>
            <w:proofErr w:type="spellEnd"/>
            <w:r>
              <w:t xml:space="preserve"> and no LBBB</w:t>
            </w:r>
          </w:p>
          <w:p w14:paraId="77D938D9" w14:textId="77777777" w:rsidR="00F020AC" w:rsidRDefault="00F020AC" w:rsidP="00392CF0">
            <w:pPr>
              <w:pStyle w:val="Table"/>
              <w:spacing w:line="240" w:lineRule="auto"/>
            </w:pPr>
            <w:r>
              <w:t>(class IIb recommendation, level of evidence B)</w:t>
            </w:r>
          </w:p>
        </w:tc>
        <w:tc>
          <w:tcPr>
            <w:tcW w:w="2965" w:type="dxa"/>
            <w:shd w:val="clear" w:color="auto" w:fill="FFFFFF"/>
          </w:tcPr>
          <w:p w14:paraId="6366CDD2" w14:textId="77777777" w:rsidR="00F020AC" w:rsidRDefault="00F020AC" w:rsidP="00392CF0">
            <w:pPr>
              <w:pStyle w:val="Table"/>
              <w:spacing w:line="240" w:lineRule="auto"/>
            </w:pPr>
            <w:r>
              <w:t>3 (2%)</w:t>
            </w:r>
          </w:p>
        </w:tc>
      </w:tr>
      <w:tr w:rsidR="00F020AC" w14:paraId="665859F4" w14:textId="77777777" w:rsidTr="00392CF0">
        <w:trPr>
          <w:trHeight w:val="324"/>
        </w:trPr>
        <w:tc>
          <w:tcPr>
            <w:tcW w:w="63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14:paraId="77A8C622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Other (QRS &lt;130 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96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14:paraId="20C5FBC4" w14:textId="77777777" w:rsidR="00F020AC" w:rsidRDefault="00F020AC" w:rsidP="00392CF0">
            <w:pPr>
              <w:pStyle w:val="Table"/>
              <w:spacing w:line="240" w:lineRule="auto"/>
            </w:pPr>
            <w:r>
              <w:t>11 (8%)</w:t>
            </w:r>
          </w:p>
        </w:tc>
      </w:tr>
      <w:tr w:rsidR="00F020AC" w14:paraId="4035F5B2" w14:textId="77777777" w:rsidTr="00392CF0">
        <w:trPr>
          <w:trHeight w:val="324"/>
        </w:trPr>
        <w:tc>
          <w:tcPr>
            <w:tcW w:w="63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14:paraId="667FD7FB" w14:textId="77777777" w:rsidR="00F020AC" w:rsidRDefault="00F020AC" w:rsidP="00392CF0">
            <w:pPr>
              <w:pStyle w:val="Table"/>
              <w:spacing w:line="240" w:lineRule="auto"/>
            </w:pPr>
            <w:r>
              <w:t>LBBB: complete left bundle branch block.</w:t>
            </w:r>
          </w:p>
        </w:tc>
        <w:tc>
          <w:tcPr>
            <w:tcW w:w="296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14:paraId="518D9911" w14:textId="77777777" w:rsidR="00F020AC" w:rsidRDefault="00F020AC" w:rsidP="00392CF0">
            <w:pPr>
              <w:pStyle w:val="Table"/>
              <w:spacing w:line="240" w:lineRule="auto"/>
            </w:pPr>
          </w:p>
        </w:tc>
      </w:tr>
    </w:tbl>
    <w:p w14:paraId="711F834E" w14:textId="77777777" w:rsidR="00F020AC" w:rsidRDefault="00F020AC" w:rsidP="00F020AC">
      <w:pPr>
        <w:pStyle w:val="LO-Normal"/>
      </w:pPr>
    </w:p>
    <w:p w14:paraId="60FD38C7" w14:textId="77777777" w:rsidR="00F020AC" w:rsidRDefault="00F020AC" w:rsidP="00F020AC">
      <w:pPr>
        <w:pStyle w:val="Descripcin"/>
      </w:pPr>
      <w:r>
        <w:rPr>
          <w:b/>
          <w:bCs/>
          <w:color w:val="FF0000"/>
        </w:rPr>
        <w:t>Supplementary Table 3</w:t>
      </w:r>
      <w:r>
        <w:t xml:space="preserve"> </w:t>
      </w:r>
      <w:r>
        <w:rPr>
          <w:color w:val="FF0000"/>
        </w:rPr>
        <w:t>Demographic</w:t>
      </w:r>
      <w:r>
        <w:t xml:space="preserve">, clinical and echocardiographic characteristics of patients who underwent echocardiographic assessment of </w:t>
      </w:r>
      <w:proofErr w:type="spellStart"/>
      <w:r>
        <w:t>dyssynchrony</w:t>
      </w:r>
      <w:proofErr w:type="spellEnd"/>
      <w:r>
        <w:t xml:space="preserve"> (n=82).</w:t>
      </w:r>
    </w:p>
    <w:tbl>
      <w:tblPr>
        <w:tblW w:w="9355" w:type="dxa"/>
        <w:tblInd w:w="57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38"/>
        <w:gridCol w:w="3017"/>
      </w:tblGrid>
      <w:tr w:rsidR="00F020AC" w14:paraId="5C948D48" w14:textId="77777777" w:rsidTr="00392CF0">
        <w:trPr>
          <w:trHeight w:val="340"/>
        </w:trPr>
        <w:tc>
          <w:tcPr>
            <w:tcW w:w="6337" w:type="dxa"/>
            <w:tcBorders>
              <w:top w:val="single" w:sz="2" w:space="0" w:color="000001"/>
            </w:tcBorders>
            <w:shd w:val="clear" w:color="auto" w:fill="FFFFFF"/>
          </w:tcPr>
          <w:p w14:paraId="6D78046E" w14:textId="77777777" w:rsidR="00F020AC" w:rsidRDefault="00F020AC" w:rsidP="00392CF0">
            <w:pPr>
              <w:pStyle w:val="Table"/>
              <w:spacing w:line="240" w:lineRule="auto"/>
            </w:pPr>
            <w:r>
              <w:t>Age, years</w:t>
            </w:r>
          </w:p>
        </w:tc>
        <w:tc>
          <w:tcPr>
            <w:tcW w:w="3017" w:type="dxa"/>
            <w:tcBorders>
              <w:top w:val="single" w:sz="2" w:space="0" w:color="000001"/>
            </w:tcBorders>
            <w:shd w:val="clear" w:color="auto" w:fill="FFFFFF"/>
            <w:vAlign w:val="center"/>
          </w:tcPr>
          <w:p w14:paraId="304EDD82" w14:textId="77777777" w:rsidR="00F020AC" w:rsidRDefault="00F020AC" w:rsidP="00392CF0">
            <w:pPr>
              <w:pStyle w:val="Table"/>
              <w:spacing w:line="240" w:lineRule="auto"/>
            </w:pPr>
            <w:r>
              <w:t>68±10</w:t>
            </w:r>
          </w:p>
        </w:tc>
      </w:tr>
      <w:tr w:rsidR="00F020AC" w14:paraId="71CE6C83" w14:textId="77777777" w:rsidTr="00392CF0">
        <w:trPr>
          <w:trHeight w:val="340"/>
        </w:trPr>
        <w:tc>
          <w:tcPr>
            <w:tcW w:w="6337" w:type="dxa"/>
            <w:shd w:val="clear" w:color="auto" w:fill="FFFFFF"/>
          </w:tcPr>
          <w:p w14:paraId="49FCE0D1" w14:textId="77777777" w:rsidR="00F020AC" w:rsidRDefault="00F020AC" w:rsidP="00392CF0">
            <w:pPr>
              <w:pStyle w:val="Table"/>
              <w:spacing w:line="240" w:lineRule="auto"/>
            </w:pPr>
            <w:r>
              <w:rPr>
                <w:color w:val="FF0000"/>
                <w:lang w:val="en-GB"/>
              </w:rPr>
              <w:t xml:space="preserve">Male, </w:t>
            </w:r>
            <w:r>
              <w:rPr>
                <w:color w:val="FF0000"/>
              </w:rPr>
              <w:t>n (%)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05498DB8" w14:textId="77777777" w:rsidR="00F020AC" w:rsidRDefault="00F020AC" w:rsidP="00392CF0">
            <w:pPr>
              <w:pStyle w:val="Table"/>
              <w:spacing w:line="240" w:lineRule="auto"/>
            </w:pPr>
            <w:r>
              <w:t>57 (70)</w:t>
            </w:r>
          </w:p>
        </w:tc>
      </w:tr>
      <w:tr w:rsidR="00F020AC" w14:paraId="22884233" w14:textId="77777777" w:rsidTr="00392CF0">
        <w:trPr>
          <w:trHeight w:val="340"/>
        </w:trPr>
        <w:tc>
          <w:tcPr>
            <w:tcW w:w="6337" w:type="dxa"/>
            <w:shd w:val="clear" w:color="auto" w:fill="FFFFFF"/>
          </w:tcPr>
          <w:p w14:paraId="1725BEED" w14:textId="77777777" w:rsidR="00F020AC" w:rsidRDefault="00F020AC" w:rsidP="00392CF0">
            <w:pPr>
              <w:pStyle w:val="Table"/>
              <w:spacing w:line="240" w:lineRule="auto"/>
            </w:pPr>
            <w:r>
              <w:t>Baseline NYHA class</w:t>
            </w:r>
            <w:r>
              <w:rPr>
                <w:color w:val="FF0000"/>
                <w:lang w:val="en-GB"/>
              </w:rPr>
              <w:t xml:space="preserve">, </w:t>
            </w:r>
            <w:r>
              <w:rPr>
                <w:color w:val="FF0000"/>
              </w:rPr>
              <w:t>n (%)</w:t>
            </w:r>
          </w:p>
          <w:p w14:paraId="1E1A3BC7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>I</w:t>
            </w:r>
          </w:p>
          <w:p w14:paraId="6F74052D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>II</w:t>
            </w:r>
          </w:p>
          <w:p w14:paraId="50F77EEA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>III</w:t>
            </w:r>
          </w:p>
          <w:p w14:paraId="41CCC2AE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>IV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675567B9" w14:textId="77777777" w:rsidR="00F020AC" w:rsidRDefault="00F020AC" w:rsidP="00392CF0">
            <w:pPr>
              <w:pStyle w:val="Table"/>
              <w:spacing w:line="240" w:lineRule="auto"/>
            </w:pPr>
          </w:p>
          <w:p w14:paraId="52790E3B" w14:textId="77777777" w:rsidR="00F020AC" w:rsidRDefault="00F020AC" w:rsidP="00392CF0">
            <w:pPr>
              <w:pStyle w:val="Table"/>
              <w:spacing w:line="240" w:lineRule="auto"/>
            </w:pPr>
            <w:r>
              <w:t>0</w:t>
            </w:r>
          </w:p>
          <w:p w14:paraId="0923C81A" w14:textId="77777777" w:rsidR="00F020AC" w:rsidRDefault="00F020AC" w:rsidP="00392CF0">
            <w:pPr>
              <w:pStyle w:val="Table"/>
              <w:spacing w:line="240" w:lineRule="auto"/>
            </w:pPr>
            <w:r>
              <w:t>29 (35)</w:t>
            </w:r>
          </w:p>
          <w:p w14:paraId="3CC038AE" w14:textId="77777777" w:rsidR="00F020AC" w:rsidRDefault="00F020AC" w:rsidP="00392CF0">
            <w:pPr>
              <w:pStyle w:val="Table"/>
              <w:spacing w:line="240" w:lineRule="auto"/>
            </w:pPr>
            <w:r>
              <w:t>51 (62)</w:t>
            </w:r>
          </w:p>
          <w:p w14:paraId="354B3DA2" w14:textId="77777777" w:rsidR="00F020AC" w:rsidRDefault="00F020AC" w:rsidP="00392CF0">
            <w:pPr>
              <w:pStyle w:val="Table"/>
              <w:spacing w:line="240" w:lineRule="auto"/>
            </w:pPr>
            <w:r>
              <w:t>2 (2)</w:t>
            </w:r>
          </w:p>
        </w:tc>
      </w:tr>
      <w:tr w:rsidR="00F020AC" w14:paraId="128FC935" w14:textId="77777777" w:rsidTr="00392CF0">
        <w:trPr>
          <w:trHeight w:val="340"/>
        </w:trPr>
        <w:tc>
          <w:tcPr>
            <w:tcW w:w="6337" w:type="dxa"/>
            <w:shd w:val="clear" w:color="auto" w:fill="FFFFFF"/>
          </w:tcPr>
          <w:p w14:paraId="606069E7" w14:textId="77777777" w:rsidR="00F020AC" w:rsidRDefault="00F020AC" w:rsidP="00392CF0">
            <w:pPr>
              <w:pStyle w:val="Table"/>
              <w:spacing w:line="240" w:lineRule="auto"/>
            </w:pPr>
            <w:r>
              <w:t>NYHA class at 12 months after implantation</w:t>
            </w:r>
            <w:r>
              <w:rPr>
                <w:color w:val="FF0000"/>
                <w:lang w:val="en-GB"/>
              </w:rPr>
              <w:t xml:space="preserve">, </w:t>
            </w:r>
            <w:r>
              <w:rPr>
                <w:color w:val="FF0000"/>
              </w:rPr>
              <w:t>n (%)</w:t>
            </w:r>
          </w:p>
          <w:p w14:paraId="6DCBB8C7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>I</w:t>
            </w:r>
          </w:p>
          <w:p w14:paraId="3B7C9FC8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>II</w:t>
            </w:r>
          </w:p>
          <w:p w14:paraId="370A8E4E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>III</w:t>
            </w:r>
          </w:p>
          <w:p w14:paraId="2B02073A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>IV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07DBFB17" w14:textId="77777777" w:rsidR="00F020AC" w:rsidRDefault="00F020AC" w:rsidP="00392CF0">
            <w:pPr>
              <w:pStyle w:val="Table"/>
              <w:spacing w:line="240" w:lineRule="auto"/>
            </w:pPr>
          </w:p>
          <w:p w14:paraId="1D3C4B9E" w14:textId="77777777" w:rsidR="00F020AC" w:rsidRDefault="00F020AC" w:rsidP="00392CF0">
            <w:pPr>
              <w:pStyle w:val="Table"/>
              <w:spacing w:line="240" w:lineRule="auto"/>
            </w:pPr>
            <w:r>
              <w:t>17 (21)</w:t>
            </w:r>
          </w:p>
          <w:p w14:paraId="2D2DB0F6" w14:textId="77777777" w:rsidR="00F020AC" w:rsidRDefault="00F020AC" w:rsidP="00392CF0">
            <w:pPr>
              <w:pStyle w:val="Table"/>
              <w:spacing w:line="240" w:lineRule="auto"/>
            </w:pPr>
            <w:r>
              <w:t>49 (60)</w:t>
            </w:r>
          </w:p>
          <w:p w14:paraId="4CEA888F" w14:textId="77777777" w:rsidR="00F020AC" w:rsidRDefault="00F020AC" w:rsidP="00392CF0">
            <w:pPr>
              <w:pStyle w:val="Table"/>
              <w:spacing w:line="240" w:lineRule="auto"/>
            </w:pPr>
            <w:r>
              <w:t>13 (16)</w:t>
            </w:r>
          </w:p>
          <w:p w14:paraId="5C85C2D2" w14:textId="77777777" w:rsidR="00F020AC" w:rsidRDefault="00F020AC" w:rsidP="00392CF0">
            <w:pPr>
              <w:pStyle w:val="Table"/>
              <w:spacing w:line="240" w:lineRule="auto"/>
            </w:pPr>
            <w:r>
              <w:t>3 (4)</w:t>
            </w:r>
          </w:p>
        </w:tc>
      </w:tr>
      <w:tr w:rsidR="00F020AC" w14:paraId="5508C856" w14:textId="77777777" w:rsidTr="00392CF0">
        <w:trPr>
          <w:trHeight w:val="340"/>
        </w:trPr>
        <w:tc>
          <w:tcPr>
            <w:tcW w:w="6337" w:type="dxa"/>
            <w:shd w:val="clear" w:color="auto" w:fill="FFFFFF"/>
            <w:vAlign w:val="center"/>
          </w:tcPr>
          <w:p w14:paraId="3126C4B4" w14:textId="77777777" w:rsidR="00F020AC" w:rsidRDefault="00F020AC" w:rsidP="00392CF0">
            <w:pPr>
              <w:pStyle w:val="Table"/>
              <w:spacing w:line="240" w:lineRule="auto"/>
            </w:pPr>
            <w:r>
              <w:t>LBBB</w:t>
            </w:r>
            <w:r>
              <w:rPr>
                <w:color w:val="FF0000"/>
                <w:lang w:val="en-GB"/>
              </w:rPr>
              <w:t xml:space="preserve">, </w:t>
            </w:r>
            <w:r>
              <w:rPr>
                <w:color w:val="FF0000"/>
              </w:rPr>
              <w:t>n (%)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37550E0D" w14:textId="77777777" w:rsidR="00F020AC" w:rsidRDefault="00F020AC" w:rsidP="00392CF0">
            <w:pPr>
              <w:pStyle w:val="Table"/>
              <w:spacing w:line="240" w:lineRule="auto"/>
            </w:pPr>
            <w:r>
              <w:t>74 (90)</w:t>
            </w:r>
          </w:p>
        </w:tc>
      </w:tr>
      <w:tr w:rsidR="00F020AC" w14:paraId="4A26C822" w14:textId="77777777" w:rsidTr="00392CF0">
        <w:trPr>
          <w:trHeight w:val="340"/>
        </w:trPr>
        <w:tc>
          <w:tcPr>
            <w:tcW w:w="6337" w:type="dxa"/>
            <w:shd w:val="clear" w:color="auto" w:fill="FFFFFF"/>
          </w:tcPr>
          <w:p w14:paraId="4CFA6D3F" w14:textId="77777777" w:rsidR="00F020AC" w:rsidRDefault="00F020AC" w:rsidP="00392CF0">
            <w:pPr>
              <w:pStyle w:val="Table"/>
              <w:spacing w:line="240" w:lineRule="auto"/>
            </w:pPr>
            <w:r>
              <w:t>QRS</w:t>
            </w:r>
            <w:r>
              <w:rPr>
                <w:color w:val="FF0000"/>
                <w:lang w:val="en-GB"/>
              </w:rPr>
              <w:t xml:space="preserve">, </w:t>
            </w:r>
            <w:r>
              <w:rPr>
                <w:color w:val="FF0000"/>
              </w:rPr>
              <w:t>n (%)</w:t>
            </w:r>
          </w:p>
          <w:p w14:paraId="3E3DFA34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 xml:space="preserve">≥150 </w:t>
            </w:r>
            <w:proofErr w:type="spellStart"/>
            <w:r>
              <w:t>ms</w:t>
            </w:r>
            <w:proofErr w:type="spellEnd"/>
          </w:p>
          <w:p w14:paraId="6AB48171" w14:textId="77777777" w:rsidR="00F020AC" w:rsidRDefault="00F020AC" w:rsidP="00392CF0">
            <w:pPr>
              <w:pStyle w:val="Table"/>
              <w:spacing w:line="240" w:lineRule="auto"/>
              <w:ind w:left="170"/>
            </w:pPr>
            <w:r>
              <w:t xml:space="preserve">130-149 </w:t>
            </w:r>
            <w:proofErr w:type="spellStart"/>
            <w:r>
              <w:t>ms</w:t>
            </w:r>
            <w:proofErr w:type="spellEnd"/>
          </w:p>
        </w:tc>
        <w:tc>
          <w:tcPr>
            <w:tcW w:w="3017" w:type="dxa"/>
            <w:shd w:val="clear" w:color="auto" w:fill="FFFFFF"/>
            <w:vAlign w:val="center"/>
          </w:tcPr>
          <w:p w14:paraId="29D6C31D" w14:textId="77777777" w:rsidR="00F020AC" w:rsidRDefault="00F020AC" w:rsidP="00392CF0">
            <w:pPr>
              <w:pStyle w:val="Table"/>
              <w:spacing w:line="240" w:lineRule="auto"/>
            </w:pPr>
          </w:p>
          <w:p w14:paraId="2F07FB10" w14:textId="77777777" w:rsidR="00F020AC" w:rsidRDefault="00F020AC" w:rsidP="00392CF0">
            <w:pPr>
              <w:pStyle w:val="Table"/>
              <w:spacing w:line="240" w:lineRule="auto"/>
            </w:pPr>
            <w:r>
              <w:t>66 (80)</w:t>
            </w:r>
          </w:p>
          <w:p w14:paraId="6037723F" w14:textId="77777777" w:rsidR="00F020AC" w:rsidRDefault="00F020AC" w:rsidP="00392CF0">
            <w:pPr>
              <w:pStyle w:val="Table"/>
              <w:spacing w:line="240" w:lineRule="auto"/>
            </w:pPr>
            <w:r>
              <w:t>8 (10)</w:t>
            </w:r>
          </w:p>
        </w:tc>
      </w:tr>
      <w:tr w:rsidR="00F020AC" w14:paraId="09A337C1" w14:textId="77777777" w:rsidTr="00392CF0">
        <w:trPr>
          <w:trHeight w:val="340"/>
        </w:trPr>
        <w:tc>
          <w:tcPr>
            <w:tcW w:w="6337" w:type="dxa"/>
            <w:shd w:val="clear" w:color="auto" w:fill="FFFFFF"/>
          </w:tcPr>
          <w:p w14:paraId="4CD893BF" w14:textId="77777777" w:rsidR="00F020AC" w:rsidRDefault="00F020AC" w:rsidP="00392CF0">
            <w:pPr>
              <w:pStyle w:val="Table"/>
              <w:spacing w:line="240" w:lineRule="auto"/>
            </w:pPr>
            <w:r>
              <w:t>LVEF, %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2BA8E699" w14:textId="77777777" w:rsidR="00F020AC" w:rsidRDefault="00F020AC" w:rsidP="00392CF0">
            <w:pPr>
              <w:pStyle w:val="Table"/>
              <w:spacing w:line="240" w:lineRule="auto"/>
            </w:pPr>
            <w:r>
              <w:t>27±6</w:t>
            </w:r>
          </w:p>
        </w:tc>
      </w:tr>
      <w:tr w:rsidR="00F020AC" w14:paraId="7F123669" w14:textId="77777777" w:rsidTr="00392CF0">
        <w:trPr>
          <w:trHeight w:val="340"/>
        </w:trPr>
        <w:tc>
          <w:tcPr>
            <w:tcW w:w="6337" w:type="dxa"/>
            <w:shd w:val="clear" w:color="auto" w:fill="FFFFFF"/>
          </w:tcPr>
          <w:p w14:paraId="559E951E" w14:textId="77777777" w:rsidR="00F020AC" w:rsidRDefault="00F020AC" w:rsidP="00392CF0">
            <w:pPr>
              <w:pStyle w:val="Table"/>
              <w:spacing w:line="240" w:lineRule="auto"/>
            </w:pPr>
            <w:r>
              <w:t>LVEDD index, ml/m</w:t>
            </w:r>
            <w:r>
              <w:rPr>
                <w:vertAlign w:val="superscript"/>
              </w:rPr>
              <w:t>2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3FCB8DF8" w14:textId="77777777" w:rsidR="00F020AC" w:rsidRDefault="00F020AC" w:rsidP="00392CF0">
            <w:pPr>
              <w:pStyle w:val="Table"/>
              <w:spacing w:line="240" w:lineRule="auto"/>
            </w:pPr>
            <w:r>
              <w:t>113±40</w:t>
            </w:r>
          </w:p>
        </w:tc>
      </w:tr>
      <w:tr w:rsidR="00F020AC" w14:paraId="5F33C292" w14:textId="77777777" w:rsidTr="00392CF0">
        <w:trPr>
          <w:trHeight w:val="340"/>
        </w:trPr>
        <w:tc>
          <w:tcPr>
            <w:tcW w:w="6337" w:type="dxa"/>
            <w:shd w:val="clear" w:color="auto" w:fill="FFFFFF"/>
          </w:tcPr>
          <w:p w14:paraId="78BE59BF" w14:textId="77777777" w:rsidR="00F020AC" w:rsidRDefault="00F020AC" w:rsidP="00392CF0">
            <w:pPr>
              <w:pStyle w:val="Table"/>
              <w:spacing w:line="240" w:lineRule="auto"/>
            </w:pPr>
            <w:r>
              <w:t>LVESD index, ml/m</w:t>
            </w:r>
            <w:r>
              <w:rPr>
                <w:vertAlign w:val="superscript"/>
              </w:rPr>
              <w:t>2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3985DB1D" w14:textId="77777777" w:rsidR="00F020AC" w:rsidRDefault="00F020AC" w:rsidP="00392CF0">
            <w:pPr>
              <w:pStyle w:val="Table"/>
              <w:spacing w:line="240" w:lineRule="auto"/>
            </w:pPr>
            <w:r>
              <w:t>79±32</w:t>
            </w:r>
          </w:p>
        </w:tc>
      </w:tr>
      <w:tr w:rsidR="00F020AC" w14:paraId="382805B8" w14:textId="77777777" w:rsidTr="00392CF0">
        <w:trPr>
          <w:trHeight w:val="340"/>
        </w:trPr>
        <w:tc>
          <w:tcPr>
            <w:tcW w:w="6337" w:type="dxa"/>
            <w:shd w:val="clear" w:color="auto" w:fill="FFFFFF"/>
          </w:tcPr>
          <w:p w14:paraId="5FBC4F7A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Atrioventricular </w:t>
            </w:r>
            <w:proofErr w:type="spellStart"/>
            <w:r>
              <w:t>dyssynchrony</w:t>
            </w:r>
            <w:proofErr w:type="spellEnd"/>
            <w:r>
              <w:rPr>
                <w:color w:val="FF0000"/>
              </w:rPr>
              <w:t>, n (%)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5641DF80" w14:textId="77777777" w:rsidR="00F020AC" w:rsidRDefault="00F020AC" w:rsidP="00392CF0">
            <w:pPr>
              <w:pStyle w:val="Table"/>
              <w:spacing w:line="240" w:lineRule="auto"/>
            </w:pPr>
            <w:r>
              <w:t>15 (18)</w:t>
            </w:r>
          </w:p>
        </w:tc>
      </w:tr>
      <w:tr w:rsidR="00F020AC" w14:paraId="2D2AED3E" w14:textId="77777777" w:rsidTr="00392CF0">
        <w:trPr>
          <w:trHeight w:val="340"/>
        </w:trPr>
        <w:tc>
          <w:tcPr>
            <w:tcW w:w="6337" w:type="dxa"/>
            <w:shd w:val="clear" w:color="auto" w:fill="FFFFFF"/>
          </w:tcPr>
          <w:p w14:paraId="727043F9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Intraventricular </w:t>
            </w:r>
            <w:proofErr w:type="spellStart"/>
            <w:r>
              <w:t>dyssynchrony</w:t>
            </w:r>
            <w:proofErr w:type="spellEnd"/>
            <w:r>
              <w:rPr>
                <w:color w:val="FF0000"/>
              </w:rPr>
              <w:t>, n (%)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57ECA962" w14:textId="77777777" w:rsidR="00F020AC" w:rsidRDefault="00F020AC" w:rsidP="00392CF0">
            <w:pPr>
              <w:pStyle w:val="Table"/>
              <w:spacing w:line="240" w:lineRule="auto"/>
            </w:pPr>
            <w:r>
              <w:t>55 (67)</w:t>
            </w:r>
          </w:p>
        </w:tc>
      </w:tr>
      <w:tr w:rsidR="00F020AC" w14:paraId="60AA2890" w14:textId="77777777" w:rsidTr="00392CF0">
        <w:trPr>
          <w:trHeight w:val="340"/>
        </w:trPr>
        <w:tc>
          <w:tcPr>
            <w:tcW w:w="633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14:paraId="62DC38CA" w14:textId="77777777" w:rsidR="00F020AC" w:rsidRDefault="00F020AC" w:rsidP="00392CF0">
            <w:pPr>
              <w:pStyle w:val="Table"/>
              <w:spacing w:line="240" w:lineRule="auto"/>
            </w:pPr>
            <w:r>
              <w:t xml:space="preserve">Interventricular </w:t>
            </w:r>
            <w:proofErr w:type="spellStart"/>
            <w:r>
              <w:t>dyssynchrony</w:t>
            </w:r>
            <w:proofErr w:type="spellEnd"/>
            <w:r>
              <w:rPr>
                <w:color w:val="FF0000"/>
              </w:rPr>
              <w:t>, n (%)</w:t>
            </w:r>
          </w:p>
        </w:tc>
        <w:tc>
          <w:tcPr>
            <w:tcW w:w="301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57B9259" w14:textId="77777777" w:rsidR="00F020AC" w:rsidRDefault="00F020AC" w:rsidP="00392CF0">
            <w:pPr>
              <w:pStyle w:val="Table"/>
              <w:spacing w:line="240" w:lineRule="auto"/>
            </w:pPr>
            <w:r>
              <w:t>34 (41)</w:t>
            </w:r>
          </w:p>
        </w:tc>
      </w:tr>
      <w:tr w:rsidR="00F020AC" w14:paraId="709F811D" w14:textId="77777777" w:rsidTr="00392CF0">
        <w:trPr>
          <w:trHeight w:val="340"/>
        </w:trPr>
        <w:tc>
          <w:tcPr>
            <w:tcW w:w="9354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14:paraId="7AE2FA0B" w14:textId="77777777" w:rsidR="00F020AC" w:rsidRDefault="00F020AC" w:rsidP="00392CF0">
            <w:pPr>
              <w:pStyle w:val="Table"/>
              <w:spacing w:line="240" w:lineRule="auto"/>
            </w:pPr>
            <w:r>
              <w:t>LVEDD: left ventricular end-diastolic diameter; LVEF: left ventricular ejection fraction; LVESD: left ventricular end-systolic diameter; NYHA: New York Heart Association functional class.</w:t>
            </w:r>
          </w:p>
        </w:tc>
      </w:tr>
    </w:tbl>
    <w:p w14:paraId="32291EF6" w14:textId="77777777" w:rsidR="00F020AC" w:rsidRDefault="00F020AC" w:rsidP="00F020AC">
      <w:pPr>
        <w:pStyle w:val="Legends"/>
      </w:pPr>
    </w:p>
    <w:p w14:paraId="6E958CB8" w14:textId="77777777" w:rsidR="00F020AC" w:rsidRDefault="00F020AC" w:rsidP="00F020AC">
      <w:pPr>
        <w:pStyle w:val="Descripcin"/>
      </w:pPr>
      <w:r>
        <w:rPr>
          <w:b/>
          <w:bCs/>
          <w:color w:val="FF0000"/>
        </w:rPr>
        <w:t>Supplementary Table 4</w:t>
      </w:r>
      <w:r>
        <w:t xml:space="preserve"> Centers participating in the </w:t>
      </w:r>
      <w:proofErr w:type="spellStart"/>
      <w:r>
        <w:t>Síncrone</w:t>
      </w:r>
      <w:proofErr w:type="spellEnd"/>
      <w:r>
        <w:t xml:space="preserve"> study.</w:t>
      </w:r>
    </w:p>
    <w:tbl>
      <w:tblPr>
        <w:tblW w:w="9360" w:type="dxa"/>
        <w:tblInd w:w="57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4"/>
        <w:gridCol w:w="3331"/>
        <w:gridCol w:w="1665"/>
      </w:tblGrid>
      <w:tr w:rsidR="00F020AC" w14:paraId="7E309870" w14:textId="77777777" w:rsidTr="00392CF0">
        <w:trPr>
          <w:trHeight w:val="300"/>
        </w:trPr>
        <w:tc>
          <w:tcPr>
            <w:tcW w:w="4364" w:type="dxa"/>
            <w:tcBorders>
              <w:top w:val="single" w:sz="2" w:space="0" w:color="000001"/>
            </w:tcBorders>
            <w:shd w:val="clear" w:color="auto" w:fill="FFFFFF"/>
            <w:vAlign w:val="bottom"/>
          </w:tcPr>
          <w:p w14:paraId="7A446860" w14:textId="77777777" w:rsidR="00F020AC" w:rsidRDefault="00F020AC" w:rsidP="00392CF0">
            <w:pPr>
              <w:pStyle w:val="Table"/>
              <w:spacing w:line="240" w:lineRule="auto"/>
            </w:pPr>
            <w:r>
              <w:t>Center</w:t>
            </w:r>
          </w:p>
        </w:tc>
        <w:tc>
          <w:tcPr>
            <w:tcW w:w="3331" w:type="dxa"/>
            <w:tcBorders>
              <w:top w:val="single" w:sz="2" w:space="0" w:color="000001"/>
            </w:tcBorders>
            <w:shd w:val="clear" w:color="auto" w:fill="FFFFFF"/>
          </w:tcPr>
          <w:p w14:paraId="2D651CB1" w14:textId="77777777" w:rsidR="00F020AC" w:rsidRDefault="00F020AC" w:rsidP="00392CF0">
            <w:pPr>
              <w:pStyle w:val="Table"/>
              <w:spacing w:line="240" w:lineRule="auto"/>
            </w:pPr>
            <w:r>
              <w:t>Lead investigator</w:t>
            </w:r>
          </w:p>
        </w:tc>
        <w:tc>
          <w:tcPr>
            <w:tcW w:w="1665" w:type="dxa"/>
            <w:tcBorders>
              <w:top w:val="single" w:sz="2" w:space="0" w:color="000001"/>
            </w:tcBorders>
            <w:shd w:val="clear" w:color="auto" w:fill="FFFFFF"/>
          </w:tcPr>
          <w:p w14:paraId="1B0A88D8" w14:textId="77777777" w:rsidR="00F020AC" w:rsidRDefault="00F020AC" w:rsidP="00392CF0">
            <w:pPr>
              <w:pStyle w:val="Table"/>
              <w:spacing w:line="240" w:lineRule="auto"/>
            </w:pPr>
            <w:r>
              <w:t>No. of patients</w:t>
            </w:r>
          </w:p>
        </w:tc>
      </w:tr>
      <w:tr w:rsidR="00F020AC" w14:paraId="06350C58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2954F5F4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Centro Hospitalar do Funchal</w:t>
            </w:r>
          </w:p>
        </w:tc>
        <w:tc>
          <w:tcPr>
            <w:tcW w:w="3331" w:type="dxa"/>
            <w:shd w:val="clear" w:color="auto" w:fill="FFFFFF"/>
          </w:tcPr>
          <w:p w14:paraId="3B6C4F75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Nuno Santos</w:t>
            </w:r>
          </w:p>
        </w:tc>
        <w:tc>
          <w:tcPr>
            <w:tcW w:w="1665" w:type="dxa"/>
            <w:shd w:val="clear" w:color="auto" w:fill="FFFFFF"/>
          </w:tcPr>
          <w:p w14:paraId="45310FB9" w14:textId="77777777" w:rsidR="00F020AC" w:rsidRDefault="00F020AC" w:rsidP="00392CF0">
            <w:pPr>
              <w:pStyle w:val="Table"/>
              <w:spacing w:line="240" w:lineRule="auto"/>
            </w:pPr>
            <w:r>
              <w:t>10</w:t>
            </w:r>
          </w:p>
        </w:tc>
      </w:tr>
      <w:tr w:rsidR="00F020AC" w14:paraId="1B53BD7E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3C27412B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Centro Hospitalar Lisboa Ocidental</w:t>
            </w:r>
          </w:p>
        </w:tc>
        <w:tc>
          <w:tcPr>
            <w:tcW w:w="3331" w:type="dxa"/>
            <w:shd w:val="clear" w:color="auto" w:fill="FFFFFF"/>
          </w:tcPr>
          <w:p w14:paraId="48FBE71C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Pedro Adragão</w:t>
            </w:r>
          </w:p>
        </w:tc>
        <w:tc>
          <w:tcPr>
            <w:tcW w:w="1665" w:type="dxa"/>
            <w:shd w:val="clear" w:color="auto" w:fill="FFFFFF"/>
          </w:tcPr>
          <w:p w14:paraId="02DE0ADF" w14:textId="77777777" w:rsidR="00F020AC" w:rsidRDefault="00F020AC" w:rsidP="00392CF0">
            <w:pPr>
              <w:pStyle w:val="Table"/>
              <w:spacing w:line="240" w:lineRule="auto"/>
            </w:pPr>
            <w:r>
              <w:t>250</w:t>
            </w:r>
          </w:p>
        </w:tc>
      </w:tr>
      <w:tr w:rsidR="00F020AC" w14:paraId="5D96157F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76995241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Centro Hospitalar Vila Nova de Gaia</w:t>
            </w:r>
          </w:p>
        </w:tc>
        <w:tc>
          <w:tcPr>
            <w:tcW w:w="3331" w:type="dxa"/>
            <w:shd w:val="clear" w:color="auto" w:fill="FFFFFF"/>
          </w:tcPr>
          <w:p w14:paraId="72F58364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João Primo</w:t>
            </w:r>
          </w:p>
        </w:tc>
        <w:tc>
          <w:tcPr>
            <w:tcW w:w="1665" w:type="dxa"/>
            <w:shd w:val="clear" w:color="auto" w:fill="FFFFFF"/>
          </w:tcPr>
          <w:p w14:paraId="4FBE963A" w14:textId="77777777" w:rsidR="00F020AC" w:rsidRDefault="00F020AC" w:rsidP="00392CF0">
            <w:pPr>
              <w:pStyle w:val="Table"/>
              <w:spacing w:line="240" w:lineRule="auto"/>
            </w:pPr>
            <w:r>
              <w:t>2</w:t>
            </w:r>
          </w:p>
        </w:tc>
      </w:tr>
      <w:tr w:rsidR="00F020AC" w14:paraId="2894A9EA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61C38E96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da Luz (Lisboa)</w:t>
            </w:r>
          </w:p>
        </w:tc>
        <w:tc>
          <w:tcPr>
            <w:tcW w:w="3331" w:type="dxa"/>
            <w:shd w:val="clear" w:color="auto" w:fill="FFFFFF"/>
          </w:tcPr>
          <w:p w14:paraId="26420E73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Pedro Adragão</w:t>
            </w:r>
          </w:p>
        </w:tc>
        <w:tc>
          <w:tcPr>
            <w:tcW w:w="1665" w:type="dxa"/>
            <w:shd w:val="clear" w:color="auto" w:fill="FFFFFF"/>
          </w:tcPr>
          <w:p w14:paraId="4F311237" w14:textId="77777777" w:rsidR="00F020AC" w:rsidRDefault="00F020AC" w:rsidP="00392CF0">
            <w:pPr>
              <w:pStyle w:val="Table"/>
              <w:spacing w:line="240" w:lineRule="auto"/>
            </w:pPr>
            <w:r>
              <w:t>4</w:t>
            </w:r>
          </w:p>
        </w:tc>
      </w:tr>
      <w:tr w:rsidR="00F020AC" w14:paraId="2DE2C4FF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6A4738FE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da Universidade de Coimbra</w:t>
            </w:r>
          </w:p>
        </w:tc>
        <w:tc>
          <w:tcPr>
            <w:tcW w:w="3331" w:type="dxa"/>
            <w:shd w:val="clear" w:color="auto" w:fill="FFFFFF"/>
          </w:tcPr>
          <w:p w14:paraId="496250F3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Luís Elvas</w:t>
            </w:r>
          </w:p>
        </w:tc>
        <w:tc>
          <w:tcPr>
            <w:tcW w:w="1665" w:type="dxa"/>
            <w:shd w:val="clear" w:color="auto" w:fill="FFFFFF"/>
          </w:tcPr>
          <w:p w14:paraId="5BC84A99" w14:textId="77777777" w:rsidR="00F020AC" w:rsidRDefault="00F020AC" w:rsidP="00392CF0">
            <w:pPr>
              <w:pStyle w:val="Table"/>
              <w:spacing w:line="240" w:lineRule="auto"/>
            </w:pPr>
            <w:r>
              <w:t>17</w:t>
            </w:r>
          </w:p>
        </w:tc>
      </w:tr>
      <w:tr w:rsidR="00F020AC" w14:paraId="53438B88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6FAC3650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de Faro</w:t>
            </w:r>
          </w:p>
        </w:tc>
        <w:tc>
          <w:tcPr>
            <w:tcW w:w="3331" w:type="dxa"/>
            <w:shd w:val="clear" w:color="auto" w:fill="FFFFFF"/>
          </w:tcPr>
          <w:p w14:paraId="3CAC866F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Ilídio de Jesus</w:t>
            </w:r>
          </w:p>
        </w:tc>
        <w:tc>
          <w:tcPr>
            <w:tcW w:w="1665" w:type="dxa"/>
            <w:shd w:val="clear" w:color="auto" w:fill="FFFFFF"/>
          </w:tcPr>
          <w:p w14:paraId="41AE3567" w14:textId="77777777" w:rsidR="00F020AC" w:rsidRDefault="00F020AC" w:rsidP="00392CF0">
            <w:pPr>
              <w:pStyle w:val="Table"/>
              <w:spacing w:line="240" w:lineRule="auto"/>
            </w:pPr>
            <w:r>
              <w:t>12</w:t>
            </w:r>
          </w:p>
        </w:tc>
      </w:tr>
      <w:tr w:rsidR="00F020AC" w14:paraId="510709DA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614CB573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de Santa Maria (</w:t>
            </w:r>
            <w:proofErr w:type="spellStart"/>
            <w:r>
              <w:rPr>
                <w:lang w:val="pt-PT"/>
              </w:rPr>
              <w:t>Lisbon</w:t>
            </w:r>
            <w:proofErr w:type="spellEnd"/>
            <w:r>
              <w:rPr>
                <w:lang w:val="pt-PT"/>
              </w:rPr>
              <w:t>)</w:t>
            </w:r>
          </w:p>
        </w:tc>
        <w:tc>
          <w:tcPr>
            <w:tcW w:w="3331" w:type="dxa"/>
            <w:shd w:val="clear" w:color="auto" w:fill="FFFFFF"/>
          </w:tcPr>
          <w:p w14:paraId="56D9DCD6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João de Sousa</w:t>
            </w:r>
          </w:p>
        </w:tc>
        <w:tc>
          <w:tcPr>
            <w:tcW w:w="1665" w:type="dxa"/>
            <w:shd w:val="clear" w:color="auto" w:fill="FFFFFF"/>
          </w:tcPr>
          <w:p w14:paraId="7EF9D255" w14:textId="77777777" w:rsidR="00F020AC" w:rsidRDefault="00F020AC" w:rsidP="00392CF0">
            <w:pPr>
              <w:pStyle w:val="Table"/>
              <w:spacing w:line="240" w:lineRule="auto"/>
            </w:pPr>
            <w:r>
              <w:t>6</w:t>
            </w:r>
          </w:p>
        </w:tc>
      </w:tr>
      <w:tr w:rsidR="00F020AC" w14:paraId="7549AA7E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1611DD85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de Santa Marta (</w:t>
            </w:r>
            <w:proofErr w:type="spellStart"/>
            <w:r>
              <w:rPr>
                <w:lang w:val="pt-PT"/>
              </w:rPr>
              <w:t>Lisbon</w:t>
            </w:r>
            <w:proofErr w:type="spellEnd"/>
            <w:r>
              <w:rPr>
                <w:lang w:val="pt-PT"/>
              </w:rPr>
              <w:t>)</w:t>
            </w:r>
          </w:p>
        </w:tc>
        <w:tc>
          <w:tcPr>
            <w:tcW w:w="3331" w:type="dxa"/>
            <w:shd w:val="clear" w:color="auto" w:fill="FFFFFF"/>
          </w:tcPr>
          <w:p w14:paraId="466BEB51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Manuel Nogueira / Mário Oliveira</w:t>
            </w:r>
          </w:p>
        </w:tc>
        <w:tc>
          <w:tcPr>
            <w:tcW w:w="1665" w:type="dxa"/>
            <w:shd w:val="clear" w:color="auto" w:fill="FFFFFF"/>
          </w:tcPr>
          <w:p w14:paraId="352F5E83" w14:textId="77777777" w:rsidR="00F020AC" w:rsidRDefault="00F020AC" w:rsidP="00392CF0">
            <w:pPr>
              <w:pStyle w:val="Table"/>
              <w:spacing w:line="240" w:lineRule="auto"/>
            </w:pPr>
            <w:r>
              <w:t>56</w:t>
            </w:r>
          </w:p>
        </w:tc>
      </w:tr>
      <w:tr w:rsidR="00F020AC" w14:paraId="46709131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261E9AFC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de Santo António (Porto)</w:t>
            </w:r>
          </w:p>
        </w:tc>
        <w:tc>
          <w:tcPr>
            <w:tcW w:w="3331" w:type="dxa"/>
            <w:shd w:val="clear" w:color="auto" w:fill="FFFFFF"/>
          </w:tcPr>
          <w:p w14:paraId="7F2C8F15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Hipólito Reis</w:t>
            </w:r>
          </w:p>
        </w:tc>
        <w:tc>
          <w:tcPr>
            <w:tcW w:w="1665" w:type="dxa"/>
            <w:shd w:val="clear" w:color="auto" w:fill="FFFFFF"/>
          </w:tcPr>
          <w:p w14:paraId="6B7A1B27" w14:textId="77777777" w:rsidR="00F020AC" w:rsidRDefault="00F020AC" w:rsidP="00392CF0">
            <w:pPr>
              <w:pStyle w:val="Table"/>
              <w:spacing w:line="240" w:lineRule="auto"/>
            </w:pPr>
            <w:r>
              <w:t>3</w:t>
            </w:r>
          </w:p>
        </w:tc>
      </w:tr>
      <w:tr w:rsidR="00F020AC" w14:paraId="5257773C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677EDF89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de São João (Porto)</w:t>
            </w:r>
          </w:p>
        </w:tc>
        <w:tc>
          <w:tcPr>
            <w:tcW w:w="3331" w:type="dxa"/>
            <w:shd w:val="clear" w:color="auto" w:fill="FFFFFF"/>
          </w:tcPr>
          <w:p w14:paraId="095289B4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 xml:space="preserve">Raquel </w:t>
            </w:r>
            <w:proofErr w:type="spellStart"/>
            <w:r>
              <w:rPr>
                <w:lang w:val="pt-PT"/>
              </w:rPr>
              <w:t>Taboada</w:t>
            </w:r>
            <w:proofErr w:type="spellEnd"/>
          </w:p>
        </w:tc>
        <w:tc>
          <w:tcPr>
            <w:tcW w:w="1665" w:type="dxa"/>
            <w:shd w:val="clear" w:color="auto" w:fill="FFFFFF"/>
          </w:tcPr>
          <w:p w14:paraId="3E796654" w14:textId="77777777" w:rsidR="00F020AC" w:rsidRDefault="00F020AC" w:rsidP="00392CF0">
            <w:pPr>
              <w:pStyle w:val="Table"/>
              <w:spacing w:line="240" w:lineRule="auto"/>
            </w:pPr>
            <w:r>
              <w:t>15</w:t>
            </w:r>
          </w:p>
        </w:tc>
      </w:tr>
      <w:tr w:rsidR="00F020AC" w14:paraId="18C93367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00862705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de São Pedro (V. Real)</w:t>
            </w:r>
          </w:p>
        </w:tc>
        <w:tc>
          <w:tcPr>
            <w:tcW w:w="3331" w:type="dxa"/>
            <w:shd w:val="clear" w:color="auto" w:fill="FFFFFF"/>
          </w:tcPr>
          <w:p w14:paraId="3593A5B6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Paulo Fontes</w:t>
            </w:r>
          </w:p>
        </w:tc>
        <w:tc>
          <w:tcPr>
            <w:tcW w:w="1665" w:type="dxa"/>
            <w:shd w:val="clear" w:color="auto" w:fill="FFFFFF"/>
          </w:tcPr>
          <w:p w14:paraId="7C49081D" w14:textId="77777777" w:rsidR="00F020AC" w:rsidRDefault="00F020AC" w:rsidP="00392CF0">
            <w:pPr>
              <w:pStyle w:val="Table"/>
              <w:spacing w:line="240" w:lineRule="auto"/>
            </w:pPr>
            <w:r>
              <w:t>8</w:t>
            </w:r>
          </w:p>
        </w:tc>
      </w:tr>
      <w:tr w:rsidR="00F020AC" w14:paraId="6B44C485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79C5BB6C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de São Teotónio (Viseu)</w:t>
            </w:r>
          </w:p>
        </w:tc>
        <w:tc>
          <w:tcPr>
            <w:tcW w:w="3331" w:type="dxa"/>
            <w:shd w:val="clear" w:color="auto" w:fill="FFFFFF"/>
          </w:tcPr>
          <w:p w14:paraId="31B4299A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António Costa</w:t>
            </w:r>
          </w:p>
        </w:tc>
        <w:tc>
          <w:tcPr>
            <w:tcW w:w="1665" w:type="dxa"/>
            <w:shd w:val="clear" w:color="auto" w:fill="FFFFFF"/>
          </w:tcPr>
          <w:p w14:paraId="67ACCD16" w14:textId="77777777" w:rsidR="00F020AC" w:rsidRDefault="00F020AC" w:rsidP="00392CF0">
            <w:pPr>
              <w:pStyle w:val="Table"/>
              <w:spacing w:line="240" w:lineRule="auto"/>
            </w:pPr>
            <w:r>
              <w:t>21</w:t>
            </w:r>
          </w:p>
        </w:tc>
      </w:tr>
      <w:tr w:rsidR="00F020AC" w14:paraId="00AF4218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48340200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Distrital de Santarém</w:t>
            </w:r>
          </w:p>
        </w:tc>
        <w:tc>
          <w:tcPr>
            <w:tcW w:w="3331" w:type="dxa"/>
            <w:shd w:val="clear" w:color="auto" w:fill="FFFFFF"/>
          </w:tcPr>
          <w:p w14:paraId="0E3D9232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Vítor Martins</w:t>
            </w:r>
          </w:p>
        </w:tc>
        <w:tc>
          <w:tcPr>
            <w:tcW w:w="1665" w:type="dxa"/>
            <w:shd w:val="clear" w:color="auto" w:fill="FFFFFF"/>
          </w:tcPr>
          <w:p w14:paraId="6B1E339F" w14:textId="77777777" w:rsidR="00F020AC" w:rsidRDefault="00F020AC" w:rsidP="00392CF0">
            <w:pPr>
              <w:pStyle w:val="Table"/>
              <w:spacing w:line="240" w:lineRule="auto"/>
            </w:pPr>
            <w:r>
              <w:t>2</w:t>
            </w:r>
          </w:p>
        </w:tc>
      </w:tr>
      <w:tr w:rsidR="00F020AC" w14:paraId="2BE3C143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5E873269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do Divino Espírito Santo (Ponta Delgada)</w:t>
            </w:r>
          </w:p>
        </w:tc>
        <w:tc>
          <w:tcPr>
            <w:tcW w:w="3331" w:type="dxa"/>
            <w:shd w:val="clear" w:color="auto" w:fill="FFFFFF"/>
          </w:tcPr>
          <w:p w14:paraId="03A5DFFC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Dinis Martins</w:t>
            </w:r>
          </w:p>
        </w:tc>
        <w:tc>
          <w:tcPr>
            <w:tcW w:w="1665" w:type="dxa"/>
            <w:shd w:val="clear" w:color="auto" w:fill="FFFFFF"/>
          </w:tcPr>
          <w:p w14:paraId="0D8E6C77" w14:textId="77777777" w:rsidR="00F020AC" w:rsidRDefault="00F020AC" w:rsidP="00392CF0">
            <w:pPr>
              <w:pStyle w:val="Table"/>
              <w:spacing w:line="240" w:lineRule="auto"/>
            </w:pPr>
            <w:r>
              <w:t>46</w:t>
            </w:r>
          </w:p>
        </w:tc>
      </w:tr>
      <w:tr w:rsidR="00F020AC" w14:paraId="51A606A5" w14:textId="77777777" w:rsidTr="00392CF0">
        <w:trPr>
          <w:trHeight w:val="300"/>
        </w:trPr>
        <w:tc>
          <w:tcPr>
            <w:tcW w:w="4364" w:type="dxa"/>
            <w:shd w:val="clear" w:color="auto" w:fill="FFFFFF"/>
            <w:vAlign w:val="bottom"/>
          </w:tcPr>
          <w:p w14:paraId="5B79EB60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Fernando da Fonseca (Amadora-Sintra)</w:t>
            </w:r>
          </w:p>
        </w:tc>
        <w:tc>
          <w:tcPr>
            <w:tcW w:w="3331" w:type="dxa"/>
            <w:shd w:val="clear" w:color="auto" w:fill="FFFFFF"/>
          </w:tcPr>
          <w:p w14:paraId="6F479904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Francisco Madeira</w:t>
            </w:r>
          </w:p>
        </w:tc>
        <w:tc>
          <w:tcPr>
            <w:tcW w:w="1665" w:type="dxa"/>
            <w:shd w:val="clear" w:color="auto" w:fill="FFFFFF"/>
          </w:tcPr>
          <w:p w14:paraId="28C611CF" w14:textId="77777777" w:rsidR="00F020AC" w:rsidRDefault="00F020AC" w:rsidP="00392CF0">
            <w:pPr>
              <w:pStyle w:val="Table"/>
              <w:spacing w:line="240" w:lineRule="auto"/>
            </w:pPr>
            <w:r>
              <w:t>25</w:t>
            </w:r>
          </w:p>
        </w:tc>
      </w:tr>
      <w:tr w:rsidR="00F020AC" w14:paraId="30BF964C" w14:textId="77777777" w:rsidTr="00392CF0">
        <w:trPr>
          <w:trHeight w:val="300"/>
        </w:trPr>
        <w:tc>
          <w:tcPr>
            <w:tcW w:w="436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vAlign w:val="bottom"/>
          </w:tcPr>
          <w:p w14:paraId="6959B69D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Hospital Garcia de Orta (Almada)</w:t>
            </w:r>
          </w:p>
        </w:tc>
        <w:tc>
          <w:tcPr>
            <w:tcW w:w="333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14:paraId="31BF9A99" w14:textId="77777777" w:rsidR="00F020AC" w:rsidRDefault="00F020AC" w:rsidP="00392CF0">
            <w:pPr>
              <w:pStyle w:val="Table"/>
              <w:spacing w:line="240" w:lineRule="auto"/>
              <w:rPr>
                <w:lang w:val="pt-PT"/>
              </w:rPr>
            </w:pPr>
            <w:r>
              <w:rPr>
                <w:lang w:val="pt-PT"/>
              </w:rPr>
              <w:t>Luís Brandão</w:t>
            </w:r>
          </w:p>
        </w:tc>
        <w:tc>
          <w:tcPr>
            <w:tcW w:w="166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14:paraId="1E9AB933" w14:textId="77777777" w:rsidR="00F020AC" w:rsidRDefault="00F020AC" w:rsidP="00392CF0">
            <w:pPr>
              <w:pStyle w:val="Table"/>
              <w:spacing w:line="240" w:lineRule="auto"/>
            </w:pPr>
            <w:r>
              <w:t>9</w:t>
            </w:r>
          </w:p>
        </w:tc>
      </w:tr>
    </w:tbl>
    <w:p w14:paraId="40F5A100" w14:textId="1AED8CDE" w:rsidR="00F020AC" w:rsidRDefault="00F020AC" w:rsidP="00F020AC">
      <w:pPr>
        <w:pStyle w:val="LO-Normal"/>
      </w:pPr>
    </w:p>
    <w:p w14:paraId="2641EDC0" w14:textId="4A4AB511" w:rsidR="00F020AC" w:rsidRDefault="00F020AC" w:rsidP="00F020AC">
      <w:pPr>
        <w:pStyle w:val="LO-Normal"/>
      </w:pPr>
    </w:p>
    <w:p w14:paraId="2F11309B" w14:textId="77777777" w:rsidR="00F020AC" w:rsidRDefault="00F020AC" w:rsidP="00F020AC">
      <w:pPr>
        <w:pStyle w:val="LO-Normal"/>
      </w:pPr>
    </w:p>
    <w:p w14:paraId="573E5A6B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70395204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0C4484A7" w14:textId="6E9EA0D3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  <w:r>
        <w:rPr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8CB916" wp14:editId="51DC5131">
                <wp:simplePos x="0" y="0"/>
                <wp:positionH relativeFrom="column">
                  <wp:posOffset>-52070</wp:posOffset>
                </wp:positionH>
                <wp:positionV relativeFrom="paragraph">
                  <wp:posOffset>79375</wp:posOffset>
                </wp:positionV>
                <wp:extent cx="361950" cy="1971675"/>
                <wp:effectExtent l="0" t="0" r="0" b="952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AFBFC" w14:textId="564DF5C9" w:rsidR="00F020AC" w:rsidRDefault="00F020AC" w:rsidP="00F020AC">
                            <w:pPr>
                              <w:jc w:val="left"/>
                            </w:pPr>
                            <w:r>
                              <w:t>Improvement in NYHA class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CB91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-4.1pt;margin-top:6.25pt;width:28.5pt;height:15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" fillcolor="white [3201]" stroked="f" strokeweight=".5pt">
                <v:textbox style="layout-flow:vertical;mso-layout-flow-alt:bottom-to-top">
                  <w:txbxContent>
                    <w:p w14:paraId="347AFBFC" w14:textId="564DF5C9" w:rsidR="00F020AC" w:rsidRDefault="00F020AC" w:rsidP="00F020AC">
                      <w:pPr>
                        <w:jc w:val="left"/>
                      </w:pPr>
                      <w:r>
                        <w:t>Improvement in NYHA 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20624FAB" wp14:editId="58F44A74">
            <wp:simplePos x="0" y="0"/>
            <wp:positionH relativeFrom="margin">
              <wp:posOffset>0</wp:posOffset>
            </wp:positionH>
            <wp:positionV relativeFrom="paragraph">
              <wp:posOffset>-528320</wp:posOffset>
            </wp:positionV>
            <wp:extent cx="3532505" cy="2538095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253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8B447" w14:textId="0A48B99D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7732B87F" w14:textId="7258DE80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047AFF41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  <w:bookmarkStart w:id="0" w:name="_GoBack"/>
      <w:bookmarkEnd w:id="0"/>
    </w:p>
    <w:p w14:paraId="5B7380C9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6DA6E325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58017547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6AC95018" w14:textId="534712F3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  <w:r>
        <w:rPr>
          <w:rFonts w:ascii="Arial" w:hAnsi="Arial"/>
          <w:b/>
          <w:bCs/>
          <w:noProof/>
          <w:color w:val="FF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AEDBFA" wp14:editId="1926F3D1">
                <wp:simplePos x="0" y="0"/>
                <wp:positionH relativeFrom="column">
                  <wp:posOffset>1443355</wp:posOffset>
                </wp:positionH>
                <wp:positionV relativeFrom="paragraph">
                  <wp:posOffset>244475</wp:posOffset>
                </wp:positionV>
                <wp:extent cx="1276350" cy="2667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EA7B3" w14:textId="2773C5E4" w:rsidR="00F020AC" w:rsidRPr="00F020AC" w:rsidRDefault="00F020A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0A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QRS duration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EDBFA" id="Cuadro de texto 8" o:spid="_x0000_s1027" type="#_x0000_t202" style="position:absolute;margin-left:113.65pt;margin-top:19.25pt;width:100.5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" fillcolor="white [3201]" stroked="f" strokeweight=".5pt">
                <v:textbox>
                  <w:txbxContent>
                    <w:p w14:paraId="1F7EA7B3" w14:textId="2773C5E4" w:rsidR="00F020AC" w:rsidRPr="00F020AC" w:rsidRDefault="00F020A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0A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QRS duration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3A72B68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6CFA2544" w14:textId="77777777" w:rsidR="00F020AC" w:rsidRDefault="00F020AC" w:rsidP="00F020AC">
      <w:pPr>
        <w:pStyle w:val="Descripcin"/>
      </w:pPr>
      <w:r>
        <w:rPr>
          <w:b/>
          <w:bCs/>
          <w:color w:val="FF0000"/>
        </w:rPr>
        <w:t xml:space="preserve">Supplementary </w:t>
      </w:r>
      <w:r>
        <w:rPr>
          <w:b/>
          <w:bCs/>
        </w:rPr>
        <w:t>Figure 1</w:t>
      </w:r>
      <w:r>
        <w:t xml:space="preserve"> Distribution of patients with cardiac resynchronization devices (n=135) by QRS duration and percentage with improvement in NYHA functional class. NYHA: New York Heart Association.</w:t>
      </w:r>
    </w:p>
    <w:p w14:paraId="5374A354" w14:textId="1ABAFE7C" w:rsidR="00F020AC" w:rsidRDefault="00F020AC" w:rsidP="00F020AC">
      <w:pPr>
        <w:pStyle w:val="Descripcin"/>
      </w:pPr>
    </w:p>
    <w:p w14:paraId="12C19844" w14:textId="58806E93" w:rsidR="00F020AC" w:rsidRDefault="00F020AC" w:rsidP="00F020AC">
      <w:pPr>
        <w:pStyle w:val="Descripcin"/>
      </w:pPr>
    </w:p>
    <w:p w14:paraId="521EF211" w14:textId="083948E6" w:rsidR="00F020AC" w:rsidRDefault="00F020AC" w:rsidP="00F020AC">
      <w:pPr>
        <w:pStyle w:val="Descripcin"/>
      </w:pPr>
    </w:p>
    <w:p w14:paraId="18AE676A" w14:textId="75C20866" w:rsidR="00F020AC" w:rsidRDefault="00F020AC" w:rsidP="00F020AC">
      <w:pPr>
        <w:pStyle w:val="Descripcin"/>
      </w:pPr>
    </w:p>
    <w:p w14:paraId="2FC9286B" w14:textId="532051FC" w:rsidR="00F020AC" w:rsidRDefault="00F020AC" w:rsidP="00F020AC">
      <w:pPr>
        <w:pStyle w:val="Descripcin"/>
      </w:pPr>
    </w:p>
    <w:p w14:paraId="19F60478" w14:textId="0E1633DB" w:rsidR="00F020AC" w:rsidRDefault="00F020AC" w:rsidP="00F020AC">
      <w:pPr>
        <w:pStyle w:val="Descripcin"/>
      </w:pPr>
    </w:p>
    <w:p w14:paraId="04D01E3F" w14:textId="3F250784" w:rsidR="00F020AC" w:rsidRDefault="00F020AC" w:rsidP="00F020AC">
      <w:pPr>
        <w:pStyle w:val="Descripcin"/>
      </w:pPr>
    </w:p>
    <w:p w14:paraId="0A9E2860" w14:textId="707FA10C" w:rsidR="00F020AC" w:rsidRDefault="00F020AC" w:rsidP="00F020AC">
      <w:pPr>
        <w:pStyle w:val="Descripcin"/>
      </w:pPr>
    </w:p>
    <w:p w14:paraId="6B522FB6" w14:textId="4AFD37C0" w:rsidR="00F020AC" w:rsidRDefault="00F020AC" w:rsidP="00F020AC">
      <w:pPr>
        <w:pStyle w:val="Descripcin"/>
      </w:pPr>
    </w:p>
    <w:p w14:paraId="6F50AA79" w14:textId="04A8C91D" w:rsidR="00F020AC" w:rsidRDefault="00F020AC" w:rsidP="00F020AC">
      <w:pPr>
        <w:pStyle w:val="Descripcin"/>
      </w:pPr>
    </w:p>
    <w:p w14:paraId="5A381967" w14:textId="35336347" w:rsidR="00F020AC" w:rsidRDefault="00F020AC" w:rsidP="00F020AC">
      <w:pPr>
        <w:pStyle w:val="Descripcin"/>
      </w:pPr>
    </w:p>
    <w:p w14:paraId="0F7472FD" w14:textId="016BFF5F" w:rsidR="00F020AC" w:rsidRDefault="00F020AC" w:rsidP="00F020AC">
      <w:pPr>
        <w:pStyle w:val="Descripcin"/>
      </w:pPr>
    </w:p>
    <w:p w14:paraId="2730A07A" w14:textId="0F892E4F" w:rsidR="00F020AC" w:rsidRDefault="00F020AC" w:rsidP="00F020AC">
      <w:pPr>
        <w:pStyle w:val="Descripcin"/>
      </w:pPr>
    </w:p>
    <w:p w14:paraId="1CC23E57" w14:textId="62DE6330" w:rsidR="00F020AC" w:rsidRDefault="00F020AC" w:rsidP="00F020AC">
      <w:pPr>
        <w:pStyle w:val="Descripcin"/>
      </w:pPr>
    </w:p>
    <w:p w14:paraId="089006E3" w14:textId="1864F78D" w:rsidR="00F020AC" w:rsidRDefault="00F020AC" w:rsidP="00F020AC">
      <w:pPr>
        <w:pStyle w:val="Descripcin"/>
      </w:pPr>
    </w:p>
    <w:p w14:paraId="7479A1D4" w14:textId="79423866" w:rsidR="00F020AC" w:rsidRDefault="00F020AC" w:rsidP="00F020AC">
      <w:pPr>
        <w:pStyle w:val="Descripcin"/>
      </w:pPr>
    </w:p>
    <w:p w14:paraId="7C7AA0F4" w14:textId="077DB33F" w:rsidR="00F020AC" w:rsidRDefault="00F020AC" w:rsidP="00F020AC">
      <w:pPr>
        <w:pStyle w:val="Descripcin"/>
      </w:pPr>
    </w:p>
    <w:p w14:paraId="7C521C13" w14:textId="750BFAD6" w:rsidR="00F020AC" w:rsidRDefault="00F020AC" w:rsidP="00F020AC">
      <w:pPr>
        <w:pStyle w:val="Descripcin"/>
      </w:pPr>
    </w:p>
    <w:p w14:paraId="67A2E059" w14:textId="5E40DE1B" w:rsidR="00F020AC" w:rsidRDefault="00F020AC" w:rsidP="00F020AC">
      <w:pPr>
        <w:pStyle w:val="Descripcin"/>
      </w:pPr>
      <w:r>
        <w:rPr>
          <w:i/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15603501" wp14:editId="3C2634EB">
            <wp:simplePos x="0" y="0"/>
            <wp:positionH relativeFrom="margin">
              <wp:posOffset>0</wp:posOffset>
            </wp:positionH>
            <wp:positionV relativeFrom="paragraph">
              <wp:posOffset>323215</wp:posOffset>
            </wp:positionV>
            <wp:extent cx="5161905" cy="3571429"/>
            <wp:effectExtent l="0" t="0" r="1270" b="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g3_ Material Suplementar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BD3B0" w14:textId="110D7AFE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  <w:r>
        <w:rPr>
          <w:rFonts w:ascii="Arial" w:hAnsi="Arial"/>
          <w:b/>
          <w:bCs/>
          <w:noProof/>
          <w:color w:val="FF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E2CAB" wp14:editId="55456484">
                <wp:simplePos x="0" y="0"/>
                <wp:positionH relativeFrom="column">
                  <wp:posOffset>1243330</wp:posOffset>
                </wp:positionH>
                <wp:positionV relativeFrom="paragraph">
                  <wp:posOffset>58420</wp:posOffset>
                </wp:positionV>
                <wp:extent cx="2466975" cy="29527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C9AFF" w14:textId="7F383345" w:rsidR="00F020AC" w:rsidRDefault="00F020AC">
                            <w:r>
                              <w:t>Functional class at 12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E2CAB" id="Cuadro de texto 3" o:spid="_x0000_s1028" type="#_x0000_t202" style="position:absolute;margin-left:97.9pt;margin-top:4.6pt;width:194.2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" fillcolor="white [3201]" stroked="f" strokeweight=".5pt">
                <v:textbox>
                  <w:txbxContent>
                    <w:p w14:paraId="096C9AFF" w14:textId="7F383345" w:rsidR="00F020AC" w:rsidRDefault="00F020AC">
                      <w:r>
                        <w:t>Functional class at 12 months</w:t>
                      </w:r>
                    </w:p>
                  </w:txbxContent>
                </v:textbox>
              </v:shape>
            </w:pict>
          </mc:Fallback>
        </mc:AlternateContent>
      </w:r>
    </w:p>
    <w:p w14:paraId="4F0A90D7" w14:textId="11557678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  <w:r>
        <w:rPr>
          <w:rFonts w:ascii="Arial" w:hAnsi="Arial"/>
          <w:b/>
          <w:bCs/>
          <w:noProof/>
          <w:color w:val="FF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20563" wp14:editId="39F312FA">
                <wp:simplePos x="0" y="0"/>
                <wp:positionH relativeFrom="column">
                  <wp:posOffset>2119630</wp:posOffset>
                </wp:positionH>
                <wp:positionV relativeFrom="paragraph">
                  <wp:posOffset>90171</wp:posOffset>
                </wp:positionV>
                <wp:extent cx="2781300" cy="4953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155B8" w14:textId="6664115B" w:rsidR="00F020AC" w:rsidRDefault="00F020AC" w:rsidP="00F020AC">
                            <w:pPr>
                              <w:jc w:val="center"/>
                            </w:pPr>
                            <w:r>
                              <w:t xml:space="preserve">Presence of intraventricular </w:t>
                            </w:r>
                            <w:proofErr w:type="spellStart"/>
                            <w:r>
                              <w:t>dyssynchrony</w:t>
                            </w:r>
                            <w:proofErr w:type="spellEnd"/>
                            <w:r>
                              <w:t xml:space="preserve"> (n=55)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0563" id="Cuadro de texto 4" o:spid="_x0000_s1029" type="#_x0000_t202" style="position:absolute;margin-left:166.9pt;margin-top:7.1pt;width:219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" fillcolor="white [3201]" stroked="f" strokeweight=".5pt">
                <v:textbox>
                  <w:txbxContent>
                    <w:p w14:paraId="463155B8" w14:textId="6664115B" w:rsidR="00F020AC" w:rsidRDefault="00F020AC" w:rsidP="00F020AC">
                      <w:pPr>
                        <w:jc w:val="center"/>
                      </w:pPr>
                      <w:r>
                        <w:t xml:space="preserve">Presence of intraventricular </w:t>
                      </w:r>
                      <w:proofErr w:type="spellStart"/>
                      <w:r>
                        <w:t>dyssynchrony</w:t>
                      </w:r>
                      <w:proofErr w:type="spellEnd"/>
                      <w:r>
                        <w:t xml:space="preserve"> (n=55)</w:t>
                      </w:r>
                    </w:p>
                  </w:txbxContent>
                </v:textbox>
              </v:shape>
            </w:pict>
          </mc:Fallback>
        </mc:AlternateContent>
      </w:r>
    </w:p>
    <w:p w14:paraId="78356120" w14:textId="1B1E848F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3B5780B3" w14:textId="097B15AB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0EB4A26B" w14:textId="59FAAE56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7C9514DF" w14:textId="0AD333C5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2D9BAC2C" w14:textId="7995910A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  <w:r>
        <w:rPr>
          <w:rFonts w:ascii="Arial" w:hAnsi="Arial"/>
          <w:b/>
          <w:bCs/>
          <w:noProof/>
          <w:color w:val="FF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3E720" wp14:editId="0E22FB62">
                <wp:simplePos x="0" y="0"/>
                <wp:positionH relativeFrom="column">
                  <wp:posOffset>90805</wp:posOffset>
                </wp:positionH>
                <wp:positionV relativeFrom="paragraph">
                  <wp:posOffset>134620</wp:posOffset>
                </wp:positionV>
                <wp:extent cx="2781300" cy="4953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F69C" w14:textId="52520C7B" w:rsidR="00F020AC" w:rsidRDefault="00F020AC" w:rsidP="00F020AC">
                            <w:pPr>
                              <w:jc w:val="center"/>
                            </w:pPr>
                            <w:r>
                              <w:t xml:space="preserve">Absence of intraventricular </w:t>
                            </w:r>
                            <w:proofErr w:type="spellStart"/>
                            <w:r>
                              <w:t>dyssynchrony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(n=</w:t>
                            </w:r>
                            <w:r>
                              <w:t>27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E720" id="Cuadro de texto 5" o:spid="_x0000_s1030" type="#_x0000_t202" style="position:absolute;margin-left:7.15pt;margin-top:10.6pt;width:219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" fillcolor="white [3201]" stroked="f" strokeweight=".5pt">
                <v:textbox>
                  <w:txbxContent>
                    <w:p w14:paraId="74E1F69C" w14:textId="52520C7B" w:rsidR="00F020AC" w:rsidRDefault="00F020AC" w:rsidP="00F020AC">
                      <w:pPr>
                        <w:jc w:val="center"/>
                      </w:pPr>
                      <w:r>
                        <w:t xml:space="preserve">Absence of intraventricular </w:t>
                      </w:r>
                      <w:proofErr w:type="spellStart"/>
                      <w:r>
                        <w:t>dyssynchrony</w:t>
                      </w:r>
                      <w:proofErr w:type="spellEnd"/>
                      <w:r>
                        <w:t xml:space="preserve"> </w:t>
                      </w:r>
                      <w:r>
                        <w:t>(n=</w:t>
                      </w:r>
                      <w:r>
                        <w:t>27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2A926CF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31B84A7E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773D7EAC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4139CA52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47250A33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283016E1" w14:textId="77777777" w:rsidR="00F020AC" w:rsidRDefault="00F020AC" w:rsidP="00F020AC">
      <w:pPr>
        <w:pStyle w:val="Descripcin"/>
        <w:rPr>
          <w:rFonts w:ascii="Arial" w:hAnsi="Arial"/>
          <w:b/>
          <w:bCs/>
          <w:color w:val="FF00FF"/>
          <w:sz w:val="20"/>
          <w:szCs w:val="20"/>
        </w:rPr>
      </w:pPr>
    </w:p>
    <w:p w14:paraId="7B478FB1" w14:textId="77777777" w:rsidR="00F020AC" w:rsidRDefault="00F020AC" w:rsidP="00F020AC">
      <w:pPr>
        <w:pStyle w:val="Descripcin"/>
      </w:pPr>
      <w:r>
        <w:rPr>
          <w:b/>
          <w:bCs/>
          <w:color w:val="FF0000"/>
        </w:rPr>
        <w:t xml:space="preserve">Supplementary </w:t>
      </w:r>
      <w:r>
        <w:rPr>
          <w:b/>
          <w:bCs/>
        </w:rPr>
        <w:t>Figure 2</w:t>
      </w:r>
      <w:r>
        <w:t xml:space="preserve"> NYHA functional class at 12 months according to the presence of intraventricular </w:t>
      </w:r>
      <w:proofErr w:type="spellStart"/>
      <w:r>
        <w:t>dyssynchrony</w:t>
      </w:r>
      <w:proofErr w:type="spellEnd"/>
      <w:r>
        <w:t xml:space="preserve"> at baseline assessment (n=82).</w:t>
      </w:r>
    </w:p>
    <w:p w14:paraId="03606CC5" w14:textId="77777777" w:rsidR="00F020AC" w:rsidRDefault="00F020AC" w:rsidP="00F020AC">
      <w:pPr>
        <w:pStyle w:val="LO-Normal"/>
      </w:pPr>
    </w:p>
    <w:p w14:paraId="3CB52B0F" w14:textId="77777777" w:rsidR="00C826A2" w:rsidRDefault="00C826A2"/>
    <w:sectPr w:rsidR="00C826A2">
      <w:pgSz w:w="11906" w:h="16838"/>
      <w:pgMar w:top="850" w:right="1134" w:bottom="567" w:left="1417" w:header="0" w:footer="0" w:gutter="0"/>
      <w:cols w:space="720"/>
      <w:formProt w:val="0"/>
      <w:docGrid w:linePitch="28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533"/>
    <w:multiLevelType w:val="multilevel"/>
    <w:tmpl w:val="2B04B3EA"/>
    <w:lvl w:ilvl="0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E257829"/>
    <w:multiLevelType w:val="multilevel"/>
    <w:tmpl w:val="0FB28A02"/>
    <w:lvl w:ilvl="0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D1"/>
    <w:rsid w:val="00412BD1"/>
    <w:rsid w:val="00C826A2"/>
    <w:rsid w:val="00F0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E6D78"/>
  <w15:chartTrackingRefBased/>
  <w15:docId w15:val="{11C31496-6AB2-44A3-BD61-2942ECFF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20AC"/>
    <w:pPr>
      <w:widowControl w:val="0"/>
      <w:suppressAutoHyphens/>
      <w:overflowPunct w:val="0"/>
      <w:spacing w:after="0" w:line="360" w:lineRule="auto"/>
      <w:ind w:firstLine="283"/>
      <w:jc w:val="both"/>
    </w:pPr>
    <w:rPr>
      <w:rFonts w:ascii="Times New Roman" w:eastAsia="SimSun" w:hAnsi="Times New Roman" w:cs="Mangal"/>
      <w:color w:val="00000A"/>
      <w:lang w:val="en-US" w:eastAsia="zh-CN" w:bidi="hi-IN"/>
    </w:rPr>
  </w:style>
  <w:style w:type="paragraph" w:styleId="Ttulo2">
    <w:name w:val="heading 2"/>
    <w:basedOn w:val="Normal"/>
    <w:link w:val="Ttulo2Car"/>
    <w:rsid w:val="00F020AC"/>
    <w:pPr>
      <w:keepNext/>
      <w:spacing w:before="113" w:after="113"/>
      <w:ind w:firstLine="0"/>
      <w:outlineLvl w:val="1"/>
    </w:pPr>
    <w:rPr>
      <w:rFonts w:eastAsia="Microsoft YaHe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020AC"/>
    <w:rPr>
      <w:rFonts w:ascii="Times New Roman" w:eastAsia="Microsoft YaHei" w:hAnsi="Times New Roman" w:cs="Mangal"/>
      <w:b/>
      <w:bCs/>
      <w:color w:val="00000A"/>
      <w:lang w:val="en-US" w:eastAsia="zh-CN" w:bidi="hi-IN"/>
    </w:rPr>
  </w:style>
  <w:style w:type="paragraph" w:styleId="Descripcin">
    <w:name w:val="caption"/>
    <w:basedOn w:val="Normal"/>
    <w:rsid w:val="00F020AC"/>
    <w:pPr>
      <w:suppressLineNumbers/>
      <w:spacing w:line="480" w:lineRule="auto"/>
      <w:ind w:firstLine="0"/>
      <w:jc w:val="left"/>
    </w:pPr>
    <w:rPr>
      <w:iCs/>
      <w:szCs w:val="24"/>
    </w:rPr>
  </w:style>
  <w:style w:type="paragraph" w:customStyle="1" w:styleId="Table">
    <w:name w:val="Table"/>
    <w:basedOn w:val="Descripcin"/>
    <w:rsid w:val="00F020AC"/>
    <w:pPr>
      <w:spacing w:before="57" w:after="57"/>
      <w:ind w:left="28" w:right="28"/>
    </w:pPr>
    <w:rPr>
      <w:iCs w:val="0"/>
      <w:sz w:val="20"/>
      <w:szCs w:val="20"/>
    </w:rPr>
  </w:style>
  <w:style w:type="paragraph" w:customStyle="1" w:styleId="Legends">
    <w:name w:val="Legends"/>
    <w:basedOn w:val="Normal"/>
    <w:rsid w:val="00F020AC"/>
    <w:pPr>
      <w:spacing w:before="113" w:after="113"/>
      <w:ind w:firstLine="0"/>
      <w:jc w:val="left"/>
    </w:pPr>
    <w:rPr>
      <w:sz w:val="18"/>
      <w:szCs w:val="18"/>
    </w:rPr>
  </w:style>
  <w:style w:type="paragraph" w:customStyle="1" w:styleId="LO-Normal">
    <w:name w:val="LO-Normal"/>
    <w:rsid w:val="00F020AC"/>
    <w:pPr>
      <w:widowControl w:val="0"/>
      <w:suppressAutoHyphens/>
      <w:overflowPunct w:val="0"/>
      <w:spacing w:after="0" w:line="480" w:lineRule="auto"/>
      <w:ind w:firstLine="283"/>
      <w:jc w:val="both"/>
    </w:pPr>
    <w:rPr>
      <w:rFonts w:ascii="Times New Roman" w:eastAsia="SimSun" w:hAnsi="Times New Roman" w:cs="Mangal"/>
      <w:color w:val="00000A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Ramos, Ana (ELS-BCL)</cp:lastModifiedBy>
  <cp:revision>2</cp:revision>
  <dcterms:created xsi:type="dcterms:W3CDTF">2019-01-14T08:56:00Z</dcterms:created>
  <dcterms:modified xsi:type="dcterms:W3CDTF">2019-01-14T09:04:00Z</dcterms:modified>
</cp:coreProperties>
</file>