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7E" w:rsidRDefault="0065127E" w:rsidP="0065127E">
      <w:pPr>
        <w:jc w:val="center"/>
        <w:rPr>
          <w:rFonts w:ascii="Times New Roman" w:hAnsi="Times New Roman" w:cs="Times New Roman"/>
          <w:b/>
          <w:i/>
          <w:smallCaps/>
          <w:sz w:val="36"/>
          <w:szCs w:val="36"/>
        </w:rPr>
      </w:pPr>
      <w:bookmarkStart w:id="0" w:name="_GoBack"/>
      <w:bookmarkEnd w:id="0"/>
      <w:r w:rsidRPr="0065127E">
        <w:rPr>
          <w:rFonts w:ascii="Times New Roman" w:hAnsi="Times New Roman" w:cs="Times New Roman"/>
          <w:b/>
          <w:i/>
          <w:smallCaps/>
          <w:sz w:val="36"/>
          <w:szCs w:val="36"/>
        </w:rPr>
        <w:t>Suplementos</w:t>
      </w:r>
    </w:p>
    <w:p w:rsidR="0065127E" w:rsidRPr="0065127E" w:rsidRDefault="0065127E" w:rsidP="0065127E">
      <w:pPr>
        <w:jc w:val="center"/>
        <w:rPr>
          <w:rFonts w:ascii="Times New Roman" w:hAnsi="Times New Roman" w:cs="Times New Roman"/>
          <w:b/>
          <w:i/>
          <w:smallCaps/>
          <w:sz w:val="36"/>
          <w:szCs w:val="36"/>
        </w:rPr>
      </w:pPr>
    </w:p>
    <w:tbl>
      <w:tblPr>
        <w:tblStyle w:val="SombreadoClaro-Cor11"/>
        <w:tblW w:w="8613" w:type="dxa"/>
        <w:tblLook w:val="04A0" w:firstRow="1" w:lastRow="0" w:firstColumn="1" w:lastColumn="0" w:noHBand="0" w:noVBand="1"/>
      </w:tblPr>
      <w:tblGrid>
        <w:gridCol w:w="3510"/>
        <w:gridCol w:w="5103"/>
      </w:tblGrid>
      <w:tr w:rsidR="0065127E" w:rsidRPr="0065127E" w:rsidTr="00C43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65127E" w:rsidRPr="0065127E" w:rsidRDefault="0065127E" w:rsidP="00C43E3E">
            <w:pPr>
              <w:jc w:val="center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Consenso, ano e referência</w:t>
            </w:r>
          </w:p>
        </w:tc>
        <w:tc>
          <w:tcPr>
            <w:tcW w:w="5103" w:type="dxa"/>
            <w:vAlign w:val="center"/>
          </w:tcPr>
          <w:p w:rsidR="0065127E" w:rsidRPr="0065127E" w:rsidRDefault="0065127E" w:rsidP="00C43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Definição proposta</w:t>
            </w:r>
          </w:p>
        </w:tc>
      </w:tr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127E" w:rsidRDefault="0065127E" w:rsidP="00C43E3E">
            <w:pPr>
              <w:rPr>
                <w:rFonts w:ascii="Times New Roman" w:hAnsi="Times New Roman" w:cs="Times New Roman"/>
                <w:b w:val="0"/>
                <w:bCs w:val="0"/>
                <w:i/>
                <w:color w:val="44546A" w:themeColor="text2"/>
                <w:sz w:val="18"/>
                <w:szCs w:val="18"/>
                <w:lang w:val="en-US"/>
              </w:rPr>
            </w:pPr>
          </w:p>
          <w:p w:rsidR="0065127E" w:rsidRPr="0065127E" w:rsidRDefault="0065127E" w:rsidP="00C43E3E">
            <w:pPr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  <w:lang w:val="en-US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  <w:lang w:val="en-US"/>
              </w:rPr>
              <w:t>National Lipid Association, 2014</w:t>
            </w:r>
          </w:p>
          <w:p w:rsidR="0065127E" w:rsidRPr="0065127E" w:rsidRDefault="0065127E" w:rsidP="00C43E3E">
            <w:pPr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  <w:lang w:val="en-US"/>
              </w:rPr>
              <w:t>[</w:t>
            </w:r>
            <w:proofErr w:type="spellStart"/>
            <w:r w:rsidRPr="0065127E"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  <w:lang w:val="en-US"/>
              </w:rPr>
              <w:t>Rosenson</w:t>
            </w:r>
            <w:proofErr w:type="spellEnd"/>
            <w:r w:rsidRPr="0065127E"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  <w:lang w:val="en-US"/>
              </w:rPr>
              <w:t xml:space="preserve"> RS, Baker SK, Jacobson TA, et al., The National Lipid Association’s Muscle Safety Expert Panel. An assessment by the Statin Muscle Safety Task Force: 2014 update. </w:t>
            </w:r>
            <w:r w:rsidRPr="0065127E"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</w:rPr>
              <w:t>J Clin Lipidol. 2014;8 Suppl :S58–71]</w:t>
            </w:r>
          </w:p>
        </w:tc>
        <w:tc>
          <w:tcPr>
            <w:tcW w:w="5103" w:type="dxa"/>
          </w:tcPr>
          <w:p w:rsidR="0065127E" w:rsidRPr="0065127E" w:rsidRDefault="0065127E" w:rsidP="00C43E3E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Caracterizado pela incapacidade de tolerar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pelo menos 2 estatinas</w:t>
            </w: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: uma na dose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 xml:space="preserve">diária </w:t>
            </w: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inicial mais baixa E a outra independente dose diária, devido a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sintomas questionáveis (reais ou subjetivos) ou determinações laboratoriais anormais, relacionados temporalmente</w:t>
            </w: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 com o tratamento e reversíveis com a suspensão da estatina, mas reprodutíveis após a reexposição,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desde que outros fatores determinantes conhecidos sejam excluídos.</w:t>
            </w:r>
          </w:p>
          <w:p w:rsidR="0065127E" w:rsidRPr="0065127E" w:rsidRDefault="0065127E" w:rsidP="00C43E3E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A menor dose diária de estatina inicial é definida como rosuvastatina 5 mg, atorvastatina 10 mg, sinvastatina 10 mg, lovastatina 20 mg, 40 mg de pravastatina, 40 mg de fluvastatina e pitavastatina 2 mg.</w:t>
            </w:r>
          </w:p>
        </w:tc>
      </w:tr>
      <w:tr w:rsidR="0065127E" w:rsidRPr="0065127E" w:rsidTr="00C43E3E">
        <w:trPr>
          <w:trHeight w:val="2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127E" w:rsidRPr="0065127E" w:rsidRDefault="0065127E" w:rsidP="00C43E3E">
            <w:pPr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  <w:lang w:val="en-US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  <w:lang w:val="en-US"/>
              </w:rPr>
              <w:t>International Lipid Expert Panel, 2015</w:t>
            </w:r>
          </w:p>
          <w:p w:rsidR="0065127E" w:rsidRPr="0065127E" w:rsidRDefault="0065127E" w:rsidP="00C43E3E">
            <w:pPr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  <w:lang w:val="en-US"/>
              </w:rPr>
            </w:pPr>
            <w:r w:rsidRPr="0065127E"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  <w:lang w:val="en-US"/>
              </w:rPr>
              <w:t>[Banach M, Rizzo M, Toth PP, et al. Statin intolerance: an attempt at a unified definition. Position paper from an International Lipid Expert Panel. Arch Med Sci. 2015; 11: 1-23]</w:t>
            </w:r>
          </w:p>
        </w:tc>
        <w:tc>
          <w:tcPr>
            <w:tcW w:w="5103" w:type="dxa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1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  <w:lang w:val="en-US"/>
              </w:rPr>
              <w:t xml:space="preserve"> </w:t>
            </w: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Incapacidade de tolerar pelo menos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2</w:t>
            </w: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 estatinas diferentes: uma na dose média diária inicial mais baixa e a outra em qualquer dose.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 Intolerância comprovada por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efeitos adversos insuportáveis arrolados às estatinas ou anomalias significativas de biomarcadores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 Resolução ou melhoria significativa dos sintomas ou da variação dos biomarcadores após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diminuição da dose ou a descontinuação da estatina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 Sintomas ou variações dos biomarcadores não atribuíveis a fatores predisponentes comprovados, tais como interações medicamentosas e condições clínicas reconhecidas que aumentam o risco de intolerância às estatinas</w:t>
            </w:r>
          </w:p>
        </w:tc>
      </w:tr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127E" w:rsidRPr="0065127E" w:rsidRDefault="0065127E" w:rsidP="00C43E3E">
            <w:pPr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  <w:lang w:val="en-US"/>
              </w:rPr>
            </w:pPr>
            <w:r w:rsidRPr="0065127E"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  <w:lang w:val="en-US"/>
              </w:rPr>
              <w:t>Canadian Consensus Working Group, 2016</w:t>
            </w:r>
          </w:p>
          <w:p w:rsidR="0065127E" w:rsidRPr="0065127E" w:rsidRDefault="0065127E" w:rsidP="00C43E3E">
            <w:pPr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  <w:lang w:val="en-US"/>
              </w:rPr>
              <w:t xml:space="preserve">[Mancini GB, Baker S, Bergeron J, et al. Diagnosis, prevention, and management of statin adverse effects and intolerance: Canadian Consensus Working Group Update (2016). </w:t>
            </w:r>
            <w:r w:rsidRPr="0065127E">
              <w:rPr>
                <w:rFonts w:ascii="Times New Roman" w:hAnsi="Times New Roman" w:cs="Times New Roman"/>
                <w:b w:val="0"/>
                <w:i/>
                <w:color w:val="44546A" w:themeColor="text2"/>
                <w:sz w:val="18"/>
                <w:szCs w:val="18"/>
              </w:rPr>
              <w:t>Can J Cardiol. 2016; 32 Suppl: S35–65]</w:t>
            </w:r>
          </w:p>
        </w:tc>
        <w:tc>
          <w:tcPr>
            <w:tcW w:w="5103" w:type="dxa"/>
          </w:tcPr>
          <w:p w:rsidR="0065127E" w:rsidRPr="0065127E" w:rsidRDefault="0065127E" w:rsidP="00C4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Considerada 2 entidades interrelacionadas e complementares: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 xml:space="preserve">Intolerância à estatina inibitória do objetivo terapêutico 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3"/>
              </w:numPr>
              <w:spacing w:after="0"/>
              <w:ind w:left="601" w:hanging="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Síndrome clínica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3"/>
              </w:numPr>
              <w:spacing w:after="0"/>
              <w:ind w:left="601" w:hanging="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Caracterizado por sintomas significativos e/ou alterações dos biomarcadores que impedem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o uso a longo prazo de e aderência</w:t>
            </w: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 ao tratamento indicado com estatinas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3"/>
              </w:numPr>
              <w:spacing w:after="0"/>
              <w:ind w:left="601" w:hanging="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Documentado por impugnação/suspensão (ou redução)/reexposição – “challenge/de-challenge/ rechallenge –, quando apropriado, usando pelo menos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 xml:space="preserve">2 </w:t>
            </w: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estatinas, incluindo </w:t>
            </w:r>
            <w:r w:rsidRPr="0065127E">
              <w:rPr>
                <w:rFonts w:ascii="Times New Roman" w:hAnsi="Times New Roman" w:cs="Times New Roman"/>
                <w:b/>
                <w:color w:val="44546A" w:themeColor="text2"/>
                <w:sz w:val="18"/>
                <w:szCs w:val="18"/>
              </w:rPr>
              <w:t>a atorvastatina e a rosuvastatina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3"/>
              </w:numPr>
              <w:spacing w:after="0"/>
              <w:ind w:left="601" w:hanging="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Não devido a interações medicamentosas ou fatores de risco não tratados de intolerância às estatinas (e.g. hipotireoidismo não tratado)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3"/>
              </w:numPr>
              <w:spacing w:after="0"/>
              <w:ind w:left="601" w:hanging="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E levando </w:t>
            </w: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 xml:space="preserve">à incapacidade de manter os objetivos terapêuticos </w:t>
            </w: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definidos pelas diretrizes nacionais e internacionais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4"/>
              </w:numPr>
              <w:spacing w:after="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Resistência inibitória do objetivo terapêutico</w:t>
            </w:r>
          </w:p>
          <w:p w:rsidR="0065127E" w:rsidRPr="0065127E" w:rsidRDefault="0065127E" w:rsidP="0065127E">
            <w:pPr>
              <w:pStyle w:val="Prrafodelista"/>
              <w:numPr>
                <w:ilvl w:val="1"/>
                <w:numId w:val="4"/>
              </w:numPr>
              <w:spacing w:after="0"/>
              <w:ind w:left="601" w:hanging="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Presente nos doentes que aderem ao tratamento mas, por razões várias (variabilidade de resposta), não atingem a redução esperada ou adequados do LDL-colesterol, apesar da tolerância e cumprimento de doses máximas de estatinas</w:t>
            </w:r>
          </w:p>
          <w:p w:rsidR="0065127E" w:rsidRPr="0065127E" w:rsidRDefault="0065127E" w:rsidP="00C4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  <w:u w:val="single"/>
              </w:rPr>
              <w:t>Nota:</w:t>
            </w: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 xml:space="preserve"> ambas as situações podem obrigar a combinações de antidislipidémicos, mas a perceção de potenciais efeitos adversos deve ser diferente </w:t>
            </w:r>
          </w:p>
        </w:tc>
      </w:tr>
    </w:tbl>
    <w:p w:rsidR="0065127E" w:rsidRDefault="0065127E" w:rsidP="0065127E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65127E" w:rsidRPr="0065127E" w:rsidRDefault="0065127E" w:rsidP="0065127E">
      <w:pPr>
        <w:rPr>
          <w:rFonts w:ascii="Times New Roman" w:hAnsi="Times New Roman" w:cs="Times New Roman"/>
          <w:i/>
          <w:color w:val="44546A" w:themeColor="text2"/>
          <w:sz w:val="16"/>
          <w:szCs w:val="16"/>
        </w:rPr>
      </w:pPr>
      <w:r w:rsidRPr="0065127E">
        <w:rPr>
          <w:rFonts w:ascii="Times New Roman" w:hAnsi="Times New Roman" w:cs="Times New Roman"/>
          <w:b/>
          <w:i/>
          <w:sz w:val="20"/>
          <w:szCs w:val="20"/>
        </w:rPr>
        <w:t>Tabela 1. Definições de intolerância às estatinas</w:t>
      </w:r>
    </w:p>
    <w:p w:rsidR="0065127E" w:rsidRPr="0065127E" w:rsidRDefault="0065127E" w:rsidP="0065127E">
      <w:pPr>
        <w:rPr>
          <w:rFonts w:ascii="Times New Roman" w:hAnsi="Times New Roman" w:cs="Times New Roman"/>
          <w:i/>
          <w:color w:val="44546A" w:themeColor="text2"/>
          <w:sz w:val="16"/>
          <w:szCs w:val="16"/>
        </w:rPr>
      </w:pP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Adaptado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de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Rosenson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RS, Baker S, Banach M, et al. Optimizing cholesterol treatment in patients with muscle complaints. </w:t>
      </w:r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</w:rPr>
        <w:t>J Am Coll Cardiol. 2017; 70(10): 1290-301. doi: 10.1016/j.jacc.2017.07.752.</w:t>
      </w:r>
    </w:p>
    <w:p w:rsidR="0065127E" w:rsidRPr="0065127E" w:rsidRDefault="0065127E" w:rsidP="0065127E">
      <w:pPr>
        <w:rPr>
          <w:rFonts w:ascii="Times New Roman" w:hAnsi="Times New Roman" w:cs="Times New Roman"/>
          <w:i/>
          <w:color w:val="44546A" w:themeColor="text2"/>
          <w:sz w:val="16"/>
          <w:szCs w:val="16"/>
        </w:rPr>
      </w:pPr>
    </w:p>
    <w:p w:rsidR="0065127E" w:rsidRPr="0065127E" w:rsidRDefault="0065127E" w:rsidP="0065127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SombreadoClaro-Cor11"/>
        <w:tblW w:w="0" w:type="auto"/>
        <w:tblLook w:val="04A0" w:firstRow="1" w:lastRow="0" w:firstColumn="1" w:lastColumn="0" w:noHBand="0" w:noVBand="1"/>
      </w:tblPr>
      <w:tblGrid>
        <w:gridCol w:w="1516"/>
        <w:gridCol w:w="1826"/>
        <w:gridCol w:w="1952"/>
        <w:gridCol w:w="3204"/>
      </w:tblGrid>
      <w:tr w:rsidR="0065127E" w:rsidRPr="0065127E" w:rsidTr="00C43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65127E" w:rsidRPr="0065127E" w:rsidRDefault="0065127E" w:rsidP="00C43E3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Classificação</w:t>
            </w:r>
          </w:p>
        </w:tc>
        <w:tc>
          <w:tcPr>
            <w:tcW w:w="1843" w:type="dxa"/>
            <w:vAlign w:val="center"/>
          </w:tcPr>
          <w:p w:rsidR="0065127E" w:rsidRPr="0065127E" w:rsidRDefault="0065127E" w:rsidP="00C43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Fenótipo</w:t>
            </w:r>
          </w:p>
        </w:tc>
        <w:tc>
          <w:tcPr>
            <w:tcW w:w="1984" w:type="dxa"/>
            <w:vAlign w:val="center"/>
          </w:tcPr>
          <w:p w:rsidR="0065127E" w:rsidRPr="0065127E" w:rsidRDefault="0065127E" w:rsidP="00C43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Incidência</w:t>
            </w:r>
          </w:p>
        </w:tc>
        <w:tc>
          <w:tcPr>
            <w:tcW w:w="3260" w:type="dxa"/>
            <w:vAlign w:val="center"/>
          </w:tcPr>
          <w:p w:rsidR="0065127E" w:rsidRPr="0065127E" w:rsidRDefault="0065127E" w:rsidP="00C43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Definição</w:t>
            </w:r>
          </w:p>
        </w:tc>
      </w:tr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9"/>
              </w:numPr>
              <w:spacing w:after="40"/>
              <w:ind w:left="284" w:hanging="28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SMR 0</w:t>
            </w:r>
          </w:p>
        </w:tc>
        <w:tc>
          <w:tcPr>
            <w:tcW w:w="1843" w:type="dxa"/>
            <w:vAlign w:val="center"/>
          </w:tcPr>
          <w:p w:rsidR="0065127E" w:rsidRPr="0065127E" w:rsidRDefault="0065127E" w:rsidP="00C43E3E">
            <w:pPr>
              <w:spacing w:after="40"/>
              <w:ind w:left="107" w:hanging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Elevação assintomática da CK &lt; 4 × LSN</w:t>
            </w:r>
          </w:p>
        </w:tc>
        <w:tc>
          <w:tcPr>
            <w:tcW w:w="1984" w:type="dxa"/>
            <w:vAlign w:val="center"/>
          </w:tcPr>
          <w:p w:rsidR="0065127E" w:rsidRPr="0065127E" w:rsidRDefault="0065127E" w:rsidP="00C43E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1,5 - 26%</w:t>
            </w:r>
          </w:p>
        </w:tc>
        <w:tc>
          <w:tcPr>
            <w:tcW w:w="3260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Sem sintomas musculares</w:t>
            </w:r>
          </w:p>
        </w:tc>
      </w:tr>
      <w:tr w:rsidR="0065127E" w:rsidRPr="0065127E" w:rsidTr="00C43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9"/>
              </w:numPr>
              <w:spacing w:after="40"/>
              <w:ind w:left="284" w:hanging="28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SRM 1</w:t>
            </w:r>
          </w:p>
        </w:tc>
        <w:tc>
          <w:tcPr>
            <w:tcW w:w="1843" w:type="dxa"/>
            <w:vAlign w:val="center"/>
          </w:tcPr>
          <w:p w:rsidR="0065127E" w:rsidRPr="0065127E" w:rsidRDefault="0065127E" w:rsidP="00C43E3E">
            <w:pPr>
              <w:spacing w:after="40"/>
              <w:ind w:left="107"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Mialgia suportável</w:t>
            </w:r>
          </w:p>
        </w:tc>
        <w:tc>
          <w:tcPr>
            <w:tcW w:w="1984" w:type="dxa"/>
            <w:vAlign w:val="center"/>
          </w:tcPr>
          <w:p w:rsidR="0065127E" w:rsidRPr="0065127E" w:rsidRDefault="0065127E" w:rsidP="00C43E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190/100 000 doentes-ano</w:t>
            </w:r>
          </w:p>
        </w:tc>
        <w:tc>
          <w:tcPr>
            <w:tcW w:w="3260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Sintomas musculares sem elevação da CK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Aumento assintomático da CK &lt; 7 × LSN</w:t>
            </w:r>
          </w:p>
        </w:tc>
      </w:tr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9"/>
              </w:numPr>
              <w:spacing w:after="40"/>
              <w:ind w:left="284" w:hanging="28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SMR 2</w:t>
            </w:r>
          </w:p>
        </w:tc>
        <w:tc>
          <w:tcPr>
            <w:tcW w:w="1843" w:type="dxa"/>
            <w:vAlign w:val="center"/>
          </w:tcPr>
          <w:p w:rsidR="0065127E" w:rsidRPr="0065127E" w:rsidRDefault="0065127E" w:rsidP="00C43E3E">
            <w:pPr>
              <w:spacing w:after="40"/>
              <w:ind w:left="107" w:hanging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Mialgia intolerável</w:t>
            </w:r>
          </w:p>
        </w:tc>
        <w:tc>
          <w:tcPr>
            <w:tcW w:w="1984" w:type="dxa"/>
            <w:vAlign w:val="center"/>
          </w:tcPr>
          <w:p w:rsidR="0065127E" w:rsidRPr="0065127E" w:rsidRDefault="0065127E" w:rsidP="00C43E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30 - 260/100 000 doentes-ano</w:t>
            </w:r>
          </w:p>
        </w:tc>
        <w:tc>
          <w:tcPr>
            <w:tcW w:w="3260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Sintomas musculares, CK &lt;7 × LSN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Recuperação completa após a descontinuação do tratamento</w:t>
            </w:r>
          </w:p>
        </w:tc>
      </w:tr>
      <w:tr w:rsidR="0065127E" w:rsidRPr="0065127E" w:rsidTr="00C43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9"/>
              </w:numPr>
              <w:spacing w:after="40"/>
              <w:ind w:left="284" w:hanging="28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SMR 3</w:t>
            </w:r>
          </w:p>
        </w:tc>
        <w:tc>
          <w:tcPr>
            <w:tcW w:w="1843" w:type="dxa"/>
            <w:vAlign w:val="center"/>
          </w:tcPr>
          <w:p w:rsidR="0065127E" w:rsidRPr="0065127E" w:rsidRDefault="0065127E" w:rsidP="00C43E3E">
            <w:pPr>
              <w:spacing w:after="40"/>
              <w:ind w:left="107"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Miopatia</w:t>
            </w:r>
          </w:p>
        </w:tc>
        <w:tc>
          <w:tcPr>
            <w:tcW w:w="1984" w:type="dxa"/>
            <w:vAlign w:val="center"/>
          </w:tcPr>
          <w:p w:rsidR="0065127E" w:rsidRPr="0065127E" w:rsidRDefault="0065127E" w:rsidP="00C43E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5/100 000 doentes-ano</w:t>
            </w:r>
          </w:p>
        </w:tc>
        <w:tc>
          <w:tcPr>
            <w:tcW w:w="3260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Aumento da CK &gt; 7 × LSN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Com sintomas ligeiros ou sem sintomas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Recuperação completa após a descontinuação</w:t>
            </w:r>
          </w:p>
        </w:tc>
      </w:tr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9"/>
              </w:numPr>
              <w:spacing w:after="40"/>
              <w:ind w:left="284" w:hanging="28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SMR 4</w:t>
            </w:r>
          </w:p>
        </w:tc>
        <w:tc>
          <w:tcPr>
            <w:tcW w:w="1843" w:type="dxa"/>
            <w:vAlign w:val="center"/>
          </w:tcPr>
          <w:p w:rsidR="0065127E" w:rsidRPr="0065127E" w:rsidRDefault="0065127E" w:rsidP="00C43E3E">
            <w:pPr>
              <w:spacing w:after="40"/>
              <w:ind w:left="107" w:hanging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Miopatia grave</w:t>
            </w:r>
          </w:p>
        </w:tc>
        <w:tc>
          <w:tcPr>
            <w:tcW w:w="1984" w:type="dxa"/>
            <w:vAlign w:val="center"/>
          </w:tcPr>
          <w:p w:rsidR="0065127E" w:rsidRPr="0065127E" w:rsidRDefault="0065127E" w:rsidP="00C43E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140/100 000 doentes-ano</w:t>
            </w:r>
          </w:p>
        </w:tc>
        <w:tc>
          <w:tcPr>
            <w:tcW w:w="3260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Aumento da CK &gt; 7 × mas &lt; 50 × ULN,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Com sintomas musculares moderados a graves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Recuperação completa com a descontinuação</w:t>
            </w:r>
          </w:p>
        </w:tc>
      </w:tr>
      <w:tr w:rsidR="0065127E" w:rsidRPr="0065127E" w:rsidTr="00C43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9"/>
              </w:numPr>
              <w:spacing w:after="40"/>
              <w:ind w:left="284" w:hanging="28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SMR 5</w:t>
            </w:r>
          </w:p>
        </w:tc>
        <w:tc>
          <w:tcPr>
            <w:tcW w:w="1843" w:type="dxa"/>
            <w:vAlign w:val="center"/>
          </w:tcPr>
          <w:p w:rsidR="0065127E" w:rsidRPr="0065127E" w:rsidRDefault="0065127E" w:rsidP="00C43E3E">
            <w:pPr>
              <w:spacing w:after="40"/>
              <w:ind w:left="107"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Rabdomiólise</w:t>
            </w:r>
          </w:p>
        </w:tc>
        <w:tc>
          <w:tcPr>
            <w:tcW w:w="1984" w:type="dxa"/>
            <w:vAlign w:val="center"/>
          </w:tcPr>
          <w:p w:rsidR="0065127E" w:rsidRPr="0065127E" w:rsidRDefault="0065127E" w:rsidP="00C43E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0,1 - 8,4/100 000 doentes-ano</w:t>
            </w:r>
          </w:p>
        </w:tc>
        <w:tc>
          <w:tcPr>
            <w:tcW w:w="3260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Aumento da CK &gt; 7 × LSN e compromisso da função renal, com sintomas musculares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Ou CK &gt; 50 × LSN</w:t>
            </w:r>
          </w:p>
        </w:tc>
      </w:tr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9"/>
              </w:numPr>
              <w:spacing w:after="40"/>
              <w:ind w:left="284" w:hanging="28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SMR 6</w:t>
            </w:r>
          </w:p>
        </w:tc>
        <w:tc>
          <w:tcPr>
            <w:tcW w:w="1843" w:type="dxa"/>
            <w:vAlign w:val="center"/>
          </w:tcPr>
          <w:p w:rsidR="0065127E" w:rsidRPr="0065127E" w:rsidRDefault="0065127E" w:rsidP="00C43E3E">
            <w:pPr>
              <w:spacing w:after="40"/>
              <w:ind w:left="107" w:hanging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Miosite necrotizante autoimune</w:t>
            </w:r>
          </w:p>
        </w:tc>
        <w:tc>
          <w:tcPr>
            <w:tcW w:w="1984" w:type="dxa"/>
            <w:vAlign w:val="center"/>
          </w:tcPr>
          <w:p w:rsidR="0065127E" w:rsidRPr="0065127E" w:rsidRDefault="0065127E" w:rsidP="00C43E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0,1 - 0,3/100 000 doentes-ano</w:t>
            </w:r>
          </w:p>
        </w:tc>
        <w:tc>
          <w:tcPr>
            <w:tcW w:w="3260" w:type="dxa"/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Anticorpos anti-HMGCR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Expressão da HMGCR em biópsias musculares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10"/>
              </w:numPr>
              <w:spacing w:after="40"/>
              <w:ind w:left="18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sz w:val="18"/>
                <w:szCs w:val="18"/>
              </w:rPr>
              <w:t>Recuperação incompleta após a interrupção do tratamento</w:t>
            </w:r>
          </w:p>
        </w:tc>
      </w:tr>
    </w:tbl>
    <w:p w:rsidR="0065127E" w:rsidRDefault="0065127E" w:rsidP="0065127E">
      <w:pPr>
        <w:jc w:val="both"/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</w:pPr>
    </w:p>
    <w:p w:rsidR="0065127E" w:rsidRPr="0065127E" w:rsidRDefault="0065127E" w:rsidP="0065127E">
      <w:pPr>
        <w:jc w:val="both"/>
        <w:rPr>
          <w:rFonts w:ascii="Times New Roman" w:hAnsi="Times New Roman" w:cs="Times New Roman"/>
          <w:i/>
          <w:color w:val="44546A" w:themeColor="text2"/>
          <w:sz w:val="16"/>
          <w:szCs w:val="16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Tabela</w:t>
      </w:r>
      <w:r w:rsidRPr="0065127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65127E">
        <w:rPr>
          <w:rFonts w:ascii="Times New Roman" w:hAnsi="Times New Roman" w:cs="Times New Roman"/>
          <w:b/>
          <w:i/>
          <w:sz w:val="20"/>
          <w:szCs w:val="20"/>
        </w:rPr>
        <w:t>. Fenótipos de miotoxicidade relacionados com as estatinas propostos pelo European Phenotype Standardization Project</w:t>
      </w:r>
    </w:p>
    <w:p w:rsidR="0065127E" w:rsidRPr="0065127E" w:rsidRDefault="0065127E" w:rsidP="0065127E">
      <w:pPr>
        <w:jc w:val="both"/>
        <w:rPr>
          <w:rFonts w:ascii="Times New Roman" w:hAnsi="Times New Roman" w:cs="Times New Roman"/>
          <w:i/>
          <w:color w:val="44546A" w:themeColor="text2"/>
          <w:sz w:val="16"/>
          <w:szCs w:val="16"/>
        </w:rPr>
      </w:pP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Adaptado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de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Sposito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AC,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Faria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Neto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JR, Carvalho LS, et al.; on behalf of the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Luso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-Latin American Consortium on Statin-Associated Muscle Symptoms. Statin-associated muscle symptoms: position paper from the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Luso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-Latin American Consortium. </w:t>
      </w:r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</w:rPr>
        <w:t xml:space="preserve">Curr Med Res Opin. 2017; 33(2): 239-51. doi: 10.1080/03007995.2016.1252740. Abreviaturas: CK, creatinina quinase; HMGCR, redutase da 3-hidroxi-3-metilglutaril-Coenzima A;  LSN, limite superior do normal; SMR, miotoxicidade relacionados com as estatinas). </w:t>
      </w:r>
    </w:p>
    <w:p w:rsidR="0065127E" w:rsidRPr="0065127E" w:rsidRDefault="0065127E" w:rsidP="0065127E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65127E" w:rsidRPr="0065127E" w:rsidRDefault="0065127E" w:rsidP="0065127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65127E">
        <w:rPr>
          <w:rFonts w:ascii="Times New Roman" w:hAnsi="Times New Roman" w:cs="Times New Roman"/>
          <w:b/>
          <w:i/>
          <w:sz w:val="20"/>
          <w:szCs w:val="20"/>
        </w:rPr>
        <w:br w:type="page"/>
      </w:r>
    </w:p>
    <w:p w:rsidR="0065127E" w:rsidRPr="0065127E" w:rsidRDefault="0065127E" w:rsidP="0065127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SombreadoClaro-Cor11"/>
        <w:tblW w:w="8755" w:type="dxa"/>
        <w:tblLook w:val="0480" w:firstRow="0" w:lastRow="0" w:firstColumn="1" w:lastColumn="0" w:noHBand="0" w:noVBand="1"/>
      </w:tblPr>
      <w:tblGrid>
        <w:gridCol w:w="2518"/>
        <w:gridCol w:w="2881"/>
        <w:gridCol w:w="379"/>
        <w:gridCol w:w="2866"/>
        <w:gridCol w:w="111"/>
      </w:tblGrid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4472C4" w:themeColor="accent1"/>
              <w:bottom w:val="nil"/>
            </w:tcBorders>
            <w:shd w:val="clear" w:color="auto" w:fill="auto"/>
            <w:vAlign w:val="center"/>
          </w:tcPr>
          <w:p w:rsidR="0065127E" w:rsidRPr="0065127E" w:rsidRDefault="0065127E" w:rsidP="00C43E3E">
            <w:pPr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top w:val="single" w:sz="8" w:space="0" w:color="4472C4" w:themeColor="accent1"/>
              <w:bottom w:val="single" w:sz="8" w:space="0" w:color="4472C4" w:themeColor="accent1"/>
            </w:tcBorders>
            <w:shd w:val="clear" w:color="auto" w:fill="auto"/>
            <w:vAlign w:val="center"/>
          </w:tcPr>
          <w:p w:rsidR="0065127E" w:rsidRPr="0065127E" w:rsidRDefault="0065127E" w:rsidP="00C43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Probabilidade da causalidade sintomática com o tratamento com estatinas</w:t>
            </w:r>
          </w:p>
        </w:tc>
      </w:tr>
      <w:tr w:rsidR="0065127E" w:rsidRPr="0065127E" w:rsidTr="00C43E3E">
        <w:trPr>
          <w:gridAfter w:val="1"/>
          <w:wAfter w:w="111" w:type="dxa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single" w:sz="8" w:space="0" w:color="4472C4" w:themeColor="accent1"/>
            </w:tcBorders>
            <w:shd w:val="clear" w:color="auto" w:fill="auto"/>
            <w:vAlign w:val="center"/>
          </w:tcPr>
          <w:p w:rsidR="0065127E" w:rsidRPr="0065127E" w:rsidRDefault="0065127E" w:rsidP="00C43E3E">
            <w:pPr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  <w:shd w:val="clear" w:color="auto" w:fill="auto"/>
            <w:vAlign w:val="center"/>
          </w:tcPr>
          <w:p w:rsidR="0065127E" w:rsidRPr="0065127E" w:rsidRDefault="0065127E" w:rsidP="00C43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Provável</w:t>
            </w:r>
          </w:p>
        </w:tc>
        <w:tc>
          <w:tcPr>
            <w:tcW w:w="3245" w:type="dxa"/>
            <w:gridSpan w:val="2"/>
            <w:tcBorders>
              <w:top w:val="single" w:sz="8" w:space="0" w:color="4472C4" w:themeColor="accent1"/>
              <w:bottom w:val="single" w:sz="8" w:space="0" w:color="4472C4" w:themeColor="accent1"/>
            </w:tcBorders>
            <w:shd w:val="clear" w:color="auto" w:fill="auto"/>
            <w:vAlign w:val="center"/>
          </w:tcPr>
          <w:p w:rsidR="0065127E" w:rsidRPr="0065127E" w:rsidRDefault="0065127E" w:rsidP="00C43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b/>
                <w:i/>
                <w:color w:val="44546A" w:themeColor="text2"/>
                <w:sz w:val="18"/>
                <w:szCs w:val="18"/>
              </w:rPr>
              <w:t>Improvável</w:t>
            </w:r>
          </w:p>
        </w:tc>
      </w:tr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4472C4" w:themeColor="accent1"/>
              <w:bottom w:val="nil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Distribuição regional</w:t>
            </w:r>
          </w:p>
        </w:tc>
        <w:tc>
          <w:tcPr>
            <w:tcW w:w="3260" w:type="dxa"/>
            <w:gridSpan w:val="2"/>
            <w:tcBorders>
              <w:top w:val="single" w:sz="8" w:space="0" w:color="4472C4" w:themeColor="accent1"/>
              <w:bottom w:val="nil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Simétrico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Envolvimento generalizado ou dos grandes grupos musculares (membros inferiores proximais, gémeos, membros superiores proximais)</w:t>
            </w:r>
          </w:p>
        </w:tc>
        <w:tc>
          <w:tcPr>
            <w:tcW w:w="2977" w:type="dxa"/>
            <w:gridSpan w:val="2"/>
            <w:tcBorders>
              <w:top w:val="single" w:sz="8" w:space="0" w:color="4472C4" w:themeColor="accent1"/>
              <w:bottom w:val="nil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Assimétrico, unilateral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Pequenas regiões ou grupos musculares isolados</w:t>
            </w:r>
          </w:p>
        </w:tc>
      </w:tr>
      <w:tr w:rsidR="0065127E" w:rsidRPr="0065127E" w:rsidTr="00C43E3E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nil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Características das queixas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Dor, sensibilidade, cãibras, rigidez muscular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Fraqueza ou sensação de peso muscular durante o esforço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Dor aguda ou intensa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Formigueiro ou contractura muscular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Dores articulares ou tendinosas</w:t>
            </w:r>
          </w:p>
        </w:tc>
      </w:tr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nil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Associação temporal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Sintomas aparecem nas primeiras 4 semanas após o início da estatina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Sintomas aparecem &gt; 12 semanas após o início da estatina</w:t>
            </w:r>
          </w:p>
        </w:tc>
      </w:tr>
      <w:tr w:rsidR="0065127E" w:rsidRPr="0065127E" w:rsidTr="00C43E3E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single" w:sz="8" w:space="0" w:color="4472C4" w:themeColor="accent1"/>
            </w:tcBorders>
            <w:vAlign w:val="center"/>
          </w:tcPr>
          <w:p w:rsidR="0065127E" w:rsidRPr="0065127E" w:rsidRDefault="0065127E" w:rsidP="00C43E3E">
            <w:pPr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single" w:sz="8" w:space="0" w:color="4472C4" w:themeColor="accent1"/>
            </w:tcBorders>
            <w:vAlign w:val="center"/>
          </w:tcPr>
          <w:p w:rsidR="0065127E" w:rsidRPr="0065127E" w:rsidRDefault="0065127E" w:rsidP="00C43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(aparecimento de sintomas entre as de 4-12 semanas apoiam marginalmente a avaliação de causalidade)</w:t>
            </w:r>
          </w:p>
        </w:tc>
      </w:tr>
      <w:tr w:rsidR="0065127E" w:rsidRPr="0065127E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single" w:sz="8" w:space="0" w:color="4472C4" w:themeColor="accent1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Suspensão/reexposição</w:t>
            </w:r>
          </w:p>
        </w:tc>
        <w:tc>
          <w:tcPr>
            <w:tcW w:w="3260" w:type="dxa"/>
            <w:gridSpan w:val="2"/>
            <w:tcBorders>
              <w:top w:val="nil"/>
              <w:bottom w:val="single" w:sz="8" w:space="0" w:color="4472C4" w:themeColor="accent1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Melhoria dos sintomas dentro de 4 semanas após a descontinuação da estatina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Reaparecimento dos sintomas dentro de 4 semanas após o reinício da estatina</w:t>
            </w:r>
          </w:p>
        </w:tc>
        <w:tc>
          <w:tcPr>
            <w:tcW w:w="2977" w:type="dxa"/>
            <w:gridSpan w:val="2"/>
            <w:tcBorders>
              <w:top w:val="nil"/>
              <w:bottom w:val="single" w:sz="8" w:space="0" w:color="4472C4" w:themeColor="accent1"/>
            </w:tcBorders>
            <w:vAlign w:val="center"/>
          </w:tcPr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Melhoria tardia ou inexistente dos sintomas após a descontinuação da estatina</w:t>
            </w:r>
          </w:p>
          <w:p w:rsidR="0065127E" w:rsidRPr="0065127E" w:rsidRDefault="0065127E" w:rsidP="0065127E">
            <w:pPr>
              <w:pStyle w:val="Prrafodelista"/>
              <w:numPr>
                <w:ilvl w:val="0"/>
                <w:numId w:val="6"/>
              </w:numPr>
              <w:spacing w:after="0"/>
              <w:ind w:left="176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</w:pPr>
            <w:r w:rsidRPr="0065127E">
              <w:rPr>
                <w:rFonts w:ascii="Times New Roman" w:hAnsi="Times New Roman" w:cs="Times New Roman"/>
                <w:i/>
                <w:color w:val="44546A" w:themeColor="text2"/>
                <w:sz w:val="18"/>
                <w:szCs w:val="18"/>
              </w:rPr>
              <w:t>Demora ou ausência de recorrência após a administração de novo da estatina</w:t>
            </w:r>
          </w:p>
        </w:tc>
      </w:tr>
    </w:tbl>
    <w:p w:rsidR="0065127E" w:rsidRDefault="0065127E" w:rsidP="0065127E">
      <w:pPr>
        <w:jc w:val="both"/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</w:pPr>
    </w:p>
    <w:p w:rsidR="0065127E" w:rsidRPr="0065127E" w:rsidRDefault="0065127E" w:rsidP="0065127E">
      <w:pPr>
        <w:jc w:val="both"/>
        <w:rPr>
          <w:rFonts w:ascii="Times New Roman" w:hAnsi="Times New Roman" w:cs="Times New Roman"/>
          <w:i/>
          <w:color w:val="44546A" w:themeColor="text2"/>
          <w:sz w:val="16"/>
          <w:szCs w:val="16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Tabela</w:t>
      </w:r>
      <w:r w:rsidRPr="0065127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65127E">
        <w:rPr>
          <w:rFonts w:ascii="Times New Roman" w:hAnsi="Times New Roman" w:cs="Times New Roman"/>
          <w:b/>
          <w:i/>
          <w:sz w:val="20"/>
          <w:szCs w:val="20"/>
        </w:rPr>
        <w:t>. Avaliação clínica da maior ou menor probabilidade da uma associação entre queixas musculares e o tratamento com estatinas</w:t>
      </w:r>
    </w:p>
    <w:p w:rsidR="0065127E" w:rsidRPr="0065127E" w:rsidRDefault="0065127E" w:rsidP="0065127E">
      <w:pPr>
        <w:jc w:val="both"/>
        <w:rPr>
          <w:rFonts w:ascii="Times New Roman" w:hAnsi="Times New Roman" w:cs="Times New Roman"/>
          <w:i/>
          <w:color w:val="44546A" w:themeColor="text2"/>
          <w:sz w:val="16"/>
          <w:szCs w:val="16"/>
        </w:rPr>
      </w:pP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Adaptado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de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Sposito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AC,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Faria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Neto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JR, Carvalho LS, et al.; on behalf of the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Luso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-Latin American Consortium on Statin-Associated Muscle Symptoms. Statin-associated muscle symptoms: position paper from the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Luso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-Latin American Consortium.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Curr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Med Res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Opin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. 2017; 33(2): 239-251.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doi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: 10.1080/03007995.2016.1252740;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Stulc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T,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Ceška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R,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Gotto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AM Jr. Statin intolerance: the clinician's perspective.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Curr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Atheroscler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Rep. 2015; 17(12): 69.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doi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: 10.1007/s11883-015-0552-3; </w:t>
      </w:r>
      <w:proofErr w:type="spellStart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>Rosenson</w:t>
      </w:r>
      <w:proofErr w:type="spellEnd"/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  <w:lang w:val="en-US"/>
        </w:rPr>
        <w:t xml:space="preserve"> RS, Baker SK, Jacobson TA, et al., The National Lipid Association’s Muscle Safety Expert Panel. An assessment by the Statin Muscle Safety Task Force: 2014 update. </w:t>
      </w:r>
      <w:r w:rsidRPr="0065127E">
        <w:rPr>
          <w:rFonts w:ascii="Times New Roman" w:hAnsi="Times New Roman" w:cs="Times New Roman"/>
          <w:i/>
          <w:color w:val="44546A" w:themeColor="text2"/>
          <w:sz w:val="16"/>
          <w:szCs w:val="16"/>
        </w:rPr>
        <w:t>J Clin Lipidol. 2014;8 Suppl :S58-7.</w:t>
      </w:r>
    </w:p>
    <w:p w:rsidR="0065127E" w:rsidRPr="0065127E" w:rsidRDefault="0065127E" w:rsidP="0065127E">
      <w:pPr>
        <w:rPr>
          <w:rFonts w:ascii="Times New Roman" w:hAnsi="Times New Roman" w:cs="Times New Roman"/>
          <w:i/>
          <w:color w:val="44546A" w:themeColor="text2"/>
          <w:sz w:val="16"/>
          <w:szCs w:val="16"/>
        </w:rPr>
      </w:pPr>
    </w:p>
    <w:p w:rsidR="0065127E" w:rsidRPr="0065127E" w:rsidRDefault="0065127E" w:rsidP="0065127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65127E">
        <w:rPr>
          <w:rFonts w:ascii="Times New Roman" w:hAnsi="Times New Roman" w:cs="Times New Roman"/>
          <w:b/>
          <w:i/>
          <w:sz w:val="20"/>
          <w:szCs w:val="20"/>
        </w:rPr>
        <w:br w:type="page"/>
      </w:r>
    </w:p>
    <w:p w:rsidR="0065127E" w:rsidRPr="0065127E" w:rsidRDefault="0065127E" w:rsidP="0065127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SombreadoClaro-Cor11"/>
        <w:tblW w:w="0" w:type="auto"/>
        <w:tblLook w:val="04A0" w:firstRow="1" w:lastRow="0" w:firstColumn="1" w:lastColumn="0" w:noHBand="0" w:noVBand="1"/>
      </w:tblPr>
      <w:tblGrid>
        <w:gridCol w:w="4250"/>
        <w:gridCol w:w="4248"/>
      </w:tblGrid>
      <w:tr w:rsidR="0065127E" w:rsidRPr="009C0C77" w:rsidTr="00C43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vAlign w:val="center"/>
          </w:tcPr>
          <w:p w:rsidR="0065127E" w:rsidRPr="009C0C77" w:rsidRDefault="0065127E" w:rsidP="00C43E3E">
            <w:pPr>
              <w:jc w:val="center"/>
              <w:rPr>
                <w:i/>
                <w:sz w:val="18"/>
                <w:szCs w:val="18"/>
              </w:rPr>
            </w:pPr>
            <w:r w:rsidRPr="009C0C77">
              <w:rPr>
                <w:i/>
                <w:sz w:val="18"/>
                <w:szCs w:val="18"/>
              </w:rPr>
              <w:t>Fatores endógenos</w:t>
            </w:r>
          </w:p>
        </w:tc>
        <w:tc>
          <w:tcPr>
            <w:tcW w:w="4322" w:type="dxa"/>
            <w:vAlign w:val="center"/>
          </w:tcPr>
          <w:p w:rsidR="0065127E" w:rsidRPr="009C0C77" w:rsidRDefault="0065127E" w:rsidP="00C43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9C0C77">
              <w:rPr>
                <w:i/>
                <w:sz w:val="18"/>
                <w:szCs w:val="18"/>
              </w:rPr>
              <w:t>Fatores exógenos</w:t>
            </w:r>
          </w:p>
        </w:tc>
      </w:tr>
      <w:tr w:rsidR="0065127E" w:rsidRPr="00F912B9" w:rsidTr="00C4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vAlign w:val="center"/>
          </w:tcPr>
          <w:p w:rsidR="0065127E" w:rsidRPr="00F912B9" w:rsidRDefault="0065127E" w:rsidP="0065127E">
            <w:pPr>
              <w:pStyle w:val="Prrafodelista"/>
              <w:numPr>
                <w:ilvl w:val="0"/>
                <w:numId w:val="7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Antecedentes de sintomas musculares com outros antidislipidémicos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7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História de sintomas musculares inexplicáveis ou de elevação incompreensível da creatina quinase (CK)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7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 xml:space="preserve">História familiar de sintomas musculares com os antidislipidémicos 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7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Género feminino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8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Idade avançada (&gt; 80 anos)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8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(Hipertensão arterial)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8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(Diabetes mellitus)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8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Fragilidade clínica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8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Baixo índice de massa corporal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8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 xml:space="preserve">Doença renal ou hepática 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8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Hipotireoidismo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8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Polimorfismos genéticos CYP450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8"/>
              </w:numPr>
              <w:spacing w:after="0" w:line="288" w:lineRule="auto"/>
              <w:ind w:left="142" w:hanging="142"/>
              <w:rPr>
                <w:b w:val="0"/>
                <w:i/>
                <w:color w:val="44546A" w:themeColor="text2"/>
                <w:sz w:val="18"/>
                <w:szCs w:val="18"/>
              </w:rPr>
            </w:pP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>Doenças m</w:t>
            </w:r>
            <w:r>
              <w:rPr>
                <w:b w:val="0"/>
                <w:i/>
                <w:color w:val="44546A" w:themeColor="text2"/>
                <w:sz w:val="18"/>
                <w:szCs w:val="18"/>
              </w:rPr>
              <w:t>usculares m</w:t>
            </w:r>
            <w:r w:rsidRPr="00F912B9">
              <w:rPr>
                <w:b w:val="0"/>
                <w:i/>
                <w:color w:val="44546A" w:themeColor="text2"/>
                <w:sz w:val="18"/>
                <w:szCs w:val="18"/>
              </w:rPr>
              <w:t xml:space="preserve">etabólicas </w:t>
            </w:r>
          </w:p>
        </w:tc>
        <w:tc>
          <w:tcPr>
            <w:tcW w:w="4322" w:type="dxa"/>
            <w:vAlign w:val="center"/>
          </w:tcPr>
          <w:p w:rsidR="0065127E" w:rsidRPr="00476701" w:rsidRDefault="0065127E" w:rsidP="0065127E">
            <w:pPr>
              <w:pStyle w:val="Prrafodelista"/>
              <w:numPr>
                <w:ilvl w:val="0"/>
                <w:numId w:val="7"/>
              </w:numPr>
              <w:spacing w:after="0" w:line="288" w:lineRule="auto"/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44546A" w:themeColor="text2"/>
                <w:sz w:val="18"/>
                <w:szCs w:val="18"/>
              </w:rPr>
            </w:pPr>
            <w:r w:rsidRPr="00476701">
              <w:rPr>
                <w:i/>
                <w:color w:val="44546A" w:themeColor="text2"/>
                <w:sz w:val="18"/>
                <w:szCs w:val="18"/>
              </w:rPr>
              <w:t xml:space="preserve">Abuso da ingestão alcoólica </w:t>
            </w:r>
          </w:p>
          <w:p w:rsidR="0065127E" w:rsidRPr="00476701" w:rsidRDefault="0065127E" w:rsidP="0065127E">
            <w:pPr>
              <w:pStyle w:val="Prrafodelista"/>
              <w:numPr>
                <w:ilvl w:val="0"/>
                <w:numId w:val="7"/>
              </w:numPr>
              <w:spacing w:after="0" w:line="288" w:lineRule="auto"/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44546A" w:themeColor="text2"/>
                <w:sz w:val="18"/>
                <w:szCs w:val="18"/>
              </w:rPr>
            </w:pPr>
            <w:r w:rsidRPr="00476701">
              <w:rPr>
                <w:i/>
                <w:color w:val="44546A" w:themeColor="text2"/>
                <w:sz w:val="18"/>
                <w:szCs w:val="18"/>
              </w:rPr>
              <w:t>Exercício ou atividade física extenuante</w:t>
            </w:r>
          </w:p>
          <w:p w:rsidR="0065127E" w:rsidRPr="00476701" w:rsidRDefault="0065127E" w:rsidP="0065127E">
            <w:pPr>
              <w:pStyle w:val="Prrafodelista"/>
              <w:numPr>
                <w:ilvl w:val="0"/>
                <w:numId w:val="7"/>
              </w:numPr>
              <w:spacing w:after="0" w:line="288" w:lineRule="auto"/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44546A" w:themeColor="text2"/>
                <w:sz w:val="18"/>
                <w:szCs w:val="18"/>
              </w:rPr>
            </w:pPr>
            <w:r w:rsidRPr="00476701">
              <w:rPr>
                <w:i/>
                <w:color w:val="44546A" w:themeColor="text2"/>
                <w:sz w:val="18"/>
                <w:szCs w:val="18"/>
              </w:rPr>
              <w:t>Cirurgia com elevado teor de necessidades metabólicas</w:t>
            </w:r>
          </w:p>
          <w:p w:rsidR="0065127E" w:rsidRPr="00476701" w:rsidRDefault="0065127E" w:rsidP="0065127E">
            <w:pPr>
              <w:pStyle w:val="Prrafodelista"/>
              <w:numPr>
                <w:ilvl w:val="0"/>
                <w:numId w:val="7"/>
              </w:numPr>
              <w:spacing w:after="0" w:line="288" w:lineRule="auto"/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44546A" w:themeColor="text2"/>
                <w:sz w:val="18"/>
                <w:szCs w:val="18"/>
              </w:rPr>
            </w:pPr>
            <w:r w:rsidRPr="00476701">
              <w:rPr>
                <w:i/>
                <w:color w:val="44546A" w:themeColor="text2"/>
                <w:sz w:val="18"/>
                <w:szCs w:val="18"/>
              </w:rPr>
              <w:t>Deficiência de vitamina D</w:t>
            </w:r>
          </w:p>
          <w:p w:rsidR="0065127E" w:rsidRPr="00F912B9" w:rsidRDefault="0065127E" w:rsidP="0065127E">
            <w:pPr>
              <w:pStyle w:val="Prrafodelista"/>
              <w:numPr>
                <w:ilvl w:val="0"/>
                <w:numId w:val="7"/>
              </w:numPr>
              <w:spacing w:after="0" w:line="288" w:lineRule="auto"/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44546A" w:themeColor="text2"/>
                <w:sz w:val="18"/>
                <w:szCs w:val="18"/>
              </w:rPr>
            </w:pPr>
            <w:r w:rsidRPr="00476701">
              <w:rPr>
                <w:i/>
                <w:color w:val="44546A" w:themeColor="text2"/>
                <w:sz w:val="18"/>
                <w:szCs w:val="18"/>
              </w:rPr>
              <w:t xml:space="preserve"> Interações medicamentosas (gemfibrozil, macrólidos, antifúngicos azólicos, verapamilo, amiodarona, inibidores da protease, ciclosporina)*</w:t>
            </w:r>
          </w:p>
        </w:tc>
      </w:tr>
    </w:tbl>
    <w:p w:rsidR="0065127E" w:rsidRDefault="0065127E" w:rsidP="0065127E">
      <w:pPr>
        <w:jc w:val="both"/>
        <w:rPr>
          <w:i/>
          <w:color w:val="44546A" w:themeColor="text2"/>
          <w:sz w:val="16"/>
          <w:szCs w:val="16"/>
        </w:rPr>
      </w:pPr>
    </w:p>
    <w:p w:rsidR="0065127E" w:rsidRDefault="0065127E" w:rsidP="0065127E">
      <w:pPr>
        <w:jc w:val="both"/>
        <w:rPr>
          <w:i/>
          <w:color w:val="44546A" w:themeColor="text2"/>
          <w:sz w:val="16"/>
          <w:szCs w:val="16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Tabela 4</w:t>
      </w:r>
      <w:r w:rsidRPr="0065127E">
        <w:rPr>
          <w:rFonts w:ascii="Times New Roman" w:hAnsi="Times New Roman" w:cs="Times New Roman"/>
          <w:b/>
          <w:i/>
          <w:sz w:val="20"/>
          <w:szCs w:val="20"/>
        </w:rPr>
        <w:t>. Fatores associados ao aumento do risco de intolerância às estatinas</w:t>
      </w:r>
    </w:p>
    <w:p w:rsidR="0065127E" w:rsidRPr="001A6A35" w:rsidRDefault="0065127E" w:rsidP="0065127E">
      <w:pPr>
        <w:jc w:val="both"/>
        <w:rPr>
          <w:i/>
          <w:color w:val="44546A" w:themeColor="text2"/>
          <w:sz w:val="16"/>
          <w:szCs w:val="16"/>
        </w:rPr>
      </w:pPr>
      <w:r w:rsidRPr="004414C6">
        <w:rPr>
          <w:i/>
          <w:color w:val="44546A" w:themeColor="text2"/>
          <w:sz w:val="16"/>
          <w:szCs w:val="16"/>
        </w:rPr>
        <w:t xml:space="preserve">Adaptado de Stulc T, Ceška R, Gotto AM Jr. </w:t>
      </w:r>
      <w:r>
        <w:rPr>
          <w:i/>
          <w:color w:val="44546A" w:themeColor="text2"/>
          <w:sz w:val="16"/>
          <w:szCs w:val="16"/>
          <w:lang w:val="en-US"/>
        </w:rPr>
        <w:t>Statin i</w:t>
      </w:r>
      <w:r w:rsidRPr="00FB03B4">
        <w:rPr>
          <w:i/>
          <w:color w:val="44546A" w:themeColor="text2"/>
          <w:sz w:val="16"/>
          <w:szCs w:val="16"/>
          <w:lang w:val="en-US"/>
        </w:rPr>
        <w:t xml:space="preserve">ntolerance: the </w:t>
      </w:r>
      <w:r>
        <w:rPr>
          <w:i/>
          <w:color w:val="44546A" w:themeColor="text2"/>
          <w:sz w:val="16"/>
          <w:szCs w:val="16"/>
          <w:lang w:val="en-US"/>
        </w:rPr>
        <w:t>c</w:t>
      </w:r>
      <w:r w:rsidRPr="00FB03B4">
        <w:rPr>
          <w:i/>
          <w:color w:val="44546A" w:themeColor="text2"/>
          <w:sz w:val="16"/>
          <w:szCs w:val="16"/>
          <w:lang w:val="en-US"/>
        </w:rPr>
        <w:t xml:space="preserve">linician's </w:t>
      </w:r>
      <w:r>
        <w:rPr>
          <w:i/>
          <w:color w:val="44546A" w:themeColor="text2"/>
          <w:sz w:val="16"/>
          <w:szCs w:val="16"/>
          <w:lang w:val="en-US"/>
        </w:rPr>
        <w:t>p</w:t>
      </w:r>
      <w:r w:rsidRPr="00FB03B4">
        <w:rPr>
          <w:i/>
          <w:color w:val="44546A" w:themeColor="text2"/>
          <w:sz w:val="16"/>
          <w:szCs w:val="16"/>
          <w:lang w:val="en-US"/>
        </w:rPr>
        <w:t>erspective.</w:t>
      </w:r>
      <w:r>
        <w:rPr>
          <w:i/>
          <w:color w:val="44546A" w:themeColor="text2"/>
          <w:sz w:val="16"/>
          <w:szCs w:val="16"/>
          <w:lang w:val="en-US"/>
        </w:rPr>
        <w:t xml:space="preserve"> </w:t>
      </w:r>
      <w:proofErr w:type="spellStart"/>
      <w:r w:rsidRPr="001C0C84">
        <w:rPr>
          <w:i/>
          <w:color w:val="44546A" w:themeColor="text2"/>
          <w:sz w:val="16"/>
          <w:szCs w:val="16"/>
          <w:lang w:val="en-US"/>
        </w:rPr>
        <w:t>Curr</w:t>
      </w:r>
      <w:proofErr w:type="spellEnd"/>
      <w:r w:rsidRPr="001C0C84">
        <w:rPr>
          <w:i/>
          <w:color w:val="44546A" w:themeColor="text2"/>
          <w:sz w:val="16"/>
          <w:szCs w:val="16"/>
          <w:lang w:val="en-US"/>
        </w:rPr>
        <w:t xml:space="preserve"> </w:t>
      </w:r>
      <w:proofErr w:type="spellStart"/>
      <w:r w:rsidRPr="001C0C84">
        <w:rPr>
          <w:i/>
          <w:color w:val="44546A" w:themeColor="text2"/>
          <w:sz w:val="16"/>
          <w:szCs w:val="16"/>
          <w:lang w:val="en-US"/>
        </w:rPr>
        <w:t>Atheroscler</w:t>
      </w:r>
      <w:proofErr w:type="spellEnd"/>
      <w:r w:rsidRPr="001C0C84">
        <w:rPr>
          <w:i/>
          <w:color w:val="44546A" w:themeColor="text2"/>
          <w:sz w:val="16"/>
          <w:szCs w:val="16"/>
          <w:lang w:val="en-US"/>
        </w:rPr>
        <w:t xml:space="preserve"> Rep. 2015; 17(12): 69. </w:t>
      </w:r>
      <w:proofErr w:type="spellStart"/>
      <w:r w:rsidRPr="001C0C84">
        <w:rPr>
          <w:i/>
          <w:color w:val="44546A" w:themeColor="text2"/>
          <w:sz w:val="16"/>
          <w:szCs w:val="16"/>
          <w:lang w:val="en-US"/>
        </w:rPr>
        <w:t>doi</w:t>
      </w:r>
      <w:proofErr w:type="spellEnd"/>
      <w:r w:rsidRPr="001C0C84">
        <w:rPr>
          <w:i/>
          <w:color w:val="44546A" w:themeColor="text2"/>
          <w:sz w:val="16"/>
          <w:szCs w:val="16"/>
          <w:lang w:val="en-US"/>
        </w:rPr>
        <w:t xml:space="preserve">: 10.1007/s11883-015-0552-3; Nota: *A </w:t>
      </w:r>
      <w:proofErr w:type="spellStart"/>
      <w:r w:rsidRPr="001C0C84">
        <w:rPr>
          <w:i/>
          <w:color w:val="44546A" w:themeColor="text2"/>
          <w:sz w:val="16"/>
          <w:szCs w:val="16"/>
          <w:lang w:val="en-US"/>
        </w:rPr>
        <w:t>este</w:t>
      </w:r>
      <w:proofErr w:type="spellEnd"/>
      <w:r w:rsidRPr="001C0C84">
        <w:rPr>
          <w:i/>
          <w:color w:val="44546A" w:themeColor="text2"/>
          <w:sz w:val="16"/>
          <w:szCs w:val="16"/>
          <w:lang w:val="en-US"/>
        </w:rPr>
        <w:t xml:space="preserve"> </w:t>
      </w:r>
      <w:proofErr w:type="spellStart"/>
      <w:r w:rsidRPr="001C0C84">
        <w:rPr>
          <w:i/>
          <w:color w:val="44546A" w:themeColor="text2"/>
          <w:sz w:val="16"/>
          <w:szCs w:val="16"/>
          <w:lang w:val="en-US"/>
        </w:rPr>
        <w:t>propósito</w:t>
      </w:r>
      <w:proofErr w:type="spellEnd"/>
      <w:r w:rsidRPr="001C0C84">
        <w:rPr>
          <w:i/>
          <w:color w:val="44546A" w:themeColor="text2"/>
          <w:sz w:val="16"/>
          <w:szCs w:val="16"/>
          <w:lang w:val="en-US"/>
        </w:rPr>
        <w:t>: Wiggins BS</w:t>
      </w:r>
      <w:r>
        <w:rPr>
          <w:i/>
          <w:color w:val="44546A" w:themeColor="text2"/>
          <w:sz w:val="16"/>
          <w:szCs w:val="16"/>
          <w:lang w:val="en-US"/>
        </w:rPr>
        <w:t xml:space="preserve">, </w:t>
      </w:r>
      <w:proofErr w:type="spellStart"/>
      <w:r>
        <w:rPr>
          <w:i/>
          <w:color w:val="44546A" w:themeColor="text2"/>
          <w:sz w:val="16"/>
          <w:szCs w:val="16"/>
          <w:lang w:val="en-US"/>
        </w:rPr>
        <w:t>Saseen</w:t>
      </w:r>
      <w:proofErr w:type="spellEnd"/>
      <w:r>
        <w:rPr>
          <w:i/>
          <w:color w:val="44546A" w:themeColor="text2"/>
          <w:sz w:val="16"/>
          <w:szCs w:val="16"/>
          <w:lang w:val="en-US"/>
        </w:rPr>
        <w:t xml:space="preserve"> JJ, Page RL 2n; </w:t>
      </w:r>
      <w:r w:rsidRPr="001C0C84">
        <w:rPr>
          <w:i/>
          <w:color w:val="44546A" w:themeColor="text2"/>
          <w:sz w:val="16"/>
          <w:szCs w:val="16"/>
          <w:lang w:val="en-US"/>
        </w:rPr>
        <w:t xml:space="preserve"> American Heart Association Clinical Pharmacology Committee of the Council on Clinical Cardiology; Council on Hypertension; Council on Quality of Care and Outcomes Research; and Council on Functional Genomics and Translational Biology. Recommendations for </w:t>
      </w:r>
      <w:r>
        <w:rPr>
          <w:i/>
          <w:color w:val="44546A" w:themeColor="text2"/>
          <w:sz w:val="16"/>
          <w:szCs w:val="16"/>
          <w:lang w:val="en-US"/>
        </w:rPr>
        <w:t>m</w:t>
      </w:r>
      <w:r w:rsidRPr="001C0C84">
        <w:rPr>
          <w:i/>
          <w:color w:val="44546A" w:themeColor="text2"/>
          <w:sz w:val="16"/>
          <w:szCs w:val="16"/>
          <w:lang w:val="en-US"/>
        </w:rPr>
        <w:t xml:space="preserve">anagement of </w:t>
      </w:r>
      <w:r>
        <w:rPr>
          <w:i/>
          <w:color w:val="44546A" w:themeColor="text2"/>
          <w:sz w:val="16"/>
          <w:szCs w:val="16"/>
          <w:lang w:val="en-US"/>
        </w:rPr>
        <w:t>c</w:t>
      </w:r>
      <w:r w:rsidRPr="001C0C84">
        <w:rPr>
          <w:i/>
          <w:color w:val="44546A" w:themeColor="text2"/>
          <w:sz w:val="16"/>
          <w:szCs w:val="16"/>
          <w:lang w:val="en-US"/>
        </w:rPr>
        <w:t xml:space="preserve">linically </w:t>
      </w:r>
      <w:r>
        <w:rPr>
          <w:i/>
          <w:color w:val="44546A" w:themeColor="text2"/>
          <w:sz w:val="16"/>
          <w:szCs w:val="16"/>
          <w:lang w:val="en-US"/>
        </w:rPr>
        <w:t>s</w:t>
      </w:r>
      <w:r w:rsidRPr="001C0C84">
        <w:rPr>
          <w:i/>
          <w:color w:val="44546A" w:themeColor="text2"/>
          <w:sz w:val="16"/>
          <w:szCs w:val="16"/>
          <w:lang w:val="en-US"/>
        </w:rPr>
        <w:t xml:space="preserve">ignificant </w:t>
      </w:r>
      <w:r>
        <w:rPr>
          <w:i/>
          <w:color w:val="44546A" w:themeColor="text2"/>
          <w:sz w:val="16"/>
          <w:szCs w:val="16"/>
          <w:lang w:val="en-US"/>
        </w:rPr>
        <w:t>drug-drug i</w:t>
      </w:r>
      <w:r w:rsidRPr="001C0C84">
        <w:rPr>
          <w:i/>
          <w:color w:val="44546A" w:themeColor="text2"/>
          <w:sz w:val="16"/>
          <w:szCs w:val="16"/>
          <w:lang w:val="en-US"/>
        </w:rPr>
        <w:t xml:space="preserve">nteractions </w:t>
      </w:r>
      <w:r>
        <w:rPr>
          <w:i/>
          <w:color w:val="44546A" w:themeColor="text2"/>
          <w:sz w:val="16"/>
          <w:szCs w:val="16"/>
          <w:lang w:val="en-US"/>
        </w:rPr>
        <w:t>with statins and select a</w:t>
      </w:r>
      <w:r w:rsidRPr="001C0C84">
        <w:rPr>
          <w:i/>
          <w:color w:val="44546A" w:themeColor="text2"/>
          <w:sz w:val="16"/>
          <w:szCs w:val="16"/>
          <w:lang w:val="en-US"/>
        </w:rPr>
        <w:t xml:space="preserve">gents </w:t>
      </w:r>
      <w:r>
        <w:rPr>
          <w:i/>
          <w:color w:val="44546A" w:themeColor="text2"/>
          <w:sz w:val="16"/>
          <w:szCs w:val="16"/>
          <w:lang w:val="en-US"/>
        </w:rPr>
        <w:t>used in p</w:t>
      </w:r>
      <w:r w:rsidRPr="001C0C84">
        <w:rPr>
          <w:i/>
          <w:color w:val="44546A" w:themeColor="text2"/>
          <w:sz w:val="16"/>
          <w:szCs w:val="16"/>
          <w:lang w:val="en-US"/>
        </w:rPr>
        <w:t>atien</w:t>
      </w:r>
      <w:r>
        <w:rPr>
          <w:i/>
          <w:color w:val="44546A" w:themeColor="text2"/>
          <w:sz w:val="16"/>
          <w:szCs w:val="16"/>
          <w:lang w:val="en-US"/>
        </w:rPr>
        <w:t>ts with cardiovascular disease: a Scientific Statement f</w:t>
      </w:r>
      <w:r w:rsidRPr="001C0C84">
        <w:rPr>
          <w:i/>
          <w:color w:val="44546A" w:themeColor="text2"/>
          <w:sz w:val="16"/>
          <w:szCs w:val="16"/>
          <w:lang w:val="en-US"/>
        </w:rPr>
        <w:t>rom the American Heart Association.</w:t>
      </w:r>
      <w:r>
        <w:rPr>
          <w:i/>
          <w:color w:val="44546A" w:themeColor="text2"/>
          <w:sz w:val="16"/>
          <w:szCs w:val="16"/>
          <w:lang w:val="en-US"/>
        </w:rPr>
        <w:t xml:space="preserve"> </w:t>
      </w:r>
      <w:r w:rsidRPr="001A6A35">
        <w:rPr>
          <w:i/>
          <w:color w:val="44546A" w:themeColor="text2"/>
          <w:sz w:val="16"/>
          <w:szCs w:val="16"/>
        </w:rPr>
        <w:t xml:space="preserve">Circulation. 2016; 134(21): e468-e495. </w:t>
      </w:r>
    </w:p>
    <w:p w:rsidR="0065127E" w:rsidRPr="001A6A35" w:rsidRDefault="0065127E" w:rsidP="0065127E">
      <w:pPr>
        <w:rPr>
          <w:i/>
          <w:color w:val="44546A" w:themeColor="text2"/>
          <w:sz w:val="16"/>
          <w:szCs w:val="16"/>
        </w:rPr>
      </w:pPr>
      <w:r w:rsidRPr="001A6A35">
        <w:rPr>
          <w:i/>
          <w:color w:val="44546A" w:themeColor="text2"/>
          <w:sz w:val="16"/>
          <w:szCs w:val="16"/>
        </w:rPr>
        <w:br w:type="page"/>
      </w:r>
    </w:p>
    <w:p w:rsidR="00403FF1" w:rsidRDefault="00076D90"/>
    <w:sectPr w:rsidR="00403FF1" w:rsidSect="00AB29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A8C"/>
    <w:multiLevelType w:val="hybridMultilevel"/>
    <w:tmpl w:val="9E3C0FF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C5D67"/>
    <w:multiLevelType w:val="hybridMultilevel"/>
    <w:tmpl w:val="8A3A35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A06162"/>
    <w:multiLevelType w:val="hybridMultilevel"/>
    <w:tmpl w:val="BDAE5B14"/>
    <w:lvl w:ilvl="0" w:tplc="F77E2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8112B"/>
    <w:multiLevelType w:val="hybridMultilevel"/>
    <w:tmpl w:val="B59494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17383"/>
    <w:multiLevelType w:val="hybridMultilevel"/>
    <w:tmpl w:val="6226B2E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420D85"/>
    <w:multiLevelType w:val="hybridMultilevel"/>
    <w:tmpl w:val="A82AEF1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9145B3"/>
    <w:multiLevelType w:val="hybridMultilevel"/>
    <w:tmpl w:val="35DA6B5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351C1"/>
    <w:multiLevelType w:val="hybridMultilevel"/>
    <w:tmpl w:val="33406C50"/>
    <w:lvl w:ilvl="0" w:tplc="F77E2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75B7C"/>
    <w:multiLevelType w:val="hybridMultilevel"/>
    <w:tmpl w:val="FFD42B9E"/>
    <w:lvl w:ilvl="0" w:tplc="34343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10723"/>
    <w:multiLevelType w:val="hybridMultilevel"/>
    <w:tmpl w:val="56849F88"/>
    <w:lvl w:ilvl="0" w:tplc="159C57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7E"/>
    <w:rsid w:val="00076D90"/>
    <w:rsid w:val="002A2467"/>
    <w:rsid w:val="003426D3"/>
    <w:rsid w:val="003868F1"/>
    <w:rsid w:val="0065127E"/>
    <w:rsid w:val="00A468CF"/>
    <w:rsid w:val="00AB29FA"/>
    <w:rsid w:val="00F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46CBD2B5-34D3-3E48-B28C-E37F408A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27E"/>
    <w:pPr>
      <w:spacing w:after="120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127E"/>
    <w:pPr>
      <w:ind w:left="720"/>
      <w:contextualSpacing/>
    </w:pPr>
  </w:style>
  <w:style w:type="table" w:customStyle="1" w:styleId="SombreadoClaro-Cor11">
    <w:name w:val="Sombreado Claro - Cor 11"/>
    <w:basedOn w:val="Tablanormal"/>
    <w:uiPriority w:val="60"/>
    <w:rsid w:val="0065127E"/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Lombardi, Tina (ELS-CON)</cp:lastModifiedBy>
  <cp:revision>2</cp:revision>
  <dcterms:created xsi:type="dcterms:W3CDTF">2019-05-22T09:27:00Z</dcterms:created>
  <dcterms:modified xsi:type="dcterms:W3CDTF">2019-05-22T09:27:00Z</dcterms:modified>
</cp:coreProperties>
</file>