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FE" w:rsidRDefault="008163FE" w:rsidP="008163FE">
      <w:pPr>
        <w:pStyle w:val="Heading1"/>
        <w:numPr>
          <w:ilvl w:val="0"/>
          <w:numId w:val="1"/>
        </w:numPr>
        <w:ind w:left="0" w:firstLine="0"/>
      </w:pPr>
      <w:r>
        <w:t>Supplementary material</w:t>
      </w:r>
    </w:p>
    <w:tbl>
      <w:tblPr>
        <w:tblW w:w="9360" w:type="dxa"/>
        <w:tblBorders>
          <w:top w:val="single" w:sz="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26"/>
        <w:gridCol w:w="1703"/>
        <w:gridCol w:w="624"/>
        <w:gridCol w:w="515"/>
        <w:gridCol w:w="1186"/>
        <w:gridCol w:w="573"/>
        <w:gridCol w:w="772"/>
        <w:gridCol w:w="775"/>
        <w:gridCol w:w="1162"/>
        <w:gridCol w:w="699"/>
      </w:tblGrid>
      <w:tr w:rsidR="008163FE" w:rsidTr="00847733">
        <w:trPr>
          <w:trHeight w:val="238"/>
        </w:trPr>
        <w:tc>
          <w:tcPr>
            <w:tcW w:w="9358" w:type="dxa"/>
            <w:gridSpan w:val="11"/>
            <w:tcBorders>
              <w:top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rPr>
                <w:b/>
                <w:bCs/>
              </w:rPr>
              <w:t>Supplementary Table 1</w:t>
            </w:r>
            <w:r>
              <w:t xml:space="preserve"> Associations between lifestyle factors and diastolic blood pressure in men and women (n=1277).</w:t>
            </w:r>
          </w:p>
        </w:tc>
      </w:tr>
      <w:tr w:rsidR="008163FE" w:rsidTr="00847733">
        <w:trPr>
          <w:trHeight w:val="238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Variable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Values/categories</w:t>
            </w:r>
          </w:p>
        </w:tc>
        <w:tc>
          <w:tcPr>
            <w:tcW w:w="6302" w:type="dxa"/>
            <w:gridSpan w:val="8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DBP</w:t>
            </w:r>
          </w:p>
        </w:tc>
      </w:tr>
      <w:tr w:rsidR="008163FE" w:rsidTr="00847733">
        <w:trPr>
          <w:trHeight w:val="238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899" w:type="dxa"/>
            <w:gridSpan w:val="4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Men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Women</w:t>
            </w:r>
          </w:p>
        </w:tc>
      </w:tr>
      <w:tr w:rsidR="008163FE" w:rsidTr="00847733">
        <w:trPr>
          <w:trHeight w:val="356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624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Mean</w:t>
            </w:r>
          </w:p>
        </w:tc>
        <w:tc>
          <w:tcPr>
            <w:tcW w:w="515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Beta</w:t>
            </w:r>
          </w:p>
        </w:tc>
        <w:tc>
          <w:tcPr>
            <w:tcW w:w="118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95% CI</w:t>
            </w:r>
          </w:p>
        </w:tc>
        <w:tc>
          <w:tcPr>
            <w:tcW w:w="57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p</w:t>
            </w:r>
          </w:p>
        </w:tc>
        <w:tc>
          <w:tcPr>
            <w:tcW w:w="77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Mean</w:t>
            </w:r>
          </w:p>
        </w:tc>
        <w:tc>
          <w:tcPr>
            <w:tcW w:w="77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Beta</w:t>
            </w:r>
          </w:p>
        </w:tc>
        <w:tc>
          <w:tcPr>
            <w:tcW w:w="1163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95% CI</w:t>
            </w:r>
          </w:p>
        </w:tc>
        <w:tc>
          <w:tcPr>
            <w:tcW w:w="69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jc w:val="center"/>
            </w:pPr>
            <w:r>
              <w:t>p</w:t>
            </w:r>
          </w:p>
        </w:tc>
      </w:tr>
      <w:tr w:rsidR="008163FE" w:rsidTr="00847733">
        <w:trPr>
          <w:trHeight w:val="243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Age group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25-44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80.17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7.36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4.37 to 10.34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81.33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9.52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3.51 to 15.52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0.003</w:t>
            </w:r>
          </w:p>
        </w:tc>
      </w:tr>
      <w:tr w:rsidR="008163FE" w:rsidTr="00847733">
        <w:trPr>
          <w:trHeight w:val="219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45-54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80.99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8.17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3.66 to 12.69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79.99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8.18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6.02 to 10.34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0.000</w:t>
            </w:r>
          </w:p>
        </w:tc>
      </w:tr>
      <w:tr w:rsidR="008163FE" w:rsidTr="00847733">
        <w:trPr>
          <w:trHeight w:val="195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55-64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78.59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5.78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3.63 to 7.92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73.94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2.12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0.19 to 4.05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0.032</w:t>
            </w:r>
          </w:p>
        </w:tc>
      </w:tr>
      <w:tr w:rsidR="008163FE" w:rsidTr="00847733">
        <w:trPr>
          <w:trHeight w:val="172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65-74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72.82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71.82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7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Residential area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 xml:space="preserve">Rural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76.85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-0.18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-2.45 to 2.10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0.876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74.87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-1.96 to 2.32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0.863</w:t>
            </w:r>
          </w:p>
        </w:tc>
      </w:tr>
      <w:tr w:rsidR="008163FE" w:rsidTr="00847733">
        <w:trPr>
          <w:trHeight w:val="277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Urban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77.02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74.69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189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Education level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None/primary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75.44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-3.34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-7.39 to 0.71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0.103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74.22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-1.05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-6.89 to 4.78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0.716</w:t>
            </w:r>
          </w:p>
        </w:tc>
      </w:tr>
      <w:tr w:rsidR="008163FE" w:rsidTr="00847733">
        <w:trPr>
          <w:trHeight w:val="189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 xml:space="preserve">Elementary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78.73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-5.70 to 5.59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0.985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75.28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-7.20 to 7.22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0.998</w:t>
            </w:r>
          </w:p>
        </w:tc>
      </w:tr>
      <w:tr w:rsidR="008163FE" w:rsidTr="00847733">
        <w:trPr>
          <w:trHeight w:val="189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High school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78.14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-0.65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-4.11 to 2.81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0.705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75.81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0.53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-4.27 to 5.33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0.823</w:t>
            </w:r>
          </w:p>
        </w:tc>
      </w:tr>
      <w:tr w:rsidR="008163FE" w:rsidTr="00847733">
        <w:trPr>
          <w:trHeight w:val="189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University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78.78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75.27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Income (OECD modified scale)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Low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79.20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-3.82 to 5.38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0.733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75.21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1.99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-1.98 to 5.96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0.317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Medium-low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77.09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-1.33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-4.73 to 2.08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0.434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76.40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-0.97 to 7.32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0.129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Medium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75.83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-2.59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-6.14 to 0.97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0.148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74.02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-2.45 to 4.07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0.627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Medium-high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75,60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-2.82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-5.37 to -0.26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0.032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76.92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3.70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0.40 to 7,00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0.029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5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High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78.42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73.23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Last consultation</w:t>
            </w:r>
          </w:p>
          <w:p w:rsidR="008163FE" w:rsidRDefault="008163FE" w:rsidP="00847733">
            <w:pPr>
              <w:pStyle w:val="Table"/>
              <w:spacing w:line="240" w:lineRule="auto"/>
            </w:pPr>
            <w:r>
              <w:t>with GP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&lt;12 months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76.41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-3.05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-5.67 to -0.43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0.024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74.69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-0.84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-7.30 to 5.61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0.793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≥12 months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79.46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75.53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Obesity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Non-obese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75.29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73.16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Obese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78.72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3.43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1.26 to 5.60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0.003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76.06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2.90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0.50 to 5.31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0.019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Added salt intake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No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76.78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74.91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Yes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77.96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1.18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-1.71 to 4.07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0.413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73.30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-1.61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-3.22 to 0.00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0.050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Fruit and vegetable consumption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≥4 times a day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73.85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&lt;4 times a day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77.12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0.66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 xml:space="preserve">-1.17 to 2.49 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0.468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75.24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1.40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-0.66 to 3.45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0.176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Alcohol consumption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No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74.53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73.63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 xml:space="preserve">Yes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77.28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2.74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0.17 to 5.31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0.037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75.38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1.75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-0.36 to 3.86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0.100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Smoking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No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76.59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Yes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79.58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2.99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-0.57 to 6.54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0.097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74.38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0.39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-5.01 to 4.23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0.866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 w:val="restart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Physical activity</w:t>
            </w:r>
          </w:p>
        </w:tc>
        <w:tc>
          <w:tcPr>
            <w:tcW w:w="226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</w:t>
            </w:r>
          </w:p>
        </w:tc>
        <w:tc>
          <w:tcPr>
            <w:tcW w:w="1702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Active (ref)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76.57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74.76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</w:t>
            </w:r>
          </w:p>
        </w:tc>
      </w:tr>
      <w:tr w:rsidR="008163FE" w:rsidTr="00847733">
        <w:trPr>
          <w:trHeight w:val="274"/>
        </w:trPr>
        <w:tc>
          <w:tcPr>
            <w:tcW w:w="1126" w:type="dxa"/>
            <w:vMerge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spacing w:line="240" w:lineRule="auto"/>
            </w:pPr>
          </w:p>
        </w:tc>
        <w:tc>
          <w:tcPr>
            <w:tcW w:w="22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</w:t>
            </w:r>
          </w:p>
        </w:tc>
        <w:tc>
          <w:tcPr>
            <w:tcW w:w="1702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Sedentary</w:t>
            </w:r>
          </w:p>
        </w:tc>
        <w:tc>
          <w:tcPr>
            <w:tcW w:w="622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77.41</w:t>
            </w:r>
          </w:p>
        </w:tc>
        <w:tc>
          <w:tcPr>
            <w:tcW w:w="51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0.84</w:t>
            </w:r>
          </w:p>
        </w:tc>
        <w:tc>
          <w:tcPr>
            <w:tcW w:w="1187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-1.38 to 3.06</w:t>
            </w:r>
          </w:p>
        </w:tc>
        <w:tc>
          <w:tcPr>
            <w:tcW w:w="570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0.448</w:t>
            </w:r>
          </w:p>
        </w:tc>
        <w:tc>
          <w:tcPr>
            <w:tcW w:w="772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74.74</w:t>
            </w:r>
          </w:p>
        </w:tc>
        <w:tc>
          <w:tcPr>
            <w:tcW w:w="77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-0.01</w:t>
            </w:r>
          </w:p>
        </w:tc>
        <w:tc>
          <w:tcPr>
            <w:tcW w:w="116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-2.66 to 2.63</w:t>
            </w:r>
          </w:p>
        </w:tc>
        <w:tc>
          <w:tcPr>
            <w:tcW w:w="699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0.992</w:t>
            </w:r>
          </w:p>
        </w:tc>
      </w:tr>
      <w:tr w:rsidR="008163FE" w:rsidTr="00847733">
        <w:trPr>
          <w:trHeight w:val="274"/>
        </w:trPr>
        <w:tc>
          <w:tcPr>
            <w:tcW w:w="9358" w:type="dxa"/>
            <w:gridSpan w:val="11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CI: confidence interval; Beta: regression coefficient; DBP: systolic blood pressure; GP: general practitioner; ref: reference.</w:t>
            </w:r>
          </w:p>
        </w:tc>
      </w:tr>
    </w:tbl>
    <w:p w:rsidR="008163FE" w:rsidRDefault="008163FE" w:rsidP="008163FE">
      <w:pPr>
        <w:pStyle w:val="LO-Normal"/>
      </w:pPr>
    </w:p>
    <w:tbl>
      <w:tblPr>
        <w:tblW w:w="9354" w:type="dxa"/>
        <w:tblInd w:w="57" w:type="dxa"/>
        <w:tblBorders>
          <w:top w:val="single" w:sz="2" w:space="0" w:color="00000A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0"/>
        <w:gridCol w:w="2547"/>
        <w:gridCol w:w="2097"/>
      </w:tblGrid>
      <w:tr w:rsidR="008163FE" w:rsidTr="00847733">
        <w:tc>
          <w:tcPr>
            <w:tcW w:w="9354" w:type="dxa"/>
            <w:gridSpan w:val="3"/>
            <w:tcBorders>
              <w:top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rPr>
                <w:b/>
                <w:bCs/>
              </w:rPr>
              <w:t>Supplementary Table 2</w:t>
            </w:r>
            <w:r>
              <w:t xml:space="preserve"> Characteristics of non-participants (n=1575).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n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%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Gender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</w:tr>
      <w:tr w:rsidR="008163FE" w:rsidTr="00847733">
        <w:trPr>
          <w:trHeight w:val="226"/>
        </w:trPr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Men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722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45.8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lastRenderedPageBreak/>
              <w:t>Women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853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54.2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Age group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25-44 years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623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39.6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45-54 years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333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21.1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55-64 years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310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19.7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65-74 years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309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19.6</w:t>
            </w: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Antihypertensive medication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</w:p>
        </w:tc>
      </w:tr>
      <w:tr w:rsidR="008163FE" w:rsidTr="00847733">
        <w:tc>
          <w:tcPr>
            <w:tcW w:w="4710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 xml:space="preserve">Yes </w:t>
            </w:r>
          </w:p>
        </w:tc>
        <w:tc>
          <w:tcPr>
            <w:tcW w:w="254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394</w:t>
            </w:r>
          </w:p>
        </w:tc>
        <w:tc>
          <w:tcPr>
            <w:tcW w:w="2097" w:type="dxa"/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26.0</w:t>
            </w:r>
          </w:p>
        </w:tc>
      </w:tr>
      <w:tr w:rsidR="008163FE" w:rsidTr="00847733">
        <w:tc>
          <w:tcPr>
            <w:tcW w:w="4710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  <w:ind w:left="113"/>
            </w:pPr>
            <w:r>
              <w:t>No</w:t>
            </w:r>
          </w:p>
        </w:tc>
        <w:tc>
          <w:tcPr>
            <w:tcW w:w="2547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1122</w:t>
            </w:r>
          </w:p>
        </w:tc>
        <w:tc>
          <w:tcPr>
            <w:tcW w:w="2097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8163FE" w:rsidRDefault="008163FE" w:rsidP="00847733">
            <w:pPr>
              <w:pStyle w:val="Table"/>
              <w:spacing w:line="240" w:lineRule="auto"/>
            </w:pPr>
            <w:r>
              <w:t>74.0</w:t>
            </w:r>
          </w:p>
        </w:tc>
      </w:tr>
    </w:tbl>
    <w:p w:rsidR="008163FE" w:rsidRDefault="008163FE" w:rsidP="008163FE">
      <w:pPr>
        <w:pStyle w:val="LO-Normal"/>
      </w:pPr>
    </w:p>
    <w:p w:rsidR="007E3136" w:rsidRDefault="007E3136">
      <w:bookmarkStart w:id="0" w:name="_GoBack"/>
      <w:bookmarkEnd w:id="0"/>
    </w:p>
    <w:sectPr w:rsidR="007E3136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01623"/>
    <w:multiLevelType w:val="multilevel"/>
    <w:tmpl w:val="EAA2FD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BA"/>
    <w:rsid w:val="004C42BA"/>
    <w:rsid w:val="007E3136"/>
    <w:rsid w:val="0081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59C9E-6D93-48C1-B710-3B177F0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FE"/>
    <w:pPr>
      <w:widowControl w:val="0"/>
      <w:suppressAutoHyphens/>
      <w:overflowPunct w:val="0"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paragraph" w:styleId="Heading1">
    <w:name w:val="heading 1"/>
    <w:basedOn w:val="Normal"/>
    <w:link w:val="Heading1Char"/>
    <w:uiPriority w:val="9"/>
    <w:qFormat/>
    <w:rsid w:val="008163FE"/>
    <w:pPr>
      <w:keepNext/>
      <w:spacing w:before="227" w:after="113"/>
      <w:ind w:firstLine="0"/>
      <w:outlineLvl w:val="0"/>
    </w:pPr>
    <w:rPr>
      <w:rFonts w:eastAsia="Microsoft YaHe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3FE"/>
    <w:rPr>
      <w:rFonts w:ascii="Times New Roman" w:eastAsia="Microsoft YaHei" w:hAnsi="Times New Roman" w:cs="Mangal"/>
      <w:b/>
      <w:bCs/>
      <w:color w:val="00000A"/>
      <w:sz w:val="24"/>
      <w:szCs w:val="24"/>
      <w:lang w:val="en-US" w:eastAsia="zh-CN" w:bidi="hi-IN"/>
    </w:rPr>
  </w:style>
  <w:style w:type="paragraph" w:customStyle="1" w:styleId="Table">
    <w:name w:val="Table"/>
    <w:basedOn w:val="Caption"/>
    <w:rsid w:val="008163FE"/>
    <w:pPr>
      <w:suppressLineNumbers/>
      <w:spacing w:before="57" w:after="57" w:line="360" w:lineRule="auto"/>
      <w:ind w:left="28" w:right="28" w:firstLine="0"/>
      <w:jc w:val="left"/>
    </w:pPr>
    <w:rPr>
      <w:i w:val="0"/>
      <w:iCs w:val="0"/>
      <w:color w:val="00000A"/>
      <w:sz w:val="20"/>
      <w:szCs w:val="20"/>
    </w:rPr>
  </w:style>
  <w:style w:type="paragraph" w:customStyle="1" w:styleId="LO-Normal">
    <w:name w:val="LO-Normal"/>
    <w:rsid w:val="008163FE"/>
    <w:pPr>
      <w:widowControl w:val="0"/>
      <w:suppressAutoHyphens/>
      <w:overflowPunct w:val="0"/>
      <w:spacing w:after="0" w:line="480" w:lineRule="auto"/>
      <w:ind w:firstLine="283"/>
      <w:jc w:val="both"/>
    </w:pPr>
    <w:rPr>
      <w:rFonts w:ascii="Times New Roman" w:eastAsia="SimSun" w:hAnsi="Times New Roman" w:cs="Mangal"/>
      <w:color w:val="00000A"/>
      <w:szCs w:val="24"/>
      <w:lang w:val="en-US"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63FE"/>
    <w:pPr>
      <w:spacing w:after="200" w:line="240" w:lineRule="auto"/>
    </w:pPr>
    <w:rPr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2019-12-19T22:58:00Z</dcterms:created>
  <dcterms:modified xsi:type="dcterms:W3CDTF">2019-12-19T22:58:00Z</dcterms:modified>
</cp:coreProperties>
</file>