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57" w:type="dxa"/>
        <w:tblBorders>
          <w:top w:val="single" w:sz="2" w:space="0" w:color="000001"/>
        </w:tblBorders>
        <w:tblCellMar>
          <w:left w:w="57" w:type="dxa"/>
          <w:right w:w="57" w:type="dxa"/>
        </w:tblCellMar>
        <w:tblLook w:val="04A0" w:firstRow="1" w:lastRow="0" w:firstColumn="1" w:lastColumn="0" w:noHBand="0" w:noVBand="1"/>
      </w:tblPr>
      <w:tblGrid>
        <w:gridCol w:w="1569"/>
        <w:gridCol w:w="1092"/>
        <w:gridCol w:w="6699"/>
      </w:tblGrid>
      <w:tr w:rsidR="00F73F24" w:rsidTr="00671ADE">
        <w:tc>
          <w:tcPr>
            <w:tcW w:w="9360" w:type="dxa"/>
            <w:gridSpan w:val="3"/>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1</w:t>
            </w:r>
            <w:r>
              <w:t xml:space="preserve"> ICD-9 codes used to identify hospitalizations.</w:t>
            </w:r>
          </w:p>
        </w:tc>
      </w:tr>
      <w:tr w:rsidR="00F73F24" w:rsidTr="00671ADE">
        <w:tc>
          <w:tcPr>
            <w:tcW w:w="1569" w:type="dxa"/>
            <w:shd w:val="clear" w:color="auto" w:fill="auto"/>
            <w:vAlign w:val="center"/>
          </w:tcPr>
          <w:p w:rsidR="00F73F24" w:rsidRDefault="00F73F24" w:rsidP="00671ADE">
            <w:pPr>
              <w:pStyle w:val="Table"/>
              <w:spacing w:line="240" w:lineRule="auto"/>
            </w:pPr>
            <w:r>
              <w:t>Description</w:t>
            </w:r>
          </w:p>
        </w:tc>
        <w:tc>
          <w:tcPr>
            <w:tcW w:w="1092" w:type="dxa"/>
            <w:shd w:val="clear" w:color="auto" w:fill="auto"/>
            <w:vAlign w:val="center"/>
          </w:tcPr>
          <w:p w:rsidR="00F73F24" w:rsidRDefault="00F73F24" w:rsidP="00671ADE">
            <w:pPr>
              <w:pStyle w:val="Table"/>
              <w:spacing w:line="240" w:lineRule="auto"/>
            </w:pPr>
            <w:r>
              <w:t xml:space="preserve">Code </w:t>
            </w:r>
          </w:p>
        </w:tc>
        <w:tc>
          <w:tcPr>
            <w:tcW w:w="6699" w:type="dxa"/>
            <w:shd w:val="clear" w:color="auto" w:fill="auto"/>
            <w:vAlign w:val="center"/>
          </w:tcPr>
          <w:p w:rsidR="00F73F24" w:rsidRDefault="00F73F24" w:rsidP="00671ADE">
            <w:pPr>
              <w:pStyle w:val="Table"/>
              <w:spacing w:line="240" w:lineRule="auto"/>
            </w:pPr>
            <w:r>
              <w:t>Designation</w:t>
            </w:r>
          </w:p>
        </w:tc>
      </w:tr>
      <w:tr w:rsidR="00F73F24" w:rsidTr="00671ADE">
        <w:tc>
          <w:tcPr>
            <w:tcW w:w="1569" w:type="dxa"/>
            <w:vMerge w:val="restart"/>
            <w:shd w:val="clear" w:color="auto" w:fill="auto"/>
            <w:vAlign w:val="center"/>
          </w:tcPr>
          <w:p w:rsidR="00F73F24" w:rsidRDefault="00F73F24" w:rsidP="00671ADE">
            <w:pPr>
              <w:pStyle w:val="Table"/>
              <w:spacing w:line="240" w:lineRule="auto"/>
            </w:pPr>
            <w:r>
              <w:t>Heart failure</w:t>
            </w:r>
          </w:p>
        </w:tc>
        <w:tc>
          <w:tcPr>
            <w:tcW w:w="1092" w:type="dxa"/>
            <w:shd w:val="clear" w:color="auto" w:fill="auto"/>
            <w:vAlign w:val="center"/>
          </w:tcPr>
          <w:p w:rsidR="00F73F24" w:rsidRDefault="00F73F24" w:rsidP="00671ADE">
            <w:pPr>
              <w:pStyle w:val="Table"/>
              <w:spacing w:line="240" w:lineRule="auto"/>
            </w:pPr>
            <w:r>
              <w:t>402.01</w:t>
            </w:r>
          </w:p>
        </w:tc>
        <w:tc>
          <w:tcPr>
            <w:tcW w:w="6699" w:type="dxa"/>
            <w:shd w:val="clear" w:color="auto" w:fill="auto"/>
            <w:vAlign w:val="center"/>
          </w:tcPr>
          <w:p w:rsidR="00F73F24" w:rsidRDefault="00F73F24" w:rsidP="00671ADE">
            <w:pPr>
              <w:pStyle w:val="Table"/>
              <w:spacing w:line="240" w:lineRule="auto"/>
            </w:pPr>
            <w:r>
              <w:t>Malignant hypertensive heart disease with HF</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402.11</w:t>
            </w:r>
          </w:p>
        </w:tc>
        <w:tc>
          <w:tcPr>
            <w:tcW w:w="6699" w:type="dxa"/>
            <w:shd w:val="clear" w:color="auto" w:fill="auto"/>
            <w:vAlign w:val="center"/>
          </w:tcPr>
          <w:p w:rsidR="00F73F24" w:rsidRDefault="00F73F24" w:rsidP="00671ADE">
            <w:pPr>
              <w:pStyle w:val="Table"/>
              <w:spacing w:line="240" w:lineRule="auto"/>
            </w:pPr>
            <w:r>
              <w:t>Benign hypertensive heart disease with HF</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402.91</w:t>
            </w:r>
          </w:p>
        </w:tc>
        <w:tc>
          <w:tcPr>
            <w:tcW w:w="6699" w:type="dxa"/>
            <w:shd w:val="clear" w:color="auto" w:fill="auto"/>
            <w:vAlign w:val="center"/>
          </w:tcPr>
          <w:p w:rsidR="00F73F24" w:rsidRDefault="00F73F24" w:rsidP="00671ADE">
            <w:pPr>
              <w:pStyle w:val="Table"/>
              <w:spacing w:line="240" w:lineRule="auto"/>
            </w:pPr>
            <w:r>
              <w:t>Unspecified hypertensive heart disease with HF</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404.01</w:t>
            </w:r>
          </w:p>
        </w:tc>
        <w:tc>
          <w:tcPr>
            <w:tcW w:w="6699" w:type="dxa"/>
            <w:shd w:val="clear" w:color="auto" w:fill="auto"/>
            <w:vAlign w:val="center"/>
          </w:tcPr>
          <w:p w:rsidR="00F73F24" w:rsidRDefault="00F73F24" w:rsidP="00671ADE">
            <w:pPr>
              <w:pStyle w:val="Table"/>
              <w:spacing w:line="240" w:lineRule="auto"/>
            </w:pPr>
            <w:r>
              <w:t>Malignant hypertensive heart disease with HF and chronic kidney disease stage I through stage IV, or unspecified</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404.03</w:t>
            </w:r>
          </w:p>
        </w:tc>
        <w:tc>
          <w:tcPr>
            <w:tcW w:w="6699" w:type="dxa"/>
            <w:shd w:val="clear" w:color="auto" w:fill="auto"/>
            <w:vAlign w:val="center"/>
          </w:tcPr>
          <w:p w:rsidR="00F73F24" w:rsidRDefault="00F73F24" w:rsidP="00671ADE">
            <w:pPr>
              <w:pStyle w:val="Table"/>
              <w:spacing w:line="240" w:lineRule="auto"/>
            </w:pPr>
            <w:r>
              <w:t>Malignant hypertensive heart disease with HF and chronic kidney disease stage V or end stage renal disease</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404.11</w:t>
            </w:r>
          </w:p>
        </w:tc>
        <w:tc>
          <w:tcPr>
            <w:tcW w:w="6699" w:type="dxa"/>
            <w:shd w:val="clear" w:color="auto" w:fill="auto"/>
            <w:vAlign w:val="center"/>
          </w:tcPr>
          <w:p w:rsidR="00F73F24" w:rsidRDefault="00F73F24" w:rsidP="00671ADE">
            <w:pPr>
              <w:pStyle w:val="Table"/>
              <w:spacing w:line="240" w:lineRule="auto"/>
            </w:pPr>
            <w:r>
              <w:t>Benign hypertensive heart disease with HF and chronic kidney disease stage I through stage IV, or unspecified</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404.13</w:t>
            </w:r>
          </w:p>
        </w:tc>
        <w:tc>
          <w:tcPr>
            <w:tcW w:w="6699" w:type="dxa"/>
            <w:shd w:val="clear" w:color="auto" w:fill="auto"/>
            <w:vAlign w:val="center"/>
          </w:tcPr>
          <w:p w:rsidR="00F73F24" w:rsidRDefault="00F73F24" w:rsidP="00671ADE">
            <w:pPr>
              <w:pStyle w:val="Table"/>
              <w:spacing w:line="240" w:lineRule="auto"/>
            </w:pPr>
            <w:r>
              <w:t>Benign hypertensive heart disease with HF and chronic kidney disease stage V or end stage renal disease</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404.91</w:t>
            </w:r>
          </w:p>
        </w:tc>
        <w:tc>
          <w:tcPr>
            <w:tcW w:w="6699" w:type="dxa"/>
            <w:shd w:val="clear" w:color="auto" w:fill="auto"/>
            <w:vAlign w:val="center"/>
          </w:tcPr>
          <w:p w:rsidR="00F73F24" w:rsidRDefault="00F73F24" w:rsidP="00671ADE">
            <w:pPr>
              <w:pStyle w:val="Table"/>
              <w:spacing w:line="240" w:lineRule="auto"/>
            </w:pPr>
            <w:r>
              <w:t>Unspecified hypertensive heart disease with HF and chronic kidney disease stage I through stage IV, or unspecified</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404.93</w:t>
            </w:r>
          </w:p>
        </w:tc>
        <w:tc>
          <w:tcPr>
            <w:tcW w:w="6699" w:type="dxa"/>
            <w:shd w:val="clear" w:color="auto" w:fill="auto"/>
            <w:vAlign w:val="center"/>
          </w:tcPr>
          <w:p w:rsidR="00F73F24" w:rsidRDefault="00F73F24" w:rsidP="00671ADE">
            <w:pPr>
              <w:pStyle w:val="Table"/>
              <w:spacing w:line="240" w:lineRule="auto"/>
            </w:pPr>
            <w:r>
              <w:t>Unspecified hypertensive heart disease with HF and chronic kidney disease stage V or end stage renal disease</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428.xx</w:t>
            </w:r>
          </w:p>
        </w:tc>
        <w:tc>
          <w:tcPr>
            <w:tcW w:w="6699" w:type="dxa"/>
            <w:shd w:val="clear" w:color="auto" w:fill="auto"/>
            <w:vAlign w:val="center"/>
          </w:tcPr>
          <w:p w:rsidR="00F73F24" w:rsidRDefault="00F73F24" w:rsidP="00671ADE">
            <w:pPr>
              <w:pStyle w:val="Table"/>
              <w:spacing w:line="240" w:lineRule="auto"/>
            </w:pPr>
            <w:r>
              <w:t>HF</w:t>
            </w:r>
          </w:p>
        </w:tc>
      </w:tr>
      <w:tr w:rsidR="00F73F24" w:rsidTr="00671ADE">
        <w:tc>
          <w:tcPr>
            <w:tcW w:w="1569" w:type="dxa"/>
            <w:shd w:val="clear" w:color="auto" w:fill="auto"/>
            <w:vAlign w:val="center"/>
          </w:tcPr>
          <w:p w:rsidR="00F73F24" w:rsidRDefault="00F73F24" w:rsidP="00671ADE">
            <w:pPr>
              <w:pStyle w:val="Table"/>
              <w:spacing w:line="240" w:lineRule="auto"/>
            </w:pPr>
            <w:r>
              <w:t>Diseases of the circulatory system</w:t>
            </w:r>
          </w:p>
        </w:tc>
        <w:tc>
          <w:tcPr>
            <w:tcW w:w="1092" w:type="dxa"/>
            <w:shd w:val="clear" w:color="auto" w:fill="auto"/>
            <w:vAlign w:val="center"/>
          </w:tcPr>
          <w:p w:rsidR="00F73F24" w:rsidRDefault="00F73F24" w:rsidP="00671ADE">
            <w:pPr>
              <w:pStyle w:val="Table"/>
              <w:spacing w:line="240" w:lineRule="auto"/>
            </w:pPr>
            <w:r>
              <w:t>390-459</w:t>
            </w:r>
          </w:p>
        </w:tc>
        <w:tc>
          <w:tcPr>
            <w:tcW w:w="6699" w:type="dxa"/>
            <w:shd w:val="clear" w:color="auto" w:fill="auto"/>
            <w:vAlign w:val="center"/>
          </w:tcPr>
          <w:p w:rsidR="00F73F24" w:rsidRDefault="00F73F24" w:rsidP="00671ADE">
            <w:pPr>
              <w:pStyle w:val="Table"/>
              <w:spacing w:line="240" w:lineRule="auto"/>
            </w:pPr>
            <w:r>
              <w:t>Diseases of the circulatory system</w:t>
            </w:r>
          </w:p>
        </w:tc>
      </w:tr>
      <w:tr w:rsidR="00F73F24" w:rsidTr="00671ADE">
        <w:tc>
          <w:tcPr>
            <w:tcW w:w="1569" w:type="dxa"/>
            <w:vMerge w:val="restart"/>
            <w:shd w:val="clear" w:color="auto" w:fill="auto"/>
            <w:vAlign w:val="center"/>
          </w:tcPr>
          <w:p w:rsidR="00F73F24" w:rsidRDefault="00F73F24" w:rsidP="00671ADE">
            <w:pPr>
              <w:pStyle w:val="Table"/>
              <w:spacing w:line="240" w:lineRule="auto"/>
            </w:pPr>
            <w:r>
              <w:t>Cardiac replacement procedures</w:t>
            </w:r>
          </w:p>
        </w:tc>
        <w:tc>
          <w:tcPr>
            <w:tcW w:w="1092" w:type="dxa"/>
            <w:shd w:val="clear" w:color="auto" w:fill="auto"/>
            <w:vAlign w:val="center"/>
          </w:tcPr>
          <w:p w:rsidR="00F73F24" w:rsidRDefault="00F73F24" w:rsidP="00671ADE">
            <w:pPr>
              <w:pStyle w:val="Table"/>
              <w:spacing w:line="240" w:lineRule="auto"/>
            </w:pPr>
            <w:r>
              <w:t>37.51</w:t>
            </w:r>
          </w:p>
        </w:tc>
        <w:tc>
          <w:tcPr>
            <w:tcW w:w="6699" w:type="dxa"/>
            <w:shd w:val="clear" w:color="auto" w:fill="auto"/>
            <w:vAlign w:val="center"/>
          </w:tcPr>
          <w:p w:rsidR="00F73F24" w:rsidRDefault="00F73F24" w:rsidP="00671ADE">
            <w:pPr>
              <w:pStyle w:val="Table"/>
              <w:spacing w:line="240" w:lineRule="auto"/>
            </w:pPr>
            <w:r>
              <w:t>Heart transplantation</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37.52</w:t>
            </w:r>
          </w:p>
        </w:tc>
        <w:tc>
          <w:tcPr>
            <w:tcW w:w="6699" w:type="dxa"/>
            <w:shd w:val="clear" w:color="auto" w:fill="auto"/>
            <w:vAlign w:val="center"/>
          </w:tcPr>
          <w:p w:rsidR="00F73F24" w:rsidRDefault="00F73F24" w:rsidP="00671ADE">
            <w:pPr>
              <w:pStyle w:val="Table"/>
              <w:spacing w:line="240" w:lineRule="auto"/>
            </w:pPr>
            <w:r>
              <w:t>Implantation of total internal cardiac biventricular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37.53</w:t>
            </w:r>
          </w:p>
        </w:tc>
        <w:tc>
          <w:tcPr>
            <w:tcW w:w="6699" w:type="dxa"/>
            <w:shd w:val="clear" w:color="auto" w:fill="auto"/>
            <w:vAlign w:val="center"/>
          </w:tcPr>
          <w:p w:rsidR="00F73F24" w:rsidRDefault="00F73F24" w:rsidP="00671ADE">
            <w:pPr>
              <w:pStyle w:val="Table"/>
              <w:spacing w:line="240" w:lineRule="auto"/>
            </w:pPr>
            <w:r>
              <w:t>Replacement or repair of thoracic unit of total replacement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37.54</w:t>
            </w:r>
          </w:p>
        </w:tc>
        <w:tc>
          <w:tcPr>
            <w:tcW w:w="6699" w:type="dxa"/>
            <w:shd w:val="clear" w:color="auto" w:fill="auto"/>
            <w:vAlign w:val="center"/>
          </w:tcPr>
          <w:p w:rsidR="00F73F24" w:rsidRDefault="00F73F24" w:rsidP="00671ADE">
            <w:pPr>
              <w:pStyle w:val="Table"/>
              <w:spacing w:line="240" w:lineRule="auto"/>
            </w:pPr>
            <w:r>
              <w:t>Replacement or repair of other components of total replacement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37.55</w:t>
            </w:r>
          </w:p>
        </w:tc>
        <w:tc>
          <w:tcPr>
            <w:tcW w:w="6699" w:type="dxa"/>
            <w:shd w:val="clear" w:color="auto" w:fill="auto"/>
            <w:vAlign w:val="center"/>
          </w:tcPr>
          <w:p w:rsidR="00F73F24" w:rsidRDefault="00F73F24" w:rsidP="00671ADE">
            <w:pPr>
              <w:pStyle w:val="Table"/>
              <w:spacing w:line="240" w:lineRule="auto"/>
            </w:pPr>
            <w:r>
              <w:t>Removal of total internal cardiac biventricular system</w:t>
            </w:r>
          </w:p>
        </w:tc>
      </w:tr>
      <w:tr w:rsidR="00F73F24" w:rsidTr="00671ADE">
        <w:tc>
          <w:tcPr>
            <w:tcW w:w="1569" w:type="dxa"/>
            <w:vMerge w:val="restart"/>
            <w:shd w:val="clear" w:color="auto" w:fill="auto"/>
            <w:vAlign w:val="center"/>
          </w:tcPr>
          <w:p w:rsidR="00F73F24" w:rsidRDefault="00F73F24" w:rsidP="00671ADE">
            <w:pPr>
              <w:pStyle w:val="Table"/>
              <w:spacing w:line="240" w:lineRule="auto"/>
            </w:pPr>
            <w:r>
              <w:t>Implantation of cardiac and circulatory assist systems</w:t>
            </w:r>
          </w:p>
        </w:tc>
        <w:tc>
          <w:tcPr>
            <w:tcW w:w="1092" w:type="dxa"/>
            <w:shd w:val="clear" w:color="auto" w:fill="auto"/>
            <w:vAlign w:val="center"/>
          </w:tcPr>
          <w:p w:rsidR="00F73F24" w:rsidRDefault="00F73F24" w:rsidP="00671ADE">
            <w:pPr>
              <w:pStyle w:val="Table"/>
              <w:spacing w:line="240" w:lineRule="auto"/>
            </w:pPr>
            <w:r>
              <w:t>37.60</w:t>
            </w:r>
          </w:p>
        </w:tc>
        <w:tc>
          <w:tcPr>
            <w:tcW w:w="6699" w:type="dxa"/>
            <w:shd w:val="clear" w:color="auto" w:fill="auto"/>
            <w:vAlign w:val="center"/>
          </w:tcPr>
          <w:p w:rsidR="00F73F24" w:rsidRDefault="00F73F24" w:rsidP="00671ADE">
            <w:pPr>
              <w:pStyle w:val="Table"/>
              <w:spacing w:line="240" w:lineRule="auto"/>
            </w:pPr>
            <w:r>
              <w:t>Implantation or placement of external cardiac biventricular assist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37.61</w:t>
            </w:r>
          </w:p>
        </w:tc>
        <w:tc>
          <w:tcPr>
            <w:tcW w:w="6699" w:type="dxa"/>
            <w:shd w:val="clear" w:color="auto" w:fill="auto"/>
            <w:vAlign w:val="center"/>
          </w:tcPr>
          <w:p w:rsidR="00F73F24" w:rsidRDefault="00F73F24" w:rsidP="00671ADE">
            <w:pPr>
              <w:pStyle w:val="Table"/>
              <w:spacing w:line="240" w:lineRule="auto"/>
            </w:pPr>
            <w:r>
              <w:t>Implantation of intra-aortic balloon pump</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37.62</w:t>
            </w:r>
          </w:p>
        </w:tc>
        <w:tc>
          <w:tcPr>
            <w:tcW w:w="6699" w:type="dxa"/>
            <w:shd w:val="clear" w:color="auto" w:fill="auto"/>
            <w:vAlign w:val="center"/>
          </w:tcPr>
          <w:p w:rsidR="00F73F24" w:rsidRDefault="00F73F24" w:rsidP="00671ADE">
            <w:pPr>
              <w:pStyle w:val="Table"/>
              <w:spacing w:line="240" w:lineRule="auto"/>
            </w:pPr>
            <w:r>
              <w:t xml:space="preserve">Placement of non-implantable extracorporeal circulatory assist device </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37.63</w:t>
            </w:r>
          </w:p>
        </w:tc>
        <w:tc>
          <w:tcPr>
            <w:tcW w:w="6699" w:type="dxa"/>
            <w:shd w:val="clear" w:color="auto" w:fill="auto"/>
            <w:vAlign w:val="center"/>
          </w:tcPr>
          <w:p w:rsidR="00F73F24" w:rsidRDefault="00F73F24" w:rsidP="00671ADE">
            <w:pPr>
              <w:pStyle w:val="Table"/>
              <w:spacing w:line="240" w:lineRule="auto"/>
            </w:pPr>
            <w:r>
              <w:t>Repair of heart assist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37.64</w:t>
            </w:r>
          </w:p>
        </w:tc>
        <w:tc>
          <w:tcPr>
            <w:tcW w:w="6699" w:type="dxa"/>
            <w:shd w:val="clear" w:color="auto" w:fill="auto"/>
            <w:vAlign w:val="center"/>
          </w:tcPr>
          <w:p w:rsidR="00F73F24" w:rsidRDefault="00F73F24" w:rsidP="00671ADE">
            <w:pPr>
              <w:pStyle w:val="Table"/>
              <w:spacing w:line="240" w:lineRule="auto"/>
            </w:pPr>
            <w:r>
              <w:t>Removal of external heart assist system or device</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37.65</w:t>
            </w:r>
          </w:p>
        </w:tc>
        <w:tc>
          <w:tcPr>
            <w:tcW w:w="6699" w:type="dxa"/>
            <w:shd w:val="clear" w:color="auto" w:fill="auto"/>
            <w:vAlign w:val="center"/>
          </w:tcPr>
          <w:p w:rsidR="00F73F24" w:rsidRDefault="00F73F24" w:rsidP="00671ADE">
            <w:pPr>
              <w:pStyle w:val="Table"/>
              <w:spacing w:line="240" w:lineRule="auto"/>
            </w:pPr>
            <w:r>
              <w:t>Implantation of external cardiac single ventricular assist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37.66</w:t>
            </w:r>
          </w:p>
        </w:tc>
        <w:tc>
          <w:tcPr>
            <w:tcW w:w="6699" w:type="dxa"/>
            <w:shd w:val="clear" w:color="auto" w:fill="auto"/>
            <w:vAlign w:val="center"/>
          </w:tcPr>
          <w:p w:rsidR="00F73F24" w:rsidRDefault="00F73F24" w:rsidP="00671ADE">
            <w:pPr>
              <w:pStyle w:val="Table"/>
              <w:spacing w:line="240" w:lineRule="auto"/>
            </w:pPr>
            <w:r>
              <w:t>Placement of implantable heart assist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37.67</w:t>
            </w:r>
          </w:p>
        </w:tc>
        <w:tc>
          <w:tcPr>
            <w:tcW w:w="6699" w:type="dxa"/>
            <w:shd w:val="clear" w:color="auto" w:fill="auto"/>
            <w:vAlign w:val="center"/>
          </w:tcPr>
          <w:p w:rsidR="00F73F24" w:rsidRDefault="00F73F24" w:rsidP="00671ADE">
            <w:pPr>
              <w:pStyle w:val="Table"/>
              <w:spacing w:line="240" w:lineRule="auto"/>
            </w:pPr>
            <w:r>
              <w:t>Implantation of cardiomyostimulation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37.68</w:t>
            </w:r>
          </w:p>
        </w:tc>
        <w:tc>
          <w:tcPr>
            <w:tcW w:w="6699" w:type="dxa"/>
            <w:shd w:val="clear" w:color="auto" w:fill="auto"/>
            <w:vAlign w:val="center"/>
          </w:tcPr>
          <w:p w:rsidR="00F73F24" w:rsidRDefault="00F73F24" w:rsidP="00671ADE">
            <w:pPr>
              <w:pStyle w:val="Table"/>
              <w:spacing w:line="240" w:lineRule="auto"/>
            </w:pPr>
            <w:r>
              <w:t>Placement of implantable extrinsic heart assist system</w:t>
            </w:r>
          </w:p>
        </w:tc>
      </w:tr>
      <w:tr w:rsidR="00F73F24" w:rsidTr="00671ADE">
        <w:tc>
          <w:tcPr>
            <w:tcW w:w="1569" w:type="dxa"/>
            <w:vMerge w:val="restart"/>
            <w:shd w:val="clear" w:color="auto" w:fill="auto"/>
            <w:vAlign w:val="center"/>
          </w:tcPr>
          <w:p w:rsidR="00F73F24" w:rsidRDefault="00F73F24" w:rsidP="00671ADE">
            <w:pPr>
              <w:pStyle w:val="Table"/>
              <w:spacing w:line="240" w:lineRule="auto"/>
            </w:pPr>
            <w:r>
              <w:t>Other cardiovascular procedures</w:t>
            </w:r>
          </w:p>
        </w:tc>
        <w:tc>
          <w:tcPr>
            <w:tcW w:w="1092" w:type="dxa"/>
            <w:shd w:val="clear" w:color="auto" w:fill="auto"/>
            <w:vAlign w:val="center"/>
          </w:tcPr>
          <w:p w:rsidR="00F73F24" w:rsidRDefault="00F73F24" w:rsidP="00671ADE">
            <w:pPr>
              <w:pStyle w:val="Table"/>
              <w:spacing w:line="240" w:lineRule="auto"/>
            </w:pPr>
            <w:r>
              <w:t>00.50</w:t>
            </w:r>
          </w:p>
        </w:tc>
        <w:tc>
          <w:tcPr>
            <w:tcW w:w="6699" w:type="dxa"/>
            <w:shd w:val="clear" w:color="auto" w:fill="auto"/>
            <w:vAlign w:val="center"/>
          </w:tcPr>
          <w:p w:rsidR="00F73F24" w:rsidRDefault="00F73F24" w:rsidP="00671ADE">
            <w:pPr>
              <w:pStyle w:val="Table"/>
              <w:spacing w:line="240" w:lineRule="auto"/>
            </w:pPr>
            <w:r>
              <w:t>Implantation of total CRT-P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00.51</w:t>
            </w:r>
          </w:p>
        </w:tc>
        <w:tc>
          <w:tcPr>
            <w:tcW w:w="6699" w:type="dxa"/>
            <w:shd w:val="clear" w:color="auto" w:fill="auto"/>
            <w:vAlign w:val="center"/>
          </w:tcPr>
          <w:p w:rsidR="00F73F24" w:rsidRDefault="00F73F24" w:rsidP="00671ADE">
            <w:pPr>
              <w:pStyle w:val="Table"/>
              <w:spacing w:line="240" w:lineRule="auto"/>
            </w:pPr>
            <w:r>
              <w:t>Implantation of total CRT-D system</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00.52</w:t>
            </w:r>
          </w:p>
        </w:tc>
        <w:tc>
          <w:tcPr>
            <w:tcW w:w="6699" w:type="dxa"/>
            <w:shd w:val="clear" w:color="auto" w:fill="auto"/>
            <w:vAlign w:val="center"/>
          </w:tcPr>
          <w:p w:rsidR="00F73F24" w:rsidRDefault="00F73F24" w:rsidP="00671ADE">
            <w:pPr>
              <w:pStyle w:val="Table"/>
              <w:spacing w:line="240" w:lineRule="auto"/>
            </w:pPr>
            <w:r>
              <w:t>Implantation or replacement of lead</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00.53</w:t>
            </w:r>
          </w:p>
        </w:tc>
        <w:tc>
          <w:tcPr>
            <w:tcW w:w="6699" w:type="dxa"/>
            <w:shd w:val="clear" w:color="auto" w:fill="auto"/>
            <w:vAlign w:val="center"/>
          </w:tcPr>
          <w:p w:rsidR="00F73F24" w:rsidRDefault="00F73F24" w:rsidP="00671ADE">
            <w:pPr>
              <w:pStyle w:val="Table"/>
              <w:spacing w:line="240" w:lineRule="auto"/>
            </w:pPr>
            <w:bookmarkStart w:id="0" w:name="__DdeLink__17414_21556149"/>
            <w:r>
              <w:t>Implantation or replacement of</w:t>
            </w:r>
            <w:bookmarkEnd w:id="0"/>
            <w:r>
              <w:t xml:space="preserve"> CRT-P generator</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00.54</w:t>
            </w:r>
          </w:p>
        </w:tc>
        <w:tc>
          <w:tcPr>
            <w:tcW w:w="6699" w:type="dxa"/>
            <w:shd w:val="clear" w:color="auto" w:fill="auto"/>
            <w:vAlign w:val="center"/>
          </w:tcPr>
          <w:p w:rsidR="00F73F24" w:rsidRDefault="00F73F24" w:rsidP="00671ADE">
            <w:pPr>
              <w:pStyle w:val="Table"/>
              <w:spacing w:line="240" w:lineRule="auto"/>
            </w:pPr>
            <w:r>
              <w:t>Implantation or replacement of CRT-D generator</w:t>
            </w:r>
          </w:p>
        </w:tc>
      </w:tr>
      <w:tr w:rsidR="00F73F24" w:rsidTr="00671ADE">
        <w:tc>
          <w:tcPr>
            <w:tcW w:w="1569" w:type="dxa"/>
            <w:vMerge/>
            <w:shd w:val="clear" w:color="auto" w:fill="auto"/>
            <w:vAlign w:val="center"/>
          </w:tcPr>
          <w:p w:rsidR="00F73F24" w:rsidRDefault="00F73F24" w:rsidP="00671ADE">
            <w:pPr>
              <w:spacing w:line="240" w:lineRule="auto"/>
            </w:pPr>
          </w:p>
        </w:tc>
        <w:tc>
          <w:tcPr>
            <w:tcW w:w="1092" w:type="dxa"/>
            <w:shd w:val="clear" w:color="auto" w:fill="auto"/>
            <w:vAlign w:val="center"/>
          </w:tcPr>
          <w:p w:rsidR="00F73F24" w:rsidRDefault="00F73F24" w:rsidP="00671ADE">
            <w:pPr>
              <w:pStyle w:val="Table"/>
              <w:spacing w:line="240" w:lineRule="auto"/>
            </w:pPr>
            <w:r>
              <w:t>00.56</w:t>
            </w:r>
          </w:p>
        </w:tc>
        <w:tc>
          <w:tcPr>
            <w:tcW w:w="6699" w:type="dxa"/>
            <w:shd w:val="clear" w:color="auto" w:fill="auto"/>
            <w:vAlign w:val="center"/>
          </w:tcPr>
          <w:p w:rsidR="00F73F24" w:rsidRDefault="00F73F24" w:rsidP="00671ADE">
            <w:pPr>
              <w:pStyle w:val="Table"/>
              <w:spacing w:line="240" w:lineRule="auto"/>
            </w:pPr>
            <w:r>
              <w:t>Placement or replacement of implantable pressure sensor for intracardiac hemodynamic monitoring</w:t>
            </w:r>
          </w:p>
        </w:tc>
      </w:tr>
      <w:tr w:rsidR="00F73F24" w:rsidTr="00671ADE">
        <w:tc>
          <w:tcPr>
            <w:tcW w:w="9360" w:type="dxa"/>
            <w:gridSpan w:val="3"/>
            <w:tcBorders>
              <w:bottom w:val="single" w:sz="2" w:space="0" w:color="000001"/>
            </w:tcBorders>
            <w:shd w:val="clear" w:color="auto" w:fill="auto"/>
            <w:vAlign w:val="center"/>
          </w:tcPr>
          <w:p w:rsidR="00F73F24" w:rsidRDefault="00F73F24" w:rsidP="00671ADE">
            <w:pPr>
              <w:pStyle w:val="Table"/>
              <w:spacing w:line="240" w:lineRule="auto"/>
            </w:pPr>
            <w:r>
              <w:t xml:space="preserve">CRT-D: cardiac resynchronization therapy defibrillator; CRT-P: cardiac resynchronization therapy pacemaker; HF: heart failure; ICD-9: International Classification of Diseases, Ninth Revision, Clinical Modification. </w:t>
            </w:r>
          </w:p>
        </w:tc>
      </w:tr>
    </w:tbl>
    <w:p w:rsidR="00F73F24" w:rsidRDefault="00F73F24" w:rsidP="00F73F24">
      <w:r>
        <w:br w:type="page"/>
      </w:r>
    </w:p>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1789"/>
        <w:gridCol w:w="2421"/>
        <w:gridCol w:w="1384"/>
        <w:gridCol w:w="3761"/>
      </w:tblGrid>
      <w:tr w:rsidR="00F73F24" w:rsidTr="00671ADE">
        <w:tc>
          <w:tcPr>
            <w:tcW w:w="9354" w:type="dxa"/>
            <w:gridSpan w:val="4"/>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2</w:t>
            </w:r>
            <w:r>
              <w:t xml:space="preserve"> Estimated costs of heart failure for long-term care teams and the National Network of Long-term Care.</w:t>
            </w:r>
          </w:p>
        </w:tc>
      </w:tr>
      <w:tr w:rsidR="00F73F24" w:rsidTr="00671ADE">
        <w:tc>
          <w:tcPr>
            <w:tcW w:w="9354" w:type="dxa"/>
            <w:gridSpan w:val="4"/>
            <w:shd w:val="clear" w:color="auto" w:fill="auto"/>
            <w:vAlign w:val="center"/>
          </w:tcPr>
          <w:p w:rsidR="00F73F24" w:rsidRDefault="00F73F24" w:rsidP="00671ADE">
            <w:pPr>
              <w:pStyle w:val="Table"/>
              <w:spacing w:line="240" w:lineRule="auto"/>
            </w:pPr>
            <w:r>
              <w:t>Estimated costs of follow-up by long-term care teams (home)</w:t>
            </w:r>
          </w:p>
        </w:tc>
      </w:tr>
      <w:tr w:rsidR="00F73F24" w:rsidTr="00671ADE">
        <w:tc>
          <w:tcPr>
            <w:tcW w:w="1551" w:type="dxa"/>
            <w:shd w:val="clear" w:color="auto" w:fill="auto"/>
            <w:vAlign w:val="center"/>
          </w:tcPr>
          <w:p w:rsidR="00F73F24" w:rsidRDefault="00F73F24" w:rsidP="00671ADE">
            <w:pPr>
              <w:pStyle w:val="Table"/>
              <w:spacing w:line="240" w:lineRule="auto"/>
            </w:pPr>
            <w:r>
              <w:t>Identifier</w:t>
            </w:r>
          </w:p>
        </w:tc>
        <w:tc>
          <w:tcPr>
            <w:tcW w:w="2497" w:type="dxa"/>
            <w:shd w:val="clear" w:color="auto" w:fill="auto"/>
            <w:vAlign w:val="center"/>
          </w:tcPr>
          <w:p w:rsidR="00F73F24" w:rsidRDefault="00F73F24" w:rsidP="00671ADE">
            <w:pPr>
              <w:pStyle w:val="Table"/>
              <w:spacing w:line="240" w:lineRule="auto"/>
            </w:pPr>
            <w:r>
              <w:t>Variable</w:t>
            </w:r>
          </w:p>
        </w:tc>
        <w:tc>
          <w:tcPr>
            <w:tcW w:w="1405" w:type="dxa"/>
            <w:shd w:val="clear" w:color="auto" w:fill="auto"/>
            <w:vAlign w:val="center"/>
          </w:tcPr>
          <w:p w:rsidR="00F73F24" w:rsidRDefault="00F73F24" w:rsidP="00671ADE">
            <w:pPr>
              <w:pStyle w:val="Table"/>
              <w:spacing w:line="240" w:lineRule="auto"/>
            </w:pPr>
            <w:r>
              <w:t>Value</w:t>
            </w:r>
          </w:p>
        </w:tc>
        <w:tc>
          <w:tcPr>
            <w:tcW w:w="3901" w:type="dxa"/>
            <w:shd w:val="clear" w:color="auto" w:fill="auto"/>
            <w:vAlign w:val="center"/>
          </w:tcPr>
          <w:p w:rsidR="00F73F24" w:rsidRDefault="00F73F24" w:rsidP="00671ADE">
            <w:pPr>
              <w:pStyle w:val="Table"/>
              <w:spacing w:line="240" w:lineRule="auto"/>
            </w:pPr>
            <w:r>
              <w:t>Source</w:t>
            </w:r>
          </w:p>
        </w:tc>
      </w:tr>
      <w:tr w:rsidR="00F73F24" w:rsidTr="00671ADE">
        <w:tc>
          <w:tcPr>
            <w:tcW w:w="1551" w:type="dxa"/>
            <w:shd w:val="clear" w:color="auto" w:fill="auto"/>
            <w:vAlign w:val="center"/>
          </w:tcPr>
          <w:p w:rsidR="00F73F24" w:rsidRDefault="00F73F24" w:rsidP="00671ADE">
            <w:pPr>
              <w:pStyle w:val="Table"/>
              <w:spacing w:line="240" w:lineRule="auto"/>
            </w:pPr>
            <w:r>
              <w:t>1A</w:t>
            </w:r>
          </w:p>
        </w:tc>
        <w:tc>
          <w:tcPr>
            <w:tcW w:w="2497" w:type="dxa"/>
            <w:shd w:val="clear" w:color="auto" w:fill="auto"/>
            <w:vAlign w:val="center"/>
          </w:tcPr>
          <w:p w:rsidR="00F73F24" w:rsidRDefault="00F73F24" w:rsidP="00671ADE">
            <w:pPr>
              <w:pStyle w:val="Table"/>
              <w:spacing w:line="240" w:lineRule="auto"/>
            </w:pPr>
            <w:r>
              <w:t>LVT RHA proportion of costs on long-term care teams</w:t>
            </w:r>
          </w:p>
        </w:tc>
        <w:tc>
          <w:tcPr>
            <w:tcW w:w="1405" w:type="dxa"/>
            <w:shd w:val="clear" w:color="auto" w:fill="auto"/>
            <w:vAlign w:val="center"/>
          </w:tcPr>
          <w:p w:rsidR="00F73F24" w:rsidRDefault="00F73F24" w:rsidP="00671ADE">
            <w:pPr>
              <w:pStyle w:val="Table"/>
              <w:spacing w:line="240" w:lineRule="auto"/>
            </w:pPr>
            <w:r>
              <w:t>30.19%</w:t>
            </w:r>
          </w:p>
        </w:tc>
        <w:tc>
          <w:tcPr>
            <w:tcW w:w="3901" w:type="dxa"/>
            <w:shd w:val="clear" w:color="auto" w:fill="auto"/>
            <w:vAlign w:val="center"/>
          </w:tcPr>
          <w:p w:rsidR="00F73F24" w:rsidRDefault="00F73F24" w:rsidP="00671ADE">
            <w:pPr>
              <w:pStyle w:val="Table"/>
              <w:spacing w:line="240" w:lineRule="auto"/>
            </w:pPr>
            <w:r>
              <w:t xml:space="preserve">Annual report on access to health care in NHS facilities and </w:t>
            </w:r>
            <w:r>
              <w:rPr>
                <w:color w:val="0000FF"/>
              </w:rPr>
              <w:t>associated</w:t>
            </w:r>
            <w:r>
              <w:t xml:space="preserve"> entities (2015)</w:t>
            </w:r>
          </w:p>
        </w:tc>
      </w:tr>
      <w:tr w:rsidR="00F73F24" w:rsidTr="00671ADE">
        <w:tc>
          <w:tcPr>
            <w:tcW w:w="1551" w:type="dxa"/>
            <w:shd w:val="clear" w:color="auto" w:fill="auto"/>
            <w:vAlign w:val="center"/>
          </w:tcPr>
          <w:p w:rsidR="00F73F24" w:rsidRDefault="00F73F24" w:rsidP="00671ADE">
            <w:pPr>
              <w:pStyle w:val="Table"/>
              <w:spacing w:line="240" w:lineRule="auto"/>
            </w:pPr>
            <w:r>
              <w:t>2A</w:t>
            </w:r>
          </w:p>
        </w:tc>
        <w:tc>
          <w:tcPr>
            <w:tcW w:w="2497" w:type="dxa"/>
            <w:shd w:val="clear" w:color="auto" w:fill="auto"/>
            <w:vAlign w:val="center"/>
          </w:tcPr>
          <w:p w:rsidR="00F73F24" w:rsidRDefault="00F73F24" w:rsidP="00671ADE">
            <w:pPr>
              <w:pStyle w:val="Table"/>
              <w:spacing w:line="240" w:lineRule="auto"/>
            </w:pPr>
            <w:r>
              <w:t>Number of episodes in LVT with a primary diagnosis of heart failure</w:t>
            </w:r>
          </w:p>
        </w:tc>
        <w:tc>
          <w:tcPr>
            <w:tcW w:w="1405" w:type="dxa"/>
            <w:shd w:val="clear" w:color="auto" w:fill="auto"/>
            <w:vAlign w:val="center"/>
          </w:tcPr>
          <w:p w:rsidR="00F73F24" w:rsidRDefault="00F73F24" w:rsidP="00671ADE">
            <w:pPr>
              <w:pStyle w:val="Table"/>
              <w:spacing w:line="240" w:lineRule="auto"/>
            </w:pPr>
            <w:r>
              <w:t>54</w:t>
            </w:r>
          </w:p>
        </w:tc>
        <w:tc>
          <w:tcPr>
            <w:tcW w:w="3901" w:type="dxa"/>
            <w:shd w:val="clear" w:color="auto" w:fill="auto"/>
            <w:vAlign w:val="center"/>
          </w:tcPr>
          <w:p w:rsidR="00F73F24" w:rsidRDefault="00F73F24" w:rsidP="00671ADE">
            <w:pPr>
              <w:pStyle w:val="Table"/>
              <w:spacing w:line="240" w:lineRule="auto"/>
            </w:pPr>
            <w:r>
              <w:t>LVT RHA (2013), ACSS, 2015*</w:t>
            </w:r>
          </w:p>
        </w:tc>
      </w:tr>
      <w:tr w:rsidR="00F73F24" w:rsidTr="00671ADE">
        <w:tc>
          <w:tcPr>
            <w:tcW w:w="1551" w:type="dxa"/>
            <w:shd w:val="clear" w:color="auto" w:fill="auto"/>
            <w:vAlign w:val="center"/>
          </w:tcPr>
          <w:p w:rsidR="00F73F24" w:rsidRDefault="00F73F24" w:rsidP="00671ADE">
            <w:pPr>
              <w:pStyle w:val="Table"/>
              <w:spacing w:line="240" w:lineRule="auto"/>
            </w:pPr>
            <w:r>
              <w:t>3A</w:t>
            </w:r>
          </w:p>
        </w:tc>
        <w:tc>
          <w:tcPr>
            <w:tcW w:w="2497" w:type="dxa"/>
            <w:shd w:val="clear" w:color="auto" w:fill="auto"/>
            <w:vAlign w:val="center"/>
          </w:tcPr>
          <w:p w:rsidR="00F73F24" w:rsidRDefault="00F73F24" w:rsidP="00671ADE">
            <w:pPr>
              <w:pStyle w:val="Table"/>
              <w:spacing w:line="240" w:lineRule="auto"/>
            </w:pPr>
            <w:r>
              <w:t>Mean length of follow-up</w:t>
            </w:r>
          </w:p>
        </w:tc>
        <w:tc>
          <w:tcPr>
            <w:tcW w:w="1405" w:type="dxa"/>
            <w:shd w:val="clear" w:color="auto" w:fill="auto"/>
            <w:vAlign w:val="center"/>
          </w:tcPr>
          <w:p w:rsidR="00F73F24" w:rsidRDefault="00F73F24" w:rsidP="00671ADE">
            <w:pPr>
              <w:pStyle w:val="Table"/>
              <w:spacing w:line="240" w:lineRule="auto"/>
            </w:pPr>
            <w:r>
              <w:t>57.55 days</w:t>
            </w:r>
          </w:p>
        </w:tc>
        <w:tc>
          <w:tcPr>
            <w:tcW w:w="3901" w:type="dxa"/>
            <w:shd w:val="clear" w:color="auto" w:fill="auto"/>
            <w:vAlign w:val="center"/>
          </w:tcPr>
          <w:p w:rsidR="00F73F24" w:rsidRDefault="00F73F24" w:rsidP="00671ADE">
            <w:pPr>
              <w:pStyle w:val="Table"/>
              <w:spacing w:line="240" w:lineRule="auto"/>
            </w:pPr>
            <w:r>
              <w:t>LVT RHA (2013), ACSS, 2015*</w:t>
            </w:r>
          </w:p>
        </w:tc>
      </w:tr>
      <w:tr w:rsidR="00F73F24" w:rsidTr="00671ADE">
        <w:tc>
          <w:tcPr>
            <w:tcW w:w="1551" w:type="dxa"/>
            <w:shd w:val="clear" w:color="auto" w:fill="auto"/>
            <w:vAlign w:val="center"/>
          </w:tcPr>
          <w:p w:rsidR="00F73F24" w:rsidRDefault="00F73F24" w:rsidP="00671ADE">
            <w:pPr>
              <w:pStyle w:val="Table"/>
              <w:spacing w:line="240" w:lineRule="auto"/>
            </w:pPr>
            <w:r>
              <w:t>4A</w:t>
            </w:r>
          </w:p>
        </w:tc>
        <w:tc>
          <w:tcPr>
            <w:tcW w:w="2497" w:type="dxa"/>
            <w:shd w:val="clear" w:color="auto" w:fill="auto"/>
            <w:vAlign w:val="center"/>
          </w:tcPr>
          <w:p w:rsidR="00F73F24" w:rsidRDefault="00F73F24" w:rsidP="00671ADE">
            <w:pPr>
              <w:pStyle w:val="Table"/>
              <w:spacing w:line="240" w:lineRule="auto"/>
            </w:pPr>
            <w:r>
              <w:t>Unit price</w:t>
            </w:r>
          </w:p>
        </w:tc>
        <w:tc>
          <w:tcPr>
            <w:tcW w:w="1405" w:type="dxa"/>
            <w:shd w:val="clear" w:color="auto" w:fill="auto"/>
            <w:vAlign w:val="center"/>
          </w:tcPr>
          <w:p w:rsidR="00F73F24" w:rsidRDefault="00F73F24" w:rsidP="00671ADE">
            <w:pPr>
              <w:pStyle w:val="Table"/>
              <w:spacing w:line="240" w:lineRule="auto"/>
            </w:pPr>
            <w:r>
              <w:t>€9.98</w:t>
            </w:r>
          </w:p>
        </w:tc>
        <w:tc>
          <w:tcPr>
            <w:tcW w:w="3901" w:type="dxa"/>
            <w:shd w:val="clear" w:color="auto" w:fill="auto"/>
            <w:vAlign w:val="center"/>
          </w:tcPr>
          <w:p w:rsidR="00F73F24" w:rsidRDefault="00F73F24" w:rsidP="00671ADE">
            <w:pPr>
              <w:pStyle w:val="Table"/>
              <w:spacing w:line="240" w:lineRule="auto"/>
            </w:pPr>
            <w:r>
              <w:t>Authors’ estimate based on a convenience sample with microdata from the LVT RHA on the activity of long-term care teams</w:t>
            </w:r>
          </w:p>
        </w:tc>
      </w:tr>
      <w:tr w:rsidR="00F73F24" w:rsidTr="00671ADE">
        <w:tc>
          <w:tcPr>
            <w:tcW w:w="1551" w:type="dxa"/>
            <w:shd w:val="clear" w:color="auto" w:fill="auto"/>
            <w:vAlign w:val="center"/>
          </w:tcPr>
          <w:p w:rsidR="00F73F24" w:rsidRDefault="00F73F24" w:rsidP="00671ADE">
            <w:pPr>
              <w:pStyle w:val="Table"/>
              <w:spacing w:line="240" w:lineRule="auto"/>
            </w:pPr>
            <w:r>
              <w:t>5A=1A/2A×3A×4A</w:t>
            </w:r>
          </w:p>
        </w:tc>
        <w:tc>
          <w:tcPr>
            <w:tcW w:w="2497" w:type="dxa"/>
            <w:shd w:val="clear" w:color="auto" w:fill="auto"/>
            <w:vAlign w:val="center"/>
          </w:tcPr>
          <w:p w:rsidR="00F73F24" w:rsidRDefault="00F73F24" w:rsidP="00671ADE">
            <w:pPr>
              <w:pStyle w:val="Table"/>
              <w:spacing w:line="240" w:lineRule="auto"/>
            </w:pPr>
            <w:r>
              <w:t>Total cost of patients in long-term care</w:t>
            </w:r>
          </w:p>
        </w:tc>
        <w:tc>
          <w:tcPr>
            <w:tcW w:w="1405" w:type="dxa"/>
            <w:shd w:val="clear" w:color="auto" w:fill="auto"/>
            <w:vAlign w:val="center"/>
          </w:tcPr>
          <w:p w:rsidR="00F73F24" w:rsidRDefault="00F73F24" w:rsidP="00671ADE">
            <w:pPr>
              <w:pStyle w:val="Table"/>
              <w:spacing w:line="240" w:lineRule="auto"/>
            </w:pPr>
            <w:r>
              <w:t>€102,747</w:t>
            </w:r>
          </w:p>
        </w:tc>
        <w:tc>
          <w:tcPr>
            <w:tcW w:w="3901" w:type="dxa"/>
            <w:shd w:val="clear" w:color="auto" w:fill="auto"/>
            <w:vAlign w:val="center"/>
          </w:tcPr>
          <w:p w:rsidR="00F73F24" w:rsidRDefault="00F73F24" w:rsidP="00671ADE">
            <w:pPr>
              <w:pStyle w:val="Table"/>
              <w:spacing w:line="240" w:lineRule="auto"/>
            </w:pPr>
            <w:r>
              <w:t>Authors’ estimate</w:t>
            </w:r>
          </w:p>
        </w:tc>
      </w:tr>
      <w:tr w:rsidR="00F73F24" w:rsidTr="00671ADE">
        <w:tc>
          <w:tcPr>
            <w:tcW w:w="9354" w:type="dxa"/>
            <w:gridSpan w:val="4"/>
            <w:shd w:val="clear" w:color="auto" w:fill="auto"/>
            <w:vAlign w:val="center"/>
          </w:tcPr>
          <w:p w:rsidR="00F73F24" w:rsidRDefault="00F73F24" w:rsidP="00671ADE">
            <w:pPr>
              <w:pStyle w:val="Table"/>
              <w:spacing w:line="240" w:lineRule="auto"/>
            </w:pPr>
            <w:r>
              <w:t>Estimated costs of follow-up by the National Network of Long-term Care (hospital/residential)</w:t>
            </w:r>
          </w:p>
        </w:tc>
      </w:tr>
      <w:tr w:rsidR="00F73F24" w:rsidTr="00671ADE">
        <w:tc>
          <w:tcPr>
            <w:tcW w:w="1551" w:type="dxa"/>
            <w:shd w:val="clear" w:color="auto" w:fill="auto"/>
            <w:vAlign w:val="center"/>
          </w:tcPr>
          <w:p w:rsidR="00F73F24" w:rsidRDefault="00F73F24" w:rsidP="00671ADE">
            <w:pPr>
              <w:pStyle w:val="Table"/>
              <w:spacing w:line="240" w:lineRule="auto"/>
            </w:pPr>
            <w:r>
              <w:t>Identifier</w:t>
            </w:r>
          </w:p>
        </w:tc>
        <w:tc>
          <w:tcPr>
            <w:tcW w:w="2497" w:type="dxa"/>
            <w:shd w:val="clear" w:color="auto" w:fill="auto"/>
            <w:vAlign w:val="center"/>
          </w:tcPr>
          <w:p w:rsidR="00F73F24" w:rsidRDefault="00F73F24" w:rsidP="00671ADE">
            <w:pPr>
              <w:pStyle w:val="Table"/>
              <w:spacing w:line="240" w:lineRule="auto"/>
            </w:pPr>
            <w:r>
              <w:t>Variable</w:t>
            </w:r>
          </w:p>
        </w:tc>
        <w:tc>
          <w:tcPr>
            <w:tcW w:w="1405" w:type="dxa"/>
            <w:shd w:val="clear" w:color="auto" w:fill="auto"/>
            <w:vAlign w:val="center"/>
          </w:tcPr>
          <w:p w:rsidR="00F73F24" w:rsidRDefault="00F73F24" w:rsidP="00671ADE">
            <w:pPr>
              <w:pStyle w:val="Table"/>
              <w:spacing w:line="240" w:lineRule="auto"/>
            </w:pPr>
            <w:r>
              <w:t>Value</w:t>
            </w:r>
          </w:p>
        </w:tc>
        <w:tc>
          <w:tcPr>
            <w:tcW w:w="3901" w:type="dxa"/>
            <w:shd w:val="clear" w:color="auto" w:fill="auto"/>
            <w:vAlign w:val="center"/>
          </w:tcPr>
          <w:p w:rsidR="00F73F24" w:rsidRDefault="00F73F24" w:rsidP="00671ADE">
            <w:pPr>
              <w:pStyle w:val="Table"/>
              <w:spacing w:line="240" w:lineRule="auto"/>
            </w:pPr>
            <w:r>
              <w:t>Source</w:t>
            </w:r>
          </w:p>
        </w:tc>
      </w:tr>
      <w:tr w:rsidR="00F73F24" w:rsidTr="00671ADE">
        <w:tc>
          <w:tcPr>
            <w:tcW w:w="1551" w:type="dxa"/>
            <w:shd w:val="clear" w:color="auto" w:fill="auto"/>
            <w:vAlign w:val="center"/>
          </w:tcPr>
          <w:p w:rsidR="00F73F24" w:rsidRDefault="00F73F24" w:rsidP="00671ADE">
            <w:pPr>
              <w:pStyle w:val="Table"/>
              <w:spacing w:line="240" w:lineRule="auto"/>
            </w:pPr>
            <w:r>
              <w:t>1B</w:t>
            </w:r>
          </w:p>
        </w:tc>
        <w:tc>
          <w:tcPr>
            <w:tcW w:w="2497" w:type="dxa"/>
            <w:shd w:val="clear" w:color="auto" w:fill="auto"/>
            <w:vAlign w:val="center"/>
          </w:tcPr>
          <w:p w:rsidR="00F73F24" w:rsidRDefault="00F73F24" w:rsidP="00671ADE">
            <w:pPr>
              <w:pStyle w:val="Table"/>
              <w:spacing w:line="240" w:lineRule="auto"/>
            </w:pPr>
            <w:r>
              <w:t xml:space="preserve">Total number of patients in long-term hospital or residential care </w:t>
            </w:r>
          </w:p>
        </w:tc>
        <w:tc>
          <w:tcPr>
            <w:tcW w:w="1405" w:type="dxa"/>
            <w:shd w:val="clear" w:color="auto" w:fill="auto"/>
            <w:vAlign w:val="center"/>
          </w:tcPr>
          <w:p w:rsidR="00F73F24" w:rsidRDefault="00F73F24" w:rsidP="00671ADE">
            <w:pPr>
              <w:pStyle w:val="Table"/>
              <w:spacing w:line="240" w:lineRule="auto"/>
            </w:pPr>
            <w:r>
              <w:t>7,160</w:t>
            </w:r>
          </w:p>
        </w:tc>
        <w:tc>
          <w:tcPr>
            <w:tcW w:w="3901" w:type="dxa"/>
            <w:shd w:val="clear" w:color="auto" w:fill="auto"/>
            <w:vAlign w:val="center"/>
          </w:tcPr>
          <w:p w:rsidR="00F73F24" w:rsidRDefault="00F73F24" w:rsidP="00671ADE">
            <w:pPr>
              <w:pStyle w:val="Table"/>
              <w:spacing w:line="240" w:lineRule="auto"/>
            </w:pPr>
            <w:r>
              <w:t>Report “Monitoring of the National Network of Long-term Care” (ACSS, 2015)</w:t>
            </w:r>
          </w:p>
        </w:tc>
      </w:tr>
      <w:tr w:rsidR="00F73F24" w:rsidTr="00671ADE">
        <w:tc>
          <w:tcPr>
            <w:tcW w:w="1551" w:type="dxa"/>
            <w:shd w:val="clear" w:color="auto" w:fill="auto"/>
            <w:vAlign w:val="center"/>
          </w:tcPr>
          <w:p w:rsidR="00F73F24" w:rsidRDefault="00F73F24" w:rsidP="00671ADE">
            <w:pPr>
              <w:pStyle w:val="Table"/>
              <w:spacing w:line="240" w:lineRule="auto"/>
            </w:pPr>
            <w:r>
              <w:t>2B</w:t>
            </w:r>
          </w:p>
        </w:tc>
        <w:tc>
          <w:tcPr>
            <w:tcW w:w="2497" w:type="dxa"/>
            <w:shd w:val="clear" w:color="auto" w:fill="auto"/>
            <w:vAlign w:val="center"/>
          </w:tcPr>
          <w:p w:rsidR="00F73F24" w:rsidRDefault="00F73F24" w:rsidP="00671ADE">
            <w:pPr>
              <w:pStyle w:val="Table"/>
              <w:spacing w:line="240" w:lineRule="auto"/>
            </w:pPr>
            <w:r>
              <w:t>Proportion of HF patients under long-term care (assumed to be the same in RNCCI facilities)</w:t>
            </w:r>
          </w:p>
        </w:tc>
        <w:tc>
          <w:tcPr>
            <w:tcW w:w="1405" w:type="dxa"/>
            <w:shd w:val="clear" w:color="auto" w:fill="auto"/>
            <w:vAlign w:val="center"/>
          </w:tcPr>
          <w:p w:rsidR="00F73F24" w:rsidRDefault="00F73F24" w:rsidP="00671ADE">
            <w:pPr>
              <w:pStyle w:val="Table"/>
              <w:spacing w:line="240" w:lineRule="auto"/>
            </w:pPr>
            <w:r>
              <w:t>3.2%</w:t>
            </w:r>
          </w:p>
        </w:tc>
        <w:tc>
          <w:tcPr>
            <w:tcW w:w="3901" w:type="dxa"/>
            <w:shd w:val="clear" w:color="auto" w:fill="auto"/>
            <w:vAlign w:val="center"/>
          </w:tcPr>
          <w:p w:rsidR="00F73F24" w:rsidRDefault="00F73F24" w:rsidP="00671ADE">
            <w:pPr>
              <w:pStyle w:val="Table"/>
              <w:spacing w:line="240" w:lineRule="auto"/>
            </w:pPr>
            <w:r>
              <w:t>LVT RHA (2013), ACSS, 2015</w:t>
            </w:r>
            <w:r>
              <w:rPr>
                <w:vertAlign w:val="superscript"/>
              </w:rPr>
              <w:t>5</w:t>
            </w:r>
          </w:p>
        </w:tc>
      </w:tr>
      <w:tr w:rsidR="00F73F24" w:rsidTr="00671ADE">
        <w:tc>
          <w:tcPr>
            <w:tcW w:w="1551" w:type="dxa"/>
            <w:shd w:val="clear" w:color="auto" w:fill="auto"/>
            <w:vAlign w:val="center"/>
          </w:tcPr>
          <w:p w:rsidR="00F73F24" w:rsidRDefault="00F73F24" w:rsidP="00671ADE">
            <w:pPr>
              <w:pStyle w:val="Table"/>
              <w:spacing w:line="240" w:lineRule="auto"/>
            </w:pPr>
            <w:r>
              <w:t>3B</w:t>
            </w:r>
          </w:p>
        </w:tc>
        <w:tc>
          <w:tcPr>
            <w:tcW w:w="2497" w:type="dxa"/>
            <w:shd w:val="clear" w:color="auto" w:fill="auto"/>
            <w:vAlign w:val="center"/>
          </w:tcPr>
          <w:p w:rsidR="00F73F24" w:rsidRDefault="00F73F24" w:rsidP="00671ADE">
            <w:pPr>
              <w:pStyle w:val="Table"/>
              <w:spacing w:line="240" w:lineRule="auto"/>
            </w:pPr>
            <w:r>
              <w:t>Mean length of follow-up</w:t>
            </w:r>
          </w:p>
        </w:tc>
        <w:tc>
          <w:tcPr>
            <w:tcW w:w="1405" w:type="dxa"/>
            <w:shd w:val="clear" w:color="auto" w:fill="auto"/>
            <w:vAlign w:val="center"/>
          </w:tcPr>
          <w:p w:rsidR="00F73F24" w:rsidRDefault="00F73F24" w:rsidP="00671ADE">
            <w:pPr>
              <w:pStyle w:val="Table"/>
              <w:spacing w:line="240" w:lineRule="auto"/>
            </w:pPr>
            <w:r>
              <w:t>82.8 days</w:t>
            </w:r>
          </w:p>
        </w:tc>
        <w:tc>
          <w:tcPr>
            <w:tcW w:w="3901" w:type="dxa"/>
            <w:shd w:val="clear" w:color="auto" w:fill="auto"/>
            <w:vAlign w:val="center"/>
          </w:tcPr>
          <w:p w:rsidR="00F73F24" w:rsidRDefault="00F73F24" w:rsidP="00671ADE">
            <w:pPr>
              <w:pStyle w:val="Table"/>
              <w:spacing w:line="240" w:lineRule="auto"/>
            </w:pPr>
            <w:r>
              <w:t xml:space="preserve">Mean follow-up weighted according to distribution by referral for cardiovascular disease by type of hospitalization based on data from the report “Monitoring of the National Network of Long-term Care” (RNCCI 2014, p. 23). ACSS: Department of Health Services and Resources Network Management, </w:t>
            </w:r>
            <w:r>
              <w:rPr>
                <w:color w:val="FF0000"/>
              </w:rPr>
              <w:t>Operational Unit</w:t>
            </w:r>
            <w:r>
              <w:t xml:space="preserve"> of the RNCCI, March 2015.</w:t>
            </w:r>
          </w:p>
        </w:tc>
      </w:tr>
      <w:tr w:rsidR="00F73F24" w:rsidTr="00671ADE">
        <w:tc>
          <w:tcPr>
            <w:tcW w:w="1551" w:type="dxa"/>
            <w:shd w:val="clear" w:color="auto" w:fill="auto"/>
            <w:vAlign w:val="center"/>
          </w:tcPr>
          <w:p w:rsidR="00F73F24" w:rsidRDefault="00F73F24" w:rsidP="00671ADE">
            <w:pPr>
              <w:pStyle w:val="Table"/>
              <w:spacing w:line="240" w:lineRule="auto"/>
            </w:pPr>
            <w:r>
              <w:t>4B</w:t>
            </w:r>
          </w:p>
        </w:tc>
        <w:tc>
          <w:tcPr>
            <w:tcW w:w="2497" w:type="dxa"/>
            <w:shd w:val="clear" w:color="auto" w:fill="auto"/>
            <w:vAlign w:val="center"/>
          </w:tcPr>
          <w:p w:rsidR="00F73F24" w:rsidRDefault="00F73F24" w:rsidP="00671ADE">
            <w:pPr>
              <w:pStyle w:val="Table"/>
              <w:spacing w:line="240" w:lineRule="auto"/>
            </w:pPr>
            <w:r>
              <w:t>Unit price</w:t>
            </w:r>
          </w:p>
        </w:tc>
        <w:tc>
          <w:tcPr>
            <w:tcW w:w="1405" w:type="dxa"/>
            <w:shd w:val="clear" w:color="auto" w:fill="auto"/>
            <w:vAlign w:val="center"/>
          </w:tcPr>
          <w:p w:rsidR="00F73F24" w:rsidRDefault="00F73F24" w:rsidP="00671ADE">
            <w:pPr>
              <w:pStyle w:val="Table"/>
              <w:spacing w:line="240" w:lineRule="auto"/>
            </w:pPr>
            <w:r>
              <w:t>€87.56</w:t>
            </w:r>
          </w:p>
        </w:tc>
        <w:tc>
          <w:tcPr>
            <w:tcW w:w="3901" w:type="dxa"/>
            <w:shd w:val="clear" w:color="auto" w:fill="auto"/>
            <w:vAlign w:val="center"/>
          </w:tcPr>
          <w:p w:rsidR="00F73F24" w:rsidRDefault="00F73F24" w:rsidP="00671ADE">
            <w:pPr>
              <w:pStyle w:val="Table"/>
              <w:spacing w:line="240" w:lineRule="auto"/>
            </w:pPr>
            <w:r>
              <w:t xml:space="preserve">Weighted mean for units: convalescence (€105.46), palliative care (€105.46), intermediate stay and rehabilitation (€87.56) and long-term and maintenance (€60.19); Implementing Order no. 262/20152. Weighted according to distribution by referral for cardiovascular disease by type of hospitalization, based on data from the report “Monitoring of the National Network of Long-term Care” (RNCCI 2014, p. 23). ACSS: Department of Health Services and Resources Network Management, </w:t>
            </w:r>
            <w:r>
              <w:rPr>
                <w:color w:val="FF0000"/>
              </w:rPr>
              <w:t>Operational Unit</w:t>
            </w:r>
            <w:r>
              <w:t xml:space="preserve"> of the RNCCI, March 2015.</w:t>
            </w:r>
          </w:p>
        </w:tc>
      </w:tr>
      <w:tr w:rsidR="00F73F24" w:rsidTr="00671ADE">
        <w:tc>
          <w:tcPr>
            <w:tcW w:w="1551"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5B=1B×2B×3B×4B</w:t>
            </w:r>
          </w:p>
        </w:tc>
        <w:tc>
          <w:tcPr>
            <w:tcW w:w="249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 xml:space="preserve">Total cost of patients hospitalized in long-term care units of the national network </w:t>
            </w:r>
          </w:p>
        </w:tc>
        <w:tc>
          <w:tcPr>
            <w:tcW w:w="1405"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€1</w:t>
            </w:r>
            <w:r>
              <w:rPr>
                <w:rFonts w:eastAsia="Times New Roman" w:cs="Times New Roman"/>
                <w:vertAlign w:val="superscript"/>
              </w:rPr>
              <w:t> </w:t>
            </w:r>
            <w:r>
              <w:t>684</w:t>
            </w:r>
            <w:r>
              <w:rPr>
                <w:rFonts w:eastAsia="Times New Roman" w:cs="Times New Roman"/>
                <w:vertAlign w:val="superscript"/>
              </w:rPr>
              <w:t> </w:t>
            </w:r>
            <w:r>
              <w:t>039</w:t>
            </w:r>
          </w:p>
        </w:tc>
        <w:tc>
          <w:tcPr>
            <w:tcW w:w="3901"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Authors’ estimate</w:t>
            </w:r>
          </w:p>
        </w:tc>
      </w:tr>
      <w:tr w:rsidR="00F73F24" w:rsidTr="00671ADE">
        <w:tc>
          <w:tcPr>
            <w:tcW w:w="9354" w:type="dxa"/>
            <w:gridSpan w:val="4"/>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rPr>
                <w:vertAlign w:val="superscript"/>
              </w:rPr>
              <w:t>a</w:t>
            </w:r>
            <w:r>
              <w:t xml:space="preserve"> LVT RHA (2013), ACSS, 2015. These data were used in the study “</w:t>
            </w:r>
            <w:r>
              <w:rPr>
                <w:color w:val="FF0000"/>
                <w:lang w:val="pt-PT"/>
              </w:rPr>
              <w:t>Carga e custo da fibrilhação auricular em Portugal</w:t>
            </w:r>
            <w:r>
              <w:t>” by the authors of the present study.</w:t>
            </w:r>
          </w:p>
          <w:p w:rsidR="00F73F24" w:rsidRDefault="00F73F24" w:rsidP="00671ADE">
            <w:pPr>
              <w:pStyle w:val="Table"/>
              <w:spacing w:line="240" w:lineRule="auto"/>
            </w:pPr>
            <w:r>
              <w:t>ACSS: Central Administration of the National Health System; LVT RHA: Lisbon and Tagus Valley Regional Health Authority; NHS: National Health System; RNCCI: National Network of Long-term Care.</w:t>
            </w:r>
          </w:p>
        </w:tc>
      </w:tr>
    </w:tbl>
    <w:p w:rsidR="00F73F24" w:rsidRDefault="00F73F24" w:rsidP="00F73F24"/>
    <w:p w:rsidR="00F73F24" w:rsidRDefault="00F73F24" w:rsidP="00F73F24"/>
    <w:tbl>
      <w:tblPr>
        <w:tblW w:w="9360" w:type="dxa"/>
        <w:tblInd w:w="57" w:type="dxa"/>
        <w:tblBorders>
          <w:top w:val="single" w:sz="2" w:space="0" w:color="000001"/>
        </w:tblBorders>
        <w:tblCellMar>
          <w:left w:w="57" w:type="dxa"/>
          <w:right w:w="57" w:type="dxa"/>
        </w:tblCellMar>
        <w:tblLook w:val="04A0" w:firstRow="1" w:lastRow="0" w:firstColumn="1" w:lastColumn="0" w:noHBand="0" w:noVBand="1"/>
      </w:tblPr>
      <w:tblGrid>
        <w:gridCol w:w="1128"/>
        <w:gridCol w:w="1140"/>
        <w:gridCol w:w="960"/>
        <w:gridCol w:w="1308"/>
        <w:gridCol w:w="4824"/>
      </w:tblGrid>
      <w:tr w:rsidR="00F73F24" w:rsidTr="00671ADE">
        <w:tc>
          <w:tcPr>
            <w:tcW w:w="9360" w:type="dxa"/>
            <w:gridSpan w:val="5"/>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3</w:t>
            </w:r>
            <w:r>
              <w:t xml:space="preserve"> Estimated unit costs of travel.</w:t>
            </w:r>
          </w:p>
        </w:tc>
      </w:tr>
      <w:tr w:rsidR="00F73F24" w:rsidTr="00671ADE">
        <w:tc>
          <w:tcPr>
            <w:tcW w:w="1128" w:type="dxa"/>
            <w:vMerge w:val="restart"/>
            <w:shd w:val="clear" w:color="auto" w:fill="auto"/>
            <w:vAlign w:val="center"/>
          </w:tcPr>
          <w:p w:rsidR="00F73F24" w:rsidRDefault="00F73F24" w:rsidP="00671ADE">
            <w:pPr>
              <w:pStyle w:val="Table"/>
              <w:spacing w:line="240" w:lineRule="auto"/>
            </w:pPr>
            <w:r>
              <w:t>Means of transport</w:t>
            </w:r>
          </w:p>
        </w:tc>
        <w:tc>
          <w:tcPr>
            <w:tcW w:w="2100" w:type="dxa"/>
            <w:gridSpan w:val="2"/>
            <w:shd w:val="clear" w:color="auto" w:fill="auto"/>
            <w:vAlign w:val="center"/>
          </w:tcPr>
          <w:p w:rsidR="00F73F24" w:rsidRDefault="00F73F24" w:rsidP="00671ADE">
            <w:pPr>
              <w:pStyle w:val="Table"/>
              <w:spacing w:line="240" w:lineRule="auto"/>
            </w:pPr>
            <w:r>
              <w:t>Proportion</w:t>
            </w:r>
          </w:p>
        </w:tc>
        <w:tc>
          <w:tcPr>
            <w:tcW w:w="6132" w:type="dxa"/>
            <w:gridSpan w:val="2"/>
            <w:shd w:val="clear" w:color="auto" w:fill="auto"/>
            <w:vAlign w:val="center"/>
          </w:tcPr>
          <w:p w:rsidR="00F73F24" w:rsidRDefault="00F73F24" w:rsidP="00671ADE">
            <w:pPr>
              <w:pStyle w:val="Table"/>
              <w:spacing w:line="240" w:lineRule="auto"/>
            </w:pPr>
            <w:r>
              <w:t>Price</w:t>
            </w:r>
          </w:p>
        </w:tc>
      </w:tr>
      <w:tr w:rsidR="00F73F24" w:rsidTr="00671ADE">
        <w:tc>
          <w:tcPr>
            <w:tcW w:w="1128" w:type="dxa"/>
            <w:vMerge/>
            <w:shd w:val="clear" w:color="auto" w:fill="auto"/>
            <w:vAlign w:val="center"/>
          </w:tcPr>
          <w:p w:rsidR="00F73F24" w:rsidRDefault="00F73F24" w:rsidP="00671ADE">
            <w:pPr>
              <w:spacing w:line="240" w:lineRule="auto"/>
            </w:pPr>
          </w:p>
        </w:tc>
        <w:tc>
          <w:tcPr>
            <w:tcW w:w="1140" w:type="dxa"/>
            <w:shd w:val="clear" w:color="auto" w:fill="auto"/>
            <w:vAlign w:val="center"/>
          </w:tcPr>
          <w:p w:rsidR="00F73F24" w:rsidRDefault="00F73F24" w:rsidP="00671ADE">
            <w:pPr>
              <w:pStyle w:val="Table"/>
              <w:spacing w:line="240" w:lineRule="auto"/>
            </w:pPr>
            <w:r>
              <w:t>Non-urgent transport</w:t>
            </w:r>
          </w:p>
        </w:tc>
        <w:tc>
          <w:tcPr>
            <w:tcW w:w="960" w:type="dxa"/>
            <w:shd w:val="clear" w:color="auto" w:fill="auto"/>
            <w:vAlign w:val="center"/>
          </w:tcPr>
          <w:p w:rsidR="00F73F24" w:rsidRDefault="00F73F24" w:rsidP="00671ADE">
            <w:pPr>
              <w:pStyle w:val="Table"/>
              <w:spacing w:line="240" w:lineRule="auto"/>
            </w:pPr>
            <w:r>
              <w:t>Urgent transport</w:t>
            </w:r>
          </w:p>
        </w:tc>
        <w:tc>
          <w:tcPr>
            <w:tcW w:w="1308" w:type="dxa"/>
            <w:shd w:val="clear" w:color="auto" w:fill="auto"/>
            <w:vAlign w:val="center"/>
          </w:tcPr>
          <w:p w:rsidR="00F73F24" w:rsidRDefault="00F73F24" w:rsidP="00671ADE">
            <w:pPr>
              <w:pStyle w:val="Table"/>
              <w:spacing w:line="240" w:lineRule="auto"/>
            </w:pPr>
            <w:r>
              <w:t>Unit price (€)</w:t>
            </w:r>
          </w:p>
        </w:tc>
        <w:tc>
          <w:tcPr>
            <w:tcW w:w="4824" w:type="dxa"/>
            <w:shd w:val="clear" w:color="auto" w:fill="auto"/>
            <w:vAlign w:val="center"/>
          </w:tcPr>
          <w:p w:rsidR="00F73F24" w:rsidRDefault="00F73F24" w:rsidP="00671ADE">
            <w:pPr>
              <w:pStyle w:val="Table"/>
              <w:spacing w:line="240" w:lineRule="auto"/>
            </w:pPr>
            <w:r>
              <w:t>Source</w:t>
            </w:r>
          </w:p>
        </w:tc>
      </w:tr>
      <w:tr w:rsidR="00F73F24" w:rsidTr="00671ADE">
        <w:tc>
          <w:tcPr>
            <w:tcW w:w="1128" w:type="dxa"/>
            <w:shd w:val="clear" w:color="auto" w:fill="auto"/>
            <w:vAlign w:val="center"/>
          </w:tcPr>
          <w:p w:rsidR="00F73F24" w:rsidRDefault="00F73F24" w:rsidP="00671ADE">
            <w:pPr>
              <w:pStyle w:val="Table"/>
              <w:spacing w:line="240" w:lineRule="auto"/>
            </w:pPr>
            <w:r>
              <w:t>Public transport</w:t>
            </w:r>
          </w:p>
        </w:tc>
        <w:tc>
          <w:tcPr>
            <w:tcW w:w="1140" w:type="dxa"/>
            <w:shd w:val="clear" w:color="auto" w:fill="auto"/>
            <w:vAlign w:val="center"/>
          </w:tcPr>
          <w:p w:rsidR="00F73F24" w:rsidRDefault="00F73F24" w:rsidP="00671ADE">
            <w:pPr>
              <w:pStyle w:val="Table"/>
              <w:spacing w:line="240" w:lineRule="auto"/>
            </w:pPr>
            <w:r>
              <w:t>46.5%</w:t>
            </w:r>
            <w:r>
              <w:rPr>
                <w:vertAlign w:val="superscript"/>
              </w:rPr>
              <w:t>a</w:t>
            </w:r>
          </w:p>
        </w:tc>
        <w:tc>
          <w:tcPr>
            <w:tcW w:w="960" w:type="dxa"/>
            <w:shd w:val="clear" w:color="auto" w:fill="auto"/>
            <w:vAlign w:val="center"/>
          </w:tcPr>
          <w:p w:rsidR="00F73F24" w:rsidRDefault="00F73F24" w:rsidP="00671ADE">
            <w:pPr>
              <w:pStyle w:val="Table"/>
              <w:spacing w:line="240" w:lineRule="auto"/>
            </w:pPr>
            <w:r>
              <w:t>0.0%</w:t>
            </w:r>
          </w:p>
        </w:tc>
        <w:tc>
          <w:tcPr>
            <w:tcW w:w="1308" w:type="dxa"/>
            <w:shd w:val="clear" w:color="auto" w:fill="auto"/>
            <w:vAlign w:val="center"/>
          </w:tcPr>
          <w:p w:rsidR="00F73F24" w:rsidRDefault="00F73F24" w:rsidP="00671ADE">
            <w:pPr>
              <w:pStyle w:val="Table"/>
              <w:spacing w:line="240" w:lineRule="auto"/>
            </w:pPr>
            <w:r>
              <w:t>1.31</w:t>
            </w:r>
          </w:p>
        </w:tc>
        <w:tc>
          <w:tcPr>
            <w:tcW w:w="4824" w:type="dxa"/>
            <w:shd w:val="clear" w:color="auto" w:fill="auto"/>
            <w:vAlign w:val="center"/>
          </w:tcPr>
          <w:p w:rsidR="00F73F24" w:rsidRDefault="00F73F24" w:rsidP="00671ADE">
            <w:pPr>
              <w:pStyle w:val="Table"/>
              <w:spacing w:line="240" w:lineRule="auto"/>
            </w:pPr>
            <w:r>
              <w:t>Mean price of single ticket in Coimbra, Lisbon and Porto.</w:t>
            </w:r>
          </w:p>
        </w:tc>
      </w:tr>
      <w:tr w:rsidR="00F73F24" w:rsidTr="00671ADE">
        <w:tc>
          <w:tcPr>
            <w:tcW w:w="1128" w:type="dxa"/>
            <w:shd w:val="clear" w:color="auto" w:fill="auto"/>
            <w:vAlign w:val="center"/>
          </w:tcPr>
          <w:p w:rsidR="00F73F24" w:rsidRDefault="00F73F24" w:rsidP="00671ADE">
            <w:pPr>
              <w:pStyle w:val="Table"/>
              <w:spacing w:line="240" w:lineRule="auto"/>
            </w:pPr>
            <w:r>
              <w:t>Car</w:t>
            </w:r>
          </w:p>
        </w:tc>
        <w:tc>
          <w:tcPr>
            <w:tcW w:w="1140" w:type="dxa"/>
            <w:shd w:val="clear" w:color="auto" w:fill="auto"/>
            <w:vAlign w:val="center"/>
          </w:tcPr>
          <w:p w:rsidR="00F73F24" w:rsidRDefault="00F73F24" w:rsidP="00671ADE">
            <w:pPr>
              <w:pStyle w:val="Table"/>
              <w:spacing w:line="240" w:lineRule="auto"/>
            </w:pPr>
            <w:r>
              <w:t>53.5%</w:t>
            </w:r>
          </w:p>
        </w:tc>
        <w:tc>
          <w:tcPr>
            <w:tcW w:w="960" w:type="dxa"/>
            <w:shd w:val="clear" w:color="auto" w:fill="auto"/>
            <w:vAlign w:val="center"/>
          </w:tcPr>
          <w:p w:rsidR="00F73F24" w:rsidRDefault="00F73F24" w:rsidP="00671ADE">
            <w:pPr>
              <w:pStyle w:val="Table"/>
              <w:spacing w:line="240" w:lineRule="auto"/>
            </w:pPr>
            <w:r>
              <w:t>62.5%</w:t>
            </w:r>
          </w:p>
        </w:tc>
        <w:tc>
          <w:tcPr>
            <w:tcW w:w="1308" w:type="dxa"/>
            <w:shd w:val="clear" w:color="auto" w:fill="auto"/>
            <w:vAlign w:val="center"/>
          </w:tcPr>
          <w:p w:rsidR="00F73F24" w:rsidRDefault="00F73F24" w:rsidP="00671ADE">
            <w:pPr>
              <w:pStyle w:val="Table"/>
              <w:spacing w:line="240" w:lineRule="auto"/>
            </w:pPr>
            <w:r>
              <w:t>3.60</w:t>
            </w:r>
          </w:p>
        </w:tc>
        <w:tc>
          <w:tcPr>
            <w:tcW w:w="4824" w:type="dxa"/>
            <w:shd w:val="clear" w:color="auto" w:fill="auto"/>
            <w:vAlign w:val="center"/>
          </w:tcPr>
          <w:p w:rsidR="00F73F24" w:rsidRDefault="00F73F24" w:rsidP="00671ADE">
            <w:pPr>
              <w:pStyle w:val="Table"/>
              <w:spacing w:line="240" w:lineRule="auto"/>
            </w:pPr>
            <w:r>
              <w:t>The cost per km by own transport was based on the price per km (€0.36) defined by Law no. 66-B/2012, which established the rules governing the reimbursement of expenses when traveling on government business. According to a study of access to primary health care by the Health Regulatory Body, almost all of mainland Portugal is within 30 minutes of a medical center. The population resident in areas not covered represent less than 0.1% of the mainland population (Health Regulatory Body, 2009). It was assumed that 30 minutes would represent a mean distance of 10 km.</w:t>
            </w:r>
          </w:p>
        </w:tc>
      </w:tr>
      <w:tr w:rsidR="00F73F24" w:rsidTr="00671ADE">
        <w:tc>
          <w:tcPr>
            <w:tcW w:w="1128" w:type="dxa"/>
            <w:shd w:val="clear" w:color="auto" w:fill="auto"/>
            <w:vAlign w:val="center"/>
          </w:tcPr>
          <w:p w:rsidR="00F73F24" w:rsidRDefault="00F73F24" w:rsidP="00671ADE">
            <w:pPr>
              <w:pStyle w:val="Table"/>
              <w:spacing w:line="240" w:lineRule="auto"/>
            </w:pPr>
            <w:r>
              <w:t>On foot</w:t>
            </w:r>
          </w:p>
        </w:tc>
        <w:tc>
          <w:tcPr>
            <w:tcW w:w="1140" w:type="dxa"/>
            <w:shd w:val="clear" w:color="auto" w:fill="auto"/>
            <w:vAlign w:val="center"/>
          </w:tcPr>
          <w:p w:rsidR="00F73F24" w:rsidRDefault="00F73F24" w:rsidP="00671ADE">
            <w:pPr>
              <w:pStyle w:val="Table"/>
              <w:spacing w:line="240" w:lineRule="auto"/>
            </w:pPr>
            <w:r>
              <w:t>0%</w:t>
            </w:r>
          </w:p>
        </w:tc>
        <w:tc>
          <w:tcPr>
            <w:tcW w:w="960" w:type="dxa"/>
            <w:shd w:val="clear" w:color="auto" w:fill="auto"/>
            <w:vAlign w:val="center"/>
          </w:tcPr>
          <w:p w:rsidR="00F73F24" w:rsidRDefault="00F73F24" w:rsidP="00671ADE">
            <w:pPr>
              <w:pStyle w:val="Table"/>
              <w:spacing w:line="240" w:lineRule="auto"/>
            </w:pPr>
            <w:r>
              <w:t>0%</w:t>
            </w:r>
          </w:p>
        </w:tc>
        <w:tc>
          <w:tcPr>
            <w:tcW w:w="1308" w:type="dxa"/>
            <w:shd w:val="clear" w:color="auto" w:fill="auto"/>
            <w:vAlign w:val="center"/>
          </w:tcPr>
          <w:p w:rsidR="00F73F24" w:rsidRDefault="00F73F24" w:rsidP="00671ADE">
            <w:pPr>
              <w:pStyle w:val="Table"/>
              <w:spacing w:line="240" w:lineRule="auto"/>
            </w:pPr>
            <w:r>
              <w:t>0</w:t>
            </w:r>
          </w:p>
        </w:tc>
        <w:tc>
          <w:tcPr>
            <w:tcW w:w="4824" w:type="dxa"/>
            <w:shd w:val="clear" w:color="auto" w:fill="auto"/>
            <w:vAlign w:val="center"/>
          </w:tcPr>
          <w:p w:rsidR="00F73F24" w:rsidRDefault="00F73F24" w:rsidP="00671ADE">
            <w:pPr>
              <w:pStyle w:val="Table"/>
              <w:spacing w:line="240" w:lineRule="auto"/>
              <w:rPr>
                <w:color w:val="FF0000"/>
              </w:rPr>
            </w:pPr>
            <w:r>
              <w:rPr>
                <w:color w:val="FF0000"/>
              </w:rPr>
              <w:t>Assumption</w:t>
            </w:r>
          </w:p>
        </w:tc>
      </w:tr>
      <w:tr w:rsidR="00F73F24" w:rsidTr="00671ADE">
        <w:tc>
          <w:tcPr>
            <w:tcW w:w="1128" w:type="dxa"/>
            <w:shd w:val="clear" w:color="auto" w:fill="auto"/>
            <w:vAlign w:val="center"/>
          </w:tcPr>
          <w:p w:rsidR="00F73F24" w:rsidRDefault="00F73F24" w:rsidP="00671ADE">
            <w:pPr>
              <w:pStyle w:val="Table"/>
              <w:spacing w:line="240" w:lineRule="auto"/>
            </w:pPr>
            <w:r>
              <w:t>Ambulance</w:t>
            </w:r>
          </w:p>
        </w:tc>
        <w:tc>
          <w:tcPr>
            <w:tcW w:w="1140" w:type="dxa"/>
            <w:shd w:val="clear" w:color="auto" w:fill="auto"/>
            <w:vAlign w:val="center"/>
          </w:tcPr>
          <w:p w:rsidR="00F73F24" w:rsidRDefault="00F73F24" w:rsidP="00671ADE">
            <w:pPr>
              <w:pStyle w:val="Table"/>
              <w:spacing w:line="240" w:lineRule="auto"/>
            </w:pPr>
            <w:r>
              <w:t>0%</w:t>
            </w:r>
          </w:p>
        </w:tc>
        <w:tc>
          <w:tcPr>
            <w:tcW w:w="960" w:type="dxa"/>
            <w:shd w:val="clear" w:color="auto" w:fill="auto"/>
            <w:vAlign w:val="center"/>
          </w:tcPr>
          <w:p w:rsidR="00F73F24" w:rsidRDefault="00F73F24" w:rsidP="00671ADE">
            <w:pPr>
              <w:pStyle w:val="Table"/>
              <w:spacing w:line="240" w:lineRule="auto"/>
            </w:pPr>
            <w:r>
              <w:t>37.%</w:t>
            </w:r>
            <w:r>
              <w:rPr>
                <w:vertAlign w:val="superscript"/>
              </w:rPr>
              <w:t>a</w:t>
            </w:r>
          </w:p>
        </w:tc>
        <w:tc>
          <w:tcPr>
            <w:tcW w:w="1308" w:type="dxa"/>
            <w:shd w:val="clear" w:color="auto" w:fill="auto"/>
            <w:vAlign w:val="center"/>
          </w:tcPr>
          <w:p w:rsidR="00F73F24" w:rsidRDefault="00F73F24" w:rsidP="00671ADE">
            <w:pPr>
              <w:pStyle w:val="Table"/>
              <w:spacing w:line="240" w:lineRule="auto"/>
            </w:pPr>
            <w:r>
              <w:t>35.00</w:t>
            </w:r>
          </w:p>
        </w:tc>
        <w:tc>
          <w:tcPr>
            <w:tcW w:w="4824" w:type="dxa"/>
            <w:shd w:val="clear" w:color="auto" w:fill="auto"/>
            <w:vAlign w:val="center"/>
          </w:tcPr>
          <w:p w:rsidR="00F73F24" w:rsidRDefault="00F73F24" w:rsidP="00671ADE">
            <w:pPr>
              <w:pStyle w:val="Table"/>
              <w:spacing w:line="240" w:lineRule="auto"/>
            </w:pPr>
            <w:r>
              <w:t>Analytical accounting, INEM 2012</w:t>
            </w:r>
          </w:p>
        </w:tc>
      </w:tr>
      <w:tr w:rsidR="00F73F24" w:rsidTr="00671ADE">
        <w:tc>
          <w:tcPr>
            <w:tcW w:w="1128"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Mean cost</w:t>
            </w:r>
          </w:p>
        </w:tc>
        <w:tc>
          <w:tcPr>
            <w:tcW w:w="114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 xml:space="preserve">€5.07 </w:t>
            </w:r>
          </w:p>
        </w:tc>
        <w:tc>
          <w:tcPr>
            <w:tcW w:w="96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 xml:space="preserve">€30.79 </w:t>
            </w:r>
          </w:p>
        </w:tc>
        <w:tc>
          <w:tcPr>
            <w:tcW w:w="1308"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w:t>
            </w:r>
          </w:p>
        </w:tc>
        <w:tc>
          <w:tcPr>
            <w:tcW w:w="4824"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Estimated (return journey)</w:t>
            </w:r>
          </w:p>
        </w:tc>
      </w:tr>
      <w:tr w:rsidR="00F73F24" w:rsidTr="00671ADE">
        <w:tc>
          <w:tcPr>
            <w:tcW w:w="9360" w:type="dxa"/>
            <w:gridSpan w:val="5"/>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rPr>
                <w:vertAlign w:val="superscript"/>
              </w:rPr>
              <w:t>a</w:t>
            </w:r>
            <w:r>
              <w:t xml:space="preserve"> Mean estimated by an expert panel of seven primary health care physicians.</w:t>
            </w:r>
          </w:p>
          <w:p w:rsidR="00F73F24" w:rsidRDefault="00F73F24" w:rsidP="00671ADE">
            <w:pPr>
              <w:pStyle w:val="Table"/>
              <w:spacing w:line="240" w:lineRule="auto"/>
            </w:pPr>
            <w:r>
              <w:t>INEM: Statistics Portugal.</w:t>
            </w:r>
          </w:p>
        </w:tc>
      </w:tr>
    </w:tbl>
    <w:p w:rsidR="00F73F24" w:rsidRDefault="00F73F24" w:rsidP="00F73F24"/>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3583"/>
        <w:gridCol w:w="1247"/>
        <w:gridCol w:w="1248"/>
        <w:gridCol w:w="3277"/>
      </w:tblGrid>
      <w:tr w:rsidR="00F73F24" w:rsidTr="00671ADE">
        <w:tc>
          <w:tcPr>
            <w:tcW w:w="9354" w:type="dxa"/>
            <w:gridSpan w:val="4"/>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4</w:t>
            </w:r>
            <w:r>
              <w:t xml:space="preserve"> Employment rates and mean daily cost of productivity losses due to heart failure in mainland Portugal in 2014.</w:t>
            </w:r>
          </w:p>
        </w:tc>
      </w:tr>
      <w:tr w:rsidR="00F73F24" w:rsidTr="00671ADE">
        <w:tc>
          <w:tcPr>
            <w:tcW w:w="9354" w:type="dxa"/>
            <w:gridSpan w:val="4"/>
            <w:shd w:val="clear" w:color="auto" w:fill="auto"/>
            <w:vAlign w:val="center"/>
          </w:tcPr>
          <w:p w:rsidR="00F73F24" w:rsidRDefault="00F73F24" w:rsidP="00671ADE">
            <w:pPr>
              <w:pStyle w:val="Table"/>
              <w:spacing w:line="240" w:lineRule="auto"/>
            </w:pPr>
            <w:r>
              <w:t>Employment rate (age 25-64 years)</w:t>
            </w:r>
          </w:p>
        </w:tc>
      </w:tr>
      <w:tr w:rsidR="00F73F24" w:rsidTr="00671ADE">
        <w:tc>
          <w:tcPr>
            <w:tcW w:w="3582" w:type="dxa"/>
            <w:shd w:val="clear" w:color="auto" w:fill="auto"/>
            <w:vAlign w:val="center"/>
          </w:tcPr>
          <w:p w:rsidR="00F73F24" w:rsidRDefault="00F73F24" w:rsidP="00671ADE">
            <w:pPr>
              <w:pStyle w:val="Table"/>
              <w:spacing w:line="240" w:lineRule="auto"/>
            </w:pPr>
          </w:p>
        </w:tc>
        <w:tc>
          <w:tcPr>
            <w:tcW w:w="1247" w:type="dxa"/>
            <w:shd w:val="clear" w:color="auto" w:fill="auto"/>
            <w:vAlign w:val="center"/>
          </w:tcPr>
          <w:p w:rsidR="00F73F24" w:rsidRDefault="00F73F24" w:rsidP="00671ADE">
            <w:pPr>
              <w:pStyle w:val="Table"/>
              <w:spacing w:line="240" w:lineRule="auto"/>
            </w:pPr>
            <w:r>
              <w:t>Men</w:t>
            </w:r>
          </w:p>
        </w:tc>
        <w:tc>
          <w:tcPr>
            <w:tcW w:w="1248" w:type="dxa"/>
            <w:shd w:val="clear" w:color="auto" w:fill="auto"/>
            <w:vAlign w:val="center"/>
          </w:tcPr>
          <w:p w:rsidR="00F73F24" w:rsidRDefault="00F73F24" w:rsidP="00671ADE">
            <w:pPr>
              <w:pStyle w:val="Table"/>
              <w:spacing w:line="240" w:lineRule="auto"/>
            </w:pPr>
            <w:r>
              <w:t>Women</w:t>
            </w:r>
          </w:p>
        </w:tc>
        <w:tc>
          <w:tcPr>
            <w:tcW w:w="3277" w:type="dxa"/>
            <w:shd w:val="clear" w:color="auto" w:fill="auto"/>
            <w:vAlign w:val="center"/>
          </w:tcPr>
          <w:p w:rsidR="00F73F24" w:rsidRDefault="00F73F24" w:rsidP="00671ADE">
            <w:pPr>
              <w:pStyle w:val="Table"/>
              <w:spacing w:line="240" w:lineRule="auto"/>
            </w:pPr>
            <w:bookmarkStart w:id="1" w:name="__DdeLink__2990_21556149"/>
            <w:bookmarkEnd w:id="1"/>
            <w:r>
              <w:t>Assumptions</w:t>
            </w:r>
          </w:p>
        </w:tc>
      </w:tr>
      <w:tr w:rsidR="00F73F24" w:rsidTr="00671ADE">
        <w:tc>
          <w:tcPr>
            <w:tcW w:w="3582" w:type="dxa"/>
            <w:shd w:val="clear" w:color="auto" w:fill="auto"/>
            <w:vAlign w:val="center"/>
          </w:tcPr>
          <w:p w:rsidR="00F73F24" w:rsidRDefault="00F73F24" w:rsidP="00671ADE">
            <w:pPr>
              <w:pStyle w:val="Table"/>
              <w:spacing w:line="240" w:lineRule="auto"/>
            </w:pPr>
            <w:r>
              <w:t>NYHA II</w:t>
            </w:r>
          </w:p>
        </w:tc>
        <w:tc>
          <w:tcPr>
            <w:tcW w:w="1247" w:type="dxa"/>
            <w:shd w:val="clear" w:color="auto" w:fill="auto"/>
            <w:vAlign w:val="center"/>
          </w:tcPr>
          <w:p w:rsidR="00F73F24" w:rsidRDefault="00F73F24" w:rsidP="00671ADE">
            <w:pPr>
              <w:pStyle w:val="Table"/>
              <w:spacing w:line="240" w:lineRule="auto"/>
            </w:pPr>
            <w:r>
              <w:t>73.5%</w:t>
            </w:r>
          </w:p>
        </w:tc>
        <w:tc>
          <w:tcPr>
            <w:tcW w:w="1248" w:type="dxa"/>
            <w:shd w:val="clear" w:color="auto" w:fill="auto"/>
            <w:vAlign w:val="center"/>
          </w:tcPr>
          <w:p w:rsidR="00F73F24" w:rsidRDefault="00F73F24" w:rsidP="00671ADE">
            <w:pPr>
              <w:pStyle w:val="Table"/>
              <w:spacing w:line="240" w:lineRule="auto"/>
            </w:pPr>
            <w:r>
              <w:t>64.5%</w:t>
            </w:r>
          </w:p>
        </w:tc>
        <w:tc>
          <w:tcPr>
            <w:tcW w:w="3277" w:type="dxa"/>
            <w:shd w:val="clear" w:color="auto" w:fill="auto"/>
            <w:vAlign w:val="center"/>
          </w:tcPr>
          <w:p w:rsidR="00F73F24" w:rsidRDefault="00F73F24" w:rsidP="00671ADE">
            <w:pPr>
              <w:pStyle w:val="Table"/>
              <w:spacing w:line="240" w:lineRule="auto"/>
            </w:pPr>
            <w:r>
              <w:t>Assumed to be the same as for the general population</w:t>
            </w:r>
            <w:r>
              <w:rPr>
                <w:vertAlign w:val="superscript"/>
              </w:rPr>
              <w:t xml:space="preserve">24 </w:t>
            </w:r>
          </w:p>
        </w:tc>
      </w:tr>
      <w:tr w:rsidR="00F73F24" w:rsidTr="00671ADE">
        <w:tc>
          <w:tcPr>
            <w:tcW w:w="3582" w:type="dxa"/>
            <w:shd w:val="clear" w:color="auto" w:fill="auto"/>
            <w:vAlign w:val="center"/>
          </w:tcPr>
          <w:p w:rsidR="00F73F24" w:rsidRDefault="00F73F24" w:rsidP="00671ADE">
            <w:pPr>
              <w:pStyle w:val="Table"/>
              <w:spacing w:line="240" w:lineRule="auto"/>
            </w:pPr>
            <w:r>
              <w:t>NYHA III</w:t>
            </w:r>
          </w:p>
        </w:tc>
        <w:tc>
          <w:tcPr>
            <w:tcW w:w="1247" w:type="dxa"/>
            <w:shd w:val="clear" w:color="auto" w:fill="auto"/>
            <w:vAlign w:val="center"/>
          </w:tcPr>
          <w:p w:rsidR="00F73F24" w:rsidRDefault="00F73F24" w:rsidP="00671ADE">
            <w:pPr>
              <w:pStyle w:val="Table"/>
              <w:spacing w:line="240" w:lineRule="auto"/>
            </w:pPr>
            <w:r>
              <w:t>39.2%</w:t>
            </w:r>
          </w:p>
        </w:tc>
        <w:tc>
          <w:tcPr>
            <w:tcW w:w="1248" w:type="dxa"/>
            <w:shd w:val="clear" w:color="auto" w:fill="auto"/>
            <w:vAlign w:val="center"/>
          </w:tcPr>
          <w:p w:rsidR="00F73F24" w:rsidRDefault="00F73F24" w:rsidP="00671ADE">
            <w:pPr>
              <w:pStyle w:val="Table"/>
              <w:spacing w:line="240" w:lineRule="auto"/>
            </w:pPr>
            <w:r>
              <w:t>16.2%</w:t>
            </w:r>
          </w:p>
        </w:tc>
        <w:tc>
          <w:tcPr>
            <w:tcW w:w="3277" w:type="dxa"/>
            <w:shd w:val="clear" w:color="auto" w:fill="auto"/>
            <w:vAlign w:val="center"/>
          </w:tcPr>
          <w:p w:rsidR="00F73F24" w:rsidRDefault="00F73F24" w:rsidP="00671ADE">
            <w:pPr>
              <w:pStyle w:val="Table"/>
              <w:spacing w:line="240" w:lineRule="auto"/>
            </w:pPr>
            <w:r>
              <w:t>Assumed to be the same as for patients with MI</w:t>
            </w:r>
            <w:r>
              <w:rPr>
                <w:vertAlign w:val="superscript"/>
              </w:rPr>
              <w:t>21</w:t>
            </w:r>
          </w:p>
        </w:tc>
      </w:tr>
      <w:tr w:rsidR="00F73F24" w:rsidTr="00671ADE">
        <w:tc>
          <w:tcPr>
            <w:tcW w:w="9354" w:type="dxa"/>
            <w:gridSpan w:val="4"/>
            <w:shd w:val="clear" w:color="auto" w:fill="auto"/>
            <w:vAlign w:val="center"/>
          </w:tcPr>
          <w:p w:rsidR="00F73F24" w:rsidRDefault="00F73F24" w:rsidP="00671ADE">
            <w:pPr>
              <w:pStyle w:val="Table"/>
              <w:spacing w:line="240" w:lineRule="auto"/>
            </w:pPr>
            <w:r>
              <w:t>Mean daily cost per worker (age 25-64 years)</w:t>
            </w:r>
          </w:p>
        </w:tc>
      </w:tr>
      <w:tr w:rsidR="00F73F24" w:rsidTr="00671ADE">
        <w:tc>
          <w:tcPr>
            <w:tcW w:w="3582" w:type="dxa"/>
            <w:shd w:val="clear" w:color="auto" w:fill="auto"/>
            <w:vAlign w:val="center"/>
          </w:tcPr>
          <w:p w:rsidR="00F73F24" w:rsidRDefault="00F73F24" w:rsidP="00671ADE">
            <w:pPr>
              <w:pStyle w:val="Table"/>
              <w:spacing w:line="240" w:lineRule="auto"/>
            </w:pPr>
          </w:p>
        </w:tc>
        <w:tc>
          <w:tcPr>
            <w:tcW w:w="1247" w:type="dxa"/>
            <w:shd w:val="clear" w:color="auto" w:fill="auto"/>
            <w:vAlign w:val="center"/>
          </w:tcPr>
          <w:p w:rsidR="00F73F24" w:rsidRDefault="00F73F24" w:rsidP="00671ADE">
            <w:pPr>
              <w:pStyle w:val="Table"/>
              <w:spacing w:line="240" w:lineRule="auto"/>
            </w:pPr>
            <w:r>
              <w:t>Men</w:t>
            </w:r>
          </w:p>
        </w:tc>
        <w:tc>
          <w:tcPr>
            <w:tcW w:w="1248" w:type="dxa"/>
            <w:shd w:val="clear" w:color="auto" w:fill="auto"/>
            <w:vAlign w:val="center"/>
          </w:tcPr>
          <w:p w:rsidR="00F73F24" w:rsidRDefault="00F73F24" w:rsidP="00671ADE">
            <w:pPr>
              <w:pStyle w:val="Table"/>
              <w:spacing w:line="240" w:lineRule="auto"/>
            </w:pPr>
            <w:r>
              <w:t>Women</w:t>
            </w:r>
          </w:p>
        </w:tc>
        <w:tc>
          <w:tcPr>
            <w:tcW w:w="3277" w:type="dxa"/>
            <w:shd w:val="clear" w:color="auto" w:fill="auto"/>
            <w:vAlign w:val="center"/>
          </w:tcPr>
          <w:p w:rsidR="00F73F24" w:rsidRDefault="00F73F24" w:rsidP="00671ADE">
            <w:pPr>
              <w:pStyle w:val="Table"/>
              <w:spacing w:line="240" w:lineRule="auto"/>
            </w:pPr>
            <w:r>
              <w:t>Assumptions</w:t>
            </w:r>
          </w:p>
        </w:tc>
      </w:tr>
      <w:tr w:rsidR="00F73F24" w:rsidTr="00671ADE">
        <w:tc>
          <w:tcPr>
            <w:tcW w:w="3582" w:type="dxa"/>
            <w:shd w:val="clear" w:color="auto" w:fill="auto"/>
            <w:vAlign w:val="center"/>
          </w:tcPr>
          <w:p w:rsidR="00F73F24" w:rsidRDefault="00F73F24" w:rsidP="00671ADE">
            <w:pPr>
              <w:pStyle w:val="Table"/>
              <w:spacing w:line="240" w:lineRule="auto"/>
            </w:pPr>
            <w:r>
              <w:t>Absenteeism due to consultations, complementary diagnostic and therapeutic procedures, and ED visits</w:t>
            </w:r>
            <w:r>
              <w:rPr>
                <w:vertAlign w:val="superscript"/>
              </w:rPr>
              <w:t>a</w:t>
            </w:r>
          </w:p>
        </w:tc>
        <w:tc>
          <w:tcPr>
            <w:tcW w:w="1247" w:type="dxa"/>
            <w:shd w:val="clear" w:color="auto" w:fill="auto"/>
            <w:vAlign w:val="center"/>
          </w:tcPr>
          <w:p w:rsidR="00F73F24" w:rsidRDefault="00F73F24" w:rsidP="00671ADE">
            <w:pPr>
              <w:pStyle w:val="Table"/>
              <w:spacing w:line="240" w:lineRule="auto"/>
            </w:pPr>
            <w:r>
              <w:t>€93.87</w:t>
            </w:r>
          </w:p>
        </w:tc>
        <w:tc>
          <w:tcPr>
            <w:tcW w:w="1248" w:type="dxa"/>
            <w:shd w:val="clear" w:color="auto" w:fill="auto"/>
            <w:vAlign w:val="center"/>
          </w:tcPr>
          <w:p w:rsidR="00F73F24" w:rsidRDefault="00F73F24" w:rsidP="00671ADE">
            <w:pPr>
              <w:pStyle w:val="Table"/>
              <w:spacing w:line="240" w:lineRule="auto"/>
            </w:pPr>
            <w:r>
              <w:t>€73.64</w:t>
            </w:r>
          </w:p>
        </w:tc>
        <w:tc>
          <w:tcPr>
            <w:tcW w:w="3277" w:type="dxa"/>
            <w:shd w:val="clear" w:color="auto" w:fill="auto"/>
            <w:vAlign w:val="center"/>
          </w:tcPr>
          <w:p w:rsidR="00F73F24" w:rsidRDefault="00F73F24" w:rsidP="00671ADE">
            <w:pPr>
              <w:pStyle w:val="Table"/>
              <w:spacing w:line="240" w:lineRule="auto"/>
            </w:pPr>
            <w:r>
              <w:t>50% of ED visits are estimated to occur during working hours</w:t>
            </w:r>
          </w:p>
        </w:tc>
      </w:tr>
      <w:tr w:rsidR="00F73F24" w:rsidTr="00671ADE">
        <w:tc>
          <w:tcPr>
            <w:tcW w:w="3582" w:type="dxa"/>
            <w:shd w:val="clear" w:color="auto" w:fill="auto"/>
            <w:vAlign w:val="center"/>
          </w:tcPr>
          <w:p w:rsidR="00F73F24" w:rsidRDefault="00F73F24" w:rsidP="00671ADE">
            <w:pPr>
              <w:pStyle w:val="Table"/>
              <w:spacing w:line="240" w:lineRule="auto"/>
            </w:pPr>
            <w:r>
              <w:t>Absenteeism due to hospitalizations and convalescence</w:t>
            </w:r>
          </w:p>
        </w:tc>
        <w:tc>
          <w:tcPr>
            <w:tcW w:w="1247" w:type="dxa"/>
            <w:shd w:val="clear" w:color="auto" w:fill="auto"/>
            <w:vAlign w:val="center"/>
          </w:tcPr>
          <w:p w:rsidR="00F73F24" w:rsidRDefault="00F73F24" w:rsidP="00671ADE">
            <w:pPr>
              <w:pStyle w:val="Table"/>
              <w:spacing w:line="240" w:lineRule="auto"/>
            </w:pPr>
            <w:r>
              <w:t>€59.11</w:t>
            </w:r>
          </w:p>
        </w:tc>
        <w:tc>
          <w:tcPr>
            <w:tcW w:w="1248" w:type="dxa"/>
            <w:shd w:val="clear" w:color="auto" w:fill="auto"/>
            <w:vAlign w:val="center"/>
          </w:tcPr>
          <w:p w:rsidR="00F73F24" w:rsidRDefault="00F73F24" w:rsidP="00671ADE">
            <w:pPr>
              <w:pStyle w:val="Table"/>
              <w:spacing w:line="240" w:lineRule="auto"/>
            </w:pPr>
            <w:r>
              <w:t>€46.37</w:t>
            </w:r>
          </w:p>
        </w:tc>
        <w:tc>
          <w:tcPr>
            <w:tcW w:w="3277" w:type="dxa"/>
            <w:shd w:val="clear" w:color="auto" w:fill="auto"/>
            <w:vAlign w:val="center"/>
          </w:tcPr>
          <w:p w:rsidR="00F73F24" w:rsidRDefault="00F73F24" w:rsidP="00671ADE">
            <w:pPr>
              <w:pStyle w:val="Table"/>
              <w:spacing w:line="240" w:lineRule="auto"/>
            </w:pPr>
            <w:r>
              <w:t>Convalescence assumed to be the same duration as hospitalization</w:t>
            </w:r>
            <w:r>
              <w:rPr>
                <w:vertAlign w:val="superscript"/>
              </w:rPr>
              <w:t>12</w:t>
            </w:r>
          </w:p>
        </w:tc>
      </w:tr>
      <w:tr w:rsidR="00F73F24" w:rsidTr="00671ADE">
        <w:tc>
          <w:tcPr>
            <w:tcW w:w="3582"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Unemployed</w:t>
            </w:r>
          </w:p>
        </w:tc>
        <w:tc>
          <w:tcPr>
            <w:tcW w:w="124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€59.11</w:t>
            </w:r>
          </w:p>
        </w:tc>
        <w:tc>
          <w:tcPr>
            <w:tcW w:w="1248"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€46.37</w:t>
            </w:r>
          </w:p>
        </w:tc>
        <w:tc>
          <w:tcPr>
            <w:tcW w:w="327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Only patients in NYHA class III aged &lt;65. Employment of HF patients is assumed to be the same as for patients with previous MI.</w:t>
            </w:r>
            <w:r>
              <w:rPr>
                <w:vertAlign w:val="superscript"/>
              </w:rPr>
              <w:t>21</w:t>
            </w:r>
            <w:r>
              <w:t xml:space="preserve"> The unemployment rate is estimated on the basis of the difference between employment rates of the population with and without MI (with the same distribution by gender and age group</w:t>
            </w:r>
            <w:r>
              <w:rPr>
                <w:vertAlign w:val="superscript"/>
              </w:rPr>
              <w:t>21</w:t>
            </w:r>
            <w:r>
              <w:t>)</w:t>
            </w:r>
          </w:p>
        </w:tc>
      </w:tr>
      <w:tr w:rsidR="00F73F24" w:rsidTr="00671ADE">
        <w:tc>
          <w:tcPr>
            <w:tcW w:w="9354" w:type="dxa"/>
            <w:gridSpan w:val="4"/>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rPr>
                <w:vertAlign w:val="superscript"/>
              </w:rPr>
              <w:t>a</w:t>
            </w:r>
            <w:r>
              <w:t xml:space="preserve"> In the case of absenteeism related to hospitalizations and convalescence, consultations or ED visits, the average annual salary is divided by 365 given that these events may occur on any day of the week. Other estimates were based on 230 working days a year.</w:t>
            </w:r>
          </w:p>
          <w:p w:rsidR="00F73F24" w:rsidRDefault="00F73F24" w:rsidP="00671ADE">
            <w:pPr>
              <w:pStyle w:val="Table"/>
              <w:spacing w:line="240" w:lineRule="auto"/>
            </w:pPr>
            <w:r>
              <w:t xml:space="preserve">ED: emergency department; HF: heart failure; MI: myocardial infarction; NYHA: New York Heart Association </w:t>
            </w:r>
            <w:r>
              <w:lastRenderedPageBreak/>
              <w:t>functional class.</w:t>
            </w:r>
          </w:p>
          <w:p w:rsidR="00F73F24" w:rsidRDefault="00F73F24" w:rsidP="00671ADE">
            <w:pPr>
              <w:pStyle w:val="Table"/>
              <w:spacing w:line="240" w:lineRule="auto"/>
            </w:pPr>
            <w:r>
              <w:t>Source: estimated by the authors on the basis of the 2014 National Health Survey</w:t>
            </w:r>
            <w:r>
              <w:rPr>
                <w:vertAlign w:val="superscript"/>
              </w:rPr>
              <w:t>21</w:t>
            </w:r>
            <w:r>
              <w:t xml:space="preserve"> and on the Statistical Bulletin of August 2015 published by the Strategy and Planning Office of the Ministry of Labor, Solidarity and Social Security.</w:t>
            </w:r>
            <w:r>
              <w:rPr>
                <w:vertAlign w:val="superscript"/>
              </w:rPr>
              <w:t>23</w:t>
            </w:r>
          </w:p>
        </w:tc>
      </w:tr>
    </w:tbl>
    <w:p w:rsidR="00F73F24" w:rsidRDefault="00F73F24" w:rsidP="00F73F24"/>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2019"/>
        <w:gridCol w:w="1217"/>
        <w:gridCol w:w="1222"/>
        <w:gridCol w:w="1224"/>
        <w:gridCol w:w="1224"/>
        <w:gridCol w:w="1219"/>
        <w:gridCol w:w="1230"/>
      </w:tblGrid>
      <w:tr w:rsidR="00F73F24" w:rsidTr="00671ADE">
        <w:tc>
          <w:tcPr>
            <w:tcW w:w="9354" w:type="dxa"/>
            <w:gridSpan w:val="7"/>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5</w:t>
            </w:r>
            <w:r>
              <w:t xml:space="preserve"> Distribution of heart failure prevalence rates by gender and age group in mainland Portugal in 2014.</w:t>
            </w:r>
          </w:p>
        </w:tc>
      </w:tr>
      <w:tr w:rsidR="00F73F24" w:rsidTr="00671ADE">
        <w:tc>
          <w:tcPr>
            <w:tcW w:w="2020" w:type="dxa"/>
            <w:vMerge w:val="restart"/>
            <w:shd w:val="clear" w:color="auto" w:fill="auto"/>
            <w:vAlign w:val="center"/>
          </w:tcPr>
          <w:p w:rsidR="00F73F24" w:rsidRDefault="00F73F24" w:rsidP="00671ADE">
            <w:pPr>
              <w:pStyle w:val="Table"/>
              <w:spacing w:line="240" w:lineRule="auto"/>
            </w:pPr>
            <w:r>
              <w:t>Age group, years</w:t>
            </w:r>
          </w:p>
        </w:tc>
        <w:tc>
          <w:tcPr>
            <w:tcW w:w="2440" w:type="dxa"/>
            <w:gridSpan w:val="2"/>
            <w:shd w:val="clear" w:color="auto" w:fill="auto"/>
            <w:vAlign w:val="center"/>
          </w:tcPr>
          <w:p w:rsidR="00F73F24" w:rsidRDefault="00F73F24" w:rsidP="00671ADE">
            <w:pPr>
              <w:pStyle w:val="Table"/>
              <w:spacing w:line="240" w:lineRule="auto"/>
            </w:pPr>
            <w:r>
              <w:t>Men</w:t>
            </w:r>
          </w:p>
        </w:tc>
        <w:tc>
          <w:tcPr>
            <w:tcW w:w="2449" w:type="dxa"/>
            <w:gridSpan w:val="2"/>
            <w:shd w:val="clear" w:color="auto" w:fill="auto"/>
            <w:vAlign w:val="center"/>
          </w:tcPr>
          <w:p w:rsidR="00F73F24" w:rsidRDefault="00F73F24" w:rsidP="00671ADE">
            <w:pPr>
              <w:pStyle w:val="Table"/>
              <w:spacing w:line="240" w:lineRule="auto"/>
            </w:pPr>
            <w:r>
              <w:t>Women</w:t>
            </w:r>
          </w:p>
        </w:tc>
        <w:tc>
          <w:tcPr>
            <w:tcW w:w="2445" w:type="dxa"/>
            <w:gridSpan w:val="2"/>
            <w:shd w:val="clear" w:color="auto" w:fill="auto"/>
            <w:vAlign w:val="center"/>
          </w:tcPr>
          <w:p w:rsidR="00F73F24" w:rsidRDefault="00F73F24" w:rsidP="00671ADE">
            <w:pPr>
              <w:pStyle w:val="Table"/>
              <w:spacing w:line="240" w:lineRule="auto"/>
            </w:pPr>
            <w:r>
              <w:t>Total</w:t>
            </w:r>
          </w:p>
        </w:tc>
      </w:tr>
      <w:tr w:rsidR="00F73F24" w:rsidTr="00671ADE">
        <w:tc>
          <w:tcPr>
            <w:tcW w:w="2020" w:type="dxa"/>
            <w:vMerge/>
            <w:shd w:val="clear" w:color="auto" w:fill="auto"/>
            <w:vAlign w:val="center"/>
          </w:tcPr>
          <w:p w:rsidR="00F73F24" w:rsidRDefault="00F73F24" w:rsidP="00671ADE">
            <w:pPr>
              <w:spacing w:line="240" w:lineRule="auto"/>
            </w:pPr>
          </w:p>
        </w:tc>
        <w:tc>
          <w:tcPr>
            <w:tcW w:w="1217" w:type="dxa"/>
            <w:shd w:val="clear" w:color="auto" w:fill="auto"/>
            <w:vAlign w:val="center"/>
          </w:tcPr>
          <w:p w:rsidR="00F73F24" w:rsidRDefault="00F73F24" w:rsidP="00671ADE">
            <w:pPr>
              <w:pStyle w:val="Table"/>
              <w:spacing w:line="240" w:lineRule="auto"/>
            </w:pPr>
            <w:r>
              <w:t>n</w:t>
            </w:r>
          </w:p>
        </w:tc>
        <w:tc>
          <w:tcPr>
            <w:tcW w:w="1221" w:type="dxa"/>
            <w:shd w:val="clear" w:color="auto" w:fill="auto"/>
            <w:vAlign w:val="center"/>
          </w:tcPr>
          <w:p w:rsidR="00F73F24" w:rsidRDefault="00F73F24" w:rsidP="00671ADE">
            <w:pPr>
              <w:pStyle w:val="Table"/>
              <w:spacing w:line="240" w:lineRule="auto"/>
            </w:pPr>
            <w:r>
              <w:t>Rate</w:t>
            </w:r>
          </w:p>
        </w:tc>
        <w:tc>
          <w:tcPr>
            <w:tcW w:w="1224" w:type="dxa"/>
            <w:shd w:val="clear" w:color="auto" w:fill="auto"/>
            <w:vAlign w:val="center"/>
          </w:tcPr>
          <w:p w:rsidR="00F73F24" w:rsidRDefault="00F73F24" w:rsidP="00671ADE">
            <w:pPr>
              <w:pStyle w:val="Table"/>
              <w:spacing w:line="240" w:lineRule="auto"/>
            </w:pPr>
            <w:r>
              <w:t>n</w:t>
            </w:r>
          </w:p>
        </w:tc>
        <w:tc>
          <w:tcPr>
            <w:tcW w:w="1222" w:type="dxa"/>
            <w:shd w:val="clear" w:color="auto" w:fill="auto"/>
            <w:vAlign w:val="center"/>
          </w:tcPr>
          <w:p w:rsidR="00F73F24" w:rsidRDefault="00F73F24" w:rsidP="00671ADE">
            <w:pPr>
              <w:pStyle w:val="Table"/>
              <w:spacing w:line="240" w:lineRule="auto"/>
            </w:pPr>
            <w:r>
              <w:t>Rate</w:t>
            </w:r>
          </w:p>
        </w:tc>
        <w:tc>
          <w:tcPr>
            <w:tcW w:w="1219" w:type="dxa"/>
            <w:shd w:val="clear" w:color="auto" w:fill="auto"/>
            <w:vAlign w:val="center"/>
          </w:tcPr>
          <w:p w:rsidR="00F73F24" w:rsidRDefault="00F73F24" w:rsidP="00671ADE">
            <w:pPr>
              <w:pStyle w:val="Table"/>
              <w:spacing w:line="240" w:lineRule="auto"/>
            </w:pPr>
            <w:r>
              <w:t>n</w:t>
            </w:r>
          </w:p>
        </w:tc>
        <w:tc>
          <w:tcPr>
            <w:tcW w:w="1231" w:type="dxa"/>
            <w:shd w:val="clear" w:color="auto" w:fill="auto"/>
            <w:vAlign w:val="center"/>
          </w:tcPr>
          <w:p w:rsidR="00F73F24" w:rsidRDefault="00F73F24" w:rsidP="00671ADE">
            <w:pPr>
              <w:pStyle w:val="Table"/>
              <w:spacing w:line="240" w:lineRule="auto"/>
            </w:pPr>
            <w:r>
              <w:t>Rate</w:t>
            </w:r>
          </w:p>
        </w:tc>
      </w:tr>
      <w:tr w:rsidR="00F73F24" w:rsidTr="00671ADE">
        <w:tc>
          <w:tcPr>
            <w:tcW w:w="2020" w:type="dxa"/>
            <w:shd w:val="clear" w:color="auto" w:fill="auto"/>
            <w:vAlign w:val="center"/>
          </w:tcPr>
          <w:p w:rsidR="00F73F24" w:rsidRDefault="00F73F24" w:rsidP="00671ADE">
            <w:pPr>
              <w:pStyle w:val="Table"/>
              <w:spacing w:line="240" w:lineRule="auto"/>
            </w:pPr>
            <w:r>
              <w:t>25-49</w:t>
            </w:r>
          </w:p>
        </w:tc>
        <w:tc>
          <w:tcPr>
            <w:tcW w:w="1217" w:type="dxa"/>
            <w:shd w:val="clear" w:color="auto" w:fill="auto"/>
            <w:vAlign w:val="center"/>
          </w:tcPr>
          <w:p w:rsidR="00F73F24" w:rsidRDefault="00F73F24" w:rsidP="00671ADE">
            <w:pPr>
              <w:pStyle w:val="Table"/>
              <w:spacing w:line="240" w:lineRule="auto"/>
            </w:pPr>
            <w:r>
              <w:t>29</w:t>
            </w:r>
            <w:r>
              <w:rPr>
                <w:rFonts w:eastAsia="Times New Roman" w:cs="Times New Roman"/>
                <w:vertAlign w:val="superscript"/>
              </w:rPr>
              <w:t> </w:t>
            </w:r>
            <w:r>
              <w:t>254</w:t>
            </w:r>
          </w:p>
        </w:tc>
        <w:tc>
          <w:tcPr>
            <w:tcW w:w="1221" w:type="dxa"/>
            <w:shd w:val="clear" w:color="auto" w:fill="auto"/>
            <w:vAlign w:val="center"/>
          </w:tcPr>
          <w:p w:rsidR="00F73F24" w:rsidRDefault="00F73F24" w:rsidP="00671ADE">
            <w:pPr>
              <w:pStyle w:val="Table"/>
              <w:spacing w:line="240" w:lineRule="auto"/>
            </w:pPr>
            <w:r>
              <w:t>1.8%</w:t>
            </w:r>
          </w:p>
        </w:tc>
        <w:tc>
          <w:tcPr>
            <w:tcW w:w="1224" w:type="dxa"/>
            <w:shd w:val="clear" w:color="auto" w:fill="auto"/>
            <w:vAlign w:val="center"/>
          </w:tcPr>
          <w:p w:rsidR="00F73F24" w:rsidRDefault="00F73F24" w:rsidP="00671ADE">
            <w:pPr>
              <w:pStyle w:val="Table"/>
              <w:spacing w:line="240" w:lineRule="auto"/>
            </w:pPr>
            <w:r>
              <w:t>16</w:t>
            </w:r>
            <w:r>
              <w:rPr>
                <w:rFonts w:eastAsia="Times New Roman" w:cs="Times New Roman"/>
                <w:vertAlign w:val="superscript"/>
              </w:rPr>
              <w:t> </w:t>
            </w:r>
            <w:r>
              <w:t>889</w:t>
            </w:r>
          </w:p>
        </w:tc>
        <w:tc>
          <w:tcPr>
            <w:tcW w:w="1222" w:type="dxa"/>
            <w:shd w:val="clear" w:color="auto" w:fill="auto"/>
            <w:vAlign w:val="center"/>
          </w:tcPr>
          <w:p w:rsidR="00F73F24" w:rsidRDefault="00F73F24" w:rsidP="00671ADE">
            <w:pPr>
              <w:pStyle w:val="Table"/>
              <w:spacing w:line="240" w:lineRule="auto"/>
            </w:pPr>
            <w:r>
              <w:t>1.0%</w:t>
            </w:r>
          </w:p>
        </w:tc>
        <w:tc>
          <w:tcPr>
            <w:tcW w:w="1219" w:type="dxa"/>
            <w:shd w:val="clear" w:color="auto" w:fill="auto"/>
            <w:vAlign w:val="center"/>
          </w:tcPr>
          <w:p w:rsidR="00F73F24" w:rsidRDefault="00F73F24" w:rsidP="00671ADE">
            <w:pPr>
              <w:pStyle w:val="Table"/>
              <w:spacing w:line="240" w:lineRule="auto"/>
            </w:pPr>
            <w:r>
              <w:t>46</w:t>
            </w:r>
            <w:r>
              <w:rPr>
                <w:rFonts w:eastAsia="Times New Roman" w:cs="Times New Roman"/>
                <w:vertAlign w:val="superscript"/>
              </w:rPr>
              <w:t> </w:t>
            </w:r>
            <w:r>
              <w:t>143</w:t>
            </w:r>
          </w:p>
        </w:tc>
        <w:tc>
          <w:tcPr>
            <w:tcW w:w="1231" w:type="dxa"/>
            <w:shd w:val="clear" w:color="auto" w:fill="auto"/>
            <w:vAlign w:val="center"/>
          </w:tcPr>
          <w:p w:rsidR="00F73F24" w:rsidRDefault="00F73F24" w:rsidP="00671ADE">
            <w:pPr>
              <w:pStyle w:val="Table"/>
              <w:spacing w:line="240" w:lineRule="auto"/>
            </w:pPr>
            <w:r>
              <w:t>1.4%</w:t>
            </w:r>
          </w:p>
        </w:tc>
      </w:tr>
      <w:tr w:rsidR="00F73F24" w:rsidTr="00671ADE">
        <w:tc>
          <w:tcPr>
            <w:tcW w:w="2020" w:type="dxa"/>
            <w:shd w:val="clear" w:color="auto" w:fill="auto"/>
            <w:vAlign w:val="center"/>
          </w:tcPr>
          <w:p w:rsidR="00F73F24" w:rsidRDefault="00F73F24" w:rsidP="00671ADE">
            <w:pPr>
              <w:pStyle w:val="Table"/>
              <w:spacing w:line="240" w:lineRule="auto"/>
            </w:pPr>
            <w:r>
              <w:t>50-59</w:t>
            </w:r>
          </w:p>
        </w:tc>
        <w:tc>
          <w:tcPr>
            <w:tcW w:w="1217" w:type="dxa"/>
            <w:shd w:val="clear" w:color="auto" w:fill="auto"/>
            <w:vAlign w:val="center"/>
          </w:tcPr>
          <w:p w:rsidR="00F73F24" w:rsidRDefault="00F73F24" w:rsidP="00671ADE">
            <w:pPr>
              <w:pStyle w:val="Table"/>
              <w:spacing w:line="240" w:lineRule="auto"/>
            </w:pPr>
            <w:r>
              <w:t>14</w:t>
            </w:r>
            <w:r>
              <w:rPr>
                <w:rFonts w:eastAsia="Times New Roman" w:cs="Times New Roman"/>
                <w:vertAlign w:val="superscript"/>
              </w:rPr>
              <w:t> </w:t>
            </w:r>
            <w:r>
              <w:t>473</w:t>
            </w:r>
          </w:p>
        </w:tc>
        <w:tc>
          <w:tcPr>
            <w:tcW w:w="1221" w:type="dxa"/>
            <w:shd w:val="clear" w:color="auto" w:fill="auto"/>
            <w:vAlign w:val="center"/>
          </w:tcPr>
          <w:p w:rsidR="00F73F24" w:rsidRDefault="00F73F24" w:rsidP="00671ADE">
            <w:pPr>
              <w:pStyle w:val="Table"/>
              <w:spacing w:line="240" w:lineRule="auto"/>
            </w:pPr>
            <w:r>
              <w:t>2.2%</w:t>
            </w:r>
          </w:p>
        </w:tc>
        <w:tc>
          <w:tcPr>
            <w:tcW w:w="1224" w:type="dxa"/>
            <w:shd w:val="clear" w:color="auto" w:fill="auto"/>
            <w:vAlign w:val="center"/>
          </w:tcPr>
          <w:p w:rsidR="00F73F24" w:rsidRDefault="00F73F24" w:rsidP="00671ADE">
            <w:pPr>
              <w:pStyle w:val="Table"/>
              <w:spacing w:line="240" w:lineRule="auto"/>
            </w:pPr>
            <w:r>
              <w:t>25</w:t>
            </w:r>
            <w:r>
              <w:rPr>
                <w:rFonts w:eastAsia="Times New Roman" w:cs="Times New Roman"/>
                <w:vertAlign w:val="superscript"/>
              </w:rPr>
              <w:t> </w:t>
            </w:r>
            <w:r>
              <w:t>954</w:t>
            </w:r>
          </w:p>
        </w:tc>
        <w:tc>
          <w:tcPr>
            <w:tcW w:w="1222" w:type="dxa"/>
            <w:shd w:val="clear" w:color="auto" w:fill="auto"/>
            <w:vAlign w:val="center"/>
          </w:tcPr>
          <w:p w:rsidR="00F73F24" w:rsidRDefault="00F73F24" w:rsidP="00671ADE">
            <w:pPr>
              <w:pStyle w:val="Table"/>
              <w:spacing w:line="240" w:lineRule="auto"/>
            </w:pPr>
            <w:r>
              <w:t>3.6%</w:t>
            </w:r>
          </w:p>
        </w:tc>
        <w:tc>
          <w:tcPr>
            <w:tcW w:w="1219" w:type="dxa"/>
            <w:shd w:val="clear" w:color="auto" w:fill="auto"/>
            <w:vAlign w:val="center"/>
          </w:tcPr>
          <w:p w:rsidR="00F73F24" w:rsidRDefault="00F73F24" w:rsidP="00671ADE">
            <w:pPr>
              <w:pStyle w:val="Table"/>
              <w:spacing w:line="240" w:lineRule="auto"/>
            </w:pPr>
            <w:r>
              <w:t>40</w:t>
            </w:r>
            <w:r>
              <w:rPr>
                <w:rFonts w:eastAsia="Times New Roman" w:cs="Times New Roman"/>
                <w:vertAlign w:val="superscript"/>
              </w:rPr>
              <w:t> </w:t>
            </w:r>
            <w:r>
              <w:t>427</w:t>
            </w:r>
          </w:p>
        </w:tc>
        <w:tc>
          <w:tcPr>
            <w:tcW w:w="1231" w:type="dxa"/>
            <w:shd w:val="clear" w:color="auto" w:fill="auto"/>
            <w:vAlign w:val="center"/>
          </w:tcPr>
          <w:p w:rsidR="00F73F24" w:rsidRDefault="00F73F24" w:rsidP="00671ADE">
            <w:pPr>
              <w:pStyle w:val="Table"/>
              <w:spacing w:line="240" w:lineRule="auto"/>
            </w:pPr>
            <w:r>
              <w:t>2.9%</w:t>
            </w:r>
          </w:p>
        </w:tc>
      </w:tr>
      <w:tr w:rsidR="00F73F24" w:rsidTr="00671ADE">
        <w:tc>
          <w:tcPr>
            <w:tcW w:w="2020" w:type="dxa"/>
            <w:shd w:val="clear" w:color="auto" w:fill="auto"/>
            <w:vAlign w:val="center"/>
          </w:tcPr>
          <w:p w:rsidR="00F73F24" w:rsidRDefault="00F73F24" w:rsidP="00671ADE">
            <w:pPr>
              <w:pStyle w:val="Table"/>
              <w:spacing w:line="240" w:lineRule="auto"/>
            </w:pPr>
            <w:r>
              <w:t>60-69</w:t>
            </w:r>
          </w:p>
        </w:tc>
        <w:tc>
          <w:tcPr>
            <w:tcW w:w="1217" w:type="dxa"/>
            <w:shd w:val="clear" w:color="auto" w:fill="auto"/>
            <w:vAlign w:val="center"/>
          </w:tcPr>
          <w:p w:rsidR="00F73F24" w:rsidRDefault="00F73F24" w:rsidP="00671ADE">
            <w:pPr>
              <w:pStyle w:val="Table"/>
              <w:spacing w:line="240" w:lineRule="auto"/>
            </w:pPr>
            <w:r>
              <w:t>44</w:t>
            </w:r>
            <w:r>
              <w:rPr>
                <w:rFonts w:eastAsia="Times New Roman" w:cs="Times New Roman"/>
                <w:vertAlign w:val="superscript"/>
              </w:rPr>
              <w:t> </w:t>
            </w:r>
            <w:r>
              <w:t>522</w:t>
            </w:r>
          </w:p>
        </w:tc>
        <w:tc>
          <w:tcPr>
            <w:tcW w:w="1221" w:type="dxa"/>
            <w:shd w:val="clear" w:color="auto" w:fill="auto"/>
            <w:vAlign w:val="center"/>
          </w:tcPr>
          <w:p w:rsidR="00F73F24" w:rsidRDefault="00F73F24" w:rsidP="00671ADE">
            <w:pPr>
              <w:pStyle w:val="Table"/>
              <w:spacing w:line="240" w:lineRule="auto"/>
            </w:pPr>
            <w:r>
              <w:t>8.1%</w:t>
            </w:r>
          </w:p>
        </w:tc>
        <w:tc>
          <w:tcPr>
            <w:tcW w:w="1224" w:type="dxa"/>
            <w:shd w:val="clear" w:color="auto" w:fill="auto"/>
            <w:vAlign w:val="center"/>
          </w:tcPr>
          <w:p w:rsidR="00F73F24" w:rsidRDefault="00F73F24" w:rsidP="00671ADE">
            <w:pPr>
              <w:pStyle w:val="Table"/>
              <w:spacing w:line="240" w:lineRule="auto"/>
            </w:pPr>
            <w:r>
              <w:t>45</w:t>
            </w:r>
            <w:r>
              <w:rPr>
                <w:rFonts w:eastAsia="Times New Roman" w:cs="Times New Roman"/>
                <w:vertAlign w:val="superscript"/>
              </w:rPr>
              <w:t> </w:t>
            </w:r>
            <w:r>
              <w:t>945</w:t>
            </w:r>
          </w:p>
        </w:tc>
        <w:tc>
          <w:tcPr>
            <w:tcW w:w="1222" w:type="dxa"/>
            <w:shd w:val="clear" w:color="auto" w:fill="auto"/>
            <w:vAlign w:val="center"/>
          </w:tcPr>
          <w:p w:rsidR="00F73F24" w:rsidRDefault="00F73F24" w:rsidP="00671ADE">
            <w:pPr>
              <w:pStyle w:val="Table"/>
              <w:spacing w:line="240" w:lineRule="auto"/>
            </w:pPr>
            <w:r>
              <w:t>7.2%</w:t>
            </w:r>
          </w:p>
        </w:tc>
        <w:tc>
          <w:tcPr>
            <w:tcW w:w="1219" w:type="dxa"/>
            <w:shd w:val="clear" w:color="auto" w:fill="auto"/>
            <w:vAlign w:val="center"/>
          </w:tcPr>
          <w:p w:rsidR="00F73F24" w:rsidRDefault="00F73F24" w:rsidP="00671ADE">
            <w:pPr>
              <w:pStyle w:val="Table"/>
              <w:spacing w:line="240" w:lineRule="auto"/>
            </w:pPr>
            <w:r>
              <w:t>90</w:t>
            </w:r>
            <w:r>
              <w:rPr>
                <w:rFonts w:eastAsia="Times New Roman" w:cs="Times New Roman"/>
                <w:vertAlign w:val="superscript"/>
              </w:rPr>
              <w:t> </w:t>
            </w:r>
            <w:r>
              <w:t>468</w:t>
            </w:r>
          </w:p>
        </w:tc>
        <w:tc>
          <w:tcPr>
            <w:tcW w:w="1231" w:type="dxa"/>
            <w:shd w:val="clear" w:color="auto" w:fill="auto"/>
            <w:vAlign w:val="center"/>
          </w:tcPr>
          <w:p w:rsidR="00F73F24" w:rsidRDefault="00F73F24" w:rsidP="00671ADE">
            <w:pPr>
              <w:pStyle w:val="Table"/>
              <w:spacing w:line="240" w:lineRule="auto"/>
            </w:pPr>
            <w:r>
              <w:t>7.6%</w:t>
            </w:r>
          </w:p>
        </w:tc>
      </w:tr>
      <w:tr w:rsidR="00F73F24" w:rsidTr="00671ADE">
        <w:tc>
          <w:tcPr>
            <w:tcW w:w="2020" w:type="dxa"/>
            <w:shd w:val="clear" w:color="auto" w:fill="auto"/>
            <w:vAlign w:val="center"/>
          </w:tcPr>
          <w:p w:rsidR="00F73F24" w:rsidRDefault="00F73F24" w:rsidP="00671ADE">
            <w:pPr>
              <w:pStyle w:val="Table"/>
              <w:spacing w:line="240" w:lineRule="auto"/>
            </w:pPr>
            <w:r>
              <w:t>70-79</w:t>
            </w:r>
          </w:p>
        </w:tc>
        <w:tc>
          <w:tcPr>
            <w:tcW w:w="1217" w:type="dxa"/>
            <w:shd w:val="clear" w:color="auto" w:fill="auto"/>
            <w:vAlign w:val="center"/>
          </w:tcPr>
          <w:p w:rsidR="00F73F24" w:rsidRDefault="00F73F24" w:rsidP="00671ADE">
            <w:pPr>
              <w:pStyle w:val="Table"/>
              <w:spacing w:line="240" w:lineRule="auto"/>
            </w:pPr>
            <w:r>
              <w:t>55</w:t>
            </w:r>
            <w:r>
              <w:rPr>
                <w:rFonts w:eastAsia="Times New Roman" w:cs="Times New Roman"/>
                <w:vertAlign w:val="superscript"/>
              </w:rPr>
              <w:t> </w:t>
            </w:r>
            <w:r>
              <w:t>008</w:t>
            </w:r>
          </w:p>
        </w:tc>
        <w:tc>
          <w:tcPr>
            <w:tcW w:w="1221" w:type="dxa"/>
            <w:shd w:val="clear" w:color="auto" w:fill="auto"/>
            <w:vAlign w:val="center"/>
          </w:tcPr>
          <w:p w:rsidR="00F73F24" w:rsidRDefault="00F73F24" w:rsidP="00671ADE">
            <w:pPr>
              <w:pStyle w:val="Table"/>
              <w:spacing w:line="240" w:lineRule="auto"/>
            </w:pPr>
            <w:r>
              <w:t>14.3%</w:t>
            </w:r>
          </w:p>
        </w:tc>
        <w:tc>
          <w:tcPr>
            <w:tcW w:w="1224" w:type="dxa"/>
            <w:shd w:val="clear" w:color="auto" w:fill="auto"/>
            <w:vAlign w:val="center"/>
          </w:tcPr>
          <w:p w:rsidR="00F73F24" w:rsidRDefault="00F73F24" w:rsidP="00671ADE">
            <w:pPr>
              <w:pStyle w:val="Table"/>
              <w:spacing w:line="240" w:lineRule="auto"/>
            </w:pPr>
            <w:r>
              <w:t>58</w:t>
            </w:r>
            <w:r>
              <w:rPr>
                <w:rFonts w:eastAsia="Times New Roman" w:cs="Times New Roman"/>
                <w:vertAlign w:val="superscript"/>
              </w:rPr>
              <w:t> </w:t>
            </w:r>
            <w:r>
              <w:t>118</w:t>
            </w:r>
          </w:p>
        </w:tc>
        <w:tc>
          <w:tcPr>
            <w:tcW w:w="1222" w:type="dxa"/>
            <w:shd w:val="clear" w:color="auto" w:fill="auto"/>
            <w:vAlign w:val="center"/>
          </w:tcPr>
          <w:p w:rsidR="00F73F24" w:rsidRDefault="00F73F24" w:rsidP="00671ADE">
            <w:pPr>
              <w:pStyle w:val="Table"/>
              <w:spacing w:line="240" w:lineRule="auto"/>
            </w:pPr>
            <w:r>
              <w:t>11.5%</w:t>
            </w:r>
          </w:p>
        </w:tc>
        <w:tc>
          <w:tcPr>
            <w:tcW w:w="1219" w:type="dxa"/>
            <w:shd w:val="clear" w:color="auto" w:fill="auto"/>
            <w:vAlign w:val="center"/>
          </w:tcPr>
          <w:p w:rsidR="00F73F24" w:rsidRDefault="00F73F24" w:rsidP="00671ADE">
            <w:pPr>
              <w:pStyle w:val="Table"/>
              <w:spacing w:line="240" w:lineRule="auto"/>
            </w:pPr>
            <w:r>
              <w:t>113</w:t>
            </w:r>
            <w:r>
              <w:rPr>
                <w:rFonts w:eastAsia="Times New Roman" w:cs="Times New Roman"/>
                <w:vertAlign w:val="superscript"/>
              </w:rPr>
              <w:t> </w:t>
            </w:r>
            <w:r>
              <w:t>126</w:t>
            </w:r>
          </w:p>
        </w:tc>
        <w:tc>
          <w:tcPr>
            <w:tcW w:w="1231" w:type="dxa"/>
            <w:shd w:val="clear" w:color="auto" w:fill="auto"/>
            <w:vAlign w:val="center"/>
          </w:tcPr>
          <w:p w:rsidR="00F73F24" w:rsidRDefault="00F73F24" w:rsidP="00671ADE">
            <w:pPr>
              <w:pStyle w:val="Table"/>
              <w:spacing w:line="240" w:lineRule="auto"/>
            </w:pPr>
            <w:r>
              <w:t>12.7%</w:t>
            </w:r>
          </w:p>
        </w:tc>
      </w:tr>
      <w:tr w:rsidR="00F73F24" w:rsidTr="00671ADE">
        <w:tc>
          <w:tcPr>
            <w:tcW w:w="2020" w:type="dxa"/>
            <w:shd w:val="clear" w:color="auto" w:fill="auto"/>
            <w:vAlign w:val="center"/>
          </w:tcPr>
          <w:p w:rsidR="00F73F24" w:rsidRDefault="00F73F24" w:rsidP="00671ADE">
            <w:pPr>
              <w:pStyle w:val="Table"/>
              <w:spacing w:line="240" w:lineRule="auto"/>
            </w:pPr>
            <w:r>
              <w:rPr>
                <w:rFonts w:eastAsia="Times New Roman" w:cs="Times New Roman"/>
              </w:rPr>
              <w:t>≥</w:t>
            </w:r>
            <w:r>
              <w:t>80</w:t>
            </w:r>
          </w:p>
        </w:tc>
        <w:tc>
          <w:tcPr>
            <w:tcW w:w="1217" w:type="dxa"/>
            <w:shd w:val="clear" w:color="auto" w:fill="auto"/>
            <w:vAlign w:val="center"/>
          </w:tcPr>
          <w:p w:rsidR="00F73F24" w:rsidRDefault="00F73F24" w:rsidP="00671ADE">
            <w:pPr>
              <w:pStyle w:val="Table"/>
              <w:spacing w:line="240" w:lineRule="auto"/>
            </w:pPr>
            <w:r>
              <w:t>29</w:t>
            </w:r>
            <w:r>
              <w:rPr>
                <w:rFonts w:eastAsia="Times New Roman" w:cs="Times New Roman"/>
                <w:vertAlign w:val="superscript"/>
              </w:rPr>
              <w:t> </w:t>
            </w:r>
            <w:r>
              <w:t>552</w:t>
            </w:r>
          </w:p>
        </w:tc>
        <w:tc>
          <w:tcPr>
            <w:tcW w:w="1221" w:type="dxa"/>
            <w:shd w:val="clear" w:color="auto" w:fill="auto"/>
            <w:vAlign w:val="center"/>
          </w:tcPr>
          <w:p w:rsidR="00F73F24" w:rsidRDefault="00F73F24" w:rsidP="00671ADE">
            <w:pPr>
              <w:pStyle w:val="Table"/>
              <w:spacing w:line="240" w:lineRule="auto"/>
            </w:pPr>
            <w:r>
              <w:t>14.4%</w:t>
            </w:r>
          </w:p>
        </w:tc>
        <w:tc>
          <w:tcPr>
            <w:tcW w:w="1224" w:type="dxa"/>
            <w:shd w:val="clear" w:color="auto" w:fill="auto"/>
            <w:vAlign w:val="center"/>
          </w:tcPr>
          <w:p w:rsidR="00F73F24" w:rsidRDefault="00F73F24" w:rsidP="00671ADE">
            <w:pPr>
              <w:pStyle w:val="Table"/>
              <w:spacing w:line="240" w:lineRule="auto"/>
            </w:pPr>
            <w:r>
              <w:t>63</w:t>
            </w:r>
            <w:r>
              <w:rPr>
                <w:rFonts w:eastAsia="Times New Roman" w:cs="Times New Roman"/>
                <w:vertAlign w:val="superscript"/>
              </w:rPr>
              <w:t> </w:t>
            </w:r>
            <w:r>
              <w:t>328</w:t>
            </w:r>
          </w:p>
        </w:tc>
        <w:tc>
          <w:tcPr>
            <w:tcW w:w="1222" w:type="dxa"/>
            <w:shd w:val="clear" w:color="auto" w:fill="auto"/>
            <w:vAlign w:val="center"/>
          </w:tcPr>
          <w:p w:rsidR="00F73F24" w:rsidRDefault="00F73F24" w:rsidP="00671ADE">
            <w:pPr>
              <w:pStyle w:val="Table"/>
              <w:spacing w:line="240" w:lineRule="auto"/>
            </w:pPr>
            <w:r>
              <w:t>17.0%</w:t>
            </w:r>
          </w:p>
        </w:tc>
        <w:tc>
          <w:tcPr>
            <w:tcW w:w="1219" w:type="dxa"/>
            <w:shd w:val="clear" w:color="auto" w:fill="auto"/>
            <w:vAlign w:val="center"/>
          </w:tcPr>
          <w:p w:rsidR="00F73F24" w:rsidRDefault="00F73F24" w:rsidP="00671ADE">
            <w:pPr>
              <w:pStyle w:val="Table"/>
              <w:spacing w:line="240" w:lineRule="auto"/>
            </w:pPr>
            <w:r>
              <w:t>92</w:t>
            </w:r>
            <w:r>
              <w:rPr>
                <w:rFonts w:eastAsia="Times New Roman" w:cs="Times New Roman"/>
                <w:vertAlign w:val="superscript"/>
              </w:rPr>
              <w:t> </w:t>
            </w:r>
            <w:r>
              <w:t>880</w:t>
            </w:r>
          </w:p>
        </w:tc>
        <w:tc>
          <w:tcPr>
            <w:tcW w:w="1231" w:type="dxa"/>
            <w:shd w:val="clear" w:color="auto" w:fill="auto"/>
            <w:vAlign w:val="center"/>
          </w:tcPr>
          <w:p w:rsidR="00F73F24" w:rsidRDefault="00F73F24" w:rsidP="00671ADE">
            <w:pPr>
              <w:pStyle w:val="Table"/>
              <w:spacing w:line="240" w:lineRule="auto"/>
            </w:pPr>
            <w:r>
              <w:t>16.1%</w:t>
            </w:r>
          </w:p>
        </w:tc>
      </w:tr>
      <w:tr w:rsidR="00F73F24" w:rsidTr="00671ADE">
        <w:tc>
          <w:tcPr>
            <w:tcW w:w="202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Total (age ≥25 years)</w:t>
            </w:r>
          </w:p>
        </w:tc>
        <w:tc>
          <w:tcPr>
            <w:tcW w:w="121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172</w:t>
            </w:r>
            <w:r>
              <w:rPr>
                <w:rFonts w:eastAsia="Times New Roman" w:cs="Times New Roman"/>
                <w:vertAlign w:val="superscript"/>
              </w:rPr>
              <w:t> </w:t>
            </w:r>
            <w:r>
              <w:t>809</w:t>
            </w:r>
          </w:p>
        </w:tc>
        <w:tc>
          <w:tcPr>
            <w:tcW w:w="1221"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5.0%</w:t>
            </w:r>
          </w:p>
        </w:tc>
        <w:tc>
          <w:tcPr>
            <w:tcW w:w="1224"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210</w:t>
            </w:r>
            <w:r>
              <w:rPr>
                <w:rFonts w:eastAsia="Times New Roman" w:cs="Times New Roman"/>
                <w:vertAlign w:val="superscript"/>
              </w:rPr>
              <w:t> </w:t>
            </w:r>
            <w:r>
              <w:t>235</w:t>
            </w:r>
          </w:p>
        </w:tc>
        <w:tc>
          <w:tcPr>
            <w:tcW w:w="1222"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5.3%</w:t>
            </w:r>
          </w:p>
        </w:tc>
        <w:tc>
          <w:tcPr>
            <w:tcW w:w="1219"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383</w:t>
            </w:r>
            <w:r>
              <w:rPr>
                <w:rFonts w:eastAsia="Times New Roman" w:cs="Times New Roman"/>
                <w:vertAlign w:val="superscript"/>
              </w:rPr>
              <w:t> </w:t>
            </w:r>
            <w:r>
              <w:t>043</w:t>
            </w:r>
          </w:p>
        </w:tc>
        <w:tc>
          <w:tcPr>
            <w:tcW w:w="1231"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5.2%</w:t>
            </w:r>
          </w:p>
        </w:tc>
      </w:tr>
      <w:tr w:rsidR="00F73F24" w:rsidTr="00671ADE">
        <w:tc>
          <w:tcPr>
            <w:tcW w:w="9354" w:type="dxa"/>
            <w:gridSpan w:val="7"/>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Source: Authors’ estimates based on microdata from the EPICA study</w:t>
            </w:r>
            <w:r>
              <w:rPr>
                <w:vertAlign w:val="superscript"/>
              </w:rPr>
              <w:t>11</w:t>
            </w:r>
            <w:r>
              <w:t xml:space="preserve"> and the resident population in 2014.</w:t>
            </w:r>
            <w:r>
              <w:rPr>
                <w:vertAlign w:val="superscript"/>
              </w:rPr>
              <w:t>24</w:t>
            </w:r>
            <w:r>
              <w:t xml:space="preserve"> </w:t>
            </w:r>
          </w:p>
        </w:tc>
      </w:tr>
    </w:tbl>
    <w:p w:rsidR="00F73F24" w:rsidRDefault="00F73F24" w:rsidP="00F73F24"/>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2653"/>
        <w:gridCol w:w="1671"/>
        <w:gridCol w:w="1673"/>
        <w:gridCol w:w="1670"/>
        <w:gridCol w:w="1688"/>
      </w:tblGrid>
      <w:tr w:rsidR="00F73F24" w:rsidTr="00671ADE">
        <w:tc>
          <w:tcPr>
            <w:tcW w:w="9355" w:type="dxa"/>
            <w:gridSpan w:val="5"/>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6</w:t>
            </w:r>
            <w:r>
              <w:t xml:space="preserve"> Distribution of heart failure prevalence by age group and New York Heart Association functional class in mainland Portugal in 2014.</w:t>
            </w:r>
          </w:p>
        </w:tc>
      </w:tr>
      <w:tr w:rsidR="00F73F24" w:rsidTr="00671ADE">
        <w:tc>
          <w:tcPr>
            <w:tcW w:w="2653" w:type="dxa"/>
            <w:shd w:val="clear" w:color="auto" w:fill="auto"/>
            <w:vAlign w:val="center"/>
          </w:tcPr>
          <w:p w:rsidR="00F73F24" w:rsidRDefault="00F73F24" w:rsidP="00671ADE">
            <w:pPr>
              <w:pStyle w:val="Table"/>
              <w:spacing w:line="240" w:lineRule="auto"/>
            </w:pPr>
          </w:p>
        </w:tc>
        <w:tc>
          <w:tcPr>
            <w:tcW w:w="6702" w:type="dxa"/>
            <w:gridSpan w:val="4"/>
            <w:shd w:val="clear" w:color="auto" w:fill="auto"/>
            <w:vAlign w:val="center"/>
          </w:tcPr>
          <w:p w:rsidR="00F73F24" w:rsidRDefault="00F73F24" w:rsidP="00671ADE">
            <w:pPr>
              <w:pStyle w:val="Table"/>
              <w:spacing w:line="240" w:lineRule="auto"/>
            </w:pPr>
            <w:r>
              <w:t>NYHA class</w:t>
            </w:r>
            <w:r>
              <w:rPr>
                <w:vertAlign w:val="superscript"/>
              </w:rPr>
              <w:t>a</w:t>
            </w:r>
          </w:p>
        </w:tc>
      </w:tr>
      <w:tr w:rsidR="00F73F24" w:rsidTr="00671ADE">
        <w:tc>
          <w:tcPr>
            <w:tcW w:w="2653" w:type="dxa"/>
            <w:shd w:val="clear" w:color="auto" w:fill="auto"/>
            <w:vAlign w:val="center"/>
          </w:tcPr>
          <w:p w:rsidR="00F73F24" w:rsidRDefault="00F73F24" w:rsidP="00671ADE">
            <w:pPr>
              <w:pStyle w:val="Table"/>
              <w:spacing w:line="240" w:lineRule="auto"/>
            </w:pPr>
            <w:r>
              <w:t>Age group, years</w:t>
            </w:r>
          </w:p>
        </w:tc>
        <w:tc>
          <w:tcPr>
            <w:tcW w:w="1671" w:type="dxa"/>
            <w:shd w:val="clear" w:color="auto" w:fill="auto"/>
            <w:vAlign w:val="center"/>
          </w:tcPr>
          <w:p w:rsidR="00F73F24" w:rsidRDefault="00F73F24" w:rsidP="00671ADE">
            <w:pPr>
              <w:pStyle w:val="Table"/>
              <w:spacing w:line="240" w:lineRule="auto"/>
            </w:pPr>
            <w:r>
              <w:t>I</w:t>
            </w:r>
          </w:p>
        </w:tc>
        <w:tc>
          <w:tcPr>
            <w:tcW w:w="1673" w:type="dxa"/>
            <w:shd w:val="clear" w:color="auto" w:fill="auto"/>
            <w:vAlign w:val="center"/>
          </w:tcPr>
          <w:p w:rsidR="00F73F24" w:rsidRDefault="00F73F24" w:rsidP="00671ADE">
            <w:pPr>
              <w:pStyle w:val="Table"/>
              <w:spacing w:line="240" w:lineRule="auto"/>
            </w:pPr>
            <w:r>
              <w:t>II</w:t>
            </w:r>
          </w:p>
        </w:tc>
        <w:tc>
          <w:tcPr>
            <w:tcW w:w="1670" w:type="dxa"/>
            <w:shd w:val="clear" w:color="auto" w:fill="auto"/>
            <w:vAlign w:val="center"/>
          </w:tcPr>
          <w:p w:rsidR="00F73F24" w:rsidRDefault="00F73F24" w:rsidP="00671ADE">
            <w:pPr>
              <w:pStyle w:val="Table"/>
              <w:spacing w:line="240" w:lineRule="auto"/>
            </w:pPr>
            <w:r>
              <w:t>III</w:t>
            </w:r>
          </w:p>
        </w:tc>
        <w:tc>
          <w:tcPr>
            <w:tcW w:w="1688" w:type="dxa"/>
            <w:shd w:val="clear" w:color="auto" w:fill="auto"/>
            <w:vAlign w:val="center"/>
          </w:tcPr>
          <w:p w:rsidR="00F73F24" w:rsidRDefault="00F73F24" w:rsidP="00671ADE">
            <w:pPr>
              <w:pStyle w:val="Table"/>
              <w:spacing w:line="240" w:lineRule="auto"/>
            </w:pPr>
            <w:r>
              <w:t>IV</w:t>
            </w:r>
          </w:p>
        </w:tc>
      </w:tr>
      <w:tr w:rsidR="00F73F24" w:rsidTr="00671ADE">
        <w:tc>
          <w:tcPr>
            <w:tcW w:w="2653" w:type="dxa"/>
            <w:shd w:val="clear" w:color="auto" w:fill="auto"/>
            <w:vAlign w:val="center"/>
          </w:tcPr>
          <w:p w:rsidR="00F73F24" w:rsidRDefault="00F73F24" w:rsidP="00671ADE">
            <w:pPr>
              <w:pStyle w:val="Table"/>
              <w:spacing w:line="240" w:lineRule="auto"/>
            </w:pPr>
            <w:r>
              <w:t>25-49</w:t>
            </w:r>
          </w:p>
        </w:tc>
        <w:tc>
          <w:tcPr>
            <w:tcW w:w="1671" w:type="dxa"/>
            <w:shd w:val="clear" w:color="auto" w:fill="auto"/>
            <w:vAlign w:val="center"/>
          </w:tcPr>
          <w:p w:rsidR="00F73F24" w:rsidRDefault="00F73F24" w:rsidP="00671ADE">
            <w:pPr>
              <w:pStyle w:val="Table"/>
              <w:spacing w:line="240" w:lineRule="auto"/>
            </w:pPr>
            <w:r>
              <w:t>38.3%</w:t>
            </w:r>
          </w:p>
        </w:tc>
        <w:tc>
          <w:tcPr>
            <w:tcW w:w="1673" w:type="dxa"/>
            <w:shd w:val="clear" w:color="auto" w:fill="auto"/>
            <w:vAlign w:val="center"/>
          </w:tcPr>
          <w:p w:rsidR="00F73F24" w:rsidRDefault="00F73F24" w:rsidP="00671ADE">
            <w:pPr>
              <w:pStyle w:val="Table"/>
              <w:spacing w:line="240" w:lineRule="auto"/>
            </w:pPr>
            <w:r>
              <w:t>35.1%</w:t>
            </w:r>
          </w:p>
        </w:tc>
        <w:tc>
          <w:tcPr>
            <w:tcW w:w="1670" w:type="dxa"/>
            <w:shd w:val="clear" w:color="auto" w:fill="auto"/>
            <w:vAlign w:val="center"/>
          </w:tcPr>
          <w:p w:rsidR="00F73F24" w:rsidRDefault="00F73F24" w:rsidP="00671ADE">
            <w:pPr>
              <w:pStyle w:val="Table"/>
              <w:spacing w:line="240" w:lineRule="auto"/>
            </w:pPr>
            <w:r>
              <w:t>26.5%</w:t>
            </w:r>
          </w:p>
        </w:tc>
        <w:tc>
          <w:tcPr>
            <w:tcW w:w="1688" w:type="dxa"/>
            <w:shd w:val="clear" w:color="auto" w:fill="auto"/>
            <w:vAlign w:val="center"/>
          </w:tcPr>
          <w:p w:rsidR="00F73F24" w:rsidRDefault="00F73F24" w:rsidP="00671ADE">
            <w:pPr>
              <w:pStyle w:val="Table"/>
              <w:spacing w:line="240" w:lineRule="auto"/>
            </w:pPr>
            <w:r>
              <w:t>0.0%</w:t>
            </w:r>
          </w:p>
        </w:tc>
      </w:tr>
      <w:tr w:rsidR="00F73F24" w:rsidTr="00671ADE">
        <w:tc>
          <w:tcPr>
            <w:tcW w:w="2653" w:type="dxa"/>
            <w:shd w:val="clear" w:color="auto" w:fill="auto"/>
            <w:vAlign w:val="center"/>
          </w:tcPr>
          <w:p w:rsidR="00F73F24" w:rsidRDefault="00F73F24" w:rsidP="00671ADE">
            <w:pPr>
              <w:pStyle w:val="Table"/>
              <w:spacing w:line="240" w:lineRule="auto"/>
            </w:pPr>
            <w:r>
              <w:t>50-59</w:t>
            </w:r>
          </w:p>
        </w:tc>
        <w:tc>
          <w:tcPr>
            <w:tcW w:w="1671" w:type="dxa"/>
            <w:shd w:val="clear" w:color="auto" w:fill="auto"/>
            <w:vAlign w:val="center"/>
          </w:tcPr>
          <w:p w:rsidR="00F73F24" w:rsidRDefault="00F73F24" w:rsidP="00671ADE">
            <w:pPr>
              <w:pStyle w:val="Table"/>
              <w:spacing w:line="240" w:lineRule="auto"/>
            </w:pPr>
            <w:r>
              <w:t>38.3%</w:t>
            </w:r>
          </w:p>
        </w:tc>
        <w:tc>
          <w:tcPr>
            <w:tcW w:w="1673" w:type="dxa"/>
            <w:shd w:val="clear" w:color="auto" w:fill="auto"/>
            <w:vAlign w:val="center"/>
          </w:tcPr>
          <w:p w:rsidR="00F73F24" w:rsidRDefault="00F73F24" w:rsidP="00671ADE">
            <w:pPr>
              <w:pStyle w:val="Table"/>
              <w:spacing w:line="240" w:lineRule="auto"/>
            </w:pPr>
            <w:r>
              <w:t>35.1%</w:t>
            </w:r>
          </w:p>
        </w:tc>
        <w:tc>
          <w:tcPr>
            <w:tcW w:w="1670" w:type="dxa"/>
            <w:shd w:val="clear" w:color="auto" w:fill="auto"/>
            <w:vAlign w:val="center"/>
          </w:tcPr>
          <w:p w:rsidR="00F73F24" w:rsidRDefault="00F73F24" w:rsidP="00671ADE">
            <w:pPr>
              <w:pStyle w:val="Table"/>
              <w:spacing w:line="240" w:lineRule="auto"/>
            </w:pPr>
            <w:r>
              <w:t>26.5%</w:t>
            </w:r>
          </w:p>
        </w:tc>
        <w:tc>
          <w:tcPr>
            <w:tcW w:w="1688" w:type="dxa"/>
            <w:shd w:val="clear" w:color="auto" w:fill="auto"/>
            <w:vAlign w:val="center"/>
          </w:tcPr>
          <w:p w:rsidR="00F73F24" w:rsidRDefault="00F73F24" w:rsidP="00671ADE">
            <w:pPr>
              <w:pStyle w:val="Table"/>
              <w:spacing w:line="240" w:lineRule="auto"/>
            </w:pPr>
            <w:r>
              <w:t>0.0%</w:t>
            </w:r>
          </w:p>
        </w:tc>
      </w:tr>
      <w:tr w:rsidR="00F73F24" w:rsidTr="00671ADE">
        <w:tc>
          <w:tcPr>
            <w:tcW w:w="2653" w:type="dxa"/>
            <w:shd w:val="clear" w:color="auto" w:fill="auto"/>
            <w:vAlign w:val="center"/>
          </w:tcPr>
          <w:p w:rsidR="00F73F24" w:rsidRDefault="00F73F24" w:rsidP="00671ADE">
            <w:pPr>
              <w:pStyle w:val="Table"/>
              <w:spacing w:line="240" w:lineRule="auto"/>
            </w:pPr>
            <w:r>
              <w:t>60-69</w:t>
            </w:r>
          </w:p>
        </w:tc>
        <w:tc>
          <w:tcPr>
            <w:tcW w:w="1671" w:type="dxa"/>
            <w:shd w:val="clear" w:color="auto" w:fill="auto"/>
            <w:vAlign w:val="center"/>
          </w:tcPr>
          <w:p w:rsidR="00F73F24" w:rsidRDefault="00F73F24" w:rsidP="00671ADE">
            <w:pPr>
              <w:pStyle w:val="Table"/>
              <w:spacing w:line="240" w:lineRule="auto"/>
            </w:pPr>
            <w:r>
              <w:t>50.0%</w:t>
            </w:r>
          </w:p>
        </w:tc>
        <w:tc>
          <w:tcPr>
            <w:tcW w:w="1673" w:type="dxa"/>
            <w:shd w:val="clear" w:color="auto" w:fill="auto"/>
            <w:vAlign w:val="center"/>
          </w:tcPr>
          <w:p w:rsidR="00F73F24" w:rsidRDefault="00F73F24" w:rsidP="00671ADE">
            <w:pPr>
              <w:pStyle w:val="Table"/>
              <w:spacing w:line="240" w:lineRule="auto"/>
            </w:pPr>
            <w:r>
              <w:t>28.5%</w:t>
            </w:r>
          </w:p>
        </w:tc>
        <w:tc>
          <w:tcPr>
            <w:tcW w:w="1670" w:type="dxa"/>
            <w:shd w:val="clear" w:color="auto" w:fill="auto"/>
            <w:vAlign w:val="center"/>
          </w:tcPr>
          <w:p w:rsidR="00F73F24" w:rsidRDefault="00F73F24" w:rsidP="00671ADE">
            <w:pPr>
              <w:pStyle w:val="Table"/>
              <w:spacing w:line="240" w:lineRule="auto"/>
            </w:pPr>
            <w:r>
              <w:t>17.8%</w:t>
            </w:r>
          </w:p>
        </w:tc>
        <w:tc>
          <w:tcPr>
            <w:tcW w:w="1688" w:type="dxa"/>
            <w:shd w:val="clear" w:color="auto" w:fill="auto"/>
            <w:vAlign w:val="center"/>
          </w:tcPr>
          <w:p w:rsidR="00F73F24" w:rsidRDefault="00F73F24" w:rsidP="00671ADE">
            <w:pPr>
              <w:pStyle w:val="Table"/>
              <w:spacing w:line="240" w:lineRule="auto"/>
            </w:pPr>
            <w:r>
              <w:t>3.8%</w:t>
            </w:r>
          </w:p>
        </w:tc>
      </w:tr>
      <w:tr w:rsidR="00F73F24" w:rsidTr="00671ADE">
        <w:tc>
          <w:tcPr>
            <w:tcW w:w="2653" w:type="dxa"/>
            <w:shd w:val="clear" w:color="auto" w:fill="auto"/>
            <w:vAlign w:val="center"/>
          </w:tcPr>
          <w:p w:rsidR="00F73F24" w:rsidRDefault="00F73F24" w:rsidP="00671ADE">
            <w:pPr>
              <w:pStyle w:val="Table"/>
              <w:spacing w:line="240" w:lineRule="auto"/>
            </w:pPr>
            <w:r>
              <w:t>70-79</w:t>
            </w:r>
          </w:p>
        </w:tc>
        <w:tc>
          <w:tcPr>
            <w:tcW w:w="1671" w:type="dxa"/>
            <w:shd w:val="clear" w:color="auto" w:fill="auto"/>
            <w:vAlign w:val="center"/>
          </w:tcPr>
          <w:p w:rsidR="00F73F24" w:rsidRDefault="00F73F24" w:rsidP="00671ADE">
            <w:pPr>
              <w:pStyle w:val="Table"/>
              <w:spacing w:line="240" w:lineRule="auto"/>
            </w:pPr>
            <w:r>
              <w:t>35.4%</w:t>
            </w:r>
          </w:p>
        </w:tc>
        <w:tc>
          <w:tcPr>
            <w:tcW w:w="1673" w:type="dxa"/>
            <w:shd w:val="clear" w:color="auto" w:fill="auto"/>
            <w:vAlign w:val="center"/>
          </w:tcPr>
          <w:p w:rsidR="00F73F24" w:rsidRDefault="00F73F24" w:rsidP="00671ADE">
            <w:pPr>
              <w:pStyle w:val="Table"/>
              <w:spacing w:line="240" w:lineRule="auto"/>
            </w:pPr>
            <w:r>
              <w:t>29.4%</w:t>
            </w:r>
          </w:p>
        </w:tc>
        <w:tc>
          <w:tcPr>
            <w:tcW w:w="1670" w:type="dxa"/>
            <w:shd w:val="clear" w:color="auto" w:fill="auto"/>
            <w:vAlign w:val="center"/>
          </w:tcPr>
          <w:p w:rsidR="00F73F24" w:rsidRDefault="00F73F24" w:rsidP="00671ADE">
            <w:pPr>
              <w:pStyle w:val="Table"/>
              <w:spacing w:line="240" w:lineRule="auto"/>
            </w:pPr>
            <w:r>
              <w:t>25.8%</w:t>
            </w:r>
          </w:p>
        </w:tc>
        <w:tc>
          <w:tcPr>
            <w:tcW w:w="1688" w:type="dxa"/>
            <w:shd w:val="clear" w:color="auto" w:fill="auto"/>
            <w:vAlign w:val="center"/>
          </w:tcPr>
          <w:p w:rsidR="00F73F24" w:rsidRDefault="00F73F24" w:rsidP="00671ADE">
            <w:pPr>
              <w:pStyle w:val="Table"/>
              <w:spacing w:line="240" w:lineRule="auto"/>
            </w:pPr>
            <w:r>
              <w:t>9.5%</w:t>
            </w:r>
          </w:p>
        </w:tc>
      </w:tr>
      <w:tr w:rsidR="00F73F24" w:rsidTr="00671ADE">
        <w:tc>
          <w:tcPr>
            <w:tcW w:w="2653" w:type="dxa"/>
            <w:shd w:val="clear" w:color="auto" w:fill="auto"/>
            <w:vAlign w:val="center"/>
          </w:tcPr>
          <w:p w:rsidR="00F73F24" w:rsidRDefault="00F73F24" w:rsidP="00671ADE">
            <w:pPr>
              <w:pStyle w:val="Table"/>
              <w:spacing w:line="240" w:lineRule="auto"/>
            </w:pPr>
            <w:r>
              <w:rPr>
                <w:rFonts w:eastAsia="Times New Roman" w:cs="Times New Roman"/>
              </w:rPr>
              <w:t>≥</w:t>
            </w:r>
            <w:r>
              <w:t>80</w:t>
            </w:r>
          </w:p>
        </w:tc>
        <w:tc>
          <w:tcPr>
            <w:tcW w:w="1671" w:type="dxa"/>
            <w:shd w:val="clear" w:color="auto" w:fill="auto"/>
            <w:vAlign w:val="center"/>
          </w:tcPr>
          <w:p w:rsidR="00F73F24" w:rsidRDefault="00F73F24" w:rsidP="00671ADE">
            <w:pPr>
              <w:pStyle w:val="Table"/>
              <w:spacing w:line="240" w:lineRule="auto"/>
            </w:pPr>
            <w:r>
              <w:t>21.6%</w:t>
            </w:r>
          </w:p>
        </w:tc>
        <w:tc>
          <w:tcPr>
            <w:tcW w:w="1673" w:type="dxa"/>
            <w:shd w:val="clear" w:color="auto" w:fill="auto"/>
            <w:vAlign w:val="center"/>
          </w:tcPr>
          <w:p w:rsidR="00F73F24" w:rsidRDefault="00F73F24" w:rsidP="00671ADE">
            <w:pPr>
              <w:pStyle w:val="Table"/>
              <w:spacing w:line="240" w:lineRule="auto"/>
            </w:pPr>
            <w:r>
              <w:t>36.9%</w:t>
            </w:r>
          </w:p>
        </w:tc>
        <w:tc>
          <w:tcPr>
            <w:tcW w:w="1670" w:type="dxa"/>
            <w:shd w:val="clear" w:color="auto" w:fill="auto"/>
            <w:vAlign w:val="center"/>
          </w:tcPr>
          <w:p w:rsidR="00F73F24" w:rsidRDefault="00F73F24" w:rsidP="00671ADE">
            <w:pPr>
              <w:pStyle w:val="Table"/>
              <w:spacing w:line="240" w:lineRule="auto"/>
            </w:pPr>
            <w:r>
              <w:t>31.5%</w:t>
            </w:r>
          </w:p>
        </w:tc>
        <w:tc>
          <w:tcPr>
            <w:tcW w:w="1688" w:type="dxa"/>
            <w:shd w:val="clear" w:color="auto" w:fill="auto"/>
            <w:vAlign w:val="center"/>
          </w:tcPr>
          <w:p w:rsidR="00F73F24" w:rsidRDefault="00F73F24" w:rsidP="00671ADE">
            <w:pPr>
              <w:pStyle w:val="Table"/>
              <w:spacing w:line="240" w:lineRule="auto"/>
            </w:pPr>
            <w:r>
              <w:t>9.9%</w:t>
            </w:r>
          </w:p>
        </w:tc>
      </w:tr>
      <w:tr w:rsidR="00F73F24" w:rsidTr="00671ADE">
        <w:tc>
          <w:tcPr>
            <w:tcW w:w="2653"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Total</w:t>
            </w:r>
          </w:p>
        </w:tc>
        <w:tc>
          <w:tcPr>
            <w:tcW w:w="1671"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36.1%</w:t>
            </w:r>
          </w:p>
        </w:tc>
        <w:tc>
          <w:tcPr>
            <w:tcW w:w="1673"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32.3%</w:t>
            </w:r>
          </w:p>
        </w:tc>
        <w:tc>
          <w:tcPr>
            <w:tcW w:w="167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25.5%</w:t>
            </w:r>
          </w:p>
        </w:tc>
        <w:tc>
          <w:tcPr>
            <w:tcW w:w="1688"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6.1%</w:t>
            </w:r>
          </w:p>
        </w:tc>
      </w:tr>
      <w:tr w:rsidR="00F73F24" w:rsidTr="00671ADE">
        <w:tc>
          <w:tcPr>
            <w:tcW w:w="9355" w:type="dxa"/>
            <w:gridSpan w:val="5"/>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rPr>
                <w:vertAlign w:val="superscript"/>
              </w:rPr>
              <w:t>a</w:t>
            </w:r>
            <w:r>
              <w:t xml:space="preserve"> Since no significant differences were found in the gender distribution of NYHA class, and given the low number of observations in some demographic categories, it was decided to analyze individuals of both sexes together by age group. Cases with no NYHA class originally attributed in the microdata of the EPICA study were redistributed in such a way as to maintain the same proportion between classes.</w:t>
            </w:r>
          </w:p>
          <w:p w:rsidR="00F73F24" w:rsidRDefault="00F73F24" w:rsidP="00671ADE">
            <w:pPr>
              <w:pStyle w:val="Table"/>
              <w:spacing w:line="240" w:lineRule="auto"/>
            </w:pPr>
            <w:r>
              <w:t>NYHA: New York Heart Association.</w:t>
            </w:r>
          </w:p>
          <w:p w:rsidR="00F73F24" w:rsidRDefault="00F73F24" w:rsidP="00671ADE">
            <w:pPr>
              <w:pStyle w:val="Table"/>
              <w:spacing w:line="240" w:lineRule="auto"/>
            </w:pPr>
            <w:r>
              <w:t>Source: Authors’ estimate based on microdata from the EPICA study.</w:t>
            </w:r>
            <w:r>
              <w:rPr>
                <w:vertAlign w:val="superscript"/>
              </w:rPr>
              <w:t>12</w:t>
            </w:r>
          </w:p>
        </w:tc>
      </w:tr>
    </w:tbl>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2339"/>
        <w:gridCol w:w="2332"/>
        <w:gridCol w:w="2345"/>
        <w:gridCol w:w="2339"/>
      </w:tblGrid>
      <w:tr w:rsidR="00F73F24" w:rsidTr="00671ADE">
        <w:tc>
          <w:tcPr>
            <w:tcW w:w="9354" w:type="dxa"/>
            <w:gridSpan w:val="4"/>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7</w:t>
            </w:r>
            <w:r>
              <w:t xml:space="preserve"> Indirect costs arising from absenteeism due to consultations, complementary diagnostic and therapeutic procedures, ED visits without admission, and hospitalizations and convalescence.</w:t>
            </w:r>
          </w:p>
        </w:tc>
      </w:tr>
      <w:tr w:rsidR="00F73F24" w:rsidTr="00671ADE">
        <w:tc>
          <w:tcPr>
            <w:tcW w:w="2338" w:type="dxa"/>
            <w:vMerge w:val="restart"/>
            <w:shd w:val="clear" w:color="auto" w:fill="auto"/>
            <w:vAlign w:val="center"/>
          </w:tcPr>
          <w:p w:rsidR="00F73F24" w:rsidRDefault="00F73F24" w:rsidP="00671ADE">
            <w:pPr>
              <w:pStyle w:val="Table"/>
              <w:spacing w:line="240" w:lineRule="auto"/>
            </w:pPr>
            <w:r>
              <w:t>Age group, years</w:t>
            </w:r>
          </w:p>
        </w:tc>
        <w:tc>
          <w:tcPr>
            <w:tcW w:w="7016" w:type="dxa"/>
            <w:gridSpan w:val="3"/>
            <w:shd w:val="clear" w:color="auto" w:fill="auto"/>
            <w:vAlign w:val="center"/>
          </w:tcPr>
          <w:p w:rsidR="00F73F24" w:rsidRDefault="00F73F24" w:rsidP="00671ADE">
            <w:pPr>
              <w:pStyle w:val="Table"/>
              <w:spacing w:line="240" w:lineRule="auto"/>
            </w:pPr>
            <w:r>
              <w:t>Costs due to absenteeism (€)</w:t>
            </w:r>
          </w:p>
        </w:tc>
      </w:tr>
      <w:tr w:rsidR="00F73F24" w:rsidTr="00671ADE">
        <w:tc>
          <w:tcPr>
            <w:tcW w:w="2338" w:type="dxa"/>
            <w:vMerge/>
            <w:shd w:val="clear" w:color="auto" w:fill="auto"/>
            <w:vAlign w:val="center"/>
          </w:tcPr>
          <w:p w:rsidR="00F73F24" w:rsidRDefault="00F73F24" w:rsidP="00671ADE">
            <w:pPr>
              <w:spacing w:line="240" w:lineRule="auto"/>
            </w:pPr>
          </w:p>
        </w:tc>
        <w:tc>
          <w:tcPr>
            <w:tcW w:w="2332" w:type="dxa"/>
            <w:shd w:val="clear" w:color="auto" w:fill="auto"/>
            <w:vAlign w:val="center"/>
          </w:tcPr>
          <w:p w:rsidR="00F73F24" w:rsidRDefault="00F73F24" w:rsidP="00671ADE">
            <w:pPr>
              <w:pStyle w:val="Table"/>
              <w:spacing w:line="240" w:lineRule="auto"/>
            </w:pPr>
            <w:r>
              <w:t>Men</w:t>
            </w:r>
          </w:p>
        </w:tc>
        <w:tc>
          <w:tcPr>
            <w:tcW w:w="2345" w:type="dxa"/>
            <w:shd w:val="clear" w:color="auto" w:fill="auto"/>
            <w:vAlign w:val="center"/>
          </w:tcPr>
          <w:p w:rsidR="00F73F24" w:rsidRDefault="00F73F24" w:rsidP="00671ADE">
            <w:pPr>
              <w:pStyle w:val="Table"/>
              <w:spacing w:line="240" w:lineRule="auto"/>
            </w:pPr>
            <w:r>
              <w:t>Women</w:t>
            </w:r>
          </w:p>
        </w:tc>
        <w:tc>
          <w:tcPr>
            <w:tcW w:w="2339" w:type="dxa"/>
            <w:shd w:val="clear" w:color="auto" w:fill="auto"/>
            <w:vAlign w:val="center"/>
          </w:tcPr>
          <w:p w:rsidR="00F73F24" w:rsidRDefault="00F73F24" w:rsidP="00671ADE">
            <w:pPr>
              <w:pStyle w:val="Table"/>
              <w:spacing w:line="240" w:lineRule="auto"/>
            </w:pPr>
            <w:r>
              <w:t>Total</w:t>
            </w:r>
          </w:p>
        </w:tc>
      </w:tr>
      <w:tr w:rsidR="00F73F24" w:rsidTr="00671ADE">
        <w:tc>
          <w:tcPr>
            <w:tcW w:w="2338" w:type="dxa"/>
            <w:shd w:val="clear" w:color="auto" w:fill="auto"/>
            <w:vAlign w:val="center"/>
          </w:tcPr>
          <w:p w:rsidR="00F73F24" w:rsidRDefault="00F73F24" w:rsidP="00671ADE">
            <w:pPr>
              <w:pStyle w:val="Table"/>
              <w:spacing w:line="240" w:lineRule="auto"/>
            </w:pPr>
            <w:r>
              <w:t>25-44</w:t>
            </w:r>
          </w:p>
        </w:tc>
        <w:tc>
          <w:tcPr>
            <w:tcW w:w="2332" w:type="dxa"/>
            <w:shd w:val="clear" w:color="auto" w:fill="auto"/>
            <w:vAlign w:val="center"/>
          </w:tcPr>
          <w:p w:rsidR="00F73F24" w:rsidRDefault="00F73F24" w:rsidP="00671ADE">
            <w:pPr>
              <w:pStyle w:val="Table"/>
              <w:spacing w:line="240" w:lineRule="auto"/>
            </w:pPr>
            <w:r>
              <w:t>2</w:t>
            </w:r>
            <w:r>
              <w:rPr>
                <w:rFonts w:eastAsia="Times New Roman" w:cs="Times New Roman"/>
                <w:vertAlign w:val="superscript"/>
              </w:rPr>
              <w:t> </w:t>
            </w:r>
            <w:r>
              <w:t>627</w:t>
            </w:r>
            <w:r>
              <w:rPr>
                <w:rFonts w:eastAsia="Times New Roman" w:cs="Times New Roman"/>
                <w:vertAlign w:val="superscript"/>
              </w:rPr>
              <w:t> </w:t>
            </w:r>
            <w:r>
              <w:t>264</w:t>
            </w:r>
            <w:r>
              <w:rPr>
                <w:rFonts w:eastAsia="Times New Roman" w:cs="Times New Roman"/>
                <w:vertAlign w:val="superscript"/>
              </w:rPr>
              <w:t> </w:t>
            </w:r>
          </w:p>
        </w:tc>
        <w:tc>
          <w:tcPr>
            <w:tcW w:w="2345" w:type="dxa"/>
            <w:shd w:val="clear" w:color="auto" w:fill="auto"/>
            <w:vAlign w:val="center"/>
          </w:tcPr>
          <w:p w:rsidR="00F73F24" w:rsidRDefault="00F73F24" w:rsidP="00671ADE">
            <w:pPr>
              <w:pStyle w:val="Table"/>
              <w:spacing w:line="240" w:lineRule="auto"/>
            </w:pPr>
            <w:r>
              <w:t>597</w:t>
            </w:r>
            <w:r>
              <w:rPr>
                <w:rFonts w:eastAsia="Times New Roman" w:cs="Times New Roman"/>
                <w:vertAlign w:val="superscript"/>
              </w:rPr>
              <w:t> </w:t>
            </w:r>
            <w:r>
              <w:t>277</w:t>
            </w:r>
          </w:p>
        </w:tc>
        <w:tc>
          <w:tcPr>
            <w:tcW w:w="2339" w:type="dxa"/>
            <w:shd w:val="clear" w:color="auto" w:fill="auto"/>
            <w:vAlign w:val="center"/>
          </w:tcPr>
          <w:p w:rsidR="00F73F24" w:rsidRDefault="00F73F24" w:rsidP="00671ADE">
            <w:pPr>
              <w:pStyle w:val="Table"/>
              <w:spacing w:line="240" w:lineRule="auto"/>
            </w:pPr>
            <w:r>
              <w:t>3</w:t>
            </w:r>
            <w:r>
              <w:rPr>
                <w:rFonts w:eastAsia="Times New Roman" w:cs="Times New Roman"/>
                <w:vertAlign w:val="superscript"/>
              </w:rPr>
              <w:t> </w:t>
            </w:r>
            <w:r>
              <w:t>224</w:t>
            </w:r>
            <w:r>
              <w:rPr>
                <w:rFonts w:eastAsia="Times New Roman" w:cs="Times New Roman"/>
                <w:vertAlign w:val="superscript"/>
              </w:rPr>
              <w:t> </w:t>
            </w:r>
            <w:r>
              <w:t>541</w:t>
            </w:r>
          </w:p>
        </w:tc>
      </w:tr>
      <w:tr w:rsidR="00F73F24" w:rsidTr="00671ADE">
        <w:tc>
          <w:tcPr>
            <w:tcW w:w="2338"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45-65</w:t>
            </w:r>
          </w:p>
        </w:tc>
        <w:tc>
          <w:tcPr>
            <w:tcW w:w="2332"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9</w:t>
            </w:r>
            <w:r>
              <w:rPr>
                <w:rFonts w:eastAsia="Times New Roman" w:cs="Times New Roman"/>
                <w:vertAlign w:val="superscript"/>
              </w:rPr>
              <w:t> </w:t>
            </w:r>
            <w:r>
              <w:t>352</w:t>
            </w:r>
            <w:r>
              <w:rPr>
                <w:rFonts w:eastAsia="Times New Roman" w:cs="Times New Roman"/>
                <w:vertAlign w:val="superscript"/>
              </w:rPr>
              <w:t> </w:t>
            </w:r>
            <w:r>
              <w:t>846</w:t>
            </w:r>
          </w:p>
        </w:tc>
        <w:tc>
          <w:tcPr>
            <w:tcW w:w="2345"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4</w:t>
            </w:r>
            <w:r>
              <w:rPr>
                <w:rFonts w:eastAsia="Times New Roman" w:cs="Times New Roman"/>
                <w:vertAlign w:val="superscript"/>
              </w:rPr>
              <w:t> </w:t>
            </w:r>
            <w:r>
              <w:t>550</w:t>
            </w:r>
            <w:r>
              <w:rPr>
                <w:rFonts w:eastAsia="Times New Roman" w:cs="Times New Roman"/>
                <w:vertAlign w:val="superscript"/>
              </w:rPr>
              <w:t> </w:t>
            </w:r>
            <w:r>
              <w:t>780</w:t>
            </w:r>
          </w:p>
        </w:tc>
        <w:tc>
          <w:tcPr>
            <w:tcW w:w="2339"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13</w:t>
            </w:r>
            <w:r>
              <w:rPr>
                <w:rFonts w:eastAsia="Times New Roman" w:cs="Times New Roman"/>
                <w:vertAlign w:val="superscript"/>
              </w:rPr>
              <w:t> </w:t>
            </w:r>
            <w:r>
              <w:t>903</w:t>
            </w:r>
            <w:r>
              <w:rPr>
                <w:rFonts w:eastAsia="Times New Roman" w:cs="Times New Roman"/>
                <w:vertAlign w:val="superscript"/>
              </w:rPr>
              <w:t> </w:t>
            </w:r>
            <w:r>
              <w:t>626</w:t>
            </w:r>
          </w:p>
        </w:tc>
      </w:tr>
      <w:tr w:rsidR="00F73F24" w:rsidTr="00671ADE">
        <w:tc>
          <w:tcPr>
            <w:tcW w:w="9354" w:type="dxa"/>
            <w:gridSpan w:val="4"/>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r>
    </w:tbl>
    <w:p w:rsidR="00F73F24" w:rsidRDefault="00F73F24" w:rsidP="00F73F24"/>
    <w:p w:rsidR="00F73F24" w:rsidRDefault="00F73F24" w:rsidP="00F73F24"/>
    <w:tbl>
      <w:tblPr>
        <w:tblW w:w="9355" w:type="dxa"/>
        <w:tblInd w:w="57" w:type="dxa"/>
        <w:tblBorders>
          <w:top w:val="single" w:sz="2" w:space="0" w:color="000001"/>
        </w:tblBorders>
        <w:tblCellMar>
          <w:left w:w="57" w:type="dxa"/>
          <w:right w:w="57" w:type="dxa"/>
        </w:tblCellMar>
        <w:tblLook w:val="04A0" w:firstRow="1" w:lastRow="0" w:firstColumn="1" w:lastColumn="0" w:noHBand="0" w:noVBand="1"/>
      </w:tblPr>
      <w:tblGrid>
        <w:gridCol w:w="2328"/>
        <w:gridCol w:w="1776"/>
        <w:gridCol w:w="1749"/>
        <w:gridCol w:w="1745"/>
        <w:gridCol w:w="1757"/>
      </w:tblGrid>
      <w:tr w:rsidR="00F73F24" w:rsidTr="00671ADE">
        <w:trPr>
          <w:trHeight w:val="330"/>
        </w:trPr>
        <w:tc>
          <w:tcPr>
            <w:tcW w:w="9355" w:type="dxa"/>
            <w:gridSpan w:val="5"/>
            <w:tcBorders>
              <w:top w:val="single" w:sz="2" w:space="0" w:color="000001"/>
            </w:tcBorders>
            <w:shd w:val="clear" w:color="auto" w:fill="auto"/>
            <w:vAlign w:val="center"/>
          </w:tcPr>
          <w:p w:rsidR="00F73F24" w:rsidRDefault="00F73F24" w:rsidP="00671ADE">
            <w:pPr>
              <w:pStyle w:val="Table"/>
              <w:spacing w:line="240" w:lineRule="auto"/>
            </w:pPr>
            <w:r>
              <w:rPr>
                <w:b/>
                <w:bCs/>
              </w:rPr>
              <w:t>Supplementary Table 8</w:t>
            </w:r>
            <w:r>
              <w:t xml:space="preserve"> Indirect costs arising from inability to work due to heart failure.</w:t>
            </w:r>
          </w:p>
        </w:tc>
      </w:tr>
      <w:tr w:rsidR="00F73F24" w:rsidTr="00671ADE">
        <w:trPr>
          <w:trHeight w:val="330"/>
        </w:trPr>
        <w:tc>
          <w:tcPr>
            <w:tcW w:w="2330" w:type="dxa"/>
            <w:vMerge w:val="restart"/>
            <w:shd w:val="clear" w:color="auto" w:fill="auto"/>
            <w:vAlign w:val="center"/>
          </w:tcPr>
          <w:p w:rsidR="00F73F24" w:rsidRDefault="00F73F24" w:rsidP="00671ADE">
            <w:pPr>
              <w:pStyle w:val="Table"/>
              <w:spacing w:line="240" w:lineRule="auto"/>
            </w:pPr>
            <w:r>
              <w:t>Age group, years</w:t>
            </w:r>
          </w:p>
        </w:tc>
        <w:tc>
          <w:tcPr>
            <w:tcW w:w="3525" w:type="dxa"/>
            <w:gridSpan w:val="2"/>
            <w:shd w:val="clear" w:color="auto" w:fill="auto"/>
            <w:vAlign w:val="center"/>
          </w:tcPr>
          <w:p w:rsidR="00F73F24" w:rsidRDefault="00F73F24" w:rsidP="00671ADE">
            <w:pPr>
              <w:pStyle w:val="Table"/>
              <w:spacing w:line="240" w:lineRule="auto"/>
            </w:pPr>
            <w:r>
              <w:t>Men</w:t>
            </w:r>
          </w:p>
        </w:tc>
        <w:tc>
          <w:tcPr>
            <w:tcW w:w="3500" w:type="dxa"/>
            <w:gridSpan w:val="2"/>
            <w:shd w:val="clear" w:color="auto" w:fill="auto"/>
            <w:vAlign w:val="center"/>
          </w:tcPr>
          <w:p w:rsidR="00F73F24" w:rsidRDefault="00F73F24" w:rsidP="00671ADE">
            <w:pPr>
              <w:pStyle w:val="Table"/>
              <w:spacing w:line="240" w:lineRule="auto"/>
            </w:pPr>
            <w:r>
              <w:t>Women</w:t>
            </w:r>
          </w:p>
        </w:tc>
      </w:tr>
      <w:tr w:rsidR="00F73F24" w:rsidTr="00671ADE">
        <w:trPr>
          <w:trHeight w:val="330"/>
        </w:trPr>
        <w:tc>
          <w:tcPr>
            <w:tcW w:w="2330" w:type="dxa"/>
            <w:vMerge/>
            <w:shd w:val="clear" w:color="auto" w:fill="auto"/>
            <w:vAlign w:val="center"/>
          </w:tcPr>
          <w:p w:rsidR="00F73F24" w:rsidRDefault="00F73F24" w:rsidP="00671ADE">
            <w:pPr>
              <w:spacing w:line="240" w:lineRule="auto"/>
            </w:pPr>
          </w:p>
        </w:tc>
        <w:tc>
          <w:tcPr>
            <w:tcW w:w="1776" w:type="dxa"/>
            <w:shd w:val="clear" w:color="auto" w:fill="auto"/>
            <w:vAlign w:val="center"/>
          </w:tcPr>
          <w:p w:rsidR="00F73F24" w:rsidRDefault="00F73F24" w:rsidP="00671ADE">
            <w:pPr>
              <w:pStyle w:val="Table"/>
              <w:spacing w:line="240" w:lineRule="auto"/>
            </w:pPr>
            <w:r>
              <w:t>Patients (n)</w:t>
            </w:r>
          </w:p>
        </w:tc>
        <w:tc>
          <w:tcPr>
            <w:tcW w:w="1747" w:type="dxa"/>
            <w:shd w:val="clear" w:color="auto" w:fill="auto"/>
            <w:vAlign w:val="center"/>
          </w:tcPr>
          <w:p w:rsidR="00F73F24" w:rsidRDefault="00F73F24" w:rsidP="00671ADE">
            <w:pPr>
              <w:pStyle w:val="Table"/>
              <w:spacing w:line="240" w:lineRule="auto"/>
            </w:pPr>
            <w:r>
              <w:t>Total cost (€)</w:t>
            </w:r>
          </w:p>
        </w:tc>
        <w:tc>
          <w:tcPr>
            <w:tcW w:w="1745" w:type="dxa"/>
            <w:shd w:val="clear" w:color="auto" w:fill="auto"/>
            <w:vAlign w:val="center"/>
          </w:tcPr>
          <w:p w:rsidR="00F73F24" w:rsidRDefault="00F73F24" w:rsidP="00671ADE">
            <w:pPr>
              <w:pStyle w:val="Table"/>
              <w:spacing w:line="240" w:lineRule="auto"/>
            </w:pPr>
            <w:r>
              <w:t>Patients (n)</w:t>
            </w:r>
          </w:p>
        </w:tc>
        <w:tc>
          <w:tcPr>
            <w:tcW w:w="1757" w:type="dxa"/>
            <w:shd w:val="clear" w:color="auto" w:fill="auto"/>
            <w:vAlign w:val="center"/>
          </w:tcPr>
          <w:p w:rsidR="00F73F24" w:rsidRDefault="00F73F24" w:rsidP="00671ADE">
            <w:pPr>
              <w:pStyle w:val="Table"/>
              <w:spacing w:line="240" w:lineRule="auto"/>
            </w:pPr>
            <w:r>
              <w:t>Total cost (€)</w:t>
            </w:r>
          </w:p>
        </w:tc>
      </w:tr>
      <w:tr w:rsidR="00F73F24" w:rsidTr="00671ADE">
        <w:trPr>
          <w:trHeight w:val="300"/>
        </w:trPr>
        <w:tc>
          <w:tcPr>
            <w:tcW w:w="2330" w:type="dxa"/>
            <w:shd w:val="clear" w:color="auto" w:fill="auto"/>
            <w:vAlign w:val="center"/>
          </w:tcPr>
          <w:p w:rsidR="00F73F24" w:rsidRDefault="00F73F24" w:rsidP="00671ADE">
            <w:pPr>
              <w:pStyle w:val="Table"/>
              <w:spacing w:line="240" w:lineRule="auto"/>
            </w:pPr>
            <w:r>
              <w:t>25-44</w:t>
            </w:r>
          </w:p>
        </w:tc>
        <w:tc>
          <w:tcPr>
            <w:tcW w:w="1776" w:type="dxa"/>
            <w:shd w:val="clear" w:color="auto" w:fill="auto"/>
            <w:vAlign w:val="center"/>
          </w:tcPr>
          <w:p w:rsidR="00F73F24" w:rsidRDefault="00F73F24" w:rsidP="00671ADE">
            <w:pPr>
              <w:pStyle w:val="Table"/>
              <w:spacing w:line="240" w:lineRule="auto"/>
            </w:pPr>
            <w:r>
              <w:t>0</w:t>
            </w:r>
          </w:p>
        </w:tc>
        <w:tc>
          <w:tcPr>
            <w:tcW w:w="1747" w:type="dxa"/>
            <w:shd w:val="clear" w:color="auto" w:fill="auto"/>
            <w:vAlign w:val="center"/>
          </w:tcPr>
          <w:p w:rsidR="00F73F24" w:rsidRDefault="00F73F24" w:rsidP="00671ADE">
            <w:pPr>
              <w:pStyle w:val="Table"/>
              <w:spacing w:line="240" w:lineRule="auto"/>
            </w:pPr>
            <w:r>
              <w:t>0</w:t>
            </w:r>
          </w:p>
        </w:tc>
        <w:tc>
          <w:tcPr>
            <w:tcW w:w="1745" w:type="dxa"/>
            <w:shd w:val="clear" w:color="auto" w:fill="auto"/>
            <w:vAlign w:val="center"/>
          </w:tcPr>
          <w:p w:rsidR="00F73F24" w:rsidRDefault="00F73F24" w:rsidP="00671ADE">
            <w:pPr>
              <w:pStyle w:val="Table"/>
              <w:spacing w:line="240" w:lineRule="auto"/>
            </w:pPr>
            <w:r>
              <w:t>0</w:t>
            </w:r>
          </w:p>
        </w:tc>
        <w:tc>
          <w:tcPr>
            <w:tcW w:w="1757" w:type="dxa"/>
            <w:shd w:val="clear" w:color="auto" w:fill="auto"/>
            <w:vAlign w:val="center"/>
          </w:tcPr>
          <w:p w:rsidR="00F73F24" w:rsidRDefault="00F73F24" w:rsidP="00671ADE">
            <w:pPr>
              <w:pStyle w:val="Table"/>
              <w:spacing w:line="240" w:lineRule="auto"/>
            </w:pPr>
            <w:r>
              <w:t>0</w:t>
            </w:r>
          </w:p>
        </w:tc>
      </w:tr>
      <w:tr w:rsidR="00F73F24" w:rsidTr="00671ADE">
        <w:trPr>
          <w:trHeight w:val="300"/>
        </w:trPr>
        <w:tc>
          <w:tcPr>
            <w:tcW w:w="233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45-65</w:t>
            </w:r>
          </w:p>
        </w:tc>
        <w:tc>
          <w:tcPr>
            <w:tcW w:w="1776"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1771</w:t>
            </w:r>
          </w:p>
        </w:tc>
        <w:tc>
          <w:tcPr>
            <w:tcW w:w="174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38</w:t>
            </w:r>
            <w:r>
              <w:rPr>
                <w:rFonts w:eastAsia="Times New Roman" w:cs="Times New Roman"/>
                <w:vertAlign w:val="superscript"/>
              </w:rPr>
              <w:t> </w:t>
            </w:r>
            <w:r>
              <w:t>229</w:t>
            </w:r>
            <w:r>
              <w:rPr>
                <w:rFonts w:eastAsia="Times New Roman" w:cs="Times New Roman"/>
                <w:vertAlign w:val="superscript"/>
              </w:rPr>
              <w:t> </w:t>
            </w:r>
            <w:r>
              <w:t>756</w:t>
            </w:r>
          </w:p>
        </w:tc>
        <w:tc>
          <w:tcPr>
            <w:tcW w:w="1745"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3011</w:t>
            </w:r>
          </w:p>
        </w:tc>
        <w:tc>
          <w:tcPr>
            <w:tcW w:w="175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r>
              <w:t>50</w:t>
            </w:r>
            <w:r>
              <w:rPr>
                <w:rFonts w:eastAsia="Times New Roman" w:cs="Times New Roman"/>
                <w:vertAlign w:val="superscript"/>
              </w:rPr>
              <w:t> </w:t>
            </w:r>
            <w:r>
              <w:t>989</w:t>
            </w:r>
            <w:r>
              <w:rPr>
                <w:rFonts w:eastAsia="Times New Roman" w:cs="Times New Roman"/>
                <w:vertAlign w:val="superscript"/>
              </w:rPr>
              <w:t> </w:t>
            </w:r>
            <w:r>
              <w:t>582</w:t>
            </w:r>
          </w:p>
        </w:tc>
      </w:tr>
      <w:tr w:rsidR="00F73F24" w:rsidTr="00671ADE">
        <w:trPr>
          <w:trHeight w:val="300"/>
        </w:trPr>
        <w:tc>
          <w:tcPr>
            <w:tcW w:w="2330"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c>
          <w:tcPr>
            <w:tcW w:w="1776"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c>
          <w:tcPr>
            <w:tcW w:w="174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c>
          <w:tcPr>
            <w:tcW w:w="1745"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c>
          <w:tcPr>
            <w:tcW w:w="1757" w:type="dxa"/>
            <w:tcBorders>
              <w:top w:val="single" w:sz="2" w:space="0" w:color="000001"/>
              <w:bottom w:val="single" w:sz="2" w:space="0" w:color="000001"/>
            </w:tcBorders>
            <w:shd w:val="clear" w:color="auto" w:fill="auto"/>
            <w:vAlign w:val="center"/>
          </w:tcPr>
          <w:p w:rsidR="00F73F24" w:rsidRDefault="00F73F24" w:rsidP="00671ADE">
            <w:pPr>
              <w:pStyle w:val="Table"/>
              <w:spacing w:line="240" w:lineRule="auto"/>
            </w:pPr>
          </w:p>
        </w:tc>
      </w:tr>
    </w:tbl>
    <w:p w:rsidR="00F73F24" w:rsidRDefault="00F73F24" w:rsidP="00F73F24"/>
    <w:p w:rsidR="00C57C04" w:rsidRDefault="00C57C04">
      <w:bookmarkStart w:id="2" w:name="_GoBack"/>
      <w:bookmarkEnd w:id="2"/>
    </w:p>
    <w:sectPr w:rsidR="00C57C04">
      <w:pgSz w:w="11906" w:h="16838"/>
      <w:pgMar w:top="850" w:right="1134" w:bottom="567" w:left="1417" w:header="0" w:footer="0" w:gutter="0"/>
      <w:cols w:space="720"/>
      <w:formProt w:val="0"/>
      <w:docGrid w:linePitch="28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24"/>
    <w:rsid w:val="00C57C04"/>
    <w:rsid w:val="00F7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2FBA-C3F3-4744-B9A2-F846672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24"/>
    <w:pPr>
      <w:widowControl w:val="0"/>
      <w:suppressAutoHyphens/>
      <w:spacing w:after="0" w:line="360" w:lineRule="auto"/>
      <w:ind w:firstLine="283"/>
      <w:jc w:val="both"/>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Caption"/>
    <w:qFormat/>
    <w:rsid w:val="00F73F24"/>
    <w:pPr>
      <w:suppressLineNumbers/>
      <w:spacing w:before="57" w:after="57" w:line="360" w:lineRule="auto"/>
      <w:ind w:left="28" w:right="28" w:firstLine="0"/>
      <w:jc w:val="left"/>
    </w:pPr>
    <w:rPr>
      <w:i w:val="0"/>
      <w:iCs w:val="0"/>
      <w:color w:val="00000A"/>
      <w:sz w:val="20"/>
      <w:szCs w:val="20"/>
    </w:rPr>
  </w:style>
  <w:style w:type="paragraph" w:styleId="Caption">
    <w:name w:val="caption"/>
    <w:basedOn w:val="Normal"/>
    <w:next w:val="Normal"/>
    <w:uiPriority w:val="35"/>
    <w:semiHidden/>
    <w:unhideWhenUsed/>
    <w:qFormat/>
    <w:rsid w:val="00F73F24"/>
    <w:pPr>
      <w:spacing w:after="200" w:line="240" w:lineRule="auto"/>
    </w:pPr>
    <w:rPr>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2020-02-19T08:27:00Z</dcterms:created>
  <dcterms:modified xsi:type="dcterms:W3CDTF">2020-02-19T08:28:00Z</dcterms:modified>
</cp:coreProperties>
</file>