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 = '1.0' encoding = 'UTF-8' standalone = '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7A3" w:rsidRPr="00B90B38" w:rsidRDefault="00B037A3" w:rsidP="00B90B38">
      <w:pPr>
        <w:spacing w:after="0" w:line="240" w:lineRule="auto"/>
        <w:jc w:val="center"/>
        <w:rPr>
          <w:rFonts w:ascii="Arial" w:hAnsi="Arial" w:cs="Arial"/>
          <w:b/>
          <w:sz w:val="24"/>
          <w:szCs w:val="24"/>
        </w:rPr>
      </w:pPr>
      <w:r w:rsidRPr="00B90B38">
        <w:rPr>
          <w:rFonts w:ascii="Arial" w:hAnsi="Arial" w:cs="Arial"/>
          <w:b/>
          <w:sz w:val="24"/>
          <w:szCs w:val="24"/>
        </w:rPr>
        <w:t>Development of amino-functionalized silica nanoparticles for efficient and rapid removal of COD from pre-treated palm oil effluent</w:t>
      </w:r>
    </w:p>
    <w:p w:rsidR="00B037A3" w:rsidRPr="00B90B38" w:rsidRDefault="00B037A3" w:rsidP="00B90B38">
      <w:pPr>
        <w:spacing w:after="0" w:line="240" w:lineRule="auto"/>
        <w:jc w:val="center"/>
        <w:rPr>
          <w:rFonts w:ascii="Arial" w:hAnsi="Arial" w:cs="Arial"/>
          <w:b/>
          <w:sz w:val="24"/>
          <w:szCs w:val="24"/>
        </w:rPr>
      </w:pPr>
    </w:p>
    <w:p w:rsidR="00B037A3" w:rsidRPr="00B90B38" w:rsidRDefault="00B037A3" w:rsidP="00B90B38">
      <w:pPr>
        <w:spacing w:after="0" w:line="240" w:lineRule="auto"/>
        <w:jc w:val="center"/>
        <w:rPr>
          <w:rFonts w:ascii="Arial" w:hAnsi="Arial" w:cs="Arial"/>
          <w:sz w:val="24"/>
          <w:szCs w:val="24"/>
        </w:rPr>
      </w:pPr>
      <w:r w:rsidRPr="00B90B38">
        <w:rPr>
          <w:rFonts w:ascii="Arial" w:hAnsi="Arial" w:cs="Arial"/>
          <w:sz w:val="24"/>
          <w:szCs w:val="24"/>
        </w:rPr>
        <w:t>Syed Salman Shafqat</w:t>
      </w:r>
      <w:r w:rsidR="00A37152">
        <w:rPr>
          <w:rFonts w:ascii="Arial" w:hAnsi="Arial" w:cs="Arial"/>
          <w:sz w:val="24"/>
          <w:szCs w:val="24"/>
          <w:vertAlign w:val="superscript"/>
        </w:rPr>
        <w:t>1</w:t>
      </w:r>
      <w:r w:rsidRPr="00B90B38">
        <w:rPr>
          <w:rFonts w:ascii="Arial" w:hAnsi="Arial" w:cs="Arial"/>
          <w:sz w:val="24"/>
          <w:szCs w:val="24"/>
        </w:rPr>
        <w:t xml:space="preserve">, Amir </w:t>
      </w:r>
      <w:proofErr w:type="spellStart"/>
      <w:r w:rsidRPr="00B90B38">
        <w:rPr>
          <w:rFonts w:ascii="Arial" w:hAnsi="Arial" w:cs="Arial"/>
          <w:sz w:val="24"/>
          <w:szCs w:val="24"/>
        </w:rPr>
        <w:t>Azam</w:t>
      </w:r>
      <w:proofErr w:type="spellEnd"/>
      <w:r w:rsidRPr="00B90B38">
        <w:rPr>
          <w:rFonts w:ascii="Arial" w:hAnsi="Arial" w:cs="Arial"/>
          <w:sz w:val="24"/>
          <w:szCs w:val="24"/>
        </w:rPr>
        <w:t xml:space="preserve"> Khan</w:t>
      </w:r>
      <w:r w:rsidRPr="00B90B38">
        <w:rPr>
          <w:rFonts w:ascii="Arial" w:hAnsi="Arial" w:cs="Arial"/>
          <w:sz w:val="24"/>
          <w:szCs w:val="24"/>
          <w:vertAlign w:val="superscript"/>
        </w:rPr>
        <w:t>2</w:t>
      </w:r>
      <w:r w:rsidRPr="00B90B38">
        <w:rPr>
          <w:rFonts w:ascii="Arial" w:hAnsi="Arial" w:cs="Arial"/>
          <w:sz w:val="24"/>
          <w:szCs w:val="24"/>
        </w:rPr>
        <w:t>, Muhammad Nadeem Zafar</w:t>
      </w:r>
      <w:r w:rsidRPr="00B90B38">
        <w:rPr>
          <w:rFonts w:ascii="Arial" w:hAnsi="Arial" w:cs="Arial"/>
          <w:sz w:val="24"/>
          <w:szCs w:val="24"/>
          <w:vertAlign w:val="superscript"/>
        </w:rPr>
        <w:t>1,</w:t>
      </w:r>
      <w:r w:rsidRPr="00B90B38">
        <w:rPr>
          <w:rFonts w:ascii="Arial" w:hAnsi="Arial" w:cs="Arial"/>
          <w:sz w:val="24"/>
          <w:szCs w:val="24"/>
        </w:rPr>
        <w:t>*, Mohammed Haji Alhaji</w:t>
      </w:r>
      <w:r w:rsidRPr="00B90B38">
        <w:rPr>
          <w:rFonts w:ascii="Arial" w:hAnsi="Arial" w:cs="Arial"/>
          <w:sz w:val="24"/>
          <w:szCs w:val="24"/>
          <w:vertAlign w:val="superscript"/>
        </w:rPr>
        <w:t>3,4</w:t>
      </w:r>
      <w:r w:rsidRPr="00B90B38">
        <w:rPr>
          <w:rFonts w:ascii="Arial" w:hAnsi="Arial" w:cs="Arial"/>
          <w:sz w:val="24"/>
          <w:szCs w:val="24"/>
        </w:rPr>
        <w:t>,</w:t>
      </w:r>
      <w:r w:rsidRPr="00B90B38">
        <w:rPr>
          <w:rFonts w:ascii="Arial" w:hAnsi="Arial" w:cs="Arial"/>
          <w:sz w:val="24"/>
          <w:szCs w:val="24"/>
          <w:vertAlign w:val="superscript"/>
        </w:rPr>
        <w:t xml:space="preserve"> </w:t>
      </w:r>
      <w:proofErr w:type="spellStart"/>
      <w:r w:rsidRPr="00B90B38">
        <w:rPr>
          <w:rFonts w:ascii="Arial" w:hAnsi="Arial" w:cs="Arial"/>
          <w:sz w:val="24"/>
          <w:szCs w:val="24"/>
        </w:rPr>
        <w:t>Khairuddin</w:t>
      </w:r>
      <w:proofErr w:type="spellEnd"/>
      <w:r w:rsidRPr="00B90B38">
        <w:rPr>
          <w:rFonts w:ascii="Arial" w:hAnsi="Arial" w:cs="Arial"/>
          <w:sz w:val="24"/>
          <w:szCs w:val="24"/>
        </w:rPr>
        <w:t xml:space="preserve"> Sanaullah</w:t>
      </w:r>
      <w:r w:rsidRPr="00B90B38">
        <w:rPr>
          <w:rFonts w:ascii="Arial" w:hAnsi="Arial" w:cs="Arial"/>
          <w:sz w:val="24"/>
          <w:szCs w:val="24"/>
          <w:vertAlign w:val="superscript"/>
        </w:rPr>
        <w:t>4</w:t>
      </w:r>
      <w:r w:rsidRPr="00B90B38">
        <w:rPr>
          <w:rFonts w:ascii="Arial" w:hAnsi="Arial" w:cs="Arial"/>
          <w:sz w:val="24"/>
          <w:szCs w:val="24"/>
        </w:rPr>
        <w:t>,</w:t>
      </w:r>
      <w:r w:rsidRPr="00B90B38">
        <w:rPr>
          <w:rFonts w:ascii="Arial" w:hAnsi="Arial" w:cs="Arial"/>
          <w:sz w:val="24"/>
          <w:szCs w:val="24"/>
          <w:vertAlign w:val="superscript"/>
        </w:rPr>
        <w:t xml:space="preserve"> </w:t>
      </w:r>
      <w:r w:rsidRPr="00B90B38">
        <w:rPr>
          <w:rFonts w:ascii="Arial" w:hAnsi="Arial" w:cs="Arial"/>
          <w:sz w:val="24"/>
          <w:szCs w:val="24"/>
        </w:rPr>
        <w:t xml:space="preserve">Syed </w:t>
      </w:r>
      <w:proofErr w:type="spellStart"/>
      <w:r w:rsidRPr="00B90B38">
        <w:rPr>
          <w:rFonts w:ascii="Arial" w:hAnsi="Arial" w:cs="Arial"/>
          <w:sz w:val="24"/>
          <w:szCs w:val="24"/>
        </w:rPr>
        <w:t>Rizwan</w:t>
      </w:r>
      <w:proofErr w:type="spellEnd"/>
      <w:r w:rsidRPr="00B90B38">
        <w:rPr>
          <w:rFonts w:ascii="Arial" w:hAnsi="Arial" w:cs="Arial"/>
          <w:sz w:val="24"/>
          <w:szCs w:val="24"/>
        </w:rPr>
        <w:t xml:space="preserve"> Shafqat</w:t>
      </w:r>
      <w:r w:rsidRPr="00B90B38">
        <w:rPr>
          <w:rFonts w:ascii="Arial" w:hAnsi="Arial" w:cs="Arial"/>
          <w:sz w:val="24"/>
          <w:szCs w:val="24"/>
          <w:vertAlign w:val="superscript"/>
        </w:rPr>
        <w:t>5</w:t>
      </w:r>
      <w:r w:rsidRPr="00B90B38">
        <w:rPr>
          <w:rFonts w:ascii="Arial" w:hAnsi="Arial" w:cs="Arial"/>
          <w:sz w:val="24"/>
          <w:szCs w:val="24"/>
        </w:rPr>
        <w:t xml:space="preserve">, </w:t>
      </w:r>
      <w:proofErr w:type="spellStart"/>
      <w:r w:rsidRPr="00B90B38">
        <w:rPr>
          <w:rFonts w:ascii="Arial" w:hAnsi="Arial" w:cs="Arial"/>
          <w:sz w:val="24"/>
          <w:szCs w:val="24"/>
        </w:rPr>
        <w:t>Shahzad</w:t>
      </w:r>
      <w:proofErr w:type="spellEnd"/>
      <w:r w:rsidRPr="00B90B38">
        <w:rPr>
          <w:rFonts w:ascii="Arial" w:hAnsi="Arial" w:cs="Arial"/>
          <w:sz w:val="24"/>
          <w:szCs w:val="24"/>
        </w:rPr>
        <w:t xml:space="preserve"> Murtaza</w:t>
      </w:r>
      <w:r w:rsidRPr="00B90B38">
        <w:rPr>
          <w:rFonts w:ascii="Arial" w:hAnsi="Arial" w:cs="Arial"/>
          <w:sz w:val="24"/>
          <w:szCs w:val="24"/>
          <w:vertAlign w:val="superscript"/>
        </w:rPr>
        <w:t>1</w:t>
      </w:r>
      <w:r w:rsidRPr="00B90B38">
        <w:rPr>
          <w:rFonts w:ascii="Arial" w:hAnsi="Arial" w:cs="Arial"/>
          <w:sz w:val="24"/>
          <w:szCs w:val="24"/>
        </w:rPr>
        <w:t>, Pang Suh Cem</w:t>
      </w:r>
      <w:r w:rsidRPr="00B90B38">
        <w:rPr>
          <w:rFonts w:ascii="Arial" w:hAnsi="Arial" w:cs="Arial"/>
          <w:sz w:val="24"/>
          <w:szCs w:val="24"/>
          <w:vertAlign w:val="superscript"/>
        </w:rPr>
        <w:t xml:space="preserve">5 </w:t>
      </w:r>
    </w:p>
    <w:p w:rsidR="00B037A3" w:rsidRPr="00B90B38" w:rsidRDefault="00B037A3" w:rsidP="00B90B38">
      <w:pPr>
        <w:spacing w:after="0" w:line="240" w:lineRule="auto"/>
        <w:jc w:val="center"/>
        <w:rPr>
          <w:rFonts w:ascii="Arial" w:hAnsi="Arial" w:cs="Arial"/>
          <w:sz w:val="24"/>
          <w:szCs w:val="24"/>
        </w:rPr>
      </w:pPr>
    </w:p>
    <w:p w:rsidR="00B037A3" w:rsidRPr="00B90B38" w:rsidRDefault="00B037A3" w:rsidP="00B90B38">
      <w:pPr>
        <w:spacing w:after="0" w:line="240" w:lineRule="auto"/>
        <w:jc w:val="center"/>
        <w:rPr>
          <w:rFonts w:ascii="Arial" w:hAnsi="Arial" w:cs="Arial"/>
          <w:sz w:val="24"/>
          <w:szCs w:val="24"/>
        </w:rPr>
      </w:pPr>
      <w:r w:rsidRPr="00B90B38">
        <w:rPr>
          <w:rFonts w:ascii="Arial" w:hAnsi="Arial" w:cs="Arial"/>
          <w:sz w:val="24"/>
          <w:szCs w:val="24"/>
          <w:vertAlign w:val="superscript"/>
        </w:rPr>
        <w:t>1</w:t>
      </w:r>
      <w:r w:rsidRPr="00B90B38">
        <w:rPr>
          <w:rFonts w:ascii="Arial" w:hAnsi="Arial" w:cs="Arial"/>
          <w:sz w:val="24"/>
          <w:szCs w:val="24"/>
        </w:rPr>
        <w:t>Department of Chemistry, University of Gujrat, Pakistan</w:t>
      </w:r>
    </w:p>
    <w:p w:rsidR="00B037A3" w:rsidRPr="00B90B38" w:rsidRDefault="00B037A3" w:rsidP="00B90B38">
      <w:pPr>
        <w:spacing w:after="0" w:line="240" w:lineRule="auto"/>
        <w:jc w:val="center"/>
        <w:rPr>
          <w:rFonts w:ascii="Arial" w:hAnsi="Arial" w:cs="Arial"/>
          <w:sz w:val="24"/>
          <w:szCs w:val="24"/>
        </w:rPr>
      </w:pPr>
      <w:r w:rsidRPr="00B90B38">
        <w:rPr>
          <w:rFonts w:ascii="Arial" w:hAnsi="Arial" w:cs="Arial"/>
          <w:sz w:val="24"/>
          <w:szCs w:val="24"/>
          <w:vertAlign w:val="superscript"/>
        </w:rPr>
        <w:t>2</w:t>
      </w:r>
      <w:r w:rsidRPr="00B90B38">
        <w:rPr>
          <w:rFonts w:ascii="Arial" w:hAnsi="Arial" w:cs="Arial"/>
          <w:sz w:val="24"/>
          <w:szCs w:val="24"/>
        </w:rPr>
        <w:t xml:space="preserve">Department of Mechanical and Manufacturing Engineering, </w:t>
      </w:r>
      <w:proofErr w:type="spellStart"/>
      <w:r w:rsidRPr="00B90B38">
        <w:rPr>
          <w:rFonts w:ascii="Arial" w:hAnsi="Arial" w:cs="Arial"/>
          <w:sz w:val="24"/>
          <w:szCs w:val="24"/>
        </w:rPr>
        <w:t>Universiti</w:t>
      </w:r>
      <w:proofErr w:type="spellEnd"/>
      <w:r w:rsidRPr="00B90B38">
        <w:rPr>
          <w:rFonts w:ascii="Arial" w:hAnsi="Arial" w:cs="Arial"/>
          <w:sz w:val="24"/>
          <w:szCs w:val="24"/>
        </w:rPr>
        <w:t xml:space="preserve"> Malaysia Sarawak (UNIMAS), Malaysia</w:t>
      </w:r>
    </w:p>
    <w:p w:rsidR="00B037A3" w:rsidRPr="00B90B38" w:rsidRDefault="00B037A3" w:rsidP="00B90B38">
      <w:pPr>
        <w:spacing w:after="0" w:line="240" w:lineRule="auto"/>
        <w:jc w:val="center"/>
        <w:rPr>
          <w:rFonts w:ascii="Arial" w:hAnsi="Arial" w:cs="Arial"/>
          <w:sz w:val="24"/>
          <w:szCs w:val="24"/>
        </w:rPr>
      </w:pPr>
      <w:r w:rsidRPr="00B90B38">
        <w:rPr>
          <w:rFonts w:ascii="Arial" w:hAnsi="Arial" w:cs="Arial"/>
          <w:sz w:val="24"/>
          <w:szCs w:val="24"/>
          <w:vertAlign w:val="superscript"/>
        </w:rPr>
        <w:t>3</w:t>
      </w:r>
      <w:r w:rsidRPr="00B90B38">
        <w:rPr>
          <w:rFonts w:ascii="Arial" w:hAnsi="Arial" w:cs="Arial"/>
          <w:sz w:val="24"/>
          <w:szCs w:val="24"/>
        </w:rPr>
        <w:t>Nigerian Institute of Leather and Science Technology, Zaria-Nigeria</w:t>
      </w:r>
    </w:p>
    <w:p w:rsidR="00B037A3" w:rsidRPr="00B90B38" w:rsidRDefault="00B037A3" w:rsidP="00B90B38">
      <w:pPr>
        <w:spacing w:after="0" w:line="240" w:lineRule="auto"/>
        <w:jc w:val="center"/>
        <w:rPr>
          <w:rFonts w:ascii="Arial" w:hAnsi="Arial" w:cs="Arial"/>
          <w:sz w:val="24"/>
          <w:szCs w:val="24"/>
        </w:rPr>
      </w:pPr>
      <w:r w:rsidRPr="00B90B38">
        <w:rPr>
          <w:rFonts w:ascii="Arial" w:hAnsi="Arial" w:cs="Arial"/>
          <w:sz w:val="24"/>
          <w:szCs w:val="24"/>
          <w:vertAlign w:val="superscript"/>
        </w:rPr>
        <w:t>4</w:t>
      </w:r>
      <w:r w:rsidRPr="00B90B38">
        <w:rPr>
          <w:rFonts w:ascii="Arial" w:hAnsi="Arial" w:cs="Arial"/>
          <w:sz w:val="24"/>
          <w:szCs w:val="24"/>
        </w:rPr>
        <w:t xml:space="preserve">Department of Chemical Engineering and Energy Sustainability, </w:t>
      </w:r>
      <w:proofErr w:type="spellStart"/>
      <w:r w:rsidRPr="00B90B38">
        <w:rPr>
          <w:rFonts w:ascii="Arial" w:hAnsi="Arial" w:cs="Arial"/>
          <w:sz w:val="24"/>
          <w:szCs w:val="24"/>
        </w:rPr>
        <w:t>Universiti</w:t>
      </w:r>
      <w:proofErr w:type="spellEnd"/>
      <w:r w:rsidRPr="00B90B38">
        <w:rPr>
          <w:rFonts w:ascii="Arial" w:hAnsi="Arial" w:cs="Arial"/>
          <w:sz w:val="24"/>
          <w:szCs w:val="24"/>
        </w:rPr>
        <w:t xml:space="preserve"> Malaysia Sarawak (UNIMAS), Malaysia</w:t>
      </w:r>
    </w:p>
    <w:p w:rsidR="00B037A3" w:rsidRPr="00B90B38" w:rsidRDefault="00B037A3" w:rsidP="00B90B38">
      <w:pPr>
        <w:spacing w:after="0" w:line="240" w:lineRule="auto"/>
        <w:jc w:val="center"/>
        <w:rPr>
          <w:rFonts w:ascii="Arial" w:hAnsi="Arial" w:cs="Arial"/>
          <w:sz w:val="24"/>
          <w:szCs w:val="24"/>
        </w:rPr>
      </w:pPr>
      <w:r w:rsidRPr="00B90B38">
        <w:rPr>
          <w:rFonts w:ascii="Arial" w:hAnsi="Arial" w:cs="Arial"/>
          <w:sz w:val="24"/>
          <w:szCs w:val="24"/>
          <w:vertAlign w:val="superscript"/>
        </w:rPr>
        <w:t>5</w:t>
      </w:r>
      <w:r w:rsidRPr="00B90B38">
        <w:rPr>
          <w:rFonts w:ascii="Arial" w:hAnsi="Arial" w:cs="Arial"/>
          <w:sz w:val="24"/>
          <w:szCs w:val="24"/>
        </w:rPr>
        <w:t xml:space="preserve">Department of Chemistry, </w:t>
      </w:r>
      <w:proofErr w:type="spellStart"/>
      <w:r w:rsidRPr="00B90B38">
        <w:rPr>
          <w:rFonts w:ascii="Arial" w:hAnsi="Arial" w:cs="Arial"/>
          <w:sz w:val="24"/>
          <w:szCs w:val="24"/>
        </w:rPr>
        <w:t>Universiti</w:t>
      </w:r>
      <w:proofErr w:type="spellEnd"/>
      <w:r w:rsidRPr="00B90B38">
        <w:rPr>
          <w:rFonts w:ascii="Arial" w:hAnsi="Arial" w:cs="Arial"/>
          <w:sz w:val="24"/>
          <w:szCs w:val="24"/>
        </w:rPr>
        <w:t xml:space="preserve"> Malaysia Sarawak (UNIMAS), Malaysia</w:t>
      </w:r>
    </w:p>
    <w:p w:rsidR="00B037A3" w:rsidRDefault="00B037A3"/>
    <w:p w:rsidR="00B037A3" w:rsidRPr="00B037A3" w:rsidRDefault="00B037A3" w:rsidP="00B037A3"/>
    <w:p w:rsidR="00B037A3" w:rsidRPr="00B037A3" w:rsidRDefault="00B037A3" w:rsidP="00B037A3"/>
    <w:p w:rsidR="00B037A3" w:rsidRPr="00B037A3" w:rsidRDefault="00B037A3" w:rsidP="00B037A3"/>
    <w:p w:rsidR="00B037A3" w:rsidRPr="00B037A3" w:rsidRDefault="00B037A3" w:rsidP="00B037A3"/>
    <w:p w:rsidR="00B037A3" w:rsidRPr="00B037A3" w:rsidRDefault="00B037A3" w:rsidP="00B037A3"/>
    <w:p w:rsidR="00B037A3" w:rsidRDefault="00B037A3" w:rsidP="00B037A3"/>
    <w:p w:rsidR="00F500B3" w:rsidRDefault="00B037A3" w:rsidP="00B037A3">
      <w:pPr>
        <w:tabs>
          <w:tab w:val="left" w:pos="5064"/>
        </w:tabs>
      </w:pPr>
      <w:r>
        <w:tab/>
      </w:r>
    </w:p>
    <w:p w:rsidR="00B037A3" w:rsidRDefault="00B037A3" w:rsidP="00B037A3">
      <w:pPr>
        <w:tabs>
          <w:tab w:val="left" w:pos="5064"/>
        </w:tabs>
      </w:pPr>
    </w:p>
    <w:p w:rsidR="00B037A3" w:rsidRDefault="00B037A3" w:rsidP="00B037A3">
      <w:pPr>
        <w:tabs>
          <w:tab w:val="left" w:pos="5064"/>
        </w:tabs>
      </w:pPr>
    </w:p>
    <w:p w:rsidR="00702AA4" w:rsidRDefault="00702AA4" w:rsidP="00702AA4"/>
    <w:p w:rsidR="00702AA4" w:rsidRDefault="00702AA4" w:rsidP="00702AA4"/>
    <w:p w:rsidR="007D540A" w:rsidRDefault="007D540A" w:rsidP="00702AA4"/>
    <w:p w:rsidR="007D540A" w:rsidRDefault="007D540A" w:rsidP="00702AA4"/>
    <w:p w:rsidR="00B90B38" w:rsidRDefault="00B90B38" w:rsidP="00702AA4">
      <w:pPr>
        <w:spacing w:line="480" w:lineRule="auto"/>
        <w:rPr>
          <w:rFonts w:ascii="Times New Roman" w:hAnsi="Times New Roman"/>
        </w:rPr>
      </w:pPr>
    </w:p>
    <w:p w:rsidR="00B90B38" w:rsidRDefault="00B90B38" w:rsidP="00702AA4">
      <w:pPr>
        <w:spacing w:line="480" w:lineRule="auto"/>
        <w:rPr>
          <w:rFonts w:ascii="Times New Roman" w:hAnsi="Times New Roman"/>
        </w:rPr>
      </w:pPr>
    </w:p>
    <w:p w:rsidR="00B90B38" w:rsidRDefault="00B90B38" w:rsidP="00702AA4">
      <w:pPr>
        <w:spacing w:line="480" w:lineRule="auto"/>
        <w:rPr>
          <w:rFonts w:ascii="Times New Roman" w:hAnsi="Times New Roman"/>
        </w:rPr>
      </w:pPr>
    </w:p>
    <w:p w:rsidR="00B90B38" w:rsidRDefault="00B90B38" w:rsidP="00702AA4">
      <w:pPr>
        <w:spacing w:line="480" w:lineRule="auto"/>
        <w:rPr>
          <w:rFonts w:ascii="Times New Roman" w:hAnsi="Times New Roman"/>
        </w:rPr>
      </w:pPr>
    </w:p>
    <w:p w:rsidR="00702AA4" w:rsidRDefault="00702AA4" w:rsidP="00B037A3">
      <w:pPr>
        <w:tabs>
          <w:tab w:val="left" w:pos="5064"/>
        </w:tabs>
      </w:pPr>
    </w:p>
    <w:p w:rsidR="00B037A3" w:rsidRDefault="00B037A3" w:rsidP="00B037A3">
      <w:pPr>
        <w:spacing w:line="480" w:lineRule="auto"/>
        <w:jc w:val="both"/>
        <w:rPr>
          <w:rFonts w:ascii="Times New Roman" w:hAnsi="Times New Roman"/>
          <w:b/>
          <w:color w:val="000000"/>
          <w:sz w:val="24"/>
          <w:szCs w:val="24"/>
        </w:rPr>
      </w:pPr>
    </w:p>
    <w:p w:rsidR="00B037A3" w:rsidRPr="00F93927" w:rsidRDefault="00B037A3" w:rsidP="00B037A3">
      <w:pPr>
        <w:spacing w:after="0" w:line="240" w:lineRule="auto"/>
        <w:jc w:val="both"/>
        <w:rPr>
          <w:rFonts w:ascii="Times New Roman" w:hAnsi="Times New Roman"/>
          <w:color w:val="FFFFFF" w:themeColor="background1"/>
          <w:sz w:val="24"/>
          <w:szCs w:val="24"/>
        </w:rPr>
      </w:pPr>
    </w:p>
    <w:tbl>
      <w:tblPr>
        <w:tblpPr w:leftFromText="180" w:rightFromText="180" w:vertAnchor="text" w:horzAnchor="margin" w:tblpXSpec="center" w:tblpY="100"/>
        <w:tblW w:w="6395" w:type="dxa"/>
        <w:tblLook w:val="04A0" w:firstRow="1" w:lastRow="0" w:firstColumn="1" w:lastColumn="0" w:noHBand="0" w:noVBand="1"/>
      </w:tblPr>
      <w:tblGrid>
        <w:gridCol w:w="3197"/>
        <w:gridCol w:w="3198"/>
      </w:tblGrid>
      <w:tr w:rsidR="00F93927" w:rsidRPr="00F93927" w:rsidTr="00F93927">
        <w:trPr>
          <w:trHeight w:val="495"/>
        </w:trPr>
        <w:tc>
          <w:tcPr>
            <w:tcW w:w="6395" w:type="dxa"/>
            <w:gridSpan w:val="2"/>
            <w:tcBorders>
              <w:top w:val="single" w:sz="18" w:space="0" w:color="auto"/>
            </w:tcBorders>
            <w:shd w:val="solid" w:color="auto" w:fill="auto"/>
          </w:tcPr>
          <w:p w:rsidR="00F93927" w:rsidRPr="00F93927" w:rsidRDefault="00F93927" w:rsidP="00F93927">
            <w:pPr>
              <w:spacing w:after="0" w:line="240" w:lineRule="auto"/>
              <w:jc w:val="both"/>
              <w:rPr>
                <w:rFonts w:ascii="Times New Roman" w:hAnsi="Times New Roman"/>
                <w:b/>
                <w:color w:val="FFFFFF" w:themeColor="background1"/>
                <w:sz w:val="24"/>
                <w:szCs w:val="24"/>
              </w:rPr>
            </w:pPr>
            <w:r w:rsidRPr="00F93927">
              <w:rPr>
                <w:rFonts w:ascii="Times New Roman" w:hAnsi="Times New Roman"/>
                <w:b/>
                <w:color w:val="FFFFFF" w:themeColor="background1"/>
                <w:sz w:val="24"/>
                <w:szCs w:val="24"/>
              </w:rPr>
              <w:t>Table S1 – Characteristics of Aerobic treated POME</w:t>
            </w:r>
          </w:p>
        </w:tc>
      </w:tr>
      <w:tr w:rsidR="00B037A3" w:rsidRPr="00F8487E" w:rsidTr="00F93927">
        <w:trPr>
          <w:trHeight w:val="357"/>
        </w:trPr>
        <w:tc>
          <w:tcPr>
            <w:tcW w:w="3197" w:type="dxa"/>
            <w:tcBorders>
              <w:bottom w:val="single" w:sz="4" w:space="0" w:color="auto"/>
            </w:tcBorders>
            <w:shd w:val="pct12" w:color="auto" w:fill="auto"/>
          </w:tcPr>
          <w:p w:rsidR="00B037A3" w:rsidRPr="00F8487E" w:rsidRDefault="00B037A3" w:rsidP="004B57F3">
            <w:pPr>
              <w:spacing w:line="480" w:lineRule="auto"/>
              <w:rPr>
                <w:rFonts w:ascii="Times New Roman" w:hAnsi="Times New Roman"/>
                <w:b/>
                <w:color w:val="000000"/>
                <w:sz w:val="24"/>
                <w:szCs w:val="24"/>
              </w:rPr>
            </w:pPr>
            <w:r w:rsidRPr="00F8487E">
              <w:rPr>
                <w:rFonts w:ascii="Times New Roman" w:hAnsi="Times New Roman"/>
                <w:b/>
                <w:color w:val="000000"/>
                <w:sz w:val="24"/>
                <w:szCs w:val="24"/>
              </w:rPr>
              <w:t>Parameters</w:t>
            </w:r>
          </w:p>
        </w:tc>
        <w:tc>
          <w:tcPr>
            <w:tcW w:w="3198" w:type="dxa"/>
            <w:tcBorders>
              <w:bottom w:val="single" w:sz="4" w:space="0" w:color="auto"/>
            </w:tcBorders>
            <w:shd w:val="pct12" w:color="auto" w:fill="auto"/>
          </w:tcPr>
          <w:p w:rsidR="00B037A3" w:rsidRPr="00F8487E" w:rsidRDefault="00B037A3" w:rsidP="004B57F3">
            <w:pPr>
              <w:spacing w:line="480" w:lineRule="auto"/>
              <w:jc w:val="center"/>
              <w:rPr>
                <w:rFonts w:ascii="Times New Roman" w:hAnsi="Times New Roman"/>
                <w:b/>
                <w:color w:val="000000"/>
                <w:sz w:val="24"/>
                <w:szCs w:val="24"/>
              </w:rPr>
            </w:pPr>
            <w:proofErr w:type="spellStart"/>
            <w:r w:rsidRPr="00F8487E">
              <w:rPr>
                <w:rFonts w:ascii="Times New Roman" w:hAnsi="Times New Roman"/>
                <w:b/>
                <w:color w:val="000000"/>
                <w:sz w:val="24"/>
                <w:szCs w:val="24"/>
              </w:rPr>
              <w:t>Value</w:t>
            </w:r>
            <w:r w:rsidRPr="00F8487E">
              <w:rPr>
                <w:rFonts w:ascii="Times New Roman" w:hAnsi="Times New Roman"/>
                <w:b/>
                <w:color w:val="000000"/>
                <w:sz w:val="24"/>
                <w:szCs w:val="24"/>
                <w:vertAlign w:val="superscript"/>
              </w:rPr>
              <w:t>b</w:t>
            </w:r>
            <w:proofErr w:type="spellEnd"/>
          </w:p>
        </w:tc>
      </w:tr>
      <w:tr w:rsidR="00B037A3" w:rsidRPr="00F8487E" w:rsidTr="00F93927">
        <w:trPr>
          <w:trHeight w:hRule="exact" w:val="454"/>
        </w:trPr>
        <w:tc>
          <w:tcPr>
            <w:tcW w:w="3197" w:type="dxa"/>
            <w:tcBorders>
              <w:top w:val="single" w:sz="4" w:space="0" w:color="auto"/>
            </w:tcBorders>
            <w:shd w:val="pct12" w:color="auto" w:fill="auto"/>
            <w:vAlign w:val="center"/>
          </w:tcPr>
          <w:p w:rsidR="00B037A3" w:rsidRPr="00F8487E" w:rsidRDefault="00B037A3" w:rsidP="004B57F3">
            <w:pPr>
              <w:spacing w:line="480" w:lineRule="auto"/>
              <w:rPr>
                <w:rFonts w:ascii="Times New Roman" w:hAnsi="Times New Roman"/>
                <w:color w:val="000000"/>
                <w:sz w:val="24"/>
                <w:szCs w:val="24"/>
              </w:rPr>
            </w:pPr>
            <w:r w:rsidRPr="00F8487E">
              <w:rPr>
                <w:rFonts w:ascii="Times New Roman" w:hAnsi="Times New Roman"/>
                <w:color w:val="000000"/>
                <w:sz w:val="24"/>
                <w:szCs w:val="24"/>
              </w:rPr>
              <w:t>Temperature</w:t>
            </w:r>
            <w:r>
              <w:rPr>
                <w:rFonts w:ascii="Times New Roman" w:hAnsi="Times New Roman"/>
                <w:color w:val="000000"/>
                <w:sz w:val="24"/>
                <w:szCs w:val="24"/>
              </w:rPr>
              <w:t xml:space="preserve"> </w:t>
            </w:r>
            <w:r>
              <w:rPr>
                <w:rFonts w:ascii="Times New Roman" w:hAnsi="Times New Roman"/>
                <w:color w:val="000000"/>
                <w:sz w:val="24"/>
                <w:szCs w:val="24"/>
              </w:rPr>
              <w:sym w:font="Symbol" w:char="F0B0"/>
            </w:r>
            <w:r w:rsidRPr="00F8487E">
              <w:rPr>
                <w:rFonts w:ascii="Times New Roman" w:hAnsi="Times New Roman"/>
                <w:color w:val="000000"/>
                <w:sz w:val="24"/>
                <w:szCs w:val="24"/>
              </w:rPr>
              <w:t>C</w:t>
            </w:r>
          </w:p>
        </w:tc>
        <w:tc>
          <w:tcPr>
            <w:tcW w:w="3198" w:type="dxa"/>
            <w:tcBorders>
              <w:top w:val="single" w:sz="4" w:space="0" w:color="auto"/>
            </w:tcBorders>
            <w:shd w:val="pct12" w:color="auto" w:fill="auto"/>
            <w:vAlign w:val="center"/>
          </w:tcPr>
          <w:p w:rsidR="00B037A3" w:rsidRPr="00F8487E" w:rsidRDefault="00B037A3" w:rsidP="004B57F3">
            <w:pPr>
              <w:spacing w:line="480" w:lineRule="auto"/>
              <w:jc w:val="center"/>
              <w:rPr>
                <w:rFonts w:ascii="Times New Roman" w:hAnsi="Times New Roman"/>
                <w:color w:val="000000"/>
                <w:sz w:val="24"/>
                <w:szCs w:val="24"/>
              </w:rPr>
            </w:pPr>
            <w:r w:rsidRPr="00F8487E">
              <w:rPr>
                <w:rFonts w:ascii="Times New Roman" w:hAnsi="Times New Roman"/>
                <w:color w:val="000000"/>
                <w:sz w:val="24"/>
                <w:szCs w:val="24"/>
              </w:rPr>
              <w:t>25.9</w:t>
            </w:r>
          </w:p>
        </w:tc>
      </w:tr>
      <w:tr w:rsidR="00B037A3" w:rsidRPr="00F8487E" w:rsidTr="00F93927">
        <w:trPr>
          <w:trHeight w:hRule="exact" w:val="454"/>
        </w:trPr>
        <w:tc>
          <w:tcPr>
            <w:tcW w:w="3197" w:type="dxa"/>
            <w:shd w:val="pct12" w:color="auto" w:fill="auto"/>
            <w:vAlign w:val="center"/>
          </w:tcPr>
          <w:p w:rsidR="00B037A3" w:rsidRPr="00F8487E" w:rsidRDefault="00B037A3" w:rsidP="004B57F3">
            <w:pPr>
              <w:spacing w:line="480" w:lineRule="auto"/>
              <w:rPr>
                <w:rFonts w:ascii="Times New Roman" w:hAnsi="Times New Roman"/>
                <w:color w:val="000000"/>
                <w:sz w:val="24"/>
                <w:szCs w:val="24"/>
              </w:rPr>
            </w:pPr>
            <w:r w:rsidRPr="00F8487E">
              <w:rPr>
                <w:rFonts w:ascii="Times New Roman" w:hAnsi="Times New Roman"/>
                <w:color w:val="000000"/>
                <w:sz w:val="24"/>
                <w:szCs w:val="24"/>
              </w:rPr>
              <w:t>pH</w:t>
            </w:r>
          </w:p>
        </w:tc>
        <w:tc>
          <w:tcPr>
            <w:tcW w:w="3198" w:type="dxa"/>
            <w:shd w:val="pct12" w:color="auto" w:fill="auto"/>
            <w:vAlign w:val="center"/>
          </w:tcPr>
          <w:p w:rsidR="00B037A3" w:rsidRPr="00F8487E" w:rsidRDefault="00B037A3" w:rsidP="004B57F3">
            <w:pPr>
              <w:spacing w:line="480" w:lineRule="auto"/>
              <w:jc w:val="center"/>
              <w:rPr>
                <w:rFonts w:ascii="Times New Roman" w:hAnsi="Times New Roman"/>
                <w:color w:val="000000"/>
                <w:sz w:val="24"/>
                <w:szCs w:val="24"/>
              </w:rPr>
            </w:pPr>
            <w:r w:rsidRPr="00F8487E">
              <w:rPr>
                <w:rFonts w:ascii="Times New Roman" w:hAnsi="Times New Roman"/>
                <w:color w:val="000000"/>
                <w:sz w:val="24"/>
                <w:szCs w:val="24"/>
              </w:rPr>
              <w:t>8.7</w:t>
            </w:r>
          </w:p>
        </w:tc>
      </w:tr>
      <w:tr w:rsidR="00B037A3" w:rsidRPr="00F8487E" w:rsidTr="00F93927">
        <w:trPr>
          <w:trHeight w:hRule="exact" w:val="454"/>
        </w:trPr>
        <w:tc>
          <w:tcPr>
            <w:tcW w:w="3197" w:type="dxa"/>
            <w:shd w:val="pct12" w:color="auto" w:fill="auto"/>
            <w:vAlign w:val="center"/>
          </w:tcPr>
          <w:p w:rsidR="00B037A3" w:rsidRPr="00F8487E" w:rsidRDefault="00B037A3" w:rsidP="004B57F3">
            <w:pPr>
              <w:spacing w:line="480" w:lineRule="auto"/>
              <w:rPr>
                <w:rFonts w:ascii="Times New Roman" w:hAnsi="Times New Roman"/>
                <w:color w:val="000000"/>
                <w:sz w:val="24"/>
                <w:szCs w:val="24"/>
              </w:rPr>
            </w:pPr>
            <w:r w:rsidRPr="00F8487E">
              <w:rPr>
                <w:rFonts w:ascii="Times New Roman" w:hAnsi="Times New Roman"/>
                <w:color w:val="000000"/>
                <w:sz w:val="24"/>
                <w:szCs w:val="24"/>
              </w:rPr>
              <w:t>BOD@30</w:t>
            </w:r>
            <w:r>
              <w:rPr>
                <w:rFonts w:ascii="Times New Roman" w:hAnsi="Times New Roman"/>
                <w:color w:val="000000"/>
                <w:sz w:val="24"/>
                <w:szCs w:val="24"/>
              </w:rPr>
              <w:sym w:font="Symbol" w:char="F0B0"/>
            </w:r>
            <w:r w:rsidRPr="00F8487E">
              <w:rPr>
                <w:rFonts w:ascii="Times New Roman" w:hAnsi="Times New Roman"/>
                <w:color w:val="000000"/>
                <w:sz w:val="24"/>
                <w:szCs w:val="24"/>
              </w:rPr>
              <w:t>C</w:t>
            </w:r>
            <w:r w:rsidRPr="00F8487E" w:rsidDel="00F41D33">
              <w:rPr>
                <w:rFonts w:ascii="Times New Roman" w:hAnsi="Times New Roman"/>
                <w:color w:val="000000"/>
                <w:sz w:val="24"/>
                <w:szCs w:val="24"/>
                <w:vertAlign w:val="superscript"/>
              </w:rPr>
              <w:t xml:space="preserve"> </w:t>
            </w:r>
            <w:r w:rsidRPr="00F8487E">
              <w:rPr>
                <w:rFonts w:ascii="Times New Roman" w:hAnsi="Times New Roman"/>
                <w:color w:val="000000"/>
                <w:sz w:val="24"/>
                <w:szCs w:val="24"/>
              </w:rPr>
              <w:t>mg/</w:t>
            </w:r>
            <w:r>
              <w:rPr>
                <w:rFonts w:ascii="Times New Roman" w:hAnsi="Times New Roman"/>
                <w:color w:val="000000"/>
                <w:sz w:val="24"/>
                <w:szCs w:val="24"/>
              </w:rPr>
              <w:t>L</w:t>
            </w:r>
          </w:p>
        </w:tc>
        <w:tc>
          <w:tcPr>
            <w:tcW w:w="3198" w:type="dxa"/>
            <w:shd w:val="pct12" w:color="auto" w:fill="auto"/>
            <w:vAlign w:val="center"/>
          </w:tcPr>
          <w:p w:rsidR="00B037A3" w:rsidRPr="00F8487E" w:rsidRDefault="00B037A3" w:rsidP="004B57F3">
            <w:pPr>
              <w:spacing w:line="480" w:lineRule="auto"/>
              <w:jc w:val="center"/>
              <w:rPr>
                <w:rFonts w:ascii="Times New Roman" w:hAnsi="Times New Roman"/>
                <w:color w:val="000000"/>
                <w:sz w:val="24"/>
                <w:szCs w:val="24"/>
              </w:rPr>
            </w:pPr>
            <w:r w:rsidRPr="00F8487E">
              <w:rPr>
                <w:rFonts w:ascii="Times New Roman" w:hAnsi="Times New Roman"/>
                <w:color w:val="000000"/>
                <w:sz w:val="24"/>
                <w:szCs w:val="24"/>
              </w:rPr>
              <w:t>800</w:t>
            </w:r>
          </w:p>
        </w:tc>
      </w:tr>
      <w:tr w:rsidR="00B037A3" w:rsidRPr="00F8487E" w:rsidTr="00F93927">
        <w:trPr>
          <w:trHeight w:hRule="exact" w:val="454"/>
        </w:trPr>
        <w:tc>
          <w:tcPr>
            <w:tcW w:w="3197" w:type="dxa"/>
            <w:shd w:val="pct12" w:color="auto" w:fill="auto"/>
            <w:vAlign w:val="center"/>
          </w:tcPr>
          <w:p w:rsidR="00B037A3" w:rsidRPr="00F8487E" w:rsidRDefault="00B037A3" w:rsidP="004B57F3">
            <w:pPr>
              <w:spacing w:line="480" w:lineRule="auto"/>
              <w:rPr>
                <w:rFonts w:ascii="Times New Roman" w:hAnsi="Times New Roman"/>
                <w:color w:val="000000"/>
                <w:sz w:val="24"/>
                <w:szCs w:val="24"/>
              </w:rPr>
            </w:pPr>
            <w:r>
              <w:rPr>
                <w:rFonts w:ascii="Times New Roman" w:hAnsi="Times New Roman"/>
                <w:color w:val="000000"/>
                <w:sz w:val="24"/>
                <w:szCs w:val="24"/>
              </w:rPr>
              <w:t>COD mg/L</w:t>
            </w:r>
          </w:p>
        </w:tc>
        <w:tc>
          <w:tcPr>
            <w:tcW w:w="3198" w:type="dxa"/>
            <w:shd w:val="pct12" w:color="auto" w:fill="auto"/>
            <w:vAlign w:val="center"/>
          </w:tcPr>
          <w:p w:rsidR="00B037A3" w:rsidRPr="00F8487E" w:rsidRDefault="00B037A3" w:rsidP="004B57F3">
            <w:pPr>
              <w:spacing w:line="480" w:lineRule="auto"/>
              <w:jc w:val="center"/>
              <w:rPr>
                <w:rFonts w:ascii="Times New Roman" w:hAnsi="Times New Roman"/>
                <w:color w:val="000000"/>
                <w:sz w:val="24"/>
                <w:szCs w:val="24"/>
              </w:rPr>
            </w:pPr>
            <w:r w:rsidRPr="00F8487E">
              <w:rPr>
                <w:rFonts w:ascii="Times New Roman" w:hAnsi="Times New Roman"/>
                <w:color w:val="000000"/>
                <w:sz w:val="24"/>
                <w:szCs w:val="24"/>
              </w:rPr>
              <w:t>2500</w:t>
            </w:r>
          </w:p>
        </w:tc>
      </w:tr>
      <w:tr w:rsidR="00B037A3" w:rsidRPr="00F8487E" w:rsidTr="00F93927">
        <w:trPr>
          <w:trHeight w:hRule="exact" w:val="454"/>
        </w:trPr>
        <w:tc>
          <w:tcPr>
            <w:tcW w:w="3197" w:type="dxa"/>
            <w:shd w:val="pct12" w:color="auto" w:fill="auto"/>
            <w:vAlign w:val="center"/>
          </w:tcPr>
          <w:p w:rsidR="00B037A3" w:rsidRPr="00F8487E" w:rsidRDefault="00B037A3" w:rsidP="004B57F3">
            <w:pPr>
              <w:spacing w:line="480" w:lineRule="auto"/>
              <w:rPr>
                <w:rFonts w:ascii="Times New Roman" w:hAnsi="Times New Roman"/>
                <w:color w:val="000000"/>
                <w:sz w:val="24"/>
                <w:szCs w:val="24"/>
              </w:rPr>
            </w:pPr>
            <w:r>
              <w:rPr>
                <w:rFonts w:ascii="Times New Roman" w:hAnsi="Times New Roman"/>
                <w:color w:val="000000"/>
                <w:sz w:val="24"/>
                <w:szCs w:val="24"/>
              </w:rPr>
              <w:t>Suspended solids mg/L</w:t>
            </w:r>
          </w:p>
        </w:tc>
        <w:tc>
          <w:tcPr>
            <w:tcW w:w="3198" w:type="dxa"/>
            <w:shd w:val="pct12" w:color="auto" w:fill="auto"/>
            <w:vAlign w:val="center"/>
          </w:tcPr>
          <w:p w:rsidR="00B037A3" w:rsidRPr="00F8487E" w:rsidRDefault="00B037A3" w:rsidP="004B57F3">
            <w:pPr>
              <w:spacing w:line="480" w:lineRule="auto"/>
              <w:jc w:val="center"/>
              <w:rPr>
                <w:rFonts w:ascii="Times New Roman" w:hAnsi="Times New Roman"/>
                <w:color w:val="000000"/>
                <w:sz w:val="24"/>
                <w:szCs w:val="24"/>
              </w:rPr>
            </w:pPr>
            <w:r w:rsidRPr="00F8487E">
              <w:rPr>
                <w:rFonts w:ascii="Times New Roman" w:hAnsi="Times New Roman"/>
                <w:color w:val="000000"/>
                <w:sz w:val="24"/>
                <w:szCs w:val="24"/>
              </w:rPr>
              <w:t>150</w:t>
            </w:r>
          </w:p>
        </w:tc>
      </w:tr>
      <w:tr w:rsidR="00B037A3" w:rsidRPr="00F8487E" w:rsidTr="00F93927">
        <w:trPr>
          <w:trHeight w:hRule="exact" w:val="454"/>
        </w:trPr>
        <w:tc>
          <w:tcPr>
            <w:tcW w:w="3197" w:type="dxa"/>
            <w:shd w:val="pct12" w:color="auto" w:fill="auto"/>
            <w:vAlign w:val="center"/>
          </w:tcPr>
          <w:p w:rsidR="00B037A3" w:rsidRPr="00F8487E" w:rsidRDefault="00B037A3" w:rsidP="004B57F3">
            <w:pPr>
              <w:spacing w:line="480" w:lineRule="auto"/>
              <w:rPr>
                <w:rFonts w:ascii="Times New Roman" w:hAnsi="Times New Roman"/>
                <w:color w:val="000000"/>
                <w:sz w:val="24"/>
                <w:szCs w:val="24"/>
              </w:rPr>
            </w:pPr>
            <w:r>
              <w:rPr>
                <w:rFonts w:ascii="Times New Roman" w:hAnsi="Times New Roman"/>
                <w:color w:val="000000"/>
                <w:sz w:val="24"/>
                <w:szCs w:val="24"/>
              </w:rPr>
              <w:t>Total solids mg/L</w:t>
            </w:r>
          </w:p>
        </w:tc>
        <w:tc>
          <w:tcPr>
            <w:tcW w:w="3198" w:type="dxa"/>
            <w:shd w:val="pct12" w:color="auto" w:fill="auto"/>
            <w:vAlign w:val="center"/>
          </w:tcPr>
          <w:p w:rsidR="00B037A3" w:rsidRPr="00F8487E" w:rsidRDefault="00B037A3" w:rsidP="004B57F3">
            <w:pPr>
              <w:spacing w:line="480" w:lineRule="auto"/>
              <w:jc w:val="center"/>
              <w:rPr>
                <w:rFonts w:ascii="Times New Roman" w:hAnsi="Times New Roman"/>
                <w:color w:val="000000"/>
                <w:sz w:val="24"/>
                <w:szCs w:val="24"/>
              </w:rPr>
            </w:pPr>
            <w:r w:rsidRPr="00F8487E">
              <w:rPr>
                <w:rFonts w:ascii="Times New Roman" w:hAnsi="Times New Roman"/>
                <w:color w:val="000000"/>
                <w:sz w:val="24"/>
                <w:szCs w:val="24"/>
              </w:rPr>
              <w:t>2430</w:t>
            </w:r>
          </w:p>
        </w:tc>
      </w:tr>
      <w:tr w:rsidR="00B037A3" w:rsidRPr="00F8487E" w:rsidTr="00F93927">
        <w:trPr>
          <w:trHeight w:hRule="exact" w:val="454"/>
        </w:trPr>
        <w:tc>
          <w:tcPr>
            <w:tcW w:w="3197" w:type="dxa"/>
            <w:shd w:val="pct12" w:color="auto" w:fill="auto"/>
            <w:vAlign w:val="center"/>
          </w:tcPr>
          <w:p w:rsidR="00B037A3" w:rsidRPr="00F8487E" w:rsidRDefault="00B037A3" w:rsidP="004B57F3">
            <w:pPr>
              <w:spacing w:line="480" w:lineRule="auto"/>
              <w:rPr>
                <w:rFonts w:ascii="Times New Roman" w:hAnsi="Times New Roman"/>
                <w:color w:val="000000"/>
                <w:sz w:val="24"/>
                <w:szCs w:val="24"/>
              </w:rPr>
            </w:pPr>
            <w:proofErr w:type="spellStart"/>
            <w:r w:rsidRPr="009C68C5">
              <w:rPr>
                <w:rFonts w:ascii="Times New Roman" w:hAnsi="Times New Roman"/>
                <w:color w:val="000000"/>
                <w:sz w:val="24"/>
                <w:szCs w:val="24"/>
              </w:rPr>
              <w:t>Ammoniac</w:t>
            </w:r>
            <w:r>
              <w:rPr>
                <w:rFonts w:ascii="Times New Roman" w:hAnsi="Times New Roman"/>
                <w:color w:val="000000"/>
                <w:sz w:val="24"/>
                <w:szCs w:val="24"/>
              </w:rPr>
              <w:t>al</w:t>
            </w:r>
            <w:proofErr w:type="spellEnd"/>
            <w:r w:rsidRPr="009C68C5">
              <w:rPr>
                <w:rFonts w:ascii="Times New Roman" w:hAnsi="Times New Roman"/>
                <w:color w:val="000000"/>
                <w:sz w:val="24"/>
                <w:szCs w:val="24"/>
              </w:rPr>
              <w:t xml:space="preserve"> Nitrogen</w:t>
            </w:r>
            <w:r>
              <w:rPr>
                <w:rFonts w:ascii="Times New Roman" w:hAnsi="Times New Roman"/>
                <w:color w:val="000000"/>
                <w:sz w:val="24"/>
                <w:szCs w:val="24"/>
              </w:rPr>
              <w:t xml:space="preserve"> mg/L</w:t>
            </w:r>
          </w:p>
        </w:tc>
        <w:tc>
          <w:tcPr>
            <w:tcW w:w="3198" w:type="dxa"/>
            <w:shd w:val="pct12" w:color="auto" w:fill="auto"/>
            <w:vAlign w:val="center"/>
          </w:tcPr>
          <w:p w:rsidR="00B037A3" w:rsidRPr="00F8487E" w:rsidRDefault="00B037A3" w:rsidP="004B57F3">
            <w:pPr>
              <w:spacing w:line="480" w:lineRule="auto"/>
              <w:jc w:val="center"/>
              <w:rPr>
                <w:rFonts w:ascii="Times New Roman" w:hAnsi="Times New Roman"/>
                <w:color w:val="000000"/>
                <w:sz w:val="24"/>
                <w:szCs w:val="24"/>
              </w:rPr>
            </w:pPr>
            <w:r w:rsidRPr="00F8487E">
              <w:rPr>
                <w:rFonts w:ascii="Times New Roman" w:hAnsi="Times New Roman"/>
                <w:color w:val="000000"/>
                <w:sz w:val="24"/>
                <w:szCs w:val="24"/>
              </w:rPr>
              <w:t>5.2</w:t>
            </w:r>
          </w:p>
        </w:tc>
      </w:tr>
      <w:tr w:rsidR="00B037A3" w:rsidRPr="00F8487E" w:rsidTr="00F93927">
        <w:trPr>
          <w:trHeight w:hRule="exact" w:val="454"/>
        </w:trPr>
        <w:tc>
          <w:tcPr>
            <w:tcW w:w="3197" w:type="dxa"/>
            <w:shd w:val="pct12" w:color="auto" w:fill="auto"/>
            <w:vAlign w:val="center"/>
          </w:tcPr>
          <w:p w:rsidR="00B037A3" w:rsidRPr="00F8487E" w:rsidRDefault="00B037A3" w:rsidP="004B57F3">
            <w:pPr>
              <w:spacing w:line="480" w:lineRule="auto"/>
              <w:rPr>
                <w:rFonts w:ascii="Times New Roman" w:hAnsi="Times New Roman"/>
                <w:color w:val="000000"/>
                <w:sz w:val="24"/>
                <w:szCs w:val="24"/>
              </w:rPr>
            </w:pPr>
            <w:r w:rsidRPr="00F8487E">
              <w:rPr>
                <w:rFonts w:ascii="Times New Roman" w:hAnsi="Times New Roman"/>
                <w:color w:val="000000"/>
                <w:sz w:val="24"/>
                <w:szCs w:val="24"/>
              </w:rPr>
              <w:t>Total Nitrogen</w:t>
            </w:r>
          </w:p>
        </w:tc>
        <w:tc>
          <w:tcPr>
            <w:tcW w:w="3198" w:type="dxa"/>
            <w:shd w:val="pct12" w:color="auto" w:fill="auto"/>
            <w:vAlign w:val="center"/>
          </w:tcPr>
          <w:p w:rsidR="00B037A3" w:rsidRPr="00F8487E" w:rsidRDefault="00B037A3" w:rsidP="004B57F3">
            <w:pPr>
              <w:spacing w:line="480" w:lineRule="auto"/>
              <w:jc w:val="center"/>
              <w:rPr>
                <w:rFonts w:ascii="Times New Roman" w:hAnsi="Times New Roman"/>
                <w:color w:val="000000"/>
                <w:sz w:val="24"/>
                <w:szCs w:val="24"/>
              </w:rPr>
            </w:pPr>
            <w:r w:rsidRPr="00F8487E">
              <w:rPr>
                <w:rFonts w:ascii="Times New Roman" w:hAnsi="Times New Roman"/>
                <w:color w:val="000000"/>
                <w:sz w:val="24"/>
                <w:szCs w:val="24"/>
              </w:rPr>
              <w:t>13.0</w:t>
            </w:r>
          </w:p>
        </w:tc>
      </w:tr>
      <w:tr w:rsidR="00B037A3" w:rsidRPr="00F8487E" w:rsidTr="00F93927">
        <w:trPr>
          <w:trHeight w:hRule="exact" w:val="454"/>
        </w:trPr>
        <w:tc>
          <w:tcPr>
            <w:tcW w:w="3197" w:type="dxa"/>
            <w:tcBorders>
              <w:bottom w:val="single" w:sz="18" w:space="0" w:color="auto"/>
            </w:tcBorders>
            <w:shd w:val="pct12" w:color="auto" w:fill="auto"/>
            <w:vAlign w:val="center"/>
          </w:tcPr>
          <w:p w:rsidR="00B037A3" w:rsidRPr="00F8487E" w:rsidRDefault="00B037A3" w:rsidP="004B57F3">
            <w:pPr>
              <w:spacing w:line="480" w:lineRule="auto"/>
              <w:rPr>
                <w:rFonts w:ascii="Times New Roman" w:hAnsi="Times New Roman"/>
                <w:color w:val="000000"/>
                <w:sz w:val="24"/>
                <w:szCs w:val="24"/>
              </w:rPr>
            </w:pPr>
            <w:r w:rsidRPr="00F8487E">
              <w:rPr>
                <w:rFonts w:ascii="Times New Roman" w:hAnsi="Times New Roman"/>
                <w:color w:val="000000"/>
                <w:sz w:val="24"/>
                <w:szCs w:val="24"/>
              </w:rPr>
              <w:t>Oil and grease</w:t>
            </w:r>
          </w:p>
        </w:tc>
        <w:tc>
          <w:tcPr>
            <w:tcW w:w="3198" w:type="dxa"/>
            <w:tcBorders>
              <w:bottom w:val="single" w:sz="18" w:space="0" w:color="auto"/>
            </w:tcBorders>
            <w:shd w:val="pct12" w:color="auto" w:fill="auto"/>
            <w:vAlign w:val="center"/>
          </w:tcPr>
          <w:p w:rsidR="00B037A3" w:rsidRPr="00F8487E" w:rsidRDefault="00B037A3" w:rsidP="004B57F3">
            <w:pPr>
              <w:spacing w:line="480" w:lineRule="auto"/>
              <w:jc w:val="center"/>
              <w:rPr>
                <w:rFonts w:ascii="Times New Roman" w:hAnsi="Times New Roman"/>
                <w:color w:val="000000"/>
                <w:sz w:val="24"/>
                <w:szCs w:val="24"/>
              </w:rPr>
            </w:pPr>
            <w:r w:rsidRPr="00F8487E">
              <w:rPr>
                <w:rFonts w:ascii="Times New Roman" w:hAnsi="Times New Roman"/>
                <w:color w:val="000000"/>
                <w:sz w:val="24"/>
                <w:szCs w:val="24"/>
              </w:rPr>
              <w:t>5.2</w:t>
            </w:r>
          </w:p>
        </w:tc>
      </w:tr>
    </w:tbl>
    <w:p w:rsidR="00B037A3" w:rsidRDefault="00B037A3" w:rsidP="00B037A3">
      <w:pPr>
        <w:jc w:val="center"/>
      </w:pPr>
    </w:p>
    <w:p w:rsidR="00B037A3" w:rsidRPr="009C68C5" w:rsidRDefault="00B037A3" w:rsidP="00B037A3"/>
    <w:p w:rsidR="00B037A3" w:rsidRPr="009C68C5" w:rsidRDefault="00B037A3" w:rsidP="00B037A3"/>
    <w:p w:rsidR="00B037A3" w:rsidRPr="009C68C5" w:rsidRDefault="00B037A3" w:rsidP="00B037A3"/>
    <w:p w:rsidR="00B037A3" w:rsidRPr="009C68C5" w:rsidRDefault="00B037A3" w:rsidP="00B037A3"/>
    <w:p w:rsidR="00B037A3" w:rsidRPr="009C68C5" w:rsidRDefault="00B037A3" w:rsidP="00B037A3"/>
    <w:p w:rsidR="00B037A3" w:rsidRPr="009C68C5" w:rsidRDefault="00B037A3" w:rsidP="00B037A3"/>
    <w:p w:rsidR="00B037A3" w:rsidRPr="009C68C5" w:rsidRDefault="00B037A3" w:rsidP="00B037A3"/>
    <w:p w:rsidR="00B037A3" w:rsidRPr="009C68C5" w:rsidRDefault="00B037A3" w:rsidP="00B037A3"/>
    <w:p w:rsidR="00B037A3" w:rsidRPr="009C68C5" w:rsidRDefault="00B037A3" w:rsidP="00B037A3"/>
    <w:p w:rsidR="00B037A3" w:rsidRDefault="00B037A3" w:rsidP="00B037A3"/>
    <w:p w:rsidR="00B037A3" w:rsidRPr="00F8487E" w:rsidRDefault="00B037A3" w:rsidP="00B037A3">
      <w:pPr>
        <w:ind w:firstLine="720"/>
        <w:rPr>
          <w:sz w:val="24"/>
          <w:szCs w:val="24"/>
        </w:rPr>
      </w:pPr>
      <w:proofErr w:type="spellStart"/>
      <w:proofErr w:type="gramStart"/>
      <w:r w:rsidRPr="00F8487E">
        <w:rPr>
          <w:rFonts w:ascii="Times New Roman" w:hAnsi="Times New Roman"/>
          <w:color w:val="000000"/>
          <w:sz w:val="24"/>
          <w:szCs w:val="24"/>
          <w:vertAlign w:val="superscript"/>
        </w:rPr>
        <w:t>b</w:t>
      </w:r>
      <w:r w:rsidRPr="00F8487E">
        <w:rPr>
          <w:rFonts w:ascii="Times New Roman" w:hAnsi="Times New Roman"/>
          <w:color w:val="000000"/>
          <w:sz w:val="24"/>
          <w:szCs w:val="24"/>
        </w:rPr>
        <w:t>Pretreated</w:t>
      </w:r>
      <w:proofErr w:type="spellEnd"/>
      <w:proofErr w:type="gramEnd"/>
      <w:r w:rsidRPr="00F8487E">
        <w:rPr>
          <w:rFonts w:ascii="Times New Roman" w:hAnsi="Times New Roman"/>
          <w:color w:val="000000"/>
          <w:sz w:val="24"/>
          <w:szCs w:val="24"/>
        </w:rPr>
        <w:t xml:space="preserve"> POME sample collected in June, 2016</w:t>
      </w:r>
    </w:p>
    <w:p w:rsidR="00D6786B" w:rsidRDefault="00D6786B" w:rsidP="00B037A3">
      <w:pPr>
        <w:tabs>
          <w:tab w:val="left" w:pos="5064"/>
        </w:tabs>
      </w:pPr>
    </w:p>
    <w:p w:rsidR="00D6786B" w:rsidRPr="00D6786B" w:rsidRDefault="00D6786B" w:rsidP="00D6786B"/>
    <w:p w:rsidR="00D6786B" w:rsidRPr="00D6786B" w:rsidRDefault="00D6786B" w:rsidP="00D6786B"/>
    <w:p w:rsidR="00D6786B" w:rsidRPr="00D6786B" w:rsidRDefault="00D6786B" w:rsidP="00D6786B"/>
    <w:p w:rsidR="00D6786B" w:rsidRPr="00D6786B" w:rsidRDefault="00D6786B" w:rsidP="00D6786B"/>
    <w:p w:rsidR="00D6786B" w:rsidRPr="00D6786B" w:rsidRDefault="00D6786B" w:rsidP="00D6786B"/>
    <w:p w:rsidR="00D6786B" w:rsidRPr="00D6786B" w:rsidRDefault="00D6786B" w:rsidP="00D6786B"/>
    <w:p w:rsidR="00D6786B" w:rsidRPr="00D6786B" w:rsidRDefault="00D6786B" w:rsidP="00D6786B"/>
    <w:p w:rsidR="00D6786B" w:rsidRDefault="00D6786B" w:rsidP="00D6786B"/>
    <w:p w:rsidR="00B037A3" w:rsidRDefault="00B037A3" w:rsidP="00D6786B">
      <w:pPr>
        <w:jc w:val="center"/>
      </w:pPr>
    </w:p>
    <w:p w:rsidR="00D6786B" w:rsidRDefault="00D6786B" w:rsidP="00D6786B">
      <w:pPr>
        <w:jc w:val="center"/>
      </w:pPr>
    </w:p>
    <w:p w:rsidR="00D6786B" w:rsidRDefault="00D6786B" w:rsidP="00D6786B">
      <w:pPr>
        <w:jc w:val="center"/>
      </w:pPr>
    </w:p>
    <w:p w:rsidR="00413117" w:rsidRPr="00EE1E9E" w:rsidRDefault="00413117" w:rsidP="00413117">
      <w:pPr>
        <w:spacing w:after="0" w:line="240" w:lineRule="auto"/>
        <w:jc w:val="both"/>
        <w:rPr>
          <w:rFonts w:ascii="Arial" w:hAnsi="Arial" w:cs="Arial"/>
          <w:i/>
          <w:sz w:val="24"/>
          <w:szCs w:val="24"/>
        </w:rPr>
      </w:pPr>
      <w:r>
        <w:rPr>
          <w:rFonts w:ascii="Arial" w:hAnsi="Arial" w:cs="Arial"/>
          <w:b/>
          <w:i/>
          <w:sz w:val="24"/>
          <w:szCs w:val="24"/>
        </w:rPr>
        <w:lastRenderedPageBreak/>
        <w:t>S1</w:t>
      </w:r>
      <w:r w:rsidRPr="00EE1E9E">
        <w:rPr>
          <w:rFonts w:ascii="Arial" w:hAnsi="Arial" w:cs="Arial"/>
          <w:b/>
          <w:i/>
          <w:sz w:val="24"/>
          <w:szCs w:val="24"/>
        </w:rPr>
        <w:t>.</w:t>
      </w:r>
      <w:r>
        <w:rPr>
          <w:rFonts w:ascii="Arial" w:hAnsi="Arial" w:cs="Arial"/>
          <w:b/>
          <w:i/>
          <w:sz w:val="24"/>
          <w:szCs w:val="24"/>
        </w:rPr>
        <w:t>1</w:t>
      </w:r>
      <w:r w:rsidRPr="00EE1E9E">
        <w:rPr>
          <w:rFonts w:ascii="Arial" w:hAnsi="Arial" w:cs="Arial"/>
          <w:b/>
          <w:i/>
          <w:sz w:val="24"/>
          <w:szCs w:val="24"/>
        </w:rPr>
        <w:t xml:space="preserve">. Theoretical assumptions </w:t>
      </w:r>
    </w:p>
    <w:p w:rsidR="00413117" w:rsidRPr="00EE1E9E" w:rsidRDefault="00413117" w:rsidP="00413117">
      <w:pPr>
        <w:spacing w:after="0" w:line="240" w:lineRule="auto"/>
        <w:ind w:firstLine="720"/>
        <w:jc w:val="both"/>
        <w:rPr>
          <w:rFonts w:ascii="Arial" w:hAnsi="Arial" w:cs="Arial"/>
          <w:sz w:val="24"/>
          <w:szCs w:val="24"/>
        </w:rPr>
      </w:pPr>
      <w:r w:rsidRPr="00EE1E9E">
        <w:rPr>
          <w:rFonts w:ascii="Arial" w:hAnsi="Arial" w:cs="Arial"/>
          <w:sz w:val="24"/>
          <w:szCs w:val="24"/>
        </w:rPr>
        <w:t xml:space="preserve">Among the four different combinations of </w:t>
      </w:r>
      <w:proofErr w:type="spellStart"/>
      <w:r w:rsidRPr="00EE1E9E">
        <w:rPr>
          <w:rFonts w:ascii="Arial" w:hAnsi="Arial" w:cs="Arial"/>
          <w:sz w:val="24"/>
          <w:szCs w:val="24"/>
        </w:rPr>
        <w:t>gelator</w:t>
      </w:r>
      <w:proofErr w:type="spellEnd"/>
      <w:r w:rsidRPr="00EE1E9E">
        <w:rPr>
          <w:rFonts w:ascii="Arial" w:hAnsi="Arial" w:cs="Arial"/>
          <w:sz w:val="24"/>
          <w:szCs w:val="24"/>
        </w:rPr>
        <w:t xml:space="preserve"> precursors and surface modifiers the best results were obtained using TMOS/APTMS combination. These results are in accordance with the study of Hasegawa and </w:t>
      </w:r>
      <w:proofErr w:type="spellStart"/>
      <w:r w:rsidRPr="00EE1E9E">
        <w:rPr>
          <w:rFonts w:ascii="Arial" w:hAnsi="Arial" w:cs="Arial"/>
          <w:sz w:val="24"/>
          <w:szCs w:val="24"/>
        </w:rPr>
        <w:t>Sakka</w:t>
      </w:r>
      <w:proofErr w:type="spellEnd"/>
      <w:r w:rsidRPr="00EE1E9E">
        <w:rPr>
          <w:rFonts w:ascii="Arial" w:hAnsi="Arial" w:cs="Arial"/>
          <w:sz w:val="24"/>
          <w:szCs w:val="24"/>
        </w:rPr>
        <w:t xml:space="preserve"> </w:t>
      </w:r>
      <w:r>
        <w:rPr>
          <w:rFonts w:ascii="Arial" w:hAnsi="Arial" w:cs="Arial"/>
          <w:sz w:val="24"/>
          <w:szCs w:val="24"/>
        </w:rPr>
        <w:fldChar w:fldCharType="begin"/>
      </w:r>
      <w:r w:rsidR="00881498">
        <w:rPr>
          <w:rFonts w:ascii="Arial" w:hAnsi="Arial" w:cs="Arial"/>
          <w:sz w:val="24"/>
          <w:szCs w:val="24"/>
        </w:rPr>
        <w:instrText xml:space="preserve"><![CDATA[ ADDIN EN.CITE <EndNote><Cite><Author>Hasegawa</Author><Year>1990</Year><RecNum>141</RecNum><DisplayText>[1]</DisplayText><record><rec-number>141</rec-number><foreign-keys><key app="EN" db-id="f029tvftuddsx5evsxkx2r9222e9p5pxp99t">141</key></foreign-keys><ref-type name="Journal Article">17</ref-type><contributors><authors><author>Hasegawa, Isao</author><author>Sakka, Sumio</author><author>Sugahara, Yoshiyuki</author><author>Kuroda, Kazuyuki</author><author>Kato, Chuzo</author></authors></contributors><titles><title>Polymerization of hydrolysis products of methyltriethoxysilane in aqueous solutions</title><secondary-title>Journal of the Ceramic Society of Japan</secondary-title></titles><periodical><full-title>Journal of the Ceramic Society of Japan</full-title><abbr-1>J. Ceram. Soc. Jpn.</abbr-1><abbr-2>J Ceram Soc Jpn</abbr-2></periodical><pages>647-652</pages><volume>98</volume><number>1139</number><dates><year>1990</year></dates><isbn>0914-5400</isbn><urls></urls></record></Cite></EndNote>]]></w:instrText>
      </w:r>
      <w:r>
        <w:rPr>
          <w:rFonts w:ascii="Arial" w:hAnsi="Arial" w:cs="Arial"/>
          <w:sz w:val="24"/>
          <w:szCs w:val="24"/>
        </w:rPr>
        <w:fldChar w:fldCharType="separate"/>
      </w:r>
      <w:r w:rsidR="00881498">
        <w:rPr>
          <w:rFonts w:ascii="Arial" w:hAnsi="Arial" w:cs="Arial"/>
          <w:noProof/>
          <w:sz w:val="24"/>
          <w:szCs w:val="24"/>
        </w:rPr>
        <w:t>[</w:t>
      </w:r>
      <w:hyperlink w:anchor="_ENREF_1" w:tooltip="Hasegawa, 1990 #141" w:history="1">
        <w:r w:rsidR="00881498">
          <w:rPr>
            <w:rFonts w:ascii="Arial" w:hAnsi="Arial" w:cs="Arial"/>
            <w:noProof/>
            <w:sz w:val="24"/>
            <w:szCs w:val="24"/>
          </w:rPr>
          <w:t>1</w:t>
        </w:r>
      </w:hyperlink>
      <w:r w:rsidR="00881498">
        <w:rPr>
          <w:rFonts w:ascii="Arial" w:hAnsi="Arial" w:cs="Arial"/>
          <w:noProof/>
          <w:sz w:val="24"/>
          <w:szCs w:val="24"/>
        </w:rPr>
        <w:t>]</w:t>
      </w:r>
      <w:r>
        <w:rPr>
          <w:rFonts w:ascii="Arial" w:hAnsi="Arial" w:cs="Arial"/>
          <w:sz w:val="24"/>
          <w:szCs w:val="24"/>
        </w:rPr>
        <w:fldChar w:fldCharType="end"/>
      </w:r>
      <w:r>
        <w:rPr>
          <w:rFonts w:ascii="Arial" w:hAnsi="Arial" w:cs="Arial"/>
          <w:sz w:val="24"/>
          <w:szCs w:val="24"/>
        </w:rPr>
        <w:t xml:space="preserve"> </w:t>
      </w:r>
      <w:r w:rsidRPr="00EE1E9E">
        <w:rPr>
          <w:rFonts w:ascii="Arial" w:hAnsi="Arial" w:cs="Arial"/>
          <w:sz w:val="24"/>
          <w:szCs w:val="24"/>
        </w:rPr>
        <w:t>where they reported that branching and increasing of the chain length lowers the hydrolysis rate and consequently the rate of reaction slower down and efficiency of the reaction decreases:</w:t>
      </w:r>
    </w:p>
    <w:p w:rsidR="00413117" w:rsidRPr="00EE1E9E" w:rsidRDefault="00413117" w:rsidP="00413117">
      <w:pPr>
        <w:spacing w:after="0" w:line="240" w:lineRule="auto"/>
        <w:jc w:val="center"/>
        <w:rPr>
          <w:rFonts w:ascii="Arial" w:hAnsi="Arial" w:cs="Arial"/>
          <w:sz w:val="24"/>
          <w:szCs w:val="24"/>
        </w:rPr>
      </w:pPr>
      <w:r w:rsidRPr="00EE1E9E">
        <w:rPr>
          <w:rFonts w:ascii="Arial" w:hAnsi="Arial" w:cs="Arial"/>
          <w:sz w:val="24"/>
          <w:szCs w:val="24"/>
        </w:rPr>
        <w:t>Si(</w:t>
      </w:r>
      <w:proofErr w:type="spellStart"/>
      <w:r w:rsidRPr="00EE1E9E">
        <w:rPr>
          <w:rFonts w:ascii="Arial" w:hAnsi="Arial" w:cs="Arial"/>
          <w:sz w:val="24"/>
          <w:szCs w:val="24"/>
        </w:rPr>
        <w:t>OMe</w:t>
      </w:r>
      <w:proofErr w:type="spellEnd"/>
      <w:r w:rsidRPr="00EE1E9E">
        <w:rPr>
          <w:rFonts w:ascii="Arial" w:hAnsi="Arial" w:cs="Arial"/>
          <w:sz w:val="24"/>
          <w:szCs w:val="24"/>
        </w:rPr>
        <w:t>)</w:t>
      </w:r>
      <w:r w:rsidRPr="00EE1E9E">
        <w:rPr>
          <w:rFonts w:ascii="Arial" w:hAnsi="Arial" w:cs="Arial"/>
          <w:sz w:val="24"/>
          <w:szCs w:val="24"/>
          <w:vertAlign w:val="subscript"/>
        </w:rPr>
        <w:t>4</w:t>
      </w:r>
      <w:r w:rsidRPr="00EE1E9E">
        <w:rPr>
          <w:rFonts w:ascii="Arial" w:hAnsi="Arial" w:cs="Arial"/>
          <w:sz w:val="24"/>
          <w:szCs w:val="24"/>
        </w:rPr>
        <w:t xml:space="preserve"> &gt; Si(</w:t>
      </w:r>
      <w:proofErr w:type="spellStart"/>
      <w:r w:rsidRPr="00EE1E9E">
        <w:rPr>
          <w:rFonts w:ascii="Arial" w:hAnsi="Arial" w:cs="Arial"/>
          <w:sz w:val="24"/>
          <w:szCs w:val="24"/>
        </w:rPr>
        <w:t>OEt</w:t>
      </w:r>
      <w:proofErr w:type="spellEnd"/>
      <w:r w:rsidRPr="00EE1E9E">
        <w:rPr>
          <w:rFonts w:ascii="Arial" w:hAnsi="Arial" w:cs="Arial"/>
          <w:sz w:val="24"/>
          <w:szCs w:val="24"/>
        </w:rPr>
        <w:t>)</w:t>
      </w:r>
      <w:r w:rsidRPr="00EE1E9E">
        <w:rPr>
          <w:rFonts w:ascii="Arial" w:hAnsi="Arial" w:cs="Arial"/>
          <w:sz w:val="24"/>
          <w:szCs w:val="24"/>
          <w:vertAlign w:val="subscript"/>
        </w:rPr>
        <w:t>4</w:t>
      </w:r>
      <w:r w:rsidRPr="00EE1E9E">
        <w:rPr>
          <w:rFonts w:ascii="Arial" w:hAnsi="Arial" w:cs="Arial"/>
          <w:sz w:val="24"/>
          <w:szCs w:val="24"/>
        </w:rPr>
        <w:t xml:space="preserve"> &gt; Si(</w:t>
      </w:r>
      <w:proofErr w:type="spellStart"/>
      <w:r w:rsidRPr="00EE1E9E">
        <w:rPr>
          <w:rFonts w:ascii="Arial" w:hAnsi="Arial" w:cs="Arial"/>
          <w:sz w:val="24"/>
          <w:szCs w:val="24"/>
        </w:rPr>
        <w:t>OnPr</w:t>
      </w:r>
      <w:proofErr w:type="spellEnd"/>
      <w:r w:rsidRPr="00EE1E9E">
        <w:rPr>
          <w:rFonts w:ascii="Arial" w:hAnsi="Arial" w:cs="Arial"/>
          <w:sz w:val="24"/>
          <w:szCs w:val="24"/>
        </w:rPr>
        <w:t xml:space="preserve"> )</w:t>
      </w:r>
      <w:r w:rsidRPr="00EE1E9E">
        <w:rPr>
          <w:rFonts w:ascii="Arial" w:hAnsi="Arial" w:cs="Arial"/>
          <w:sz w:val="24"/>
          <w:szCs w:val="24"/>
          <w:vertAlign w:val="subscript"/>
        </w:rPr>
        <w:t>4</w:t>
      </w:r>
      <w:r w:rsidRPr="00EE1E9E">
        <w:rPr>
          <w:rFonts w:ascii="Arial" w:hAnsi="Arial" w:cs="Arial"/>
          <w:sz w:val="24"/>
          <w:szCs w:val="24"/>
        </w:rPr>
        <w:t xml:space="preserve"> &gt; Si(</w:t>
      </w:r>
      <w:proofErr w:type="spellStart"/>
      <w:r w:rsidRPr="00EE1E9E">
        <w:rPr>
          <w:rFonts w:ascii="Arial" w:hAnsi="Arial" w:cs="Arial"/>
          <w:sz w:val="24"/>
          <w:szCs w:val="24"/>
        </w:rPr>
        <w:t>OiPr</w:t>
      </w:r>
      <w:proofErr w:type="spellEnd"/>
      <w:r w:rsidRPr="00EE1E9E">
        <w:rPr>
          <w:rFonts w:ascii="Arial" w:hAnsi="Arial" w:cs="Arial"/>
          <w:sz w:val="24"/>
          <w:szCs w:val="24"/>
        </w:rPr>
        <w:t>)</w:t>
      </w:r>
      <w:r w:rsidRPr="00EE1E9E">
        <w:rPr>
          <w:rFonts w:ascii="Arial" w:hAnsi="Arial" w:cs="Arial"/>
          <w:sz w:val="24"/>
          <w:szCs w:val="24"/>
          <w:vertAlign w:val="subscript"/>
        </w:rPr>
        <w:t>4</w:t>
      </w:r>
      <w:r w:rsidRPr="00EE1E9E">
        <w:rPr>
          <w:rFonts w:ascii="Arial" w:hAnsi="Arial" w:cs="Arial"/>
          <w:sz w:val="24"/>
          <w:szCs w:val="24"/>
        </w:rPr>
        <w:t xml:space="preserve"> &gt; Si(</w:t>
      </w:r>
      <w:proofErr w:type="spellStart"/>
      <w:r w:rsidRPr="00EE1E9E">
        <w:rPr>
          <w:rFonts w:ascii="Arial" w:hAnsi="Arial" w:cs="Arial"/>
          <w:sz w:val="24"/>
          <w:szCs w:val="24"/>
        </w:rPr>
        <w:t>OnBu</w:t>
      </w:r>
      <w:proofErr w:type="spellEnd"/>
      <w:r w:rsidRPr="00EE1E9E">
        <w:rPr>
          <w:rFonts w:ascii="Arial" w:hAnsi="Arial" w:cs="Arial"/>
          <w:sz w:val="24"/>
          <w:szCs w:val="24"/>
        </w:rPr>
        <w:t>)</w:t>
      </w:r>
      <w:r w:rsidRPr="00EE1E9E">
        <w:rPr>
          <w:rFonts w:ascii="Arial" w:hAnsi="Arial" w:cs="Arial"/>
          <w:sz w:val="24"/>
          <w:szCs w:val="24"/>
          <w:vertAlign w:val="subscript"/>
        </w:rPr>
        <w:t>4</w:t>
      </w:r>
      <w:r w:rsidRPr="00EE1E9E">
        <w:rPr>
          <w:rFonts w:ascii="Arial" w:hAnsi="Arial" w:cs="Arial"/>
          <w:sz w:val="24"/>
          <w:szCs w:val="24"/>
        </w:rPr>
        <w:t xml:space="preserve"> &gt; Si(</w:t>
      </w:r>
      <w:proofErr w:type="spellStart"/>
      <w:r w:rsidRPr="00EE1E9E">
        <w:rPr>
          <w:rFonts w:ascii="Arial" w:hAnsi="Arial" w:cs="Arial"/>
          <w:sz w:val="24"/>
          <w:szCs w:val="24"/>
        </w:rPr>
        <w:t>OHex</w:t>
      </w:r>
      <w:proofErr w:type="spellEnd"/>
      <w:r w:rsidRPr="00EE1E9E">
        <w:rPr>
          <w:rFonts w:ascii="Arial" w:hAnsi="Arial" w:cs="Arial"/>
          <w:sz w:val="24"/>
          <w:szCs w:val="24"/>
        </w:rPr>
        <w:t>)</w:t>
      </w:r>
      <w:r w:rsidRPr="00EE1E9E">
        <w:rPr>
          <w:rFonts w:ascii="Arial" w:hAnsi="Arial" w:cs="Arial"/>
          <w:sz w:val="24"/>
          <w:szCs w:val="24"/>
          <w:vertAlign w:val="subscript"/>
        </w:rPr>
        <w:t>4</w:t>
      </w:r>
    </w:p>
    <w:p w:rsidR="00413117" w:rsidRPr="00EE1E9E" w:rsidRDefault="00413117" w:rsidP="00413117">
      <w:pPr>
        <w:spacing w:after="0" w:line="240" w:lineRule="auto"/>
        <w:ind w:firstLine="720"/>
        <w:jc w:val="both"/>
        <w:rPr>
          <w:rFonts w:ascii="Arial" w:hAnsi="Arial" w:cs="Arial"/>
          <w:sz w:val="24"/>
          <w:szCs w:val="24"/>
        </w:rPr>
      </w:pPr>
      <w:r w:rsidRPr="00EE1E9E">
        <w:rPr>
          <w:rFonts w:ascii="Arial" w:hAnsi="Arial" w:cs="Arial"/>
          <w:sz w:val="24"/>
          <w:szCs w:val="24"/>
        </w:rPr>
        <w:t xml:space="preserve">Another clue that supports the reaction efficacy among TMOS/APTMS is that the stability of reaction intermediate formed during the course of reaction. As shown in the scheme S1, in base catalyzed reactions a negatively charged intermediate is formed. So, longer chain alkyl groups destabilize the intermediate due to </w:t>
      </w:r>
      <w:proofErr w:type="spellStart"/>
      <w:r w:rsidRPr="00EE1E9E">
        <w:rPr>
          <w:rFonts w:ascii="Arial" w:hAnsi="Arial" w:cs="Arial"/>
          <w:sz w:val="24"/>
          <w:szCs w:val="24"/>
        </w:rPr>
        <w:t>Hyperconjugation</w:t>
      </w:r>
      <w:proofErr w:type="spellEnd"/>
      <w:r w:rsidRPr="00EE1E9E">
        <w:rPr>
          <w:rFonts w:ascii="Arial" w:hAnsi="Arial" w:cs="Arial"/>
          <w:sz w:val="24"/>
          <w:szCs w:val="24"/>
        </w:rPr>
        <w:t xml:space="preserve"> and ultimately the efficiency of reaction decrease. In this particular case, shorter chain alkyl group contribute less towards the </w:t>
      </w:r>
      <w:proofErr w:type="spellStart"/>
      <w:r w:rsidRPr="00EE1E9E">
        <w:rPr>
          <w:rFonts w:ascii="Arial" w:hAnsi="Arial" w:cs="Arial"/>
          <w:sz w:val="24"/>
          <w:szCs w:val="24"/>
        </w:rPr>
        <w:t>destability</w:t>
      </w:r>
      <w:proofErr w:type="spellEnd"/>
      <w:r w:rsidRPr="00EE1E9E">
        <w:rPr>
          <w:rFonts w:ascii="Arial" w:hAnsi="Arial" w:cs="Arial"/>
          <w:sz w:val="24"/>
          <w:szCs w:val="24"/>
        </w:rPr>
        <w:t xml:space="preserve"> and comparatively the intermediate produced during the course of reaction is stable as compared to longer chain alkyl group. Stability of intermediate reflects the efficiency of reaction rate and ultimate the efficiency of the reaction. Herein, in case of product A, the precursors have shortest chains of </w:t>
      </w:r>
      <w:proofErr w:type="spellStart"/>
      <w:r w:rsidRPr="00EE1E9E">
        <w:rPr>
          <w:rFonts w:ascii="Arial" w:hAnsi="Arial" w:cs="Arial"/>
          <w:sz w:val="24"/>
          <w:szCs w:val="24"/>
        </w:rPr>
        <w:t>alkly</w:t>
      </w:r>
      <w:proofErr w:type="spellEnd"/>
      <w:r w:rsidRPr="00EE1E9E">
        <w:rPr>
          <w:rFonts w:ascii="Arial" w:hAnsi="Arial" w:cs="Arial"/>
          <w:sz w:val="24"/>
          <w:szCs w:val="24"/>
        </w:rPr>
        <w:t xml:space="preserve"> and </w:t>
      </w:r>
      <w:proofErr w:type="spellStart"/>
      <w:r w:rsidRPr="00EE1E9E">
        <w:rPr>
          <w:rFonts w:ascii="Arial" w:hAnsi="Arial" w:cs="Arial"/>
          <w:sz w:val="24"/>
          <w:szCs w:val="24"/>
        </w:rPr>
        <w:t>alkoxy</w:t>
      </w:r>
      <w:proofErr w:type="spellEnd"/>
      <w:r w:rsidRPr="00EE1E9E">
        <w:rPr>
          <w:rFonts w:ascii="Arial" w:hAnsi="Arial" w:cs="Arial"/>
          <w:sz w:val="24"/>
          <w:szCs w:val="24"/>
        </w:rPr>
        <w:t xml:space="preserve"> groups and have lesser effect on the destabilization of intermediate. Consequently, the rate of reaction is </w:t>
      </w:r>
      <w:proofErr w:type="gramStart"/>
      <w:r w:rsidRPr="00EE1E9E">
        <w:rPr>
          <w:rFonts w:ascii="Arial" w:hAnsi="Arial" w:cs="Arial"/>
          <w:sz w:val="24"/>
          <w:szCs w:val="24"/>
        </w:rPr>
        <w:t>maximum</w:t>
      </w:r>
      <w:proofErr w:type="gramEnd"/>
      <w:r w:rsidRPr="00EE1E9E">
        <w:rPr>
          <w:rFonts w:ascii="Arial" w:hAnsi="Arial" w:cs="Arial"/>
          <w:sz w:val="24"/>
          <w:szCs w:val="24"/>
        </w:rPr>
        <w:t xml:space="preserve"> in case of product A and the product was obtained with higher yields. </w:t>
      </w:r>
    </w:p>
    <w:p w:rsidR="00413117" w:rsidRPr="00EE1E9E" w:rsidRDefault="00413117" w:rsidP="00413117">
      <w:pPr>
        <w:spacing w:after="0" w:line="240" w:lineRule="auto"/>
        <w:ind w:firstLine="720"/>
        <w:jc w:val="both"/>
        <w:rPr>
          <w:rFonts w:ascii="Arial" w:hAnsi="Arial" w:cs="Arial"/>
          <w:sz w:val="24"/>
          <w:szCs w:val="24"/>
        </w:rPr>
      </w:pPr>
      <w:r w:rsidRPr="00EE1E9E">
        <w:rPr>
          <w:rFonts w:ascii="Arial" w:hAnsi="Arial" w:cs="Arial"/>
          <w:sz w:val="24"/>
          <w:szCs w:val="24"/>
        </w:rPr>
        <w:t xml:space="preserve">SEM images and FTIR results and theoretical assumptions are evidences of maximum yield, more </w:t>
      </w:r>
      <w:proofErr w:type="spellStart"/>
      <w:r w:rsidRPr="00EE1E9E">
        <w:rPr>
          <w:rFonts w:ascii="Arial" w:hAnsi="Arial" w:cs="Arial"/>
          <w:sz w:val="24"/>
          <w:szCs w:val="24"/>
        </w:rPr>
        <w:t>monodispersity</w:t>
      </w:r>
      <w:proofErr w:type="spellEnd"/>
      <w:r w:rsidRPr="00EE1E9E">
        <w:rPr>
          <w:rFonts w:ascii="Arial" w:hAnsi="Arial" w:cs="Arial"/>
          <w:sz w:val="24"/>
          <w:szCs w:val="24"/>
        </w:rPr>
        <w:t xml:space="preserve"> and higher loading of </w:t>
      </w:r>
      <w:proofErr w:type="spellStart"/>
      <w:r w:rsidRPr="00EE1E9E">
        <w:rPr>
          <w:rFonts w:ascii="Arial" w:hAnsi="Arial" w:cs="Arial"/>
          <w:sz w:val="24"/>
          <w:szCs w:val="24"/>
        </w:rPr>
        <w:t>aminomodification</w:t>
      </w:r>
      <w:proofErr w:type="spellEnd"/>
      <w:r w:rsidRPr="00EE1E9E">
        <w:rPr>
          <w:rFonts w:ascii="Arial" w:hAnsi="Arial" w:cs="Arial"/>
          <w:sz w:val="24"/>
          <w:szCs w:val="24"/>
        </w:rPr>
        <w:t xml:space="preserve"> of silica particles. So for further characterization and reactions AFS-NPs of TMOS/APTMS combination were used.</w:t>
      </w:r>
    </w:p>
    <w:p w:rsidR="00413117" w:rsidRPr="00B90B38" w:rsidRDefault="00413117" w:rsidP="00413117">
      <w:pPr>
        <w:spacing w:line="480" w:lineRule="auto"/>
        <w:rPr>
          <w:rFonts w:ascii="Times New Roman" w:hAnsi="Times New Roman"/>
          <w:u w:val="single"/>
        </w:rPr>
      </w:pPr>
    </w:p>
    <w:p w:rsidR="00413117" w:rsidRDefault="00413117" w:rsidP="00413117">
      <w:pPr>
        <w:spacing w:line="480" w:lineRule="auto"/>
        <w:rPr>
          <w:rFonts w:ascii="Times New Roman" w:hAnsi="Times New Roman"/>
        </w:rPr>
      </w:pPr>
    </w:p>
    <w:p w:rsidR="00413117" w:rsidRDefault="00413117" w:rsidP="00413117">
      <w:pPr>
        <w:spacing w:line="480" w:lineRule="auto"/>
        <w:rPr>
          <w:rFonts w:ascii="Times New Roman" w:hAnsi="Times New Roman"/>
        </w:rPr>
      </w:pPr>
    </w:p>
    <w:p w:rsidR="00413117" w:rsidRDefault="00413117" w:rsidP="00413117">
      <w:pPr>
        <w:spacing w:line="480" w:lineRule="auto"/>
        <w:rPr>
          <w:rFonts w:ascii="Times New Roman" w:hAnsi="Times New Roman"/>
        </w:rPr>
      </w:pPr>
    </w:p>
    <w:p w:rsidR="00413117" w:rsidRDefault="00413117" w:rsidP="00413117">
      <w:pPr>
        <w:spacing w:line="480" w:lineRule="auto"/>
        <w:rPr>
          <w:rFonts w:ascii="Times New Roman" w:hAnsi="Times New Roman"/>
        </w:rPr>
      </w:pPr>
    </w:p>
    <w:p w:rsidR="00413117" w:rsidRDefault="00413117" w:rsidP="00413117">
      <w:pPr>
        <w:spacing w:line="480" w:lineRule="auto"/>
        <w:rPr>
          <w:rFonts w:ascii="Times New Roman" w:hAnsi="Times New Roman"/>
        </w:rPr>
      </w:pPr>
    </w:p>
    <w:p w:rsidR="00413117" w:rsidRDefault="00413117" w:rsidP="00413117">
      <w:pPr>
        <w:spacing w:line="480" w:lineRule="auto"/>
        <w:rPr>
          <w:rFonts w:ascii="Times New Roman" w:hAnsi="Times New Roman"/>
        </w:rPr>
      </w:pPr>
    </w:p>
    <w:p w:rsidR="00413117" w:rsidRDefault="00413117" w:rsidP="00413117">
      <w:pPr>
        <w:spacing w:line="480" w:lineRule="auto"/>
        <w:rPr>
          <w:rFonts w:ascii="Times New Roman" w:hAnsi="Times New Roman"/>
        </w:rPr>
      </w:pPr>
    </w:p>
    <w:p w:rsidR="00413117" w:rsidRDefault="00413117" w:rsidP="00413117">
      <w:pPr>
        <w:spacing w:line="480" w:lineRule="auto"/>
        <w:rPr>
          <w:rFonts w:ascii="Times New Roman" w:hAnsi="Times New Roman"/>
        </w:rPr>
      </w:pPr>
    </w:p>
    <w:p w:rsidR="00413117" w:rsidRDefault="00413117" w:rsidP="00413117">
      <w:pPr>
        <w:spacing w:line="480" w:lineRule="auto"/>
        <w:rPr>
          <w:rFonts w:ascii="Times New Roman" w:hAnsi="Times New Roman"/>
        </w:rPr>
      </w:pPr>
    </w:p>
    <w:p w:rsidR="00413117" w:rsidRPr="00FB0FD6" w:rsidRDefault="00413117" w:rsidP="00413117">
      <w:pPr>
        <w:spacing w:line="480" w:lineRule="auto"/>
        <w:rPr>
          <w:rFonts w:ascii="Times New Roman" w:hAnsi="Times New Roman"/>
          <w:b/>
        </w:rPr>
      </w:pPr>
      <w:r w:rsidRPr="00F8487E">
        <w:rPr>
          <w:rFonts w:ascii="Times New Roman" w:hAnsi="Times New Roman"/>
        </w:rPr>
        <w:t>Hydrolysis</w:t>
      </w:r>
    </w:p>
    <w:p w:rsidR="00413117" w:rsidRDefault="00413117" w:rsidP="00413117">
      <w:pPr>
        <w:spacing w:line="480" w:lineRule="auto"/>
        <w:rPr>
          <w:rFonts w:ascii="Times New Roman" w:hAnsi="Times New Roman"/>
        </w:rPr>
      </w:pPr>
      <w:r>
        <w:rPr>
          <w:noProof/>
          <w:lang w:eastAsia="zh-CN"/>
        </w:rPr>
        <w:drawing>
          <wp:anchor distT="0" distB="0" distL="114300" distR="114300" simplePos="0" relativeHeight="251665408" behindDoc="0" locked="0" layoutInCell="1" allowOverlap="1" wp14:anchorId="2EED1D4C" wp14:editId="5989AEB2">
            <wp:simplePos x="0" y="0"/>
            <wp:positionH relativeFrom="column">
              <wp:posOffset>-628650</wp:posOffset>
            </wp:positionH>
            <wp:positionV relativeFrom="paragraph">
              <wp:posOffset>346075</wp:posOffset>
            </wp:positionV>
            <wp:extent cx="6515735" cy="932815"/>
            <wp:effectExtent l="0" t="0" r="1206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15735" cy="932815"/>
                    </a:xfrm>
                    <a:prstGeom prst="rect">
                      <a:avLst/>
                    </a:prstGeom>
                    <a:noFill/>
                    <a:ln>
                      <a:noFill/>
                    </a:ln>
                    <a:extLst>
                      <a:ext uri="{FAA26D3D-D897-4be2-8F04-BA451C77F1D7}">
                        <ma14:placeholderFlag xmlns:mo="http://schemas.microsoft.com/office/mac/office/2008/main" xmlns:mv="urn:schemas-microsoft-com:mac:vml"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413117" w:rsidRDefault="00413117" w:rsidP="00413117">
      <w:pPr>
        <w:spacing w:line="480" w:lineRule="auto"/>
        <w:rPr>
          <w:rFonts w:ascii="Times New Roman" w:hAnsi="Times New Roman"/>
        </w:rPr>
      </w:pPr>
      <w:proofErr w:type="spellStart"/>
      <w:r>
        <w:rPr>
          <w:rFonts w:ascii="Times New Roman" w:hAnsi="Times New Roman"/>
        </w:rPr>
        <w:t>Polycondensation</w:t>
      </w:r>
      <w:proofErr w:type="spellEnd"/>
    </w:p>
    <w:p w:rsidR="00413117" w:rsidRPr="00F8487E" w:rsidRDefault="00413117" w:rsidP="00413117">
      <w:pPr>
        <w:spacing w:line="480" w:lineRule="auto"/>
        <w:rPr>
          <w:rFonts w:ascii="Times New Roman" w:hAnsi="Times New Roman"/>
        </w:rPr>
      </w:pPr>
    </w:p>
    <w:p w:rsidR="00413117" w:rsidRPr="00F8487E" w:rsidRDefault="00413117" w:rsidP="00413117">
      <w:pPr>
        <w:spacing w:line="480" w:lineRule="auto"/>
        <w:jc w:val="center"/>
      </w:pPr>
      <w:r>
        <w:rPr>
          <w:noProof/>
          <w:lang w:eastAsia="zh-CN"/>
        </w:rPr>
        <w:drawing>
          <wp:anchor distT="0" distB="0" distL="114300" distR="114300" simplePos="0" relativeHeight="251666432" behindDoc="0" locked="0" layoutInCell="1" allowOverlap="1" wp14:anchorId="11FFC473" wp14:editId="1C2024D4">
            <wp:simplePos x="0" y="0"/>
            <wp:positionH relativeFrom="column">
              <wp:align>center</wp:align>
            </wp:positionH>
            <wp:positionV relativeFrom="paragraph">
              <wp:posOffset>0</wp:posOffset>
            </wp:positionV>
            <wp:extent cx="5038725" cy="6858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38725" cy="685800"/>
                    </a:xfrm>
                    <a:prstGeom prst="rect">
                      <a:avLst/>
                    </a:prstGeom>
                    <a:noFill/>
                    <a:ln>
                      <a:noFill/>
                    </a:ln>
                    <a:extLst>
                      <a:ext uri="{FAA26D3D-D897-4be2-8F04-BA451C77F1D7}">
                        <ma14:placeholderFlag xmlns:mo="http://schemas.microsoft.com/office/mac/office/2008/main" xmlns:mv="urn:schemas-microsoft-com:mac:vml"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413117" w:rsidRPr="00F8487E" w:rsidRDefault="00413117" w:rsidP="00413117">
      <w:pPr>
        <w:spacing w:line="480" w:lineRule="auto"/>
        <w:jc w:val="center"/>
        <w:rPr>
          <w:rFonts w:ascii="Times New Roman" w:hAnsi="Times New Roman"/>
        </w:rPr>
      </w:pPr>
      <w:r>
        <w:rPr>
          <w:noProof/>
          <w:lang w:eastAsia="zh-CN"/>
        </w:rPr>
        <w:drawing>
          <wp:anchor distT="0" distB="0" distL="114300" distR="114300" simplePos="0" relativeHeight="251667456" behindDoc="0" locked="0" layoutInCell="1" allowOverlap="1" wp14:anchorId="1831A392" wp14:editId="435CE79D">
            <wp:simplePos x="0" y="0"/>
            <wp:positionH relativeFrom="column">
              <wp:align>center</wp:align>
            </wp:positionH>
            <wp:positionV relativeFrom="paragraph">
              <wp:posOffset>3175</wp:posOffset>
            </wp:positionV>
            <wp:extent cx="4835525" cy="11430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35525" cy="1143000"/>
                    </a:xfrm>
                    <a:prstGeom prst="rect">
                      <a:avLst/>
                    </a:prstGeom>
                    <a:noFill/>
                    <a:ln>
                      <a:noFill/>
                    </a:ln>
                    <a:extLst>
                      <a:ext uri="{FAA26D3D-D897-4be2-8F04-BA451C77F1D7}">
                        <ma14:placeholderFlag xmlns:mo="http://schemas.microsoft.com/office/mac/office/2008/main" xmlns:mv="urn:schemas-microsoft-com:mac:vml"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413117" w:rsidRPr="00F93927" w:rsidRDefault="00413117" w:rsidP="00413117">
      <w:pPr>
        <w:ind w:right="-489"/>
        <w:jc w:val="both"/>
        <w:rPr>
          <w:rFonts w:ascii="Times New Roman" w:hAnsi="Times New Roman"/>
          <w:b/>
          <w:sz w:val="24"/>
          <w:szCs w:val="24"/>
        </w:rPr>
      </w:pPr>
      <w:r w:rsidRPr="00F93927">
        <w:rPr>
          <w:rFonts w:ascii="Times New Roman" w:hAnsi="Times New Roman"/>
          <w:b/>
          <w:sz w:val="24"/>
          <w:szCs w:val="24"/>
        </w:rPr>
        <w:t>Scheme S</w:t>
      </w:r>
      <w:r>
        <w:rPr>
          <w:rFonts w:ascii="Times New Roman" w:hAnsi="Times New Roman"/>
          <w:b/>
          <w:sz w:val="24"/>
          <w:szCs w:val="24"/>
        </w:rPr>
        <w:t>1</w:t>
      </w:r>
      <w:r w:rsidRPr="00F93927">
        <w:rPr>
          <w:rFonts w:ascii="Times New Roman" w:hAnsi="Times New Roman"/>
          <w:b/>
          <w:sz w:val="24"/>
          <w:szCs w:val="24"/>
        </w:rPr>
        <w:t xml:space="preserve"> – Schematic representation of the base catalyzed Sol-Gel process mechanism</w:t>
      </w:r>
    </w:p>
    <w:p w:rsidR="00702AA4" w:rsidRDefault="00702AA4" w:rsidP="00702AA4">
      <w:pPr>
        <w:jc w:val="center"/>
      </w:pPr>
    </w:p>
    <w:p w:rsidR="00702AA4" w:rsidRDefault="00702AA4" w:rsidP="00702AA4">
      <w:pPr>
        <w:spacing w:line="360" w:lineRule="auto"/>
        <w:jc w:val="center"/>
        <w:rPr>
          <w:rFonts w:ascii="Times New Roman" w:hAnsi="Times New Roman"/>
          <w:b/>
          <w:sz w:val="28"/>
          <w:szCs w:val="28"/>
        </w:rPr>
      </w:pPr>
    </w:p>
    <w:p w:rsidR="00413117" w:rsidRDefault="00413117" w:rsidP="00702AA4">
      <w:pPr>
        <w:spacing w:line="360" w:lineRule="auto"/>
        <w:jc w:val="center"/>
        <w:rPr>
          <w:rFonts w:ascii="Times New Roman" w:hAnsi="Times New Roman"/>
          <w:b/>
          <w:sz w:val="28"/>
          <w:szCs w:val="28"/>
        </w:rPr>
      </w:pPr>
    </w:p>
    <w:p w:rsidR="00413117" w:rsidRDefault="00413117" w:rsidP="00702AA4">
      <w:pPr>
        <w:spacing w:line="360" w:lineRule="auto"/>
        <w:jc w:val="center"/>
        <w:rPr>
          <w:rFonts w:ascii="Times New Roman" w:hAnsi="Times New Roman"/>
          <w:b/>
          <w:sz w:val="28"/>
          <w:szCs w:val="28"/>
        </w:rPr>
      </w:pPr>
    </w:p>
    <w:p w:rsidR="00413117" w:rsidRDefault="00413117" w:rsidP="00702AA4">
      <w:pPr>
        <w:spacing w:line="360" w:lineRule="auto"/>
        <w:jc w:val="center"/>
        <w:rPr>
          <w:rFonts w:ascii="Times New Roman" w:hAnsi="Times New Roman"/>
          <w:b/>
          <w:sz w:val="28"/>
          <w:szCs w:val="28"/>
        </w:rPr>
      </w:pPr>
    </w:p>
    <w:p w:rsidR="00413117" w:rsidRDefault="00413117" w:rsidP="00702AA4">
      <w:pPr>
        <w:spacing w:line="360" w:lineRule="auto"/>
        <w:jc w:val="center"/>
        <w:rPr>
          <w:rFonts w:ascii="Times New Roman" w:hAnsi="Times New Roman"/>
          <w:b/>
          <w:sz w:val="28"/>
          <w:szCs w:val="28"/>
        </w:rPr>
      </w:pPr>
    </w:p>
    <w:p w:rsidR="00413117" w:rsidRDefault="00413117" w:rsidP="00702AA4">
      <w:pPr>
        <w:spacing w:line="360" w:lineRule="auto"/>
        <w:jc w:val="center"/>
        <w:rPr>
          <w:rFonts w:ascii="Times New Roman" w:hAnsi="Times New Roman"/>
          <w:b/>
          <w:sz w:val="28"/>
          <w:szCs w:val="28"/>
        </w:rPr>
      </w:pPr>
    </w:p>
    <w:p w:rsidR="00413117" w:rsidRDefault="00413117" w:rsidP="00702AA4">
      <w:pPr>
        <w:spacing w:line="360" w:lineRule="auto"/>
        <w:jc w:val="center"/>
        <w:rPr>
          <w:rFonts w:ascii="Times New Roman" w:hAnsi="Times New Roman"/>
          <w:b/>
          <w:sz w:val="28"/>
          <w:szCs w:val="28"/>
        </w:rPr>
      </w:pPr>
    </w:p>
    <w:p w:rsidR="00A41970" w:rsidRDefault="00B35C9E" w:rsidP="00702AA4">
      <w:pPr>
        <w:spacing w:line="360" w:lineRule="auto"/>
        <w:jc w:val="center"/>
        <w:rPr>
          <w:rFonts w:ascii="Times New Roman" w:hAnsi="Times New Roman"/>
          <w:b/>
          <w:sz w:val="28"/>
          <w:szCs w:val="28"/>
        </w:rPr>
      </w:pPr>
      <w:r>
        <w:object w:dxaOrig="27000" w:dyaOrig="22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5in" o:ole="">
            <v:imagedata r:id="rId8" o:title=""/>
          </v:shape>
          <o:OLEObject Type="Embed" ProgID="Origin50.Graph" ShapeID="_x0000_i1025" DrawAspect="Content" ObjectID="_1583074990" r:id="rId9"/>
        </w:object>
      </w:r>
      <w:bookmarkStart w:id="0" w:name="_GoBack"/>
      <w:bookmarkEnd w:id="0"/>
    </w:p>
    <w:p w:rsidR="00A41970" w:rsidRDefault="00A41970" w:rsidP="00702AA4">
      <w:pPr>
        <w:spacing w:line="360" w:lineRule="auto"/>
        <w:rPr>
          <w:rFonts w:ascii="Times New Roman" w:hAnsi="Times New Roman"/>
          <w:b/>
          <w:sz w:val="24"/>
          <w:szCs w:val="24"/>
        </w:rPr>
      </w:pPr>
      <w:proofErr w:type="gramStart"/>
      <w:r w:rsidRPr="00F93927">
        <w:rPr>
          <w:rFonts w:ascii="Times New Roman" w:hAnsi="Times New Roman"/>
          <w:b/>
          <w:sz w:val="24"/>
          <w:szCs w:val="24"/>
        </w:rPr>
        <w:t>Fig.</w:t>
      </w:r>
      <w:proofErr w:type="gramEnd"/>
      <w:r w:rsidRPr="00F93927">
        <w:rPr>
          <w:rFonts w:ascii="Times New Roman" w:hAnsi="Times New Roman"/>
          <w:b/>
          <w:sz w:val="24"/>
          <w:szCs w:val="24"/>
        </w:rPr>
        <w:t xml:space="preserve"> S</w:t>
      </w:r>
      <w:r w:rsidR="00A12958">
        <w:rPr>
          <w:rFonts w:ascii="Times New Roman" w:hAnsi="Times New Roman"/>
          <w:b/>
          <w:sz w:val="24"/>
          <w:szCs w:val="24"/>
        </w:rPr>
        <w:t>1</w:t>
      </w:r>
      <w:r w:rsidRPr="00F93927">
        <w:rPr>
          <w:rFonts w:ascii="Times New Roman" w:hAnsi="Times New Roman"/>
          <w:b/>
          <w:sz w:val="24"/>
          <w:szCs w:val="24"/>
        </w:rPr>
        <w:t xml:space="preserve"> – </w:t>
      </w:r>
      <w:r>
        <w:rPr>
          <w:rFonts w:ascii="Times New Roman" w:hAnsi="Times New Roman"/>
          <w:b/>
          <w:sz w:val="24"/>
          <w:szCs w:val="24"/>
        </w:rPr>
        <w:t xml:space="preserve">Histograms showing particles size distribution of AFS-NPs </w:t>
      </w:r>
      <w:r w:rsidR="002B7003" w:rsidRPr="009600F8">
        <w:rPr>
          <w:rFonts w:ascii="Times New Roman" w:hAnsi="Times New Roman"/>
          <w:b/>
          <w:bCs/>
        </w:rPr>
        <w:t xml:space="preserve">from four combinations (a) TMOS+APTMS, </w:t>
      </w:r>
      <w:r w:rsidR="002B7003" w:rsidRPr="009600F8">
        <w:rPr>
          <w:rFonts w:ascii="Times New Roman" w:hAnsi="Times New Roman"/>
          <w:b/>
        </w:rPr>
        <w:t>(</w:t>
      </w:r>
      <w:r w:rsidR="002B7003" w:rsidRPr="009600F8">
        <w:rPr>
          <w:rFonts w:ascii="Times New Roman" w:hAnsi="Times New Roman"/>
          <w:b/>
          <w:bCs/>
        </w:rPr>
        <w:t>b) TEOS+APTES</w:t>
      </w:r>
      <w:r w:rsidR="002B7003" w:rsidRPr="009600F8">
        <w:rPr>
          <w:rFonts w:ascii="Times New Roman" w:hAnsi="Times New Roman"/>
          <w:b/>
        </w:rPr>
        <w:t xml:space="preserve">, </w:t>
      </w:r>
      <w:r w:rsidR="002B7003" w:rsidRPr="009600F8">
        <w:rPr>
          <w:rFonts w:ascii="Times New Roman" w:hAnsi="Times New Roman"/>
          <w:b/>
          <w:bCs/>
        </w:rPr>
        <w:t>(c) TMOS+APTES (d) TEOS + APTMS</w:t>
      </w:r>
    </w:p>
    <w:p w:rsidR="00A41970" w:rsidRDefault="00A41970" w:rsidP="00702AA4">
      <w:pPr>
        <w:spacing w:line="360" w:lineRule="auto"/>
        <w:rPr>
          <w:rFonts w:ascii="Times New Roman" w:hAnsi="Times New Roman"/>
          <w:b/>
          <w:sz w:val="24"/>
          <w:szCs w:val="24"/>
        </w:rPr>
      </w:pPr>
    </w:p>
    <w:p w:rsidR="00A41970" w:rsidRDefault="00A41970" w:rsidP="00702AA4">
      <w:pPr>
        <w:spacing w:line="360" w:lineRule="auto"/>
        <w:rPr>
          <w:rFonts w:ascii="Times New Roman" w:hAnsi="Times New Roman"/>
          <w:b/>
          <w:sz w:val="24"/>
          <w:szCs w:val="24"/>
        </w:rPr>
      </w:pPr>
    </w:p>
    <w:p w:rsidR="00A41970" w:rsidRDefault="00A41970" w:rsidP="00702AA4">
      <w:pPr>
        <w:spacing w:line="360" w:lineRule="auto"/>
        <w:rPr>
          <w:rFonts w:ascii="Times New Roman" w:hAnsi="Times New Roman"/>
          <w:b/>
          <w:sz w:val="24"/>
          <w:szCs w:val="24"/>
        </w:rPr>
      </w:pPr>
    </w:p>
    <w:p w:rsidR="00A41970" w:rsidRDefault="00A41970" w:rsidP="00702AA4">
      <w:pPr>
        <w:spacing w:line="360" w:lineRule="auto"/>
        <w:rPr>
          <w:rFonts w:ascii="Times New Roman" w:hAnsi="Times New Roman"/>
          <w:b/>
          <w:sz w:val="24"/>
          <w:szCs w:val="24"/>
        </w:rPr>
      </w:pPr>
    </w:p>
    <w:p w:rsidR="00A41970" w:rsidRDefault="00A41970" w:rsidP="00702AA4">
      <w:pPr>
        <w:spacing w:line="360" w:lineRule="auto"/>
        <w:rPr>
          <w:rFonts w:ascii="Times New Roman" w:hAnsi="Times New Roman"/>
          <w:b/>
          <w:sz w:val="24"/>
          <w:szCs w:val="24"/>
        </w:rPr>
      </w:pPr>
    </w:p>
    <w:p w:rsidR="00A41970" w:rsidRDefault="00A41970" w:rsidP="00702AA4">
      <w:pPr>
        <w:spacing w:line="360" w:lineRule="auto"/>
        <w:rPr>
          <w:rFonts w:ascii="Times New Roman" w:hAnsi="Times New Roman"/>
          <w:b/>
          <w:sz w:val="24"/>
          <w:szCs w:val="24"/>
        </w:rPr>
      </w:pPr>
    </w:p>
    <w:p w:rsidR="002B7003" w:rsidRDefault="002B7003" w:rsidP="00702AA4">
      <w:pPr>
        <w:spacing w:line="360" w:lineRule="auto"/>
        <w:rPr>
          <w:rFonts w:ascii="Times New Roman" w:hAnsi="Times New Roman"/>
          <w:b/>
          <w:sz w:val="24"/>
          <w:szCs w:val="24"/>
        </w:rPr>
      </w:pPr>
    </w:p>
    <w:p w:rsidR="00702AA4" w:rsidRPr="00F93927" w:rsidRDefault="00B35C9E" w:rsidP="00702AA4">
      <w:pPr>
        <w:spacing w:line="360" w:lineRule="auto"/>
        <w:rPr>
          <w:rFonts w:ascii="Times New Roman" w:hAnsi="Times New Roman"/>
          <w:b/>
          <w:sz w:val="24"/>
          <w:szCs w:val="24"/>
        </w:rPr>
      </w:pPr>
      <w:r>
        <w:rPr>
          <w:rFonts w:asciiTheme="minorHAnsi" w:hAnsiTheme="minorHAnsi"/>
          <w:noProof/>
          <w:sz w:val="24"/>
          <w:szCs w:val="24"/>
        </w:rPr>
        <w:pict>
          <v:shape id="_x0000_s1026" type="#_x0000_t75" style="position:absolute;margin-left:0;margin-top:0;width:414.6pt;height:318.6pt;z-index:251663360;mso-position-horizontal:center;mso-position-horizontal-relative:text;mso-position-vertical:absolute;mso-position-vertical-relative:text" filled="t" fillcolor="white [3212]">
            <v:imagedata r:id="rId10" o:title=""/>
            <w10:wrap type="square"/>
          </v:shape>
          <o:OLEObject Type="Embed" ProgID="Origin50.Graph" ShapeID="_x0000_s1026" DrawAspect="Content" ObjectID="_1583074991" r:id="rId11"/>
        </w:pict>
      </w:r>
    </w:p>
    <w:p w:rsidR="00B90B38" w:rsidRDefault="00A41970" w:rsidP="00A41970">
      <w:proofErr w:type="gramStart"/>
      <w:r w:rsidRPr="00F93927">
        <w:rPr>
          <w:rFonts w:ascii="Times New Roman" w:hAnsi="Times New Roman"/>
          <w:b/>
          <w:sz w:val="24"/>
          <w:szCs w:val="24"/>
        </w:rPr>
        <w:t>Fig.</w:t>
      </w:r>
      <w:proofErr w:type="gramEnd"/>
      <w:r w:rsidRPr="00F93927">
        <w:rPr>
          <w:rFonts w:ascii="Times New Roman" w:hAnsi="Times New Roman"/>
          <w:b/>
          <w:sz w:val="24"/>
          <w:szCs w:val="24"/>
        </w:rPr>
        <w:t xml:space="preserve"> S</w:t>
      </w:r>
      <w:r>
        <w:rPr>
          <w:rFonts w:ascii="Times New Roman" w:hAnsi="Times New Roman"/>
          <w:b/>
          <w:sz w:val="24"/>
          <w:szCs w:val="24"/>
        </w:rPr>
        <w:t>2</w:t>
      </w:r>
      <w:r w:rsidRPr="00F93927">
        <w:rPr>
          <w:rFonts w:ascii="Times New Roman" w:hAnsi="Times New Roman"/>
          <w:b/>
          <w:sz w:val="24"/>
          <w:szCs w:val="24"/>
        </w:rPr>
        <w:t xml:space="preserve"> – FTIR Spectra of AFS-NPs (product A) before and after calcination</w:t>
      </w:r>
    </w:p>
    <w:p w:rsidR="00B90B38" w:rsidRDefault="00B90B38" w:rsidP="00702AA4">
      <w:pPr>
        <w:jc w:val="center"/>
      </w:pPr>
    </w:p>
    <w:p w:rsidR="00413117" w:rsidRDefault="00413117" w:rsidP="00702AA4">
      <w:pPr>
        <w:jc w:val="center"/>
      </w:pPr>
    </w:p>
    <w:p w:rsidR="00413117" w:rsidRDefault="00413117" w:rsidP="00702AA4">
      <w:pPr>
        <w:jc w:val="center"/>
      </w:pPr>
    </w:p>
    <w:p w:rsidR="00413117" w:rsidRDefault="00413117" w:rsidP="00702AA4">
      <w:pPr>
        <w:jc w:val="center"/>
      </w:pPr>
    </w:p>
    <w:p w:rsidR="00413117" w:rsidRDefault="00413117" w:rsidP="00702AA4">
      <w:pPr>
        <w:jc w:val="center"/>
      </w:pPr>
    </w:p>
    <w:p w:rsidR="00413117" w:rsidRDefault="00413117" w:rsidP="00702AA4">
      <w:pPr>
        <w:jc w:val="center"/>
      </w:pPr>
    </w:p>
    <w:p w:rsidR="00413117" w:rsidRDefault="00413117" w:rsidP="00702AA4">
      <w:pPr>
        <w:jc w:val="center"/>
      </w:pPr>
    </w:p>
    <w:p w:rsidR="00413117" w:rsidRDefault="00413117" w:rsidP="00702AA4">
      <w:pPr>
        <w:jc w:val="center"/>
      </w:pPr>
    </w:p>
    <w:p w:rsidR="00413117" w:rsidRPr="000F4985" w:rsidRDefault="00413117" w:rsidP="000F4985">
      <w:pPr>
        <w:rPr>
          <w:rFonts w:ascii="Arial" w:hAnsi="Arial" w:cs="Arial"/>
        </w:rPr>
      </w:pPr>
    </w:p>
    <w:p w:rsidR="00881498" w:rsidRPr="000F4985" w:rsidRDefault="00B90B38" w:rsidP="000F4985">
      <w:pPr>
        <w:pStyle w:val="EndNoteBibliography"/>
        <w:jc w:val="left"/>
        <w:rPr>
          <w:rFonts w:ascii="Arial" w:hAnsi="Arial" w:cs="Arial"/>
        </w:rPr>
      </w:pPr>
      <w:r w:rsidRPr="000F4985">
        <w:rPr>
          <w:rFonts w:ascii="Arial" w:hAnsi="Arial" w:cs="Arial"/>
        </w:rPr>
        <w:fldChar w:fldCharType="begin"/>
      </w:r>
      <w:r w:rsidRPr="000F4985">
        <w:rPr>
          <w:rFonts w:ascii="Arial" w:hAnsi="Arial" w:cs="Arial"/>
        </w:rPr>
        <w:instrText xml:space="preserve"> ADDIN EN.REFLIST </w:instrText>
      </w:r>
      <w:r w:rsidRPr="000F4985">
        <w:rPr>
          <w:rFonts w:ascii="Arial" w:hAnsi="Arial" w:cs="Arial"/>
        </w:rPr>
        <w:fldChar w:fldCharType="separate"/>
      </w:r>
      <w:bookmarkStart w:id="1" w:name="_ENREF_1"/>
      <w:r w:rsidR="00881498" w:rsidRPr="000F4985">
        <w:rPr>
          <w:rFonts w:ascii="Arial" w:hAnsi="Arial" w:cs="Arial"/>
        </w:rPr>
        <w:t>[1] Hasegawa I, Sakka S, Sugahara Y, Kuroda K, Kato C. Polymerization of hydrolysis products of methyltriethoxysilane in aqueous solutions. Journal of the Ceramic Society of Japan 1990;98:647-52.</w:t>
      </w:r>
      <w:bookmarkEnd w:id="1"/>
    </w:p>
    <w:p w:rsidR="00702AA4" w:rsidRPr="00702AA4" w:rsidRDefault="00B90B38" w:rsidP="000F4985">
      <w:r w:rsidRPr="000F4985">
        <w:rPr>
          <w:rFonts w:ascii="Arial" w:hAnsi="Arial" w:cs="Arial"/>
        </w:rPr>
        <w:fldChar w:fldCharType="end"/>
      </w:r>
    </w:p>
    <w:sectPr w:rsidR="00702AA4" w:rsidRPr="00702AA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urnal of Materials Research and Techn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B037A3"/>
    <w:rsid w:val="0007028B"/>
    <w:rsid w:val="000F4985"/>
    <w:rsid w:val="002B7003"/>
    <w:rsid w:val="00413117"/>
    <w:rsid w:val="00522F76"/>
    <w:rsid w:val="00702AA4"/>
    <w:rsid w:val="007D540A"/>
    <w:rsid w:val="00881498"/>
    <w:rsid w:val="00924F0A"/>
    <w:rsid w:val="00A12958"/>
    <w:rsid w:val="00A37152"/>
    <w:rsid w:val="00A41970"/>
    <w:rsid w:val="00B037A3"/>
    <w:rsid w:val="00B35C9E"/>
    <w:rsid w:val="00B6122C"/>
    <w:rsid w:val="00B90B38"/>
    <w:rsid w:val="00D6786B"/>
    <w:rsid w:val="00E44482"/>
    <w:rsid w:val="00F500B3"/>
    <w:rsid w:val="00F93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7A3"/>
    <w:pPr>
      <w:spacing w:after="160" w:line="259" w:lineRule="auto"/>
    </w:pPr>
    <w:rPr>
      <w:rFonts w:ascii="Calibri" w:eastAsia="Calibri" w:hAnsi="Calibri" w:cs="Times New Roman"/>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B90B38"/>
    <w:pPr>
      <w:spacing w:after="0"/>
      <w:jc w:val="center"/>
    </w:pPr>
    <w:rPr>
      <w:noProof/>
    </w:rPr>
  </w:style>
  <w:style w:type="character" w:customStyle="1" w:styleId="EndNoteBibliographyTitleChar">
    <w:name w:val="EndNote Bibliography Title Char"/>
    <w:basedOn w:val="DefaultParagraphFont"/>
    <w:link w:val="EndNoteBibliographyTitle"/>
    <w:rsid w:val="00B90B38"/>
    <w:rPr>
      <w:rFonts w:ascii="Calibri" w:eastAsia="Calibri" w:hAnsi="Calibri" w:cs="Times New Roman"/>
      <w:noProof/>
      <w:lang w:eastAsia="en-US"/>
    </w:rPr>
  </w:style>
  <w:style w:type="paragraph" w:customStyle="1" w:styleId="EndNoteBibliography">
    <w:name w:val="EndNote Bibliography"/>
    <w:basedOn w:val="Normal"/>
    <w:link w:val="EndNoteBibliographyChar"/>
    <w:rsid w:val="00B90B38"/>
    <w:pPr>
      <w:spacing w:line="240" w:lineRule="auto"/>
      <w:jc w:val="center"/>
    </w:pPr>
    <w:rPr>
      <w:noProof/>
    </w:rPr>
  </w:style>
  <w:style w:type="character" w:customStyle="1" w:styleId="EndNoteBibliographyChar">
    <w:name w:val="EndNote Bibliography Char"/>
    <w:basedOn w:val="DefaultParagraphFont"/>
    <w:link w:val="EndNoteBibliography"/>
    <w:rsid w:val="00B90B38"/>
    <w:rPr>
      <w:rFonts w:ascii="Calibri" w:eastAsia="Calibri" w:hAnsi="Calibri" w:cs="Times New Roman"/>
      <w:noProof/>
      <w:lang w:eastAsia="en-US"/>
    </w:rPr>
  </w:style>
  <w:style w:type="character" w:styleId="Hyperlink">
    <w:name w:val="Hyperlink"/>
    <w:basedOn w:val="DefaultParagraphFont"/>
    <w:uiPriority w:val="99"/>
    <w:unhideWhenUsed/>
    <w:rsid w:val="00B90B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7A3"/>
    <w:pPr>
      <w:spacing w:after="160" w:line="259" w:lineRule="auto"/>
    </w:pPr>
    <w:rPr>
      <w:rFonts w:ascii="Calibri" w:eastAsia="Calibri" w:hAnsi="Calibri" w:cs="Times New Roman"/>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B90B38"/>
    <w:pPr>
      <w:spacing w:after="0"/>
      <w:jc w:val="center"/>
    </w:pPr>
    <w:rPr>
      <w:noProof/>
    </w:rPr>
  </w:style>
  <w:style w:type="character" w:customStyle="1" w:styleId="EndNoteBibliographyTitleChar">
    <w:name w:val="EndNote Bibliography Title Char"/>
    <w:basedOn w:val="DefaultParagraphFont"/>
    <w:link w:val="EndNoteBibliographyTitle"/>
    <w:rsid w:val="00B90B38"/>
    <w:rPr>
      <w:rFonts w:ascii="Calibri" w:eastAsia="Calibri" w:hAnsi="Calibri" w:cs="Times New Roman"/>
      <w:noProof/>
      <w:lang w:eastAsia="en-US"/>
    </w:rPr>
  </w:style>
  <w:style w:type="paragraph" w:customStyle="1" w:styleId="EndNoteBibliography">
    <w:name w:val="EndNote Bibliography"/>
    <w:basedOn w:val="Normal"/>
    <w:link w:val="EndNoteBibliographyChar"/>
    <w:rsid w:val="00B90B38"/>
    <w:pPr>
      <w:spacing w:line="240" w:lineRule="auto"/>
      <w:jc w:val="center"/>
    </w:pPr>
    <w:rPr>
      <w:noProof/>
    </w:rPr>
  </w:style>
  <w:style w:type="character" w:customStyle="1" w:styleId="EndNoteBibliographyChar">
    <w:name w:val="EndNote Bibliography Char"/>
    <w:basedOn w:val="DefaultParagraphFont"/>
    <w:link w:val="EndNoteBibliography"/>
    <w:rsid w:val="00B90B38"/>
    <w:rPr>
      <w:rFonts w:ascii="Calibri" w:eastAsia="Calibri" w:hAnsi="Calibri" w:cs="Times New Roman"/>
      <w:noProof/>
      <w:lang w:eastAsia="en-US"/>
    </w:rPr>
  </w:style>
  <w:style w:type="character" w:styleId="Hyperlink">
    <w:name w:val="Hyperlink"/>
    <w:basedOn w:val="DefaultParagraphFont"/>
    <w:uiPriority w:val="99"/>
    <w:unhideWhenUsed/>
    <w:rsid w:val="00B90B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 = '1.0' encoding = 'UTF-8' standalone = 'yes'?>
<Relationships xmlns="http://schemas.openxmlformats.org/package/2006/relationships">
   <Relationship Id="rId1" Type="http://schemas.openxmlformats.org/officeDocument/2006/relationships/styles" Target="styles.xml"/>
   <Relationship Id="rId10" Type="http://schemas.openxmlformats.org/officeDocument/2006/relationships/image" Target="media/image5.emf"/>
   <Relationship Id="rId11" Type="http://schemas.openxmlformats.org/officeDocument/2006/relationships/oleObject" Target="embeddings/oleObject2.bin"/>
   <Relationship Id="rId12" Type="http://schemas.openxmlformats.org/officeDocument/2006/relationships/fontTable" Target="fontTable.xml"/>
   <Relationship Id="rId13"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wmf"/>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image" Target="media/image4.emf"/>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223</TotalTime>
  <Pages>7</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14.0000</AppVersion>
  <Manager/>
  <HyperlinkBase/>
</Properties>
</file>

<file path=docProps/core.xml><?xml version="1.0" encoding="utf-8"?>
<cp:coreProperties xmlns:cp="http://schemas.openxmlformats.org/package/2006/metadata/core-properties" xmlns:dc="http://purl.org/dc/elements/1.1/" xmlns:dcterms="http://purl.org/dc/terms/" xmlns:xsi="http://www.w3.org/2001/XMLSchema-instance"/>
</file>