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 = '1.0' encoding = 'UTF-8' standalone = 'yes'?>
<Relationships xmlns="http://schemas.openxmlformats.org/package/2006/relationships">
   <Relationship Id="rId1" Type="http://schemas.openxmlformats.org/officeDocument/2006/relationships/officeDocument" Target="word/document.xml"/>
   <Relationship Id="rId2" Type="http://schemas.openxmlformats.org/package/2006/relationships/metadata/core-properties" Target="docProps/core.xml"/>
   <Relationship Id="rId3" Type="http://schemas.openxmlformats.org/officeDocument/2006/relationships/extended-properties" Target="docProps/app.xml"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965" w:rsidRPr="009B108B" w:rsidRDefault="00121965" w:rsidP="009B108B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B108B">
        <w:rPr>
          <w:rFonts w:ascii="Arial" w:hAnsi="Arial" w:cs="Arial"/>
          <w:b/>
          <w:sz w:val="24"/>
          <w:szCs w:val="24"/>
          <w:u w:val="single"/>
        </w:rPr>
        <w:t>Supplementary Information</w:t>
      </w:r>
    </w:p>
    <w:p w:rsidR="00121965" w:rsidRPr="009B108B" w:rsidRDefault="00121965" w:rsidP="009B108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108B">
        <w:rPr>
          <w:rFonts w:ascii="Arial" w:hAnsi="Arial" w:cs="Arial"/>
          <w:b/>
          <w:sz w:val="24"/>
          <w:szCs w:val="24"/>
        </w:rPr>
        <w:t xml:space="preserve">Mechanical and wear </w:t>
      </w:r>
      <w:proofErr w:type="spellStart"/>
      <w:r w:rsidRPr="009B108B">
        <w:rPr>
          <w:rFonts w:ascii="Arial" w:hAnsi="Arial" w:cs="Arial"/>
          <w:b/>
          <w:sz w:val="24"/>
          <w:szCs w:val="24"/>
        </w:rPr>
        <w:t>behaviour</w:t>
      </w:r>
      <w:proofErr w:type="spellEnd"/>
      <w:r w:rsidRPr="009B108B">
        <w:rPr>
          <w:rFonts w:ascii="Arial" w:hAnsi="Arial" w:cs="Arial"/>
          <w:b/>
          <w:sz w:val="24"/>
          <w:szCs w:val="24"/>
        </w:rPr>
        <w:t xml:space="preserve"> of </w:t>
      </w:r>
      <w:proofErr w:type="gramStart"/>
      <w:r w:rsidRPr="009B108B">
        <w:rPr>
          <w:rFonts w:ascii="Arial" w:hAnsi="Arial" w:cs="Arial"/>
          <w:b/>
          <w:sz w:val="24"/>
          <w:szCs w:val="24"/>
        </w:rPr>
        <w:t>Poly(</w:t>
      </w:r>
      <w:proofErr w:type="spellStart"/>
      <w:proofErr w:type="gramEnd"/>
      <w:r w:rsidRPr="009B108B">
        <w:rPr>
          <w:rFonts w:ascii="Arial" w:hAnsi="Arial" w:cs="Arial"/>
          <w:b/>
          <w:sz w:val="24"/>
          <w:szCs w:val="24"/>
        </w:rPr>
        <w:t>vinylidene</w:t>
      </w:r>
      <w:proofErr w:type="spellEnd"/>
      <w:r w:rsidRPr="009B108B">
        <w:rPr>
          <w:rFonts w:ascii="Arial" w:hAnsi="Arial" w:cs="Arial"/>
          <w:b/>
          <w:sz w:val="24"/>
          <w:szCs w:val="24"/>
        </w:rPr>
        <w:t xml:space="preserve"> fluoride)/clay nanocomposite</w:t>
      </w:r>
    </w:p>
    <w:p w:rsidR="00A14E76" w:rsidRPr="009B108B" w:rsidRDefault="00A14E76" w:rsidP="009B108B">
      <w:pPr>
        <w:spacing w:line="240" w:lineRule="auto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proofErr w:type="spellStart"/>
      <w:r w:rsidRPr="009B108B">
        <w:rPr>
          <w:rFonts w:ascii="Arial" w:hAnsi="Arial" w:cs="Arial"/>
          <w:b/>
          <w:sz w:val="24"/>
          <w:szCs w:val="24"/>
        </w:rPr>
        <w:t>Anupama</w:t>
      </w:r>
      <w:proofErr w:type="spellEnd"/>
      <w:r w:rsidRPr="009B108B">
        <w:rPr>
          <w:rFonts w:ascii="Arial" w:hAnsi="Arial" w:cs="Arial"/>
          <w:b/>
          <w:sz w:val="24"/>
          <w:szCs w:val="24"/>
        </w:rPr>
        <w:t xml:space="preserve"> Gaur</w:t>
      </w:r>
      <w:r w:rsidR="00363049" w:rsidRPr="009B108B">
        <w:rPr>
          <w:rFonts w:ascii="Arial" w:hAnsi="Arial" w:cs="Arial"/>
          <w:b/>
          <w:sz w:val="24"/>
          <w:szCs w:val="24"/>
          <w:vertAlign w:val="superscript"/>
        </w:rPr>
        <w:t>1</w:t>
      </w:r>
      <w:r w:rsidRPr="009B108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363049" w:rsidRPr="009B108B">
        <w:rPr>
          <w:rFonts w:ascii="Arial" w:hAnsi="Arial" w:cs="Arial"/>
          <w:b/>
          <w:sz w:val="24"/>
          <w:szCs w:val="24"/>
        </w:rPr>
        <w:t>Dipak</w:t>
      </w:r>
      <w:proofErr w:type="spellEnd"/>
      <w:r w:rsidR="00363049" w:rsidRPr="009B108B">
        <w:rPr>
          <w:rFonts w:ascii="Arial" w:hAnsi="Arial" w:cs="Arial"/>
          <w:b/>
          <w:sz w:val="24"/>
          <w:szCs w:val="24"/>
        </w:rPr>
        <w:t xml:space="preserve"> Rana</w:t>
      </w:r>
      <w:r w:rsidR="00363049" w:rsidRPr="009B108B">
        <w:rPr>
          <w:rFonts w:ascii="Arial" w:hAnsi="Arial" w:cs="Arial"/>
          <w:b/>
          <w:sz w:val="24"/>
          <w:szCs w:val="24"/>
          <w:vertAlign w:val="superscript"/>
        </w:rPr>
        <w:t>2</w:t>
      </w:r>
      <w:r w:rsidR="00363049" w:rsidRPr="009B108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9B108B">
        <w:rPr>
          <w:rFonts w:ascii="Arial" w:hAnsi="Arial" w:cs="Arial"/>
          <w:b/>
          <w:sz w:val="24"/>
          <w:szCs w:val="24"/>
        </w:rPr>
        <w:t>Pralay</w:t>
      </w:r>
      <w:proofErr w:type="spellEnd"/>
      <w:r w:rsidRPr="009B108B">
        <w:rPr>
          <w:rFonts w:ascii="Arial" w:hAnsi="Arial" w:cs="Arial"/>
          <w:b/>
          <w:sz w:val="24"/>
          <w:szCs w:val="24"/>
        </w:rPr>
        <w:t xml:space="preserve"> Maiti</w:t>
      </w:r>
      <w:r w:rsidR="00363049" w:rsidRPr="009B108B">
        <w:rPr>
          <w:rFonts w:ascii="Arial" w:hAnsi="Arial" w:cs="Arial"/>
          <w:b/>
          <w:sz w:val="24"/>
          <w:szCs w:val="24"/>
          <w:vertAlign w:val="superscript"/>
        </w:rPr>
        <w:t>1</w:t>
      </w:r>
      <w:r w:rsidR="00246710" w:rsidRPr="009B108B">
        <w:rPr>
          <w:rFonts w:ascii="Arial" w:hAnsi="Arial" w:cs="Arial"/>
          <w:b/>
          <w:sz w:val="24"/>
          <w:szCs w:val="24"/>
          <w:vertAlign w:val="superscript"/>
        </w:rPr>
        <w:t>*</w:t>
      </w:r>
    </w:p>
    <w:p w:rsidR="00A14E76" w:rsidRPr="009B108B" w:rsidRDefault="00363049" w:rsidP="009B108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9B108B">
        <w:rPr>
          <w:rFonts w:ascii="Arial" w:hAnsi="Arial" w:cs="Arial"/>
          <w:sz w:val="24"/>
          <w:szCs w:val="24"/>
          <w:vertAlign w:val="superscript"/>
        </w:rPr>
        <w:t>1</w:t>
      </w:r>
      <w:r w:rsidR="00A14E76" w:rsidRPr="009B108B">
        <w:rPr>
          <w:rFonts w:ascii="Arial" w:hAnsi="Arial" w:cs="Arial"/>
          <w:sz w:val="24"/>
          <w:szCs w:val="24"/>
        </w:rPr>
        <w:t>School of Materials Science and Technology, Indian Institute of Technology (Banaras Hindu University), Varanasi, India-221005.</w:t>
      </w:r>
      <w:proofErr w:type="gramEnd"/>
    </w:p>
    <w:p w:rsidR="00363049" w:rsidRPr="009B108B" w:rsidRDefault="00363049" w:rsidP="009B108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B108B">
        <w:rPr>
          <w:rFonts w:ascii="Arial" w:hAnsi="Arial" w:cs="Arial"/>
          <w:sz w:val="24"/>
          <w:szCs w:val="24"/>
          <w:vertAlign w:val="superscript"/>
        </w:rPr>
        <w:t>2</w:t>
      </w:r>
      <w:r w:rsidRPr="009B108B">
        <w:rPr>
          <w:rFonts w:ascii="Arial" w:hAnsi="Arial" w:cs="Arial"/>
          <w:sz w:val="24"/>
          <w:szCs w:val="24"/>
        </w:rPr>
        <w:t xml:space="preserve"> Industrial Membrane Research Institute, Department of Chemical and Biological Engineering, University of Ottawa, 161 Louis Pasteur St., Ottawa, ON, Canada KIN 6N5</w:t>
      </w:r>
    </w:p>
    <w:p w:rsidR="00121965" w:rsidRPr="009B108B" w:rsidRDefault="00121965" w:rsidP="009B108B">
      <w:pPr>
        <w:spacing w:line="240" w:lineRule="auto"/>
        <w:rPr>
          <w:rFonts w:ascii="Arial" w:hAnsi="Arial" w:cs="Arial"/>
          <w:sz w:val="24"/>
          <w:szCs w:val="24"/>
        </w:rPr>
      </w:pPr>
    </w:p>
    <w:p w:rsidR="007B704D" w:rsidRPr="009B108B" w:rsidRDefault="007B704D" w:rsidP="009B108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9065C" w:rsidRPr="009B108B" w:rsidRDefault="0019065C" w:rsidP="009B108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B108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032208" cy="3017520"/>
            <wp:effectExtent l="19050" t="0" r="6392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08" cy="301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246" w:rsidRPr="009B108B" w:rsidRDefault="000E1246" w:rsidP="009B108B">
      <w:pPr>
        <w:spacing w:line="240" w:lineRule="auto"/>
        <w:rPr>
          <w:rFonts w:ascii="Arial" w:hAnsi="Arial" w:cs="Arial"/>
          <w:sz w:val="24"/>
          <w:szCs w:val="24"/>
        </w:rPr>
      </w:pPr>
      <w:r w:rsidRPr="009B108B">
        <w:rPr>
          <w:rFonts w:ascii="Arial" w:hAnsi="Arial" w:cs="Arial"/>
          <w:b/>
          <w:sz w:val="24"/>
          <w:szCs w:val="24"/>
        </w:rPr>
        <w:t xml:space="preserve">Figure </w:t>
      </w:r>
      <w:r w:rsidR="008F40E5" w:rsidRPr="009B108B">
        <w:rPr>
          <w:rFonts w:ascii="Arial" w:hAnsi="Arial" w:cs="Arial"/>
          <w:b/>
          <w:sz w:val="24"/>
          <w:szCs w:val="24"/>
        </w:rPr>
        <w:t>S1</w:t>
      </w:r>
      <w:r w:rsidRPr="009B108B">
        <w:rPr>
          <w:rFonts w:ascii="Arial" w:hAnsi="Arial" w:cs="Arial"/>
          <w:b/>
          <w:sz w:val="24"/>
          <w:szCs w:val="24"/>
        </w:rPr>
        <w:t>:</w:t>
      </w:r>
      <w:r w:rsidRPr="009B10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108B">
        <w:rPr>
          <w:rFonts w:ascii="Arial" w:hAnsi="Arial" w:cs="Arial"/>
          <w:sz w:val="24"/>
          <w:szCs w:val="24"/>
        </w:rPr>
        <w:t>Deconvolution</w:t>
      </w:r>
      <w:proofErr w:type="spellEnd"/>
      <w:r w:rsidRPr="009B108B">
        <w:rPr>
          <w:rFonts w:ascii="Arial" w:hAnsi="Arial" w:cs="Arial"/>
          <w:sz w:val="24"/>
          <w:szCs w:val="24"/>
        </w:rPr>
        <w:t xml:space="preserve"> of XRD pattern for determining different phase fractions.  </w:t>
      </w:r>
    </w:p>
    <w:p w:rsidR="00121965" w:rsidRPr="009B108B" w:rsidRDefault="00121965" w:rsidP="009B108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B108B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9B108B">
        <w:rPr>
          <w:rFonts w:ascii="Arial" w:hAnsi="Arial" w:cs="Arial"/>
          <w:sz w:val="24"/>
          <w:szCs w:val="24"/>
        </w:rPr>
        <w:t>deconvolution</w:t>
      </w:r>
      <w:proofErr w:type="spellEnd"/>
      <w:r w:rsidRPr="009B108B">
        <w:rPr>
          <w:rFonts w:ascii="Arial" w:hAnsi="Arial" w:cs="Arial"/>
          <w:sz w:val="24"/>
          <w:szCs w:val="24"/>
        </w:rPr>
        <w:t xml:space="preserve"> for XRD pattern is used to determine the amount of phases present in the composite. For this, the total </w:t>
      </w:r>
      <w:r w:rsidR="0019065C" w:rsidRPr="009B108B">
        <w:rPr>
          <w:rFonts w:ascii="Arial" w:hAnsi="Arial" w:cs="Arial"/>
          <w:sz w:val="24"/>
          <w:szCs w:val="24"/>
        </w:rPr>
        <w:t>areas of the all peaks are</w:t>
      </w:r>
      <w:r w:rsidRPr="009B108B">
        <w:rPr>
          <w:rFonts w:ascii="Arial" w:hAnsi="Arial" w:cs="Arial"/>
          <w:sz w:val="24"/>
          <w:szCs w:val="24"/>
        </w:rPr>
        <w:t xml:space="preserve"> calculated and for each phase its percentage is calculated.  </w:t>
      </w:r>
    </w:p>
    <w:p w:rsidR="0019065C" w:rsidRPr="009B108B" w:rsidRDefault="0019065C" w:rsidP="009B108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B108B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033442" cy="3017520"/>
            <wp:effectExtent l="19050" t="0" r="5158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442" cy="301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246" w:rsidRPr="009B108B" w:rsidRDefault="000E1246" w:rsidP="009B108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B108B">
        <w:rPr>
          <w:rFonts w:ascii="Arial" w:hAnsi="Arial" w:cs="Arial"/>
          <w:b/>
          <w:sz w:val="24"/>
          <w:szCs w:val="24"/>
        </w:rPr>
        <w:t xml:space="preserve">Figure </w:t>
      </w:r>
      <w:r w:rsidR="008F40E5" w:rsidRPr="009B108B">
        <w:rPr>
          <w:rFonts w:ascii="Arial" w:hAnsi="Arial" w:cs="Arial"/>
          <w:b/>
          <w:sz w:val="24"/>
          <w:szCs w:val="24"/>
        </w:rPr>
        <w:t>S2</w:t>
      </w:r>
      <w:r w:rsidRPr="009B108B">
        <w:rPr>
          <w:rFonts w:ascii="Arial" w:hAnsi="Arial" w:cs="Arial"/>
          <w:b/>
          <w:sz w:val="24"/>
          <w:szCs w:val="24"/>
        </w:rPr>
        <w:t>:</w:t>
      </w:r>
      <w:r w:rsidRPr="009B108B">
        <w:rPr>
          <w:rFonts w:ascii="Arial" w:hAnsi="Arial" w:cs="Arial"/>
          <w:sz w:val="24"/>
          <w:szCs w:val="24"/>
        </w:rPr>
        <w:t xml:space="preserve"> FTIR spectra at higher region for pure PVDF and </w:t>
      </w:r>
      <w:proofErr w:type="spellStart"/>
      <w:r w:rsidRPr="009B108B">
        <w:rPr>
          <w:rFonts w:ascii="Arial" w:hAnsi="Arial" w:cs="Arial"/>
          <w:sz w:val="24"/>
          <w:szCs w:val="24"/>
        </w:rPr>
        <w:t>nanocomposites</w:t>
      </w:r>
      <w:proofErr w:type="spellEnd"/>
      <w:r w:rsidRPr="009B108B">
        <w:rPr>
          <w:rFonts w:ascii="Arial" w:hAnsi="Arial" w:cs="Arial"/>
          <w:sz w:val="24"/>
          <w:szCs w:val="24"/>
        </w:rPr>
        <w:t xml:space="preserve">.   </w:t>
      </w:r>
    </w:p>
    <w:p w:rsidR="00121965" w:rsidRPr="009B108B" w:rsidRDefault="00121965" w:rsidP="009B108B">
      <w:pPr>
        <w:spacing w:line="240" w:lineRule="auto"/>
        <w:rPr>
          <w:rFonts w:ascii="Arial" w:hAnsi="Arial" w:cs="Arial"/>
          <w:sz w:val="24"/>
          <w:szCs w:val="24"/>
        </w:rPr>
      </w:pPr>
    </w:p>
    <w:p w:rsidR="00380787" w:rsidRPr="009B108B" w:rsidRDefault="00121965" w:rsidP="009B108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B108B">
        <w:rPr>
          <w:rFonts w:ascii="Arial" w:hAnsi="Arial" w:cs="Arial"/>
          <w:sz w:val="24"/>
          <w:szCs w:val="24"/>
        </w:rPr>
        <w:t>FTIR spectra a</w:t>
      </w:r>
      <w:r w:rsidR="009B108B" w:rsidRPr="009B108B">
        <w:rPr>
          <w:rFonts w:ascii="Arial" w:hAnsi="Arial" w:cs="Arial"/>
          <w:sz w:val="24"/>
          <w:szCs w:val="24"/>
        </w:rPr>
        <w:t>t higher region also shows the β</w:t>
      </w:r>
      <w:r w:rsidRPr="009B108B">
        <w:rPr>
          <w:rFonts w:ascii="Arial" w:hAnsi="Arial" w:cs="Arial"/>
          <w:sz w:val="24"/>
          <w:szCs w:val="24"/>
        </w:rPr>
        <w:t>-phase peak at 1232 cm</w:t>
      </w:r>
      <w:r w:rsidRPr="009B108B">
        <w:rPr>
          <w:rFonts w:ascii="Arial" w:hAnsi="Arial" w:cs="Arial"/>
          <w:sz w:val="24"/>
          <w:szCs w:val="24"/>
          <w:vertAlign w:val="superscript"/>
        </w:rPr>
        <w:t>-1</w:t>
      </w:r>
      <w:r w:rsidR="009B108B" w:rsidRPr="009B108B">
        <w:rPr>
          <w:rFonts w:ascii="Arial" w:hAnsi="Arial" w:cs="Arial"/>
          <w:sz w:val="24"/>
          <w:szCs w:val="24"/>
        </w:rPr>
        <w:t>, γ</w:t>
      </w:r>
      <w:r w:rsidRPr="009B108B">
        <w:rPr>
          <w:rFonts w:ascii="Arial" w:hAnsi="Arial" w:cs="Arial"/>
          <w:sz w:val="24"/>
          <w:szCs w:val="24"/>
        </w:rPr>
        <w:t>-phase peak at 1272 cm</w:t>
      </w:r>
      <w:r w:rsidRPr="009B108B">
        <w:rPr>
          <w:rFonts w:ascii="Arial" w:hAnsi="Arial" w:cs="Arial"/>
          <w:sz w:val="24"/>
          <w:szCs w:val="24"/>
          <w:vertAlign w:val="superscript"/>
        </w:rPr>
        <w:t>-1</w:t>
      </w:r>
      <w:r w:rsidRPr="009B108B">
        <w:rPr>
          <w:rFonts w:ascii="Arial" w:hAnsi="Arial" w:cs="Arial"/>
          <w:sz w:val="24"/>
          <w:szCs w:val="24"/>
        </w:rPr>
        <w:t xml:space="preserve"> in the </w:t>
      </w:r>
      <w:proofErr w:type="spellStart"/>
      <w:r w:rsidRPr="009B108B">
        <w:rPr>
          <w:rFonts w:ascii="Arial" w:hAnsi="Arial" w:cs="Arial"/>
          <w:sz w:val="24"/>
          <w:szCs w:val="24"/>
        </w:rPr>
        <w:t>nanocomposites</w:t>
      </w:r>
      <w:proofErr w:type="spellEnd"/>
      <w:r w:rsidRPr="009B108B">
        <w:rPr>
          <w:rFonts w:ascii="Arial" w:hAnsi="Arial" w:cs="Arial"/>
          <w:sz w:val="24"/>
          <w:szCs w:val="24"/>
        </w:rPr>
        <w:t xml:space="preserve">, which is absent in the pure PVDF. Similarly we can see the absence of </w:t>
      </w:r>
      <w:r w:rsidR="009B108B" w:rsidRPr="009B108B">
        <w:rPr>
          <w:rFonts w:ascii="Arial" w:hAnsi="Arial" w:cs="Arial"/>
          <w:sz w:val="24"/>
          <w:szCs w:val="24"/>
        </w:rPr>
        <w:t>α</w:t>
      </w:r>
      <w:r w:rsidRPr="009B108B">
        <w:rPr>
          <w:rFonts w:ascii="Arial" w:hAnsi="Arial" w:cs="Arial"/>
          <w:sz w:val="24"/>
          <w:szCs w:val="24"/>
        </w:rPr>
        <w:t>-phase peaks at 1140 and 1210 cm</w:t>
      </w:r>
      <w:r w:rsidRPr="009B108B">
        <w:rPr>
          <w:rFonts w:ascii="Arial" w:hAnsi="Arial" w:cs="Arial"/>
          <w:sz w:val="24"/>
          <w:szCs w:val="24"/>
          <w:vertAlign w:val="superscript"/>
        </w:rPr>
        <w:t>-1</w:t>
      </w:r>
      <w:r w:rsidRPr="009B108B">
        <w:rPr>
          <w:rFonts w:ascii="Arial" w:hAnsi="Arial" w:cs="Arial"/>
          <w:sz w:val="24"/>
          <w:szCs w:val="24"/>
        </w:rPr>
        <w:t xml:space="preserve"> in the </w:t>
      </w:r>
      <w:proofErr w:type="spellStart"/>
      <w:r w:rsidRPr="009B108B">
        <w:rPr>
          <w:rFonts w:ascii="Arial" w:hAnsi="Arial" w:cs="Arial"/>
          <w:sz w:val="24"/>
          <w:szCs w:val="24"/>
        </w:rPr>
        <w:t>nanocomposites</w:t>
      </w:r>
      <w:proofErr w:type="spellEnd"/>
      <w:r w:rsidRPr="009B108B">
        <w:rPr>
          <w:rFonts w:ascii="Arial" w:hAnsi="Arial" w:cs="Arial"/>
          <w:sz w:val="24"/>
          <w:szCs w:val="24"/>
        </w:rPr>
        <w:t xml:space="preserve">, which is present in the pure PVDF. </w:t>
      </w:r>
    </w:p>
    <w:p w:rsidR="00380787" w:rsidRPr="009B108B" w:rsidRDefault="0019065C" w:rsidP="009B108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B108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785676" cy="2834640"/>
            <wp:effectExtent l="19050" t="0" r="5274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676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510" w:rsidRPr="009B108B" w:rsidRDefault="000E1246" w:rsidP="009B108B">
      <w:pPr>
        <w:spacing w:line="240" w:lineRule="auto"/>
        <w:rPr>
          <w:rFonts w:ascii="Arial" w:hAnsi="Arial" w:cs="Arial"/>
          <w:sz w:val="24"/>
          <w:szCs w:val="24"/>
        </w:rPr>
      </w:pPr>
      <w:r w:rsidRPr="009B108B">
        <w:rPr>
          <w:rFonts w:ascii="Arial" w:hAnsi="Arial" w:cs="Arial"/>
          <w:b/>
          <w:sz w:val="24"/>
          <w:szCs w:val="24"/>
        </w:rPr>
        <w:t>Figure S</w:t>
      </w:r>
      <w:r w:rsidR="008F40E5" w:rsidRPr="009B108B">
        <w:rPr>
          <w:rFonts w:ascii="Arial" w:hAnsi="Arial" w:cs="Arial"/>
          <w:b/>
          <w:sz w:val="24"/>
          <w:szCs w:val="24"/>
        </w:rPr>
        <w:t>3</w:t>
      </w:r>
      <w:r w:rsidRPr="009B108B">
        <w:rPr>
          <w:rFonts w:ascii="Arial" w:hAnsi="Arial" w:cs="Arial"/>
          <w:b/>
          <w:sz w:val="24"/>
          <w:szCs w:val="24"/>
        </w:rPr>
        <w:t xml:space="preserve">: </w:t>
      </w:r>
      <w:r w:rsidRPr="009B108B">
        <w:rPr>
          <w:rFonts w:ascii="Arial" w:hAnsi="Arial" w:cs="Arial"/>
          <w:sz w:val="24"/>
          <w:szCs w:val="24"/>
        </w:rPr>
        <w:t xml:space="preserve">Toughness from experimental stress-strain curve. </w:t>
      </w:r>
    </w:p>
    <w:p w:rsidR="00380787" w:rsidRPr="009B108B" w:rsidRDefault="00885510" w:rsidP="009B108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B108B">
        <w:rPr>
          <w:rFonts w:ascii="Arial" w:hAnsi="Arial" w:cs="Arial"/>
          <w:sz w:val="24"/>
          <w:szCs w:val="24"/>
        </w:rPr>
        <w:t xml:space="preserve">The elongation at break and the toughness of the nanocomposite increases with increasing the nanoclay content. </w:t>
      </w:r>
      <w:r w:rsidR="000E1246" w:rsidRPr="009B108B">
        <w:rPr>
          <w:rFonts w:ascii="Arial" w:hAnsi="Arial" w:cs="Arial"/>
          <w:sz w:val="24"/>
          <w:szCs w:val="24"/>
        </w:rPr>
        <w:t xml:space="preserve"> </w:t>
      </w:r>
    </w:p>
    <w:p w:rsidR="007C580D" w:rsidRPr="009B108B" w:rsidRDefault="007C580D" w:rsidP="009B108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B108B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2194560" cy="1645920"/>
            <wp:effectExtent l="19050" t="0" r="0" b="0"/>
            <wp:docPr id="1" name="Picture 1" descr="D:\PhD\data\PVDF\SEM\2016-04-09\PC4_05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 descr="D:\PhD\data\PVDF\SEM\2016-04-09\PC4_05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64592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7C580D" w:rsidRDefault="008F40E5" w:rsidP="009B108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B108B">
        <w:rPr>
          <w:rFonts w:ascii="Arial" w:hAnsi="Arial" w:cs="Arial"/>
          <w:b/>
          <w:sz w:val="24"/>
          <w:szCs w:val="24"/>
        </w:rPr>
        <w:t>Figure S4</w:t>
      </w:r>
      <w:r w:rsidR="007C580D" w:rsidRPr="009B108B">
        <w:rPr>
          <w:rFonts w:ascii="Arial" w:hAnsi="Arial" w:cs="Arial"/>
          <w:b/>
          <w:sz w:val="24"/>
          <w:szCs w:val="24"/>
        </w:rPr>
        <w:t>:</w:t>
      </w:r>
      <w:r w:rsidR="007C580D" w:rsidRPr="009B108B">
        <w:rPr>
          <w:rFonts w:ascii="Arial" w:hAnsi="Arial" w:cs="Arial"/>
          <w:sz w:val="24"/>
          <w:szCs w:val="24"/>
        </w:rPr>
        <w:t xml:space="preserve"> SEM image of worn PC8 nanocomposite.</w:t>
      </w:r>
    </w:p>
    <w:p w:rsidR="00B16964" w:rsidRDefault="00B16964" w:rsidP="009B108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16964" w:rsidRDefault="00B16964" w:rsidP="009B108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significant improvement in structural and mechanical properties on incorporating the nanoclay in PVDF. The modulus and hardness increases by 30 and 50% </w:t>
      </w:r>
      <w:r w:rsidR="000B05ED">
        <w:rPr>
          <w:rFonts w:ascii="Arial" w:hAnsi="Arial" w:cs="Arial"/>
          <w:sz w:val="24"/>
          <w:szCs w:val="24"/>
        </w:rPr>
        <w:t>respectively</w:t>
      </w:r>
      <w:r>
        <w:rPr>
          <w:rFonts w:ascii="Arial" w:hAnsi="Arial" w:cs="Arial"/>
          <w:sz w:val="24"/>
          <w:szCs w:val="24"/>
        </w:rPr>
        <w:t xml:space="preserve"> and the coefficient of friction decreases by 30% in the nanocomposite.</w:t>
      </w:r>
    </w:p>
    <w:p w:rsidR="00B16964" w:rsidRDefault="00B16964" w:rsidP="009B108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potential application for this material is in piezoelectric sensors and actuators, where along with the better piezoelectric properties the mechanical stability is also required; so that these can be used in daily life applications. </w:t>
      </w:r>
    </w:p>
    <w:p w:rsidR="00214513" w:rsidRDefault="00214513" w:rsidP="009B108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14513" w:rsidRPr="009B108B" w:rsidRDefault="00214513" w:rsidP="009B108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214513" w:rsidRPr="009B108B" w:rsidSect="009B108B">
      <w:pgSz w:w="12240" w:h="15840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04BD0"/>
    <w:rsid w:val="0004706E"/>
    <w:rsid w:val="000A01CC"/>
    <w:rsid w:val="000B05ED"/>
    <w:rsid w:val="000B36AD"/>
    <w:rsid w:val="000E1246"/>
    <w:rsid w:val="00121965"/>
    <w:rsid w:val="0019065C"/>
    <w:rsid w:val="001B3DCD"/>
    <w:rsid w:val="001B652A"/>
    <w:rsid w:val="00214513"/>
    <w:rsid w:val="00246710"/>
    <w:rsid w:val="00363049"/>
    <w:rsid w:val="00380787"/>
    <w:rsid w:val="004A517F"/>
    <w:rsid w:val="00540AC8"/>
    <w:rsid w:val="005A6F93"/>
    <w:rsid w:val="007B704D"/>
    <w:rsid w:val="007C580D"/>
    <w:rsid w:val="00885510"/>
    <w:rsid w:val="008D6213"/>
    <w:rsid w:val="008F40E5"/>
    <w:rsid w:val="00904BD0"/>
    <w:rsid w:val="00962B16"/>
    <w:rsid w:val="009B108B"/>
    <w:rsid w:val="00A14E76"/>
    <w:rsid w:val="00A44BB6"/>
    <w:rsid w:val="00AD4252"/>
    <w:rsid w:val="00AF587A"/>
    <w:rsid w:val="00B16964"/>
    <w:rsid w:val="00C72A97"/>
    <w:rsid w:val="00D36311"/>
    <w:rsid w:val="00DA047C"/>
    <w:rsid w:val="00EE4F6D"/>
    <w:rsid w:val="00F15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6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 = '1.0' encoding = 'UTF-8' standalone = 'yes'?>
<Relationships xmlns="http://schemas.openxmlformats.org/package/2006/relationships">
   <Relationship Id="rId1" Type="http://schemas.openxmlformats.org/officeDocument/2006/relationships/styles" Target="styles.xml"/>
   <Relationship Id="rId2" Type="http://schemas.openxmlformats.org/officeDocument/2006/relationships/settings" Target="settings.xml"/>
   <Relationship Id="rId3" Type="http://schemas.openxmlformats.org/officeDocument/2006/relationships/webSettings" Target="webSettings.xml"/>
   <Relationship Id="rId4" Type="http://schemas.openxmlformats.org/officeDocument/2006/relationships/image" Target="media/image1.emf"/>
   <Relationship Id="rId5" Type="http://schemas.openxmlformats.org/officeDocument/2006/relationships/image" Target="media/image2.emf"/>
   <Relationship Id="rId6" Type="http://schemas.openxmlformats.org/officeDocument/2006/relationships/image" Target="media/image3.emf"/>
   <Relationship Id="rId7" Type="http://schemas.openxmlformats.org/officeDocument/2006/relationships/image" Target="media/image4.tiff"/>
   <Relationship Id="rId8" Type="http://schemas.openxmlformats.org/officeDocument/2006/relationships/fontTable" Target="fontTable.xml"/>
   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Pages>3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