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5234"/>
      </w:tblGrid>
      <w:tr w:rsidR="00C03562" w:rsidRPr="008535B5" w14:paraId="523387FB" w14:textId="77777777" w:rsidTr="0051535C">
        <w:tc>
          <w:tcPr>
            <w:tcW w:w="5000" w:type="pct"/>
            <w:gridSpan w:val="2"/>
            <w:shd w:val="clear" w:color="auto" w:fill="D9D9D9"/>
          </w:tcPr>
          <w:p w14:paraId="25448F20" w14:textId="4FD9DE72" w:rsidR="00C03562" w:rsidRPr="00087F0C" w:rsidRDefault="00C03562" w:rsidP="0051535C">
            <w:pPr>
              <w:spacing w:after="0"/>
              <w:jc w:val="both"/>
              <w:rPr>
                <w:b/>
                <w:sz w:val="16"/>
                <w:szCs w:val="16"/>
              </w:rPr>
            </w:pPr>
            <w:bookmarkStart w:id="0" w:name="_GoBack"/>
            <w:bookmarkEnd w:id="0"/>
            <w:r w:rsidRPr="00087F0C">
              <w:rPr>
                <w:b/>
                <w:sz w:val="16"/>
                <w:szCs w:val="16"/>
              </w:rPr>
              <w:t>EPIDEMIOL</w:t>
            </w:r>
            <w:r w:rsidR="004E217C" w:rsidRPr="00087F0C">
              <w:rPr>
                <w:b/>
                <w:sz w:val="16"/>
                <w:szCs w:val="16"/>
              </w:rPr>
              <w:t xml:space="preserve">OGICAL DATA </w:t>
            </w:r>
          </w:p>
        </w:tc>
      </w:tr>
      <w:tr w:rsidR="00C03562" w:rsidRPr="008535B5" w14:paraId="28CC4151" w14:textId="77777777" w:rsidTr="0051535C">
        <w:tc>
          <w:tcPr>
            <w:tcW w:w="1999" w:type="pct"/>
          </w:tcPr>
          <w:p w14:paraId="1DF47B5B" w14:textId="5B97F46D" w:rsidR="00C03562" w:rsidRPr="00087F0C" w:rsidRDefault="001B33C2" w:rsidP="0051535C">
            <w:pPr>
              <w:tabs>
                <w:tab w:val="left" w:pos="2295"/>
                <w:tab w:val="center" w:pos="4252"/>
                <w:tab w:val="right" w:pos="8504"/>
              </w:tabs>
              <w:spacing w:after="0"/>
              <w:rPr>
                <w:b/>
                <w:sz w:val="16"/>
                <w:szCs w:val="16"/>
              </w:rPr>
            </w:pPr>
            <w:r w:rsidRPr="00087F0C">
              <w:rPr>
                <w:b/>
                <w:sz w:val="16"/>
                <w:szCs w:val="16"/>
              </w:rPr>
              <w:t>Age</w:t>
            </w:r>
          </w:p>
        </w:tc>
        <w:tc>
          <w:tcPr>
            <w:tcW w:w="3001" w:type="pct"/>
          </w:tcPr>
          <w:p w14:paraId="472D1D5D" w14:textId="1408F773" w:rsidR="00817AC0" w:rsidRPr="00087F0C" w:rsidRDefault="00817AC0" w:rsidP="0051535C">
            <w:pPr>
              <w:tabs>
                <w:tab w:val="left" w:pos="2295"/>
                <w:tab w:val="center" w:pos="4252"/>
                <w:tab w:val="right" w:pos="8504"/>
              </w:tabs>
              <w:spacing w:after="0"/>
              <w:rPr>
                <w:sz w:val="16"/>
                <w:szCs w:val="16"/>
              </w:rPr>
            </w:pPr>
            <w:r w:rsidRPr="00087F0C">
              <w:rPr>
                <w:sz w:val="16"/>
                <w:szCs w:val="16"/>
              </w:rPr>
              <w:t>Difference in years (decimals) between age at inclusion and year of birth</w:t>
            </w:r>
          </w:p>
        </w:tc>
      </w:tr>
      <w:tr w:rsidR="00C03562" w:rsidRPr="008535B5" w14:paraId="62BB79E2" w14:textId="77777777" w:rsidTr="0051535C">
        <w:tc>
          <w:tcPr>
            <w:tcW w:w="1999" w:type="pct"/>
          </w:tcPr>
          <w:p w14:paraId="3EF293AC" w14:textId="6F88F12E" w:rsidR="00C03562" w:rsidRPr="00087F0C" w:rsidRDefault="00C03562" w:rsidP="0051535C">
            <w:pPr>
              <w:tabs>
                <w:tab w:val="left" w:pos="2295"/>
                <w:tab w:val="center" w:pos="4252"/>
                <w:tab w:val="right" w:pos="8504"/>
              </w:tabs>
              <w:spacing w:after="0"/>
              <w:rPr>
                <w:b/>
                <w:sz w:val="16"/>
                <w:szCs w:val="16"/>
              </w:rPr>
            </w:pPr>
            <w:r w:rsidRPr="00087F0C">
              <w:rPr>
                <w:b/>
                <w:sz w:val="16"/>
                <w:szCs w:val="16"/>
              </w:rPr>
              <w:t>Sex</w:t>
            </w:r>
          </w:p>
        </w:tc>
        <w:tc>
          <w:tcPr>
            <w:tcW w:w="3001" w:type="pct"/>
          </w:tcPr>
          <w:p w14:paraId="7B17FFC1" w14:textId="4FD47FCF" w:rsidR="00C03562" w:rsidRPr="00087F0C" w:rsidRDefault="00817AC0" w:rsidP="0051535C">
            <w:pPr>
              <w:tabs>
                <w:tab w:val="left" w:pos="2295"/>
                <w:tab w:val="center" w:pos="4252"/>
                <w:tab w:val="right" w:pos="8504"/>
              </w:tabs>
              <w:spacing w:after="0"/>
              <w:rPr>
                <w:sz w:val="16"/>
                <w:szCs w:val="16"/>
              </w:rPr>
            </w:pPr>
            <w:r w:rsidRPr="00087F0C">
              <w:rPr>
                <w:sz w:val="16"/>
                <w:szCs w:val="16"/>
              </w:rPr>
              <w:t>Male/female</w:t>
            </w:r>
          </w:p>
        </w:tc>
      </w:tr>
      <w:tr w:rsidR="00C03562" w:rsidRPr="008535B5" w14:paraId="23AE739D" w14:textId="77777777" w:rsidTr="0051535C">
        <w:trPr>
          <w:trHeight w:val="188"/>
        </w:trPr>
        <w:tc>
          <w:tcPr>
            <w:tcW w:w="5000" w:type="pct"/>
            <w:gridSpan w:val="2"/>
            <w:shd w:val="clear" w:color="auto" w:fill="D9D9D9"/>
          </w:tcPr>
          <w:p w14:paraId="4D3FCD29" w14:textId="17BF5A58" w:rsidR="00C03562" w:rsidRPr="00087F0C" w:rsidRDefault="00C03562" w:rsidP="0051535C">
            <w:pPr>
              <w:spacing w:after="0"/>
              <w:rPr>
                <w:b/>
                <w:sz w:val="16"/>
                <w:szCs w:val="16"/>
              </w:rPr>
            </w:pPr>
            <w:r w:rsidRPr="00087F0C">
              <w:rPr>
                <w:b/>
                <w:sz w:val="16"/>
                <w:szCs w:val="16"/>
              </w:rPr>
              <w:t>COMORBI</w:t>
            </w:r>
            <w:r w:rsidR="001B33C2" w:rsidRPr="00087F0C">
              <w:rPr>
                <w:b/>
                <w:sz w:val="16"/>
                <w:szCs w:val="16"/>
              </w:rPr>
              <w:t>DITIES</w:t>
            </w:r>
          </w:p>
        </w:tc>
      </w:tr>
      <w:tr w:rsidR="00C03562" w:rsidRPr="008535B5" w14:paraId="20AF3746" w14:textId="77777777" w:rsidTr="0051535C">
        <w:tc>
          <w:tcPr>
            <w:tcW w:w="1999" w:type="pct"/>
          </w:tcPr>
          <w:p w14:paraId="76962014" w14:textId="7158A4CB" w:rsidR="00C03562" w:rsidRPr="00087F0C" w:rsidRDefault="00C03562" w:rsidP="0051535C">
            <w:pPr>
              <w:tabs>
                <w:tab w:val="left" w:pos="2295"/>
                <w:tab w:val="center" w:pos="4252"/>
                <w:tab w:val="right" w:pos="8504"/>
              </w:tabs>
              <w:spacing w:after="0"/>
              <w:rPr>
                <w:b/>
                <w:sz w:val="16"/>
                <w:szCs w:val="16"/>
              </w:rPr>
            </w:pPr>
            <w:r w:rsidRPr="00087F0C">
              <w:rPr>
                <w:b/>
                <w:sz w:val="16"/>
                <w:szCs w:val="16"/>
              </w:rPr>
              <w:t>H</w:t>
            </w:r>
            <w:r w:rsidR="001B33C2" w:rsidRPr="00087F0C">
              <w:rPr>
                <w:b/>
                <w:sz w:val="16"/>
                <w:szCs w:val="16"/>
              </w:rPr>
              <w:t>ypertension</w:t>
            </w:r>
          </w:p>
        </w:tc>
        <w:tc>
          <w:tcPr>
            <w:tcW w:w="3001" w:type="pct"/>
          </w:tcPr>
          <w:p w14:paraId="78599B7E" w14:textId="42C345F2" w:rsidR="00952D60" w:rsidRPr="00087F0C" w:rsidRDefault="00952D60" w:rsidP="0051535C">
            <w:pPr>
              <w:tabs>
                <w:tab w:val="left" w:pos="2295"/>
                <w:tab w:val="center" w:pos="4252"/>
                <w:tab w:val="right" w:pos="8504"/>
              </w:tabs>
              <w:spacing w:after="0"/>
              <w:rPr>
                <w:sz w:val="16"/>
                <w:szCs w:val="16"/>
              </w:rPr>
            </w:pPr>
            <w:r w:rsidRPr="00087F0C">
              <w:rPr>
                <w:sz w:val="16"/>
                <w:szCs w:val="16"/>
              </w:rPr>
              <w:t>I</w:t>
            </w:r>
            <w:r w:rsidR="00BA7B5A" w:rsidRPr="00087F0C">
              <w:rPr>
                <w:sz w:val="16"/>
                <w:szCs w:val="16"/>
              </w:rPr>
              <w:t>t i</w:t>
            </w:r>
            <w:r w:rsidRPr="00087F0C">
              <w:rPr>
                <w:sz w:val="16"/>
                <w:szCs w:val="16"/>
              </w:rPr>
              <w:t>ndicates whether the patient has been diagnosed with high blood pressure, because this is stated in their previous medical history, or is receiving specific treatment</w:t>
            </w:r>
          </w:p>
        </w:tc>
      </w:tr>
      <w:tr w:rsidR="00C03562" w:rsidRPr="008535B5" w14:paraId="713B3B8E" w14:textId="77777777" w:rsidTr="0051535C">
        <w:tc>
          <w:tcPr>
            <w:tcW w:w="1999" w:type="pct"/>
          </w:tcPr>
          <w:p w14:paraId="7CE82DB3" w14:textId="77777777" w:rsidR="00C03562" w:rsidRPr="00087F0C" w:rsidRDefault="00C03562" w:rsidP="0051535C">
            <w:pPr>
              <w:tabs>
                <w:tab w:val="left" w:pos="2295"/>
                <w:tab w:val="center" w:pos="4252"/>
                <w:tab w:val="right" w:pos="8504"/>
              </w:tabs>
              <w:spacing w:after="0"/>
              <w:rPr>
                <w:b/>
                <w:sz w:val="16"/>
                <w:szCs w:val="16"/>
              </w:rPr>
            </w:pPr>
            <w:r w:rsidRPr="00087F0C">
              <w:rPr>
                <w:b/>
                <w:sz w:val="16"/>
                <w:szCs w:val="16"/>
              </w:rPr>
              <w:t>Diabetes Mellitus</w:t>
            </w:r>
          </w:p>
        </w:tc>
        <w:tc>
          <w:tcPr>
            <w:tcW w:w="3001" w:type="pct"/>
          </w:tcPr>
          <w:p w14:paraId="722E31D9" w14:textId="684A48B3" w:rsidR="00C03562" w:rsidRPr="00087F0C" w:rsidRDefault="00952D60" w:rsidP="0051535C">
            <w:pPr>
              <w:tabs>
                <w:tab w:val="left" w:pos="2295"/>
                <w:tab w:val="center" w:pos="4252"/>
                <w:tab w:val="right" w:pos="8504"/>
              </w:tabs>
              <w:spacing w:after="0"/>
              <w:rPr>
                <w:sz w:val="16"/>
                <w:szCs w:val="16"/>
              </w:rPr>
            </w:pPr>
            <w:r w:rsidRPr="00087F0C">
              <w:rPr>
                <w:sz w:val="16"/>
                <w:szCs w:val="16"/>
              </w:rPr>
              <w:t>I</w:t>
            </w:r>
            <w:r w:rsidR="00BA7B5A" w:rsidRPr="00087F0C">
              <w:rPr>
                <w:sz w:val="16"/>
                <w:szCs w:val="16"/>
              </w:rPr>
              <w:t>t i</w:t>
            </w:r>
            <w:r w:rsidRPr="00087F0C">
              <w:rPr>
                <w:sz w:val="16"/>
                <w:szCs w:val="16"/>
              </w:rPr>
              <w:t>ndicates whether the patient is diagnosed with diabetes mellitus, because this is stated in the patient's previous medical history, or is receiving specific treatment</w:t>
            </w:r>
          </w:p>
        </w:tc>
      </w:tr>
      <w:tr w:rsidR="00C03562" w:rsidRPr="008535B5" w14:paraId="7EB32AB4" w14:textId="77777777" w:rsidTr="0051535C">
        <w:tc>
          <w:tcPr>
            <w:tcW w:w="1999" w:type="pct"/>
          </w:tcPr>
          <w:p w14:paraId="08689BD1" w14:textId="3E05BCD2" w:rsidR="00C03562" w:rsidRPr="00087F0C" w:rsidRDefault="001B33C2" w:rsidP="0051535C">
            <w:pPr>
              <w:tabs>
                <w:tab w:val="left" w:pos="2295"/>
                <w:tab w:val="center" w:pos="4252"/>
                <w:tab w:val="right" w:pos="8504"/>
              </w:tabs>
              <w:spacing w:after="0"/>
              <w:rPr>
                <w:b/>
                <w:sz w:val="16"/>
                <w:szCs w:val="16"/>
              </w:rPr>
            </w:pPr>
            <w:r w:rsidRPr="00087F0C">
              <w:rPr>
                <w:b/>
                <w:sz w:val="16"/>
                <w:szCs w:val="16"/>
              </w:rPr>
              <w:t>Ischaemic heart disease</w:t>
            </w:r>
          </w:p>
        </w:tc>
        <w:tc>
          <w:tcPr>
            <w:tcW w:w="3001" w:type="pct"/>
          </w:tcPr>
          <w:p w14:paraId="302E63B0" w14:textId="79C64CDD" w:rsidR="00952D60" w:rsidRPr="00087F0C" w:rsidRDefault="00952D60" w:rsidP="0051535C">
            <w:pPr>
              <w:tabs>
                <w:tab w:val="left" w:pos="2295"/>
                <w:tab w:val="center" w:pos="4252"/>
                <w:tab w:val="right" w:pos="8504"/>
              </w:tabs>
              <w:spacing w:after="0"/>
              <w:rPr>
                <w:sz w:val="16"/>
                <w:szCs w:val="16"/>
              </w:rPr>
            </w:pPr>
            <w:r w:rsidRPr="00087F0C">
              <w:rPr>
                <w:sz w:val="16"/>
                <w:szCs w:val="16"/>
              </w:rPr>
              <w:t>I</w:t>
            </w:r>
            <w:r w:rsidR="00BA7B5A" w:rsidRPr="00087F0C">
              <w:rPr>
                <w:sz w:val="16"/>
                <w:szCs w:val="16"/>
              </w:rPr>
              <w:t>t i</w:t>
            </w:r>
            <w:r w:rsidRPr="00087F0C">
              <w:rPr>
                <w:sz w:val="16"/>
                <w:szCs w:val="16"/>
              </w:rPr>
              <w:t>ndicates whether the patient has been diagnosed with any type of ischaemic heart disease (non-ST-segment elevation acute coronary syndrome, ST-segment elevation acute coronary syndrome, unstable angina, stable angina, etc.), because this is recorded in the patient's previous medical history, or is receiving specific treatment</w:t>
            </w:r>
          </w:p>
        </w:tc>
      </w:tr>
      <w:tr w:rsidR="00C03562" w:rsidRPr="008535B5" w14:paraId="4AAB26EF" w14:textId="77777777" w:rsidTr="0051535C">
        <w:tc>
          <w:tcPr>
            <w:tcW w:w="1999" w:type="pct"/>
          </w:tcPr>
          <w:p w14:paraId="3A7A3E71" w14:textId="1F5B4A2F" w:rsidR="00C03562" w:rsidRPr="00087F0C" w:rsidRDefault="001B33C2" w:rsidP="0051535C">
            <w:pPr>
              <w:tabs>
                <w:tab w:val="left" w:pos="2295"/>
                <w:tab w:val="center" w:pos="4252"/>
                <w:tab w:val="right" w:pos="8504"/>
              </w:tabs>
              <w:spacing w:after="0"/>
              <w:rPr>
                <w:b/>
                <w:sz w:val="16"/>
                <w:szCs w:val="16"/>
              </w:rPr>
            </w:pPr>
            <w:r w:rsidRPr="00087F0C">
              <w:rPr>
                <w:b/>
                <w:sz w:val="16"/>
                <w:szCs w:val="16"/>
              </w:rPr>
              <w:t>Chronic kidney disease</w:t>
            </w:r>
          </w:p>
        </w:tc>
        <w:tc>
          <w:tcPr>
            <w:tcW w:w="3001" w:type="pct"/>
          </w:tcPr>
          <w:p w14:paraId="7EBA430C" w14:textId="251711B2" w:rsidR="003D7BC3" w:rsidRPr="00087F0C" w:rsidRDefault="003D7BC3" w:rsidP="0051535C">
            <w:pPr>
              <w:tabs>
                <w:tab w:val="left" w:pos="2295"/>
                <w:tab w:val="center" w:pos="4252"/>
                <w:tab w:val="right" w:pos="8504"/>
              </w:tabs>
              <w:spacing w:after="0"/>
              <w:rPr>
                <w:sz w:val="16"/>
                <w:szCs w:val="16"/>
              </w:rPr>
            </w:pPr>
            <w:r w:rsidRPr="00087F0C">
              <w:rPr>
                <w:sz w:val="16"/>
                <w:szCs w:val="16"/>
              </w:rPr>
              <w:t>I</w:t>
            </w:r>
            <w:r w:rsidR="00BA7B5A" w:rsidRPr="00087F0C">
              <w:rPr>
                <w:sz w:val="16"/>
                <w:szCs w:val="16"/>
              </w:rPr>
              <w:t>t i</w:t>
            </w:r>
            <w:r w:rsidRPr="00087F0C">
              <w:rPr>
                <w:sz w:val="16"/>
                <w:szCs w:val="16"/>
              </w:rPr>
              <w:t>ndicates whether the patient is diagnosed with chronic renal failure or chronic kidney disease, because this is stated in the patient's previous medical history, or if clinical tests in the last year show serum creatinine greater than 2 mg/dL</w:t>
            </w:r>
          </w:p>
        </w:tc>
      </w:tr>
      <w:tr w:rsidR="00C03562" w:rsidRPr="008535B5" w14:paraId="2367868A" w14:textId="77777777" w:rsidTr="0051535C">
        <w:tc>
          <w:tcPr>
            <w:tcW w:w="1999" w:type="pct"/>
          </w:tcPr>
          <w:p w14:paraId="2301772B" w14:textId="0E862914" w:rsidR="00C03562" w:rsidRPr="00087F0C" w:rsidRDefault="0086743A" w:rsidP="0051535C">
            <w:pPr>
              <w:tabs>
                <w:tab w:val="left" w:pos="2295"/>
                <w:tab w:val="center" w:pos="4252"/>
                <w:tab w:val="right" w:pos="8504"/>
              </w:tabs>
              <w:spacing w:after="0"/>
              <w:rPr>
                <w:b/>
                <w:sz w:val="16"/>
                <w:szCs w:val="16"/>
              </w:rPr>
            </w:pPr>
            <w:r w:rsidRPr="00087F0C">
              <w:rPr>
                <w:b/>
                <w:sz w:val="16"/>
                <w:szCs w:val="16"/>
              </w:rPr>
              <w:t>C</w:t>
            </w:r>
            <w:r w:rsidR="001B33C2" w:rsidRPr="00087F0C">
              <w:rPr>
                <w:b/>
                <w:sz w:val="16"/>
                <w:szCs w:val="16"/>
              </w:rPr>
              <w:t>erebrovascular disease</w:t>
            </w:r>
          </w:p>
        </w:tc>
        <w:tc>
          <w:tcPr>
            <w:tcW w:w="3001" w:type="pct"/>
          </w:tcPr>
          <w:p w14:paraId="0A456605" w14:textId="0CD97E6A" w:rsidR="003D7BC3" w:rsidRPr="00087F0C" w:rsidRDefault="003D7BC3" w:rsidP="0051535C">
            <w:pPr>
              <w:tabs>
                <w:tab w:val="left" w:pos="2295"/>
                <w:tab w:val="center" w:pos="4252"/>
                <w:tab w:val="right" w:pos="8504"/>
              </w:tabs>
              <w:spacing w:after="0"/>
              <w:rPr>
                <w:sz w:val="16"/>
                <w:szCs w:val="16"/>
              </w:rPr>
            </w:pPr>
            <w:r w:rsidRPr="00087F0C">
              <w:rPr>
                <w:sz w:val="16"/>
                <w:szCs w:val="16"/>
              </w:rPr>
              <w:t>I</w:t>
            </w:r>
            <w:r w:rsidR="00BA7B5A" w:rsidRPr="00087F0C">
              <w:rPr>
                <w:sz w:val="16"/>
                <w:szCs w:val="16"/>
              </w:rPr>
              <w:t>t i</w:t>
            </w:r>
            <w:r w:rsidRPr="00087F0C">
              <w:rPr>
                <w:sz w:val="16"/>
                <w:szCs w:val="16"/>
              </w:rPr>
              <w:t>ndicates whether the patient has been diagnosed with cerebrovascular disease or stroke, either because this is stated in the patient's previous medical history, or shows reports on CT scan or MRI within the last year of cerebrovascular disease</w:t>
            </w:r>
          </w:p>
        </w:tc>
      </w:tr>
      <w:tr w:rsidR="00C03562" w:rsidRPr="008535B5" w14:paraId="5FE44842" w14:textId="77777777" w:rsidTr="0051535C">
        <w:tc>
          <w:tcPr>
            <w:tcW w:w="1999" w:type="pct"/>
          </w:tcPr>
          <w:p w14:paraId="55A122DD" w14:textId="471EA751" w:rsidR="00C03562" w:rsidRPr="00087F0C" w:rsidRDefault="0086743A" w:rsidP="0051535C">
            <w:pPr>
              <w:tabs>
                <w:tab w:val="left" w:pos="2295"/>
              </w:tabs>
              <w:spacing w:after="0"/>
              <w:rPr>
                <w:b/>
                <w:sz w:val="16"/>
                <w:szCs w:val="16"/>
              </w:rPr>
            </w:pPr>
            <w:r w:rsidRPr="00087F0C">
              <w:rPr>
                <w:b/>
                <w:sz w:val="16"/>
                <w:szCs w:val="16"/>
              </w:rPr>
              <w:t>Atrial fibrillation</w:t>
            </w:r>
          </w:p>
        </w:tc>
        <w:tc>
          <w:tcPr>
            <w:tcW w:w="3001" w:type="pct"/>
          </w:tcPr>
          <w:p w14:paraId="21C3641C" w14:textId="129EC67D" w:rsidR="003D7BC3" w:rsidRPr="00087F0C" w:rsidRDefault="003D7BC3" w:rsidP="0051535C">
            <w:pPr>
              <w:tabs>
                <w:tab w:val="left" w:pos="2295"/>
              </w:tabs>
              <w:spacing w:after="0"/>
              <w:rPr>
                <w:sz w:val="16"/>
                <w:szCs w:val="16"/>
              </w:rPr>
            </w:pPr>
            <w:r w:rsidRPr="00087F0C">
              <w:rPr>
                <w:sz w:val="16"/>
                <w:szCs w:val="16"/>
              </w:rPr>
              <w:t>I</w:t>
            </w:r>
            <w:r w:rsidR="00BA7B5A" w:rsidRPr="00087F0C">
              <w:rPr>
                <w:sz w:val="16"/>
                <w:szCs w:val="16"/>
              </w:rPr>
              <w:t>t i</w:t>
            </w:r>
            <w:r w:rsidRPr="00087F0C">
              <w:rPr>
                <w:sz w:val="16"/>
                <w:szCs w:val="16"/>
              </w:rPr>
              <w:t>ndicates whether the patient is diagnosed with chronic or permanent atrial fibrillation or an electrocardiogram performed during a previous year shows atrial fibrillation and continues to the present</w:t>
            </w:r>
          </w:p>
        </w:tc>
      </w:tr>
      <w:tr w:rsidR="00C03562" w:rsidRPr="008535B5" w14:paraId="519F2362" w14:textId="77777777" w:rsidTr="0051535C">
        <w:tc>
          <w:tcPr>
            <w:tcW w:w="1999" w:type="pct"/>
          </w:tcPr>
          <w:p w14:paraId="53B4EDC2" w14:textId="2DF9845B" w:rsidR="00C03562" w:rsidRPr="00087F0C" w:rsidRDefault="0086743A" w:rsidP="0051535C">
            <w:pPr>
              <w:tabs>
                <w:tab w:val="left" w:pos="2295"/>
              </w:tabs>
              <w:spacing w:after="0"/>
              <w:rPr>
                <w:b/>
                <w:sz w:val="16"/>
                <w:szCs w:val="16"/>
              </w:rPr>
            </w:pPr>
            <w:r w:rsidRPr="00087F0C">
              <w:rPr>
                <w:b/>
                <w:sz w:val="16"/>
                <w:szCs w:val="16"/>
              </w:rPr>
              <w:t>Valvular heart disease</w:t>
            </w:r>
          </w:p>
        </w:tc>
        <w:tc>
          <w:tcPr>
            <w:tcW w:w="3001" w:type="pct"/>
          </w:tcPr>
          <w:p w14:paraId="5F1206E3" w14:textId="021B6E0B" w:rsidR="003D7BC3" w:rsidRPr="00087F0C" w:rsidRDefault="003D7BC3" w:rsidP="0051535C">
            <w:pPr>
              <w:tabs>
                <w:tab w:val="left" w:pos="2295"/>
              </w:tabs>
              <w:spacing w:after="0"/>
              <w:rPr>
                <w:sz w:val="16"/>
                <w:szCs w:val="16"/>
              </w:rPr>
            </w:pPr>
            <w:r w:rsidRPr="00087F0C">
              <w:rPr>
                <w:sz w:val="16"/>
                <w:szCs w:val="16"/>
              </w:rPr>
              <w:t>I</w:t>
            </w:r>
            <w:r w:rsidR="00BA7B5A" w:rsidRPr="00087F0C">
              <w:rPr>
                <w:sz w:val="16"/>
                <w:szCs w:val="16"/>
              </w:rPr>
              <w:t>t i</w:t>
            </w:r>
            <w:r w:rsidRPr="00087F0C">
              <w:rPr>
                <w:sz w:val="16"/>
                <w:szCs w:val="16"/>
              </w:rPr>
              <w:t>ndicates whether the patient has been diagnosed with any type of valvular heart disease according to the echocardiogram or haemodynamic study, because this is recorded in the patient's previous medical history</w:t>
            </w:r>
          </w:p>
        </w:tc>
      </w:tr>
      <w:tr w:rsidR="00C03562" w:rsidRPr="008535B5" w14:paraId="73FFE793" w14:textId="77777777" w:rsidTr="0051535C">
        <w:tc>
          <w:tcPr>
            <w:tcW w:w="1999" w:type="pct"/>
          </w:tcPr>
          <w:p w14:paraId="611D362C" w14:textId="6C5FD66C" w:rsidR="00C03562" w:rsidRPr="00087F0C" w:rsidRDefault="0086743A" w:rsidP="0051535C">
            <w:pPr>
              <w:tabs>
                <w:tab w:val="left" w:pos="2295"/>
              </w:tabs>
              <w:spacing w:after="0"/>
              <w:rPr>
                <w:b/>
                <w:sz w:val="16"/>
                <w:szCs w:val="16"/>
              </w:rPr>
            </w:pPr>
            <w:r w:rsidRPr="00087F0C">
              <w:rPr>
                <w:b/>
                <w:sz w:val="16"/>
                <w:szCs w:val="16"/>
              </w:rPr>
              <w:t>Peripheral artery disease</w:t>
            </w:r>
          </w:p>
        </w:tc>
        <w:tc>
          <w:tcPr>
            <w:tcW w:w="3001" w:type="pct"/>
          </w:tcPr>
          <w:p w14:paraId="38B43271" w14:textId="62E99B90" w:rsidR="00145A19" w:rsidRPr="00087F0C" w:rsidRDefault="0072058F" w:rsidP="0072058F">
            <w:pPr>
              <w:tabs>
                <w:tab w:val="left" w:pos="2295"/>
              </w:tabs>
              <w:spacing w:after="0"/>
              <w:rPr>
                <w:rFonts w:ascii="Segoe UI" w:eastAsia="Times New Roman" w:hAnsi="Segoe UI" w:cs="Segoe UI"/>
                <w:sz w:val="30"/>
                <w:szCs w:val="30"/>
                <w:lang w:eastAsia="es-ES"/>
              </w:rPr>
            </w:pPr>
            <w:r w:rsidRPr="00087F0C">
              <w:rPr>
                <w:sz w:val="16"/>
                <w:szCs w:val="16"/>
              </w:rPr>
              <w:t>I</w:t>
            </w:r>
            <w:r w:rsidR="00BA7B5A" w:rsidRPr="00087F0C">
              <w:rPr>
                <w:sz w:val="16"/>
                <w:szCs w:val="16"/>
              </w:rPr>
              <w:t>t i</w:t>
            </w:r>
            <w:r w:rsidRPr="00087F0C">
              <w:rPr>
                <w:sz w:val="16"/>
                <w:szCs w:val="16"/>
              </w:rPr>
              <w:t>ndicates if the patient is diagnosed with peripheral arterial disease in the lower limbs or carotid artery, or if the patient is receiving specific treatment, or has undergone specific surgery (lower limb bypass, endarterectomy, etc.) or there is a history of an arm-to-ankle ratio &lt; 0.90 because this is recorded in the patient's previous medical history</w:t>
            </w:r>
          </w:p>
        </w:tc>
      </w:tr>
      <w:tr w:rsidR="00C03562" w:rsidRPr="008535B5" w14:paraId="7FDAAB4D" w14:textId="77777777" w:rsidTr="0051535C">
        <w:tc>
          <w:tcPr>
            <w:tcW w:w="1999" w:type="pct"/>
          </w:tcPr>
          <w:p w14:paraId="3B63DA07" w14:textId="400EEE6D" w:rsidR="0086743A" w:rsidRPr="00087F0C" w:rsidRDefault="0086743A" w:rsidP="0051535C">
            <w:pPr>
              <w:tabs>
                <w:tab w:val="left" w:pos="2295"/>
              </w:tabs>
              <w:spacing w:after="0"/>
              <w:rPr>
                <w:b/>
                <w:sz w:val="16"/>
                <w:szCs w:val="16"/>
              </w:rPr>
            </w:pPr>
            <w:r w:rsidRPr="00087F0C">
              <w:rPr>
                <w:b/>
                <w:sz w:val="16"/>
                <w:szCs w:val="16"/>
              </w:rPr>
              <w:t>Chronic obstructive pulmonary disease</w:t>
            </w:r>
          </w:p>
        </w:tc>
        <w:tc>
          <w:tcPr>
            <w:tcW w:w="3001" w:type="pct"/>
          </w:tcPr>
          <w:p w14:paraId="00B0207A" w14:textId="355C83FD" w:rsidR="00BA7B5A" w:rsidRPr="00087F0C" w:rsidRDefault="00BA7B5A" w:rsidP="0051535C">
            <w:pPr>
              <w:tabs>
                <w:tab w:val="left" w:pos="2295"/>
              </w:tabs>
              <w:spacing w:after="0"/>
              <w:rPr>
                <w:sz w:val="16"/>
                <w:szCs w:val="16"/>
              </w:rPr>
            </w:pPr>
            <w:r w:rsidRPr="00087F0C">
              <w:rPr>
                <w:sz w:val="16"/>
                <w:szCs w:val="16"/>
              </w:rPr>
              <w:t>It indicates whether the patient is diagnosed with chronic obstructive pulmonary disease because this is recorded in their medical history, has a spirometry test that is not normal or is receiving chronic treatment with specific drugs</w:t>
            </w:r>
          </w:p>
        </w:tc>
      </w:tr>
      <w:tr w:rsidR="00C03562" w:rsidRPr="004456F6" w14:paraId="01A22708" w14:textId="77777777" w:rsidTr="0051535C">
        <w:trPr>
          <w:trHeight w:val="186"/>
        </w:trPr>
        <w:tc>
          <w:tcPr>
            <w:tcW w:w="5000" w:type="pct"/>
            <w:gridSpan w:val="2"/>
            <w:shd w:val="clear" w:color="auto" w:fill="D9D9D9"/>
          </w:tcPr>
          <w:p w14:paraId="02EAB804" w14:textId="2E15612A" w:rsidR="00C03562" w:rsidRPr="00087F0C" w:rsidRDefault="004456F6" w:rsidP="0051535C">
            <w:pPr>
              <w:spacing w:after="0"/>
              <w:rPr>
                <w:b/>
                <w:sz w:val="16"/>
                <w:szCs w:val="16"/>
              </w:rPr>
            </w:pPr>
            <w:r w:rsidRPr="00087F0C">
              <w:rPr>
                <w:b/>
                <w:sz w:val="16"/>
                <w:szCs w:val="16"/>
              </w:rPr>
              <w:t xml:space="preserve">PREVIOUS CHRONIC TREATMENT </w:t>
            </w:r>
          </w:p>
        </w:tc>
      </w:tr>
      <w:tr w:rsidR="00C03562" w:rsidRPr="008535B5" w14:paraId="0326E8C2" w14:textId="77777777" w:rsidTr="0051535C">
        <w:tc>
          <w:tcPr>
            <w:tcW w:w="1999" w:type="pct"/>
          </w:tcPr>
          <w:p w14:paraId="44C00C84" w14:textId="27240FBE" w:rsidR="00F038CC" w:rsidRPr="00087F0C" w:rsidRDefault="00CF3026" w:rsidP="0051535C">
            <w:pPr>
              <w:spacing w:after="0" w:line="240" w:lineRule="auto"/>
              <w:rPr>
                <w:b/>
                <w:sz w:val="16"/>
                <w:szCs w:val="16"/>
              </w:rPr>
            </w:pPr>
            <w:r w:rsidRPr="00087F0C">
              <w:rPr>
                <w:b/>
                <w:sz w:val="16"/>
                <w:szCs w:val="16"/>
              </w:rPr>
              <w:t>Mineralocorticoid receptor antagonists</w:t>
            </w:r>
          </w:p>
        </w:tc>
        <w:tc>
          <w:tcPr>
            <w:tcW w:w="3001" w:type="pct"/>
          </w:tcPr>
          <w:p w14:paraId="16ACEDAE" w14:textId="24EF8017" w:rsidR="00BA7B5A" w:rsidRPr="00087F0C" w:rsidRDefault="00BA7B5A" w:rsidP="0051535C">
            <w:pPr>
              <w:tabs>
                <w:tab w:val="left" w:pos="2295"/>
              </w:tabs>
              <w:spacing w:after="0"/>
              <w:rPr>
                <w:sz w:val="16"/>
                <w:szCs w:val="16"/>
              </w:rPr>
            </w:pPr>
            <w:r w:rsidRPr="00087F0C">
              <w:rPr>
                <w:sz w:val="16"/>
                <w:szCs w:val="16"/>
              </w:rPr>
              <w:t>They receive chronic treatment with aldosterone receptor antagonist</w:t>
            </w:r>
          </w:p>
        </w:tc>
      </w:tr>
      <w:tr w:rsidR="00C03562" w:rsidRPr="008535B5" w14:paraId="71D31990" w14:textId="77777777" w:rsidTr="0051535C">
        <w:tc>
          <w:tcPr>
            <w:tcW w:w="1999" w:type="pct"/>
          </w:tcPr>
          <w:p w14:paraId="06BC04F7" w14:textId="5FC0BE61" w:rsidR="00C03562" w:rsidRPr="00087F0C" w:rsidRDefault="00C03562" w:rsidP="0051535C">
            <w:pPr>
              <w:tabs>
                <w:tab w:val="left" w:pos="2295"/>
              </w:tabs>
              <w:spacing w:after="0"/>
              <w:rPr>
                <w:b/>
                <w:sz w:val="16"/>
                <w:szCs w:val="16"/>
              </w:rPr>
            </w:pPr>
            <w:r w:rsidRPr="00087F0C">
              <w:rPr>
                <w:b/>
                <w:sz w:val="16"/>
                <w:szCs w:val="16"/>
              </w:rPr>
              <w:t>Beta</w:t>
            </w:r>
            <w:r w:rsidR="004456F6" w:rsidRPr="00087F0C">
              <w:rPr>
                <w:b/>
                <w:sz w:val="16"/>
                <w:szCs w:val="16"/>
              </w:rPr>
              <w:t xml:space="preserve"> </w:t>
            </w:r>
            <w:r w:rsidRPr="00087F0C">
              <w:rPr>
                <w:b/>
                <w:sz w:val="16"/>
                <w:szCs w:val="16"/>
              </w:rPr>
              <w:t>blo</w:t>
            </w:r>
            <w:r w:rsidR="004456F6" w:rsidRPr="00087F0C">
              <w:rPr>
                <w:b/>
                <w:sz w:val="16"/>
                <w:szCs w:val="16"/>
              </w:rPr>
              <w:t>ckers</w:t>
            </w:r>
          </w:p>
        </w:tc>
        <w:tc>
          <w:tcPr>
            <w:tcW w:w="3001" w:type="pct"/>
          </w:tcPr>
          <w:p w14:paraId="76172AD5" w14:textId="4EB01787" w:rsidR="00C03562" w:rsidRPr="00087F0C" w:rsidRDefault="00BA7B5A" w:rsidP="0051535C">
            <w:pPr>
              <w:tabs>
                <w:tab w:val="left" w:pos="2295"/>
              </w:tabs>
              <w:spacing w:after="0"/>
              <w:rPr>
                <w:sz w:val="16"/>
                <w:szCs w:val="16"/>
              </w:rPr>
            </w:pPr>
            <w:r w:rsidRPr="00087F0C">
              <w:rPr>
                <w:sz w:val="16"/>
                <w:szCs w:val="16"/>
              </w:rPr>
              <w:t>They receive chronic treatment with beta blockers</w:t>
            </w:r>
          </w:p>
        </w:tc>
      </w:tr>
      <w:tr w:rsidR="00C03562" w:rsidRPr="008535B5" w14:paraId="0AECA34B" w14:textId="77777777" w:rsidTr="0051535C">
        <w:tc>
          <w:tcPr>
            <w:tcW w:w="1999" w:type="pct"/>
          </w:tcPr>
          <w:p w14:paraId="4A88A578" w14:textId="15B55B7B" w:rsidR="00CF3026" w:rsidRPr="00087F0C" w:rsidRDefault="00CF3026" w:rsidP="00256C85">
            <w:pPr>
              <w:spacing w:after="0" w:line="240" w:lineRule="auto"/>
              <w:rPr>
                <w:b/>
                <w:sz w:val="16"/>
                <w:szCs w:val="16"/>
              </w:rPr>
            </w:pPr>
            <w:r w:rsidRPr="00087F0C">
              <w:rPr>
                <w:b/>
                <w:sz w:val="16"/>
                <w:szCs w:val="16"/>
              </w:rPr>
              <w:t>Renin-angiotensin system inhibitors</w:t>
            </w:r>
          </w:p>
        </w:tc>
        <w:tc>
          <w:tcPr>
            <w:tcW w:w="3001" w:type="pct"/>
          </w:tcPr>
          <w:p w14:paraId="7740C5AE" w14:textId="497F368A" w:rsidR="00BA7B5A" w:rsidRPr="00087F0C" w:rsidRDefault="00BA7B5A" w:rsidP="0051535C">
            <w:pPr>
              <w:tabs>
                <w:tab w:val="left" w:pos="2295"/>
              </w:tabs>
              <w:spacing w:after="0"/>
              <w:rPr>
                <w:sz w:val="16"/>
                <w:szCs w:val="16"/>
              </w:rPr>
            </w:pPr>
            <w:r w:rsidRPr="00087F0C">
              <w:rPr>
                <w:sz w:val="16"/>
                <w:szCs w:val="16"/>
              </w:rPr>
              <w:t>They receive chronic treatment with r</w:t>
            </w:r>
            <w:r w:rsidRPr="00087F0C">
              <w:rPr>
                <w:bCs/>
                <w:sz w:val="16"/>
                <w:szCs w:val="16"/>
              </w:rPr>
              <w:t>enin-angiotensin system inhibitors</w:t>
            </w:r>
          </w:p>
        </w:tc>
      </w:tr>
      <w:tr w:rsidR="00C03562" w:rsidRPr="008535B5" w14:paraId="37248EA1" w14:textId="77777777" w:rsidTr="0051535C">
        <w:tc>
          <w:tcPr>
            <w:tcW w:w="1999" w:type="pct"/>
          </w:tcPr>
          <w:p w14:paraId="33412A1F" w14:textId="448684A3" w:rsidR="00C03562" w:rsidRPr="00087F0C" w:rsidRDefault="004456F6" w:rsidP="0051535C">
            <w:pPr>
              <w:tabs>
                <w:tab w:val="left" w:pos="2295"/>
              </w:tabs>
              <w:spacing w:after="0"/>
              <w:rPr>
                <w:b/>
                <w:sz w:val="16"/>
                <w:szCs w:val="16"/>
              </w:rPr>
            </w:pPr>
            <w:r w:rsidRPr="00087F0C">
              <w:rPr>
                <w:b/>
                <w:sz w:val="16"/>
                <w:szCs w:val="16"/>
              </w:rPr>
              <w:t>Diuretics</w:t>
            </w:r>
          </w:p>
        </w:tc>
        <w:tc>
          <w:tcPr>
            <w:tcW w:w="3001" w:type="pct"/>
          </w:tcPr>
          <w:p w14:paraId="65F9B1BD" w14:textId="7AB5C9F7" w:rsidR="00BA7B5A" w:rsidRPr="00087F0C" w:rsidRDefault="00BA7B5A" w:rsidP="0051535C">
            <w:pPr>
              <w:tabs>
                <w:tab w:val="left" w:pos="2295"/>
              </w:tabs>
              <w:spacing w:after="0"/>
              <w:rPr>
                <w:sz w:val="16"/>
                <w:szCs w:val="16"/>
              </w:rPr>
            </w:pPr>
            <w:r w:rsidRPr="00087F0C">
              <w:rPr>
                <w:sz w:val="16"/>
                <w:szCs w:val="16"/>
              </w:rPr>
              <w:t>They receive chronic treatment with diuretics</w:t>
            </w:r>
          </w:p>
        </w:tc>
      </w:tr>
      <w:tr w:rsidR="00C03562" w:rsidRPr="008535B5" w14:paraId="2F3C178B" w14:textId="77777777" w:rsidTr="0051535C">
        <w:tc>
          <w:tcPr>
            <w:tcW w:w="5000" w:type="pct"/>
            <w:gridSpan w:val="2"/>
            <w:shd w:val="clear" w:color="auto" w:fill="D9D9D9"/>
          </w:tcPr>
          <w:p w14:paraId="108090B5" w14:textId="36106592" w:rsidR="00C03562" w:rsidRPr="00087F0C" w:rsidRDefault="00BC44F9" w:rsidP="0051535C">
            <w:pPr>
              <w:spacing w:after="0"/>
              <w:rPr>
                <w:b/>
                <w:sz w:val="16"/>
                <w:szCs w:val="16"/>
              </w:rPr>
            </w:pPr>
            <w:r w:rsidRPr="00087F0C">
              <w:rPr>
                <w:b/>
                <w:sz w:val="16"/>
                <w:szCs w:val="16"/>
              </w:rPr>
              <w:t>EMERGENCY MANAGEMENT TREATMENT</w:t>
            </w:r>
          </w:p>
        </w:tc>
      </w:tr>
      <w:tr w:rsidR="00C03562" w:rsidRPr="008535B5" w14:paraId="09002420" w14:textId="77777777" w:rsidTr="0051535C">
        <w:tc>
          <w:tcPr>
            <w:tcW w:w="1999" w:type="pct"/>
          </w:tcPr>
          <w:p w14:paraId="2F5FF448" w14:textId="15AE8351" w:rsidR="00C03562" w:rsidRPr="00087F0C" w:rsidRDefault="004E217C" w:rsidP="0051535C">
            <w:pPr>
              <w:spacing w:after="0"/>
              <w:rPr>
                <w:b/>
                <w:sz w:val="16"/>
                <w:szCs w:val="16"/>
              </w:rPr>
            </w:pPr>
            <w:r w:rsidRPr="00087F0C">
              <w:rPr>
                <w:b/>
                <w:sz w:val="16"/>
                <w:szCs w:val="16"/>
              </w:rPr>
              <w:t>Non-invasive mechanical ventilation</w:t>
            </w:r>
          </w:p>
        </w:tc>
        <w:tc>
          <w:tcPr>
            <w:tcW w:w="3001" w:type="pct"/>
          </w:tcPr>
          <w:p w14:paraId="0F2B3E42" w14:textId="3AFE367D" w:rsidR="003F73D0" w:rsidRPr="00087F0C" w:rsidRDefault="003F73D0" w:rsidP="0051535C">
            <w:pPr>
              <w:spacing w:after="0"/>
              <w:rPr>
                <w:sz w:val="16"/>
                <w:szCs w:val="16"/>
              </w:rPr>
            </w:pPr>
            <w:r w:rsidRPr="00087F0C">
              <w:rPr>
                <w:sz w:val="16"/>
                <w:szCs w:val="16"/>
              </w:rPr>
              <w:t xml:space="preserve">The patient </w:t>
            </w:r>
            <w:r w:rsidR="005C72A6" w:rsidRPr="00087F0C">
              <w:rPr>
                <w:sz w:val="16"/>
                <w:szCs w:val="16"/>
              </w:rPr>
              <w:t>is treated</w:t>
            </w:r>
            <w:r w:rsidRPr="00087F0C">
              <w:rPr>
                <w:sz w:val="16"/>
                <w:szCs w:val="16"/>
              </w:rPr>
              <w:t xml:space="preserve"> with non-invasive ventilation during the initial assessment in the stay </w:t>
            </w:r>
            <w:r w:rsidR="00087F0C" w:rsidRPr="00087F0C">
              <w:rPr>
                <w:sz w:val="16"/>
                <w:szCs w:val="16"/>
              </w:rPr>
              <w:t>at</w:t>
            </w:r>
            <w:r w:rsidRPr="00087F0C">
              <w:rPr>
                <w:sz w:val="16"/>
                <w:szCs w:val="16"/>
              </w:rPr>
              <w:t xml:space="preserve"> the Emergency department (ED)</w:t>
            </w:r>
            <w:r w:rsidR="00861105" w:rsidRPr="00087F0C">
              <w:rPr>
                <w:sz w:val="16"/>
                <w:szCs w:val="16"/>
              </w:rPr>
              <w:t>,</w:t>
            </w:r>
            <w:r w:rsidRPr="00087F0C">
              <w:rPr>
                <w:sz w:val="16"/>
                <w:szCs w:val="16"/>
              </w:rPr>
              <w:t xml:space="preserve"> and it was described whether it was in CPAP (continuous positive airway pressure) or BiPAP (bilevel positive airway pressure) mode</w:t>
            </w:r>
          </w:p>
        </w:tc>
      </w:tr>
      <w:tr w:rsidR="00C03562" w:rsidRPr="008535B5" w14:paraId="765450E9" w14:textId="77777777" w:rsidTr="0051535C">
        <w:tc>
          <w:tcPr>
            <w:tcW w:w="1999" w:type="pct"/>
          </w:tcPr>
          <w:p w14:paraId="6576914D" w14:textId="14FB3E00" w:rsidR="00C03562" w:rsidRPr="00087F0C" w:rsidRDefault="00BC44F9" w:rsidP="00BC44F9">
            <w:pPr>
              <w:tabs>
                <w:tab w:val="left" w:pos="2295"/>
              </w:tabs>
              <w:spacing w:after="0"/>
              <w:rPr>
                <w:b/>
                <w:sz w:val="16"/>
                <w:szCs w:val="16"/>
              </w:rPr>
            </w:pPr>
            <w:r w:rsidRPr="00087F0C">
              <w:rPr>
                <w:b/>
                <w:sz w:val="16"/>
                <w:szCs w:val="16"/>
              </w:rPr>
              <w:t>Intravenous</w:t>
            </w:r>
            <w:r w:rsidRPr="00087F0C">
              <w:t xml:space="preserve"> </w:t>
            </w:r>
            <w:r w:rsidRPr="00087F0C">
              <w:rPr>
                <w:b/>
                <w:sz w:val="16"/>
                <w:szCs w:val="16"/>
              </w:rPr>
              <w:t>diuretics</w:t>
            </w:r>
          </w:p>
        </w:tc>
        <w:tc>
          <w:tcPr>
            <w:tcW w:w="3001" w:type="pct"/>
          </w:tcPr>
          <w:p w14:paraId="10B12139" w14:textId="2EED87C2" w:rsidR="003F73D0" w:rsidRPr="00087F0C" w:rsidRDefault="003F73D0" w:rsidP="0051535C">
            <w:pPr>
              <w:spacing w:after="0"/>
              <w:rPr>
                <w:sz w:val="16"/>
                <w:szCs w:val="16"/>
              </w:rPr>
            </w:pPr>
            <w:r w:rsidRPr="00087F0C">
              <w:rPr>
                <w:sz w:val="16"/>
                <w:szCs w:val="16"/>
              </w:rPr>
              <w:t xml:space="preserve">The patient </w:t>
            </w:r>
            <w:r w:rsidR="005C72A6" w:rsidRPr="00087F0C">
              <w:rPr>
                <w:sz w:val="16"/>
                <w:szCs w:val="16"/>
              </w:rPr>
              <w:t>is treated</w:t>
            </w:r>
            <w:r w:rsidRPr="00087F0C">
              <w:rPr>
                <w:sz w:val="16"/>
                <w:szCs w:val="16"/>
              </w:rPr>
              <w:t xml:space="preserve"> with diuretics </w:t>
            </w:r>
            <w:r w:rsidR="00087F0C" w:rsidRPr="00087F0C">
              <w:rPr>
                <w:sz w:val="16"/>
                <w:szCs w:val="16"/>
              </w:rPr>
              <w:t>at</w:t>
            </w:r>
            <w:r w:rsidRPr="00087F0C">
              <w:rPr>
                <w:sz w:val="16"/>
                <w:szCs w:val="16"/>
              </w:rPr>
              <w:t xml:space="preserve"> the ED</w:t>
            </w:r>
          </w:p>
        </w:tc>
      </w:tr>
      <w:tr w:rsidR="00C03562" w:rsidRPr="008535B5" w14:paraId="2C3EF652" w14:textId="77777777" w:rsidTr="0051535C">
        <w:tc>
          <w:tcPr>
            <w:tcW w:w="1999" w:type="pct"/>
          </w:tcPr>
          <w:p w14:paraId="1BB0E63E" w14:textId="7626098F" w:rsidR="00BC44F9" w:rsidRPr="00087F0C" w:rsidRDefault="00256C85" w:rsidP="004E217C">
            <w:pPr>
              <w:tabs>
                <w:tab w:val="left" w:pos="2295"/>
              </w:tabs>
              <w:spacing w:after="0"/>
              <w:rPr>
                <w:b/>
                <w:sz w:val="16"/>
                <w:szCs w:val="16"/>
              </w:rPr>
            </w:pPr>
            <w:r w:rsidRPr="00087F0C">
              <w:rPr>
                <w:b/>
                <w:sz w:val="16"/>
                <w:szCs w:val="16"/>
              </w:rPr>
              <w:t>Intravenous vasodilators</w:t>
            </w:r>
          </w:p>
        </w:tc>
        <w:tc>
          <w:tcPr>
            <w:tcW w:w="3001" w:type="pct"/>
          </w:tcPr>
          <w:p w14:paraId="6C7DAC11" w14:textId="2AC9B96E" w:rsidR="005C72A6" w:rsidRPr="00087F0C" w:rsidRDefault="005C72A6" w:rsidP="0051535C">
            <w:pPr>
              <w:spacing w:after="0"/>
              <w:rPr>
                <w:sz w:val="16"/>
                <w:szCs w:val="16"/>
              </w:rPr>
            </w:pPr>
            <w:r w:rsidRPr="00087F0C">
              <w:rPr>
                <w:sz w:val="16"/>
                <w:szCs w:val="16"/>
              </w:rPr>
              <w:t xml:space="preserve">The patient is treated with intravenous vasodilators durintg the initial assessment in the stay </w:t>
            </w:r>
            <w:r w:rsidR="00087F0C" w:rsidRPr="00087F0C">
              <w:rPr>
                <w:sz w:val="16"/>
                <w:szCs w:val="16"/>
              </w:rPr>
              <w:t>at</w:t>
            </w:r>
            <w:r w:rsidRPr="00087F0C">
              <w:rPr>
                <w:sz w:val="16"/>
                <w:szCs w:val="16"/>
              </w:rPr>
              <w:t xml:space="preserve"> the ED</w:t>
            </w:r>
          </w:p>
        </w:tc>
      </w:tr>
      <w:tr w:rsidR="00C03562" w:rsidRPr="008535B5" w14:paraId="719CCE1F" w14:textId="77777777" w:rsidTr="0051535C">
        <w:tc>
          <w:tcPr>
            <w:tcW w:w="5000" w:type="pct"/>
            <w:gridSpan w:val="2"/>
            <w:shd w:val="clear" w:color="auto" w:fill="D9D9D9"/>
          </w:tcPr>
          <w:p w14:paraId="067C823B" w14:textId="0210F3FC" w:rsidR="00C03562" w:rsidRPr="00087F0C" w:rsidRDefault="00C03562" w:rsidP="0051535C">
            <w:pPr>
              <w:spacing w:after="0"/>
              <w:rPr>
                <w:b/>
                <w:sz w:val="16"/>
                <w:szCs w:val="16"/>
              </w:rPr>
            </w:pPr>
            <w:r w:rsidRPr="00087F0C">
              <w:rPr>
                <w:b/>
                <w:sz w:val="16"/>
                <w:szCs w:val="16"/>
              </w:rPr>
              <w:t>DESTIN</w:t>
            </w:r>
            <w:r w:rsidR="00256C85" w:rsidRPr="00087F0C">
              <w:rPr>
                <w:b/>
                <w:sz w:val="16"/>
                <w:szCs w:val="16"/>
              </w:rPr>
              <w:t>Y</w:t>
            </w:r>
          </w:p>
        </w:tc>
      </w:tr>
      <w:tr w:rsidR="00C03562" w:rsidRPr="008535B5" w14:paraId="55CB84F6" w14:textId="77777777" w:rsidTr="0051535C">
        <w:tc>
          <w:tcPr>
            <w:tcW w:w="1999" w:type="pct"/>
          </w:tcPr>
          <w:p w14:paraId="279C8069" w14:textId="09105E98" w:rsidR="004E217C" w:rsidRPr="00087F0C" w:rsidRDefault="004E217C" w:rsidP="004E217C">
            <w:pPr>
              <w:tabs>
                <w:tab w:val="left" w:pos="2295"/>
              </w:tabs>
              <w:spacing w:after="0"/>
              <w:rPr>
                <w:b/>
                <w:sz w:val="16"/>
                <w:szCs w:val="16"/>
              </w:rPr>
            </w:pPr>
            <w:r w:rsidRPr="00087F0C">
              <w:rPr>
                <w:b/>
                <w:sz w:val="16"/>
                <w:szCs w:val="16"/>
              </w:rPr>
              <w:t>Hospital admission</w:t>
            </w:r>
          </w:p>
        </w:tc>
        <w:tc>
          <w:tcPr>
            <w:tcW w:w="3001" w:type="pct"/>
          </w:tcPr>
          <w:p w14:paraId="39F70D71" w14:textId="17AE646B" w:rsidR="005C72A6" w:rsidRPr="00087F0C" w:rsidRDefault="005C72A6" w:rsidP="0051535C">
            <w:pPr>
              <w:spacing w:after="0"/>
              <w:rPr>
                <w:sz w:val="16"/>
                <w:szCs w:val="16"/>
              </w:rPr>
            </w:pPr>
            <w:r w:rsidRPr="00087F0C">
              <w:rPr>
                <w:sz w:val="16"/>
                <w:szCs w:val="16"/>
              </w:rPr>
              <w:t>The patient is transferred to an inpatient ward of any type (critical care unit, coronary, intermediate care, internal medicine, cardiology, short stay unit, geriatric, sub-acute or chronic units, etc.)</w:t>
            </w:r>
          </w:p>
        </w:tc>
      </w:tr>
      <w:tr w:rsidR="00C03562" w:rsidRPr="008535B5" w14:paraId="77E5D267" w14:textId="77777777" w:rsidTr="0051535C">
        <w:tc>
          <w:tcPr>
            <w:tcW w:w="5000" w:type="pct"/>
            <w:gridSpan w:val="2"/>
            <w:shd w:val="clear" w:color="auto" w:fill="D9D9D9"/>
          </w:tcPr>
          <w:p w14:paraId="7BB8B432" w14:textId="5DE5C8D1" w:rsidR="00C03562" w:rsidRPr="00087F0C" w:rsidRDefault="00C03562" w:rsidP="0051535C">
            <w:pPr>
              <w:spacing w:after="0"/>
              <w:rPr>
                <w:b/>
                <w:sz w:val="16"/>
                <w:szCs w:val="16"/>
              </w:rPr>
            </w:pPr>
            <w:r w:rsidRPr="00087F0C">
              <w:rPr>
                <w:b/>
                <w:sz w:val="16"/>
                <w:szCs w:val="16"/>
              </w:rPr>
              <w:t>MORTALI</w:t>
            </w:r>
            <w:r w:rsidR="004E217C" w:rsidRPr="00087F0C">
              <w:rPr>
                <w:b/>
                <w:sz w:val="16"/>
                <w:szCs w:val="16"/>
              </w:rPr>
              <w:t>TY</w:t>
            </w:r>
          </w:p>
        </w:tc>
      </w:tr>
      <w:tr w:rsidR="00C03562" w:rsidRPr="008535B5" w14:paraId="600F0FE6" w14:textId="77777777" w:rsidTr="0051535C">
        <w:tc>
          <w:tcPr>
            <w:tcW w:w="1999" w:type="pct"/>
          </w:tcPr>
          <w:p w14:paraId="46C5BD84" w14:textId="0DE0A7A0" w:rsidR="004E217C" w:rsidRPr="00087F0C" w:rsidRDefault="004E217C" w:rsidP="004E217C">
            <w:pPr>
              <w:tabs>
                <w:tab w:val="left" w:pos="2295"/>
              </w:tabs>
              <w:spacing w:after="0"/>
              <w:rPr>
                <w:b/>
                <w:sz w:val="16"/>
                <w:szCs w:val="16"/>
              </w:rPr>
            </w:pPr>
            <w:r w:rsidRPr="00087F0C">
              <w:rPr>
                <w:b/>
                <w:sz w:val="16"/>
                <w:szCs w:val="16"/>
              </w:rPr>
              <w:t>30-day all-cause mortality following</w:t>
            </w:r>
          </w:p>
        </w:tc>
        <w:tc>
          <w:tcPr>
            <w:tcW w:w="3001" w:type="pct"/>
          </w:tcPr>
          <w:p w14:paraId="2B0453C9" w14:textId="5E1CF8E3" w:rsidR="005C72A6" w:rsidRPr="00087F0C" w:rsidRDefault="005C72A6" w:rsidP="0051535C">
            <w:pPr>
              <w:spacing w:after="0"/>
              <w:rPr>
                <w:sz w:val="16"/>
                <w:szCs w:val="16"/>
              </w:rPr>
            </w:pPr>
            <w:r w:rsidRPr="00087F0C">
              <w:rPr>
                <w:sz w:val="16"/>
                <w:szCs w:val="16"/>
              </w:rPr>
              <w:t>Death within 30 days of discharge from the ED or admission for any cause</w:t>
            </w:r>
          </w:p>
        </w:tc>
      </w:tr>
      <w:tr w:rsidR="00C03562" w:rsidRPr="00CC774C" w14:paraId="3CC7E1E6" w14:textId="77777777" w:rsidTr="0051535C">
        <w:tc>
          <w:tcPr>
            <w:tcW w:w="5000" w:type="pct"/>
            <w:gridSpan w:val="2"/>
            <w:shd w:val="clear" w:color="auto" w:fill="D9D9D9"/>
          </w:tcPr>
          <w:p w14:paraId="3CE1C824" w14:textId="2016E774" w:rsidR="00C03562" w:rsidRPr="00087F0C" w:rsidRDefault="00C03562" w:rsidP="0051535C">
            <w:pPr>
              <w:spacing w:after="0"/>
              <w:rPr>
                <w:b/>
                <w:sz w:val="16"/>
                <w:szCs w:val="16"/>
              </w:rPr>
            </w:pPr>
            <w:r w:rsidRPr="00087F0C">
              <w:rPr>
                <w:b/>
                <w:sz w:val="16"/>
                <w:szCs w:val="16"/>
              </w:rPr>
              <w:t>CONGESTI</w:t>
            </w:r>
            <w:r w:rsidR="004E217C" w:rsidRPr="00087F0C">
              <w:rPr>
                <w:b/>
                <w:sz w:val="16"/>
                <w:szCs w:val="16"/>
              </w:rPr>
              <w:t>O</w:t>
            </w:r>
            <w:r w:rsidRPr="00087F0C">
              <w:rPr>
                <w:b/>
                <w:sz w:val="16"/>
                <w:szCs w:val="16"/>
              </w:rPr>
              <w:t>N</w:t>
            </w:r>
          </w:p>
        </w:tc>
      </w:tr>
      <w:tr w:rsidR="00C03562" w:rsidRPr="00CC774C" w14:paraId="2D34589B" w14:textId="77777777" w:rsidTr="0051535C">
        <w:tc>
          <w:tcPr>
            <w:tcW w:w="1999" w:type="pct"/>
          </w:tcPr>
          <w:p w14:paraId="5B31FFB5" w14:textId="0839B008" w:rsidR="00C03562" w:rsidRPr="00087F0C" w:rsidRDefault="00256C85" w:rsidP="0051535C">
            <w:pPr>
              <w:spacing w:after="0"/>
              <w:rPr>
                <w:b/>
                <w:sz w:val="16"/>
                <w:szCs w:val="16"/>
              </w:rPr>
            </w:pPr>
            <w:r w:rsidRPr="00087F0C">
              <w:rPr>
                <w:b/>
                <w:sz w:val="16"/>
                <w:szCs w:val="16"/>
              </w:rPr>
              <w:t>Dyspnoea on exertion</w:t>
            </w:r>
          </w:p>
        </w:tc>
        <w:tc>
          <w:tcPr>
            <w:tcW w:w="3001" w:type="pct"/>
          </w:tcPr>
          <w:p w14:paraId="282BA3B7" w14:textId="3E283A57" w:rsidR="005C72A6" w:rsidRPr="00087F0C" w:rsidRDefault="005C72A6" w:rsidP="0051535C">
            <w:pPr>
              <w:spacing w:after="0"/>
              <w:rPr>
                <w:sz w:val="16"/>
                <w:szCs w:val="16"/>
              </w:rPr>
            </w:pPr>
            <w:r w:rsidRPr="00087F0C">
              <w:rPr>
                <w:sz w:val="16"/>
                <w:szCs w:val="16"/>
              </w:rPr>
              <w:t>Presence of dyspnoea on heavy, moderate or light exertion</w:t>
            </w:r>
          </w:p>
        </w:tc>
      </w:tr>
      <w:tr w:rsidR="00C03562" w:rsidRPr="00CC774C" w14:paraId="0CA03ADA" w14:textId="77777777" w:rsidTr="0051535C">
        <w:tc>
          <w:tcPr>
            <w:tcW w:w="1999" w:type="pct"/>
          </w:tcPr>
          <w:p w14:paraId="4C3803D5" w14:textId="467D9292" w:rsidR="00F2008C" w:rsidRPr="00087F0C" w:rsidRDefault="00F2008C" w:rsidP="0051535C">
            <w:pPr>
              <w:spacing w:after="0"/>
              <w:rPr>
                <w:b/>
                <w:sz w:val="16"/>
                <w:szCs w:val="16"/>
              </w:rPr>
            </w:pPr>
            <w:r w:rsidRPr="00087F0C">
              <w:rPr>
                <w:b/>
                <w:sz w:val="16"/>
                <w:szCs w:val="16"/>
              </w:rPr>
              <w:t>Pulmonary crackles</w:t>
            </w:r>
          </w:p>
        </w:tc>
        <w:tc>
          <w:tcPr>
            <w:tcW w:w="3001" w:type="pct"/>
          </w:tcPr>
          <w:p w14:paraId="1BF7CDD6" w14:textId="30F2AFD9" w:rsidR="005C72A6" w:rsidRPr="00087F0C" w:rsidRDefault="005C72A6" w:rsidP="0051535C">
            <w:pPr>
              <w:spacing w:after="0"/>
              <w:rPr>
                <w:sz w:val="16"/>
                <w:szCs w:val="16"/>
              </w:rPr>
            </w:pPr>
            <w:r w:rsidRPr="00087F0C">
              <w:rPr>
                <w:sz w:val="16"/>
                <w:szCs w:val="16"/>
              </w:rPr>
              <w:t>Presence of pulmonary crackles in both lower halves of both hemithoraxes</w:t>
            </w:r>
          </w:p>
        </w:tc>
      </w:tr>
      <w:tr w:rsidR="00C03562" w:rsidRPr="00CC774C" w14:paraId="19A81992" w14:textId="77777777" w:rsidTr="0051535C">
        <w:tc>
          <w:tcPr>
            <w:tcW w:w="1999" w:type="pct"/>
          </w:tcPr>
          <w:p w14:paraId="79FE61D5" w14:textId="23C9FAFE" w:rsidR="00C03562" w:rsidRPr="00087F0C" w:rsidRDefault="00C03562" w:rsidP="0051535C">
            <w:pPr>
              <w:spacing w:after="0"/>
              <w:rPr>
                <w:b/>
                <w:sz w:val="16"/>
                <w:szCs w:val="16"/>
              </w:rPr>
            </w:pPr>
            <w:r w:rsidRPr="00087F0C">
              <w:rPr>
                <w:b/>
                <w:sz w:val="16"/>
                <w:szCs w:val="16"/>
              </w:rPr>
              <w:t>Ort</w:t>
            </w:r>
            <w:r w:rsidR="00F2008C" w:rsidRPr="00087F0C">
              <w:rPr>
                <w:b/>
                <w:sz w:val="16"/>
                <w:szCs w:val="16"/>
              </w:rPr>
              <w:t>h</w:t>
            </w:r>
            <w:r w:rsidRPr="00087F0C">
              <w:rPr>
                <w:b/>
                <w:sz w:val="16"/>
                <w:szCs w:val="16"/>
              </w:rPr>
              <w:t>opn</w:t>
            </w:r>
            <w:r w:rsidR="00F2008C" w:rsidRPr="00087F0C">
              <w:rPr>
                <w:b/>
                <w:sz w:val="16"/>
                <w:szCs w:val="16"/>
              </w:rPr>
              <w:t>o</w:t>
            </w:r>
            <w:r w:rsidRPr="00087F0C">
              <w:rPr>
                <w:b/>
                <w:sz w:val="16"/>
                <w:szCs w:val="16"/>
              </w:rPr>
              <w:t>ea</w:t>
            </w:r>
          </w:p>
        </w:tc>
        <w:tc>
          <w:tcPr>
            <w:tcW w:w="3001" w:type="pct"/>
          </w:tcPr>
          <w:p w14:paraId="2EFC21C4" w14:textId="788869B6" w:rsidR="005C72A6" w:rsidRPr="00087F0C" w:rsidRDefault="005C72A6" w:rsidP="0051535C">
            <w:pPr>
              <w:spacing w:after="0"/>
              <w:rPr>
                <w:sz w:val="16"/>
                <w:szCs w:val="16"/>
              </w:rPr>
            </w:pPr>
            <w:r w:rsidRPr="00087F0C">
              <w:rPr>
                <w:sz w:val="16"/>
                <w:szCs w:val="16"/>
              </w:rPr>
              <w:t>Onset of dyspnoea in the supine position, forcing the patient to maintain a sitting position</w:t>
            </w:r>
          </w:p>
        </w:tc>
      </w:tr>
      <w:tr w:rsidR="00C03562" w:rsidRPr="00CC774C" w14:paraId="6A78D4C3" w14:textId="77777777" w:rsidTr="0051535C">
        <w:tc>
          <w:tcPr>
            <w:tcW w:w="1999" w:type="pct"/>
          </w:tcPr>
          <w:p w14:paraId="60E9C6CF" w14:textId="4E6C5931" w:rsidR="00F2008C" w:rsidRPr="00087F0C" w:rsidRDefault="00F2008C" w:rsidP="0051535C">
            <w:pPr>
              <w:spacing w:after="0"/>
              <w:rPr>
                <w:b/>
                <w:sz w:val="16"/>
                <w:szCs w:val="16"/>
              </w:rPr>
            </w:pPr>
            <w:r w:rsidRPr="00087F0C">
              <w:rPr>
                <w:b/>
                <w:sz w:val="16"/>
                <w:szCs w:val="16"/>
              </w:rPr>
              <w:t>Paroxysmal nocturnal dyspnoea</w:t>
            </w:r>
          </w:p>
        </w:tc>
        <w:tc>
          <w:tcPr>
            <w:tcW w:w="3001" w:type="pct"/>
          </w:tcPr>
          <w:p w14:paraId="037CEC10" w14:textId="24F0DFA5" w:rsidR="005C72A6" w:rsidRPr="00087F0C" w:rsidRDefault="005C72A6" w:rsidP="0051535C">
            <w:pPr>
              <w:spacing w:after="0"/>
              <w:rPr>
                <w:sz w:val="16"/>
                <w:szCs w:val="16"/>
              </w:rPr>
            </w:pPr>
            <w:r w:rsidRPr="00087F0C">
              <w:rPr>
                <w:sz w:val="16"/>
                <w:szCs w:val="16"/>
              </w:rPr>
              <w:t>Occurrence of a crisis of dyspnoea at rest at night and awakening of the patient</w:t>
            </w:r>
          </w:p>
        </w:tc>
      </w:tr>
      <w:tr w:rsidR="00C03562" w:rsidRPr="00CC774C" w14:paraId="7E13049F" w14:textId="77777777" w:rsidTr="0051535C">
        <w:tc>
          <w:tcPr>
            <w:tcW w:w="1999" w:type="pct"/>
          </w:tcPr>
          <w:p w14:paraId="38872A76" w14:textId="5BCAB7FE" w:rsidR="00F2008C" w:rsidRPr="00087F0C" w:rsidRDefault="00F2008C" w:rsidP="0051535C">
            <w:pPr>
              <w:spacing w:after="0"/>
              <w:rPr>
                <w:b/>
                <w:sz w:val="16"/>
                <w:szCs w:val="16"/>
              </w:rPr>
            </w:pPr>
            <w:r w:rsidRPr="00087F0C">
              <w:rPr>
                <w:b/>
                <w:sz w:val="16"/>
                <w:szCs w:val="16"/>
              </w:rPr>
              <w:lastRenderedPageBreak/>
              <w:t>Oedema of the lower extremities</w:t>
            </w:r>
          </w:p>
        </w:tc>
        <w:tc>
          <w:tcPr>
            <w:tcW w:w="3001" w:type="pct"/>
          </w:tcPr>
          <w:p w14:paraId="3474C0BE" w14:textId="3A1754BC" w:rsidR="00C03562" w:rsidRPr="00087F0C" w:rsidRDefault="00861105" w:rsidP="0051535C">
            <w:pPr>
              <w:spacing w:after="0"/>
              <w:rPr>
                <w:sz w:val="16"/>
                <w:szCs w:val="16"/>
              </w:rPr>
            </w:pPr>
            <w:r w:rsidRPr="00087F0C">
              <w:rPr>
                <w:sz w:val="16"/>
                <w:szCs w:val="16"/>
              </w:rPr>
              <w:t>Presence of oedema with pitting beyond the tibio-malleolar area</w:t>
            </w:r>
          </w:p>
        </w:tc>
      </w:tr>
      <w:tr w:rsidR="00C03562" w:rsidRPr="00CC774C" w14:paraId="28CCBB65" w14:textId="77777777" w:rsidTr="0051535C">
        <w:tc>
          <w:tcPr>
            <w:tcW w:w="1999" w:type="pct"/>
          </w:tcPr>
          <w:p w14:paraId="3AA55288" w14:textId="0718ECF1" w:rsidR="00256C85" w:rsidRPr="00087F0C" w:rsidRDefault="00F2008C" w:rsidP="0051535C">
            <w:pPr>
              <w:spacing w:after="0"/>
              <w:rPr>
                <w:b/>
                <w:sz w:val="16"/>
                <w:szCs w:val="16"/>
              </w:rPr>
            </w:pPr>
            <w:r w:rsidRPr="00087F0C">
              <w:rPr>
                <w:b/>
                <w:sz w:val="16"/>
                <w:szCs w:val="16"/>
              </w:rPr>
              <w:t>J</w:t>
            </w:r>
            <w:r w:rsidR="00256C85" w:rsidRPr="00087F0C">
              <w:rPr>
                <w:b/>
                <w:sz w:val="16"/>
                <w:szCs w:val="16"/>
              </w:rPr>
              <w:t>ugular venous distention</w:t>
            </w:r>
          </w:p>
        </w:tc>
        <w:tc>
          <w:tcPr>
            <w:tcW w:w="3001" w:type="pct"/>
          </w:tcPr>
          <w:p w14:paraId="735BEE2A" w14:textId="1BFC03E0" w:rsidR="00C03562" w:rsidRPr="00087F0C" w:rsidRDefault="00861105" w:rsidP="0051535C">
            <w:pPr>
              <w:spacing w:after="0"/>
              <w:rPr>
                <w:sz w:val="16"/>
                <w:szCs w:val="16"/>
              </w:rPr>
            </w:pPr>
            <w:r w:rsidRPr="00087F0C">
              <w:rPr>
                <w:sz w:val="16"/>
                <w:szCs w:val="16"/>
              </w:rPr>
              <w:t>Presence of venous pressure more than 4 cm above the sternal or Louis angle. Measured with the patient at 45° and assessed right internal jugular vein and estimated by the highest point of oscillation, and measured with a ruler</w:t>
            </w:r>
          </w:p>
        </w:tc>
      </w:tr>
      <w:tr w:rsidR="00C03562" w:rsidRPr="00CC774C" w14:paraId="66FAA643" w14:textId="77777777" w:rsidTr="0051535C">
        <w:tc>
          <w:tcPr>
            <w:tcW w:w="1999" w:type="pct"/>
          </w:tcPr>
          <w:p w14:paraId="513DC82A" w14:textId="0BE871D2" w:rsidR="00C03562" w:rsidRPr="00087F0C" w:rsidRDefault="00C03562" w:rsidP="0051535C">
            <w:pPr>
              <w:spacing w:after="0"/>
              <w:rPr>
                <w:b/>
                <w:sz w:val="16"/>
                <w:szCs w:val="16"/>
              </w:rPr>
            </w:pPr>
            <w:r w:rsidRPr="00087F0C">
              <w:rPr>
                <w:b/>
                <w:sz w:val="16"/>
                <w:szCs w:val="16"/>
              </w:rPr>
              <w:t>Hepatomeg</w:t>
            </w:r>
            <w:r w:rsidR="00256C85" w:rsidRPr="00087F0C">
              <w:rPr>
                <w:b/>
                <w:sz w:val="16"/>
                <w:szCs w:val="16"/>
              </w:rPr>
              <w:t>aly</w:t>
            </w:r>
          </w:p>
        </w:tc>
        <w:tc>
          <w:tcPr>
            <w:tcW w:w="3001" w:type="pct"/>
          </w:tcPr>
          <w:p w14:paraId="4A34CF1F" w14:textId="0E887B07" w:rsidR="00C03562" w:rsidRPr="00087F0C" w:rsidRDefault="00861105" w:rsidP="0051535C">
            <w:pPr>
              <w:spacing w:after="0"/>
              <w:rPr>
                <w:sz w:val="16"/>
                <w:szCs w:val="16"/>
              </w:rPr>
            </w:pPr>
            <w:r w:rsidRPr="00087F0C">
              <w:rPr>
                <w:sz w:val="16"/>
                <w:szCs w:val="16"/>
              </w:rPr>
              <w:t>Presence of a palpable hepatic rim below the costal ridge</w:t>
            </w:r>
          </w:p>
        </w:tc>
      </w:tr>
    </w:tbl>
    <w:p w14:paraId="395A91AE" w14:textId="77777777" w:rsidR="00100E96" w:rsidRDefault="00100E96"/>
    <w:sectPr w:rsidR="00100E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0000000000000000000"/>
    <w:charset w:val="00"/>
    <w:family w:val="auto"/>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62"/>
    <w:rsid w:val="00087F0C"/>
    <w:rsid w:val="00100E96"/>
    <w:rsid w:val="00145A19"/>
    <w:rsid w:val="001B33C2"/>
    <w:rsid w:val="00256C85"/>
    <w:rsid w:val="003D7BC3"/>
    <w:rsid w:val="003F73D0"/>
    <w:rsid w:val="004456F6"/>
    <w:rsid w:val="004E217C"/>
    <w:rsid w:val="005C72A6"/>
    <w:rsid w:val="005E12C6"/>
    <w:rsid w:val="00642E70"/>
    <w:rsid w:val="0072058F"/>
    <w:rsid w:val="00817AC0"/>
    <w:rsid w:val="00861105"/>
    <w:rsid w:val="0086743A"/>
    <w:rsid w:val="00952D60"/>
    <w:rsid w:val="00BA7B5A"/>
    <w:rsid w:val="00BC44F9"/>
    <w:rsid w:val="00C03562"/>
    <w:rsid w:val="00CB438D"/>
    <w:rsid w:val="00CF3026"/>
    <w:rsid w:val="00F038CC"/>
    <w:rsid w:val="00F2008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4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463698">
      <w:bodyDiv w:val="1"/>
      <w:marLeft w:val="0"/>
      <w:marRight w:val="0"/>
      <w:marTop w:val="0"/>
      <w:marBottom w:val="0"/>
      <w:divBdr>
        <w:top w:val="none" w:sz="0" w:space="0" w:color="auto"/>
        <w:left w:val="none" w:sz="0" w:space="0" w:color="auto"/>
        <w:bottom w:val="none" w:sz="0" w:space="0" w:color="auto"/>
        <w:right w:val="none" w:sz="0" w:space="0" w:color="auto"/>
      </w:divBdr>
      <w:divsChild>
        <w:div w:id="486046408">
          <w:marLeft w:val="0"/>
          <w:marRight w:val="0"/>
          <w:marTop w:val="0"/>
          <w:marBottom w:val="0"/>
          <w:divBdr>
            <w:top w:val="single" w:sz="6" w:space="0" w:color="E3E3E3"/>
            <w:left w:val="single" w:sz="6" w:space="0" w:color="E3E3E3"/>
            <w:bottom w:val="single" w:sz="6" w:space="0" w:color="E3E3E3"/>
            <w:right w:val="single" w:sz="6" w:space="0" w:color="E3E3E3"/>
          </w:divBdr>
          <w:divsChild>
            <w:div w:id="21055394">
              <w:marLeft w:val="0"/>
              <w:marRight w:val="0"/>
              <w:marTop w:val="0"/>
              <w:marBottom w:val="0"/>
              <w:divBdr>
                <w:top w:val="single" w:sz="6" w:space="0" w:color="F1F1F1"/>
                <w:left w:val="none" w:sz="0" w:space="0" w:color="auto"/>
                <w:bottom w:val="none" w:sz="0" w:space="0" w:color="auto"/>
                <w:right w:val="none" w:sz="0" w:space="0" w:color="auto"/>
              </w:divBdr>
              <w:divsChild>
                <w:div w:id="205456938">
                  <w:marLeft w:val="0"/>
                  <w:marRight w:val="0"/>
                  <w:marTop w:val="0"/>
                  <w:marBottom w:val="0"/>
                  <w:divBdr>
                    <w:top w:val="none" w:sz="0" w:space="0" w:color="auto"/>
                    <w:left w:val="none" w:sz="0" w:space="0" w:color="auto"/>
                    <w:bottom w:val="none" w:sz="0" w:space="0" w:color="auto"/>
                    <w:right w:val="none" w:sz="0" w:space="0" w:color="auto"/>
                  </w:divBdr>
                  <w:divsChild>
                    <w:div w:id="1728993434">
                      <w:marLeft w:val="0"/>
                      <w:marRight w:val="0"/>
                      <w:marTop w:val="0"/>
                      <w:marBottom w:val="0"/>
                      <w:divBdr>
                        <w:top w:val="none" w:sz="0" w:space="0" w:color="auto"/>
                        <w:left w:val="none" w:sz="0" w:space="0" w:color="auto"/>
                        <w:bottom w:val="none" w:sz="0" w:space="0" w:color="auto"/>
                        <w:right w:val="none" w:sz="0" w:space="0" w:color="auto"/>
                      </w:divBdr>
                    </w:div>
                    <w:div w:id="6165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688</Words>
  <Characters>3927</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begospinosa@outlook.com</dc:creator>
  <cp:keywords/>
  <dc:description/>
  <cp:lastModifiedBy>IMAC25</cp:lastModifiedBy>
  <cp:revision>14</cp:revision>
  <dcterms:created xsi:type="dcterms:W3CDTF">2021-10-25T09:27:00Z</dcterms:created>
  <dcterms:modified xsi:type="dcterms:W3CDTF">2021-10-27T05:42:00Z</dcterms:modified>
</cp:coreProperties>
</file>