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C5" w:rsidRPr="00C9354E" w:rsidRDefault="00FE3BC5" w:rsidP="00FE3BC5">
      <w:pPr>
        <w:spacing w:line="480" w:lineRule="auto"/>
        <w:jc w:val="left"/>
        <w:outlineLvl w:val="0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bookmarkStart w:id="0" w:name="_GoBack"/>
      <w:bookmarkEnd w:id="0"/>
      <w:r w:rsidRPr="00C9354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Supplementary Material</w:t>
      </w:r>
    </w:p>
    <w:p w:rsidR="00FE3BC5" w:rsidRPr="00C9354E" w:rsidRDefault="00FE3BC5" w:rsidP="00FE3BC5">
      <w:pPr>
        <w:spacing w:line="480" w:lineRule="auto"/>
        <w:jc w:val="left"/>
        <w:outlineLvl w:val="0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C9354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Supplementary table 1</w:t>
      </w:r>
      <w:r w:rsidRPr="00C9354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: Number of patients and episodes analyzed.</w:t>
      </w:r>
    </w:p>
    <w:tbl>
      <w:tblPr>
        <w:tblW w:w="5381" w:type="dxa"/>
        <w:tblLook w:val="04A0" w:firstRow="1" w:lastRow="0" w:firstColumn="1" w:lastColumn="0" w:noHBand="0" w:noVBand="1"/>
      </w:tblPr>
      <w:tblGrid>
        <w:gridCol w:w="987"/>
        <w:gridCol w:w="2126"/>
        <w:gridCol w:w="2268"/>
      </w:tblGrid>
      <w:tr w:rsidR="00FE3BC5" w:rsidRPr="00C9354E" w:rsidTr="004E3AA4">
        <w:trPr>
          <w:trHeight w:val="651"/>
        </w:trPr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Patients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 = 445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DOAC per patient (n)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Episodes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n = 490</w:t>
            </w:r>
          </w:p>
        </w:tc>
      </w:tr>
      <w:tr w:rsidR="00FE3BC5" w:rsidRPr="00C9354E" w:rsidTr="004E3AA4"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403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40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3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403 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br/>
              <w:t xml:space="preserve"> 80 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br/>
              <w:t xml:space="preserve">  3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 4</w:t>
            </w:r>
          </w:p>
        </w:tc>
      </w:tr>
    </w:tbl>
    <w:p w:rsidR="00FE3BC5" w:rsidRPr="00C9354E" w:rsidRDefault="00FE3BC5" w:rsidP="00FE3BC5">
      <w:pPr>
        <w:spacing w:line="480" w:lineRule="auto"/>
        <w:jc w:val="left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:rsidR="00FE3BC5" w:rsidRPr="00C9354E" w:rsidRDefault="00FE3BC5" w:rsidP="00FE3BC5">
      <w:pPr>
        <w:spacing w:line="480" w:lineRule="auto"/>
        <w:jc w:val="left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C9354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Supplementary table 2</w:t>
      </w:r>
      <w:r w:rsidRPr="00C9354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: Description of dose adjustments and crossover between DOACs</w:t>
      </w:r>
      <w:r w:rsidRPr="00C9354E">
        <w:rPr>
          <w:rFonts w:asciiTheme="majorHAnsi" w:hAnsiTheme="majorHAnsi" w:cstheme="majorHAnsi"/>
          <w:sz w:val="22"/>
          <w:szCs w:val="22"/>
        </w:rPr>
        <w:t>.</w:t>
      </w:r>
    </w:p>
    <w:p w:rsidR="00FE3BC5" w:rsidRPr="00C9354E" w:rsidRDefault="00FE3BC5" w:rsidP="00FE3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28"/>
        <w:gridCol w:w="2127"/>
        <w:gridCol w:w="1982"/>
        <w:gridCol w:w="1705"/>
      </w:tblGrid>
      <w:tr w:rsidR="00FE3BC5" w:rsidRPr="00C9354E" w:rsidTr="004E3AA4">
        <w:tc>
          <w:tcPr>
            <w:tcW w:w="282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9354E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Number switching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New DOAC prescribed</w:t>
            </w:r>
          </w:p>
        </w:tc>
      </w:tr>
      <w:tr w:rsidR="00FE3BC5" w:rsidRPr="00C9354E" w:rsidTr="004E3AA4">
        <w:tc>
          <w:tcPr>
            <w:tcW w:w="28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DOAC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no.</w:t>
            </w:r>
          </w:p>
        </w:tc>
      </w:tr>
      <w:tr w:rsidR="00FE3BC5" w:rsidRPr="00C9354E" w:rsidTr="004E3AA4"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42/445 (9</w:t>
            </w:r>
            <w:proofErr w:type="gramStart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,4</w:t>
            </w:r>
            <w:proofErr w:type="gramEnd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982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FE3BC5" w:rsidRPr="00C9354E" w:rsidTr="004E3AA4"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Rivaroxaban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16/165 (9.7%)</w:t>
            </w:r>
          </w:p>
        </w:tc>
        <w:tc>
          <w:tcPr>
            <w:tcW w:w="1982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FE3BC5" w:rsidRPr="00C9354E" w:rsidTr="004E3AA4">
        <w:tc>
          <w:tcPr>
            <w:tcW w:w="2827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Rivaroxaban 20 mg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12/87 (13</w:t>
            </w:r>
            <w:proofErr w:type="gramStart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,8</w:t>
            </w:r>
            <w:proofErr w:type="gramEnd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982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R15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A5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D110</w:t>
            </w:r>
          </w:p>
        </w:tc>
        <w:tc>
          <w:tcPr>
            <w:tcW w:w="1705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7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</w:t>
            </w:r>
          </w:p>
        </w:tc>
      </w:tr>
      <w:tr w:rsidR="00FE3BC5" w:rsidRPr="00C9354E" w:rsidTr="004E3AA4">
        <w:tc>
          <w:tcPr>
            <w:tcW w:w="2827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Rivaroxaban 15 mg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4/78 (5</w:t>
            </w:r>
            <w:proofErr w:type="gramStart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,1</w:t>
            </w:r>
            <w:proofErr w:type="gramEnd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A2.5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A5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R20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</w:t>
            </w:r>
          </w:p>
        </w:tc>
      </w:tr>
      <w:tr w:rsidR="00FE3BC5" w:rsidRPr="00C9354E" w:rsidTr="004E3AA4"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Dabigatran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21/154 (13</w:t>
            </w:r>
            <w:proofErr w:type="gramStart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,6</w:t>
            </w:r>
            <w:proofErr w:type="gramEnd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982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FE3BC5" w:rsidRPr="00C9354E" w:rsidTr="004E3AA4">
        <w:tc>
          <w:tcPr>
            <w:tcW w:w="2827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Dabigatran 150 mg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11/96 (11</w:t>
            </w:r>
            <w:proofErr w:type="gramStart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,4</w:t>
            </w:r>
            <w:proofErr w:type="gramEnd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982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A5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R20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D110</w:t>
            </w:r>
          </w:p>
        </w:tc>
        <w:tc>
          <w:tcPr>
            <w:tcW w:w="1705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5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</w:t>
            </w:r>
          </w:p>
        </w:tc>
      </w:tr>
      <w:tr w:rsidR="00FE3BC5" w:rsidRPr="00C9354E" w:rsidTr="004E3AA4">
        <w:tc>
          <w:tcPr>
            <w:tcW w:w="2827" w:type="dxa"/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Dabigatran 110 mg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8/55 (14.5%)</w:t>
            </w:r>
          </w:p>
        </w:tc>
        <w:tc>
          <w:tcPr>
            <w:tcW w:w="1982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A2.5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A5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D150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R15</w:t>
            </w:r>
          </w:p>
        </w:tc>
        <w:tc>
          <w:tcPr>
            <w:tcW w:w="1705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</w:t>
            </w:r>
          </w:p>
        </w:tc>
      </w:tr>
      <w:tr w:rsidR="00FE3BC5" w:rsidRPr="00C9354E" w:rsidTr="004E3AA4">
        <w:tc>
          <w:tcPr>
            <w:tcW w:w="2827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Dabigatran 75 mg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2/3 (66</w:t>
            </w:r>
            <w:proofErr w:type="gramStart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,6</w:t>
            </w:r>
            <w:proofErr w:type="gramEnd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D110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</w:t>
            </w:r>
          </w:p>
        </w:tc>
      </w:tr>
      <w:tr w:rsidR="00FE3BC5" w:rsidRPr="00C9354E" w:rsidTr="004E3AA4"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Apixaban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5/126 (3.9%)</w:t>
            </w:r>
          </w:p>
        </w:tc>
        <w:tc>
          <w:tcPr>
            <w:tcW w:w="1982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FE3BC5" w:rsidRPr="00C9354E" w:rsidTr="004E3AA4">
        <w:tc>
          <w:tcPr>
            <w:tcW w:w="2827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Apixaban</w:t>
            </w:r>
            <w:proofErr w:type="spellEnd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5 mg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5/92 (5.4%)</w:t>
            </w:r>
          </w:p>
        </w:tc>
        <w:tc>
          <w:tcPr>
            <w:tcW w:w="1982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A2.5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R15</w:t>
            </w:r>
          </w:p>
        </w:tc>
        <w:tc>
          <w:tcPr>
            <w:tcW w:w="1705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</w:t>
            </w:r>
          </w:p>
        </w:tc>
      </w:tr>
      <w:tr w:rsidR="00FE3BC5" w:rsidRPr="00C9354E" w:rsidTr="004E3AA4">
        <w:tc>
          <w:tcPr>
            <w:tcW w:w="2827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Apixaban</w:t>
            </w:r>
            <w:proofErr w:type="spellEnd"/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2.5 mg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0/34 (0%)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</w:tbl>
    <w:p w:rsidR="00FE3BC5" w:rsidRPr="00C9354E" w:rsidRDefault="00FE3BC5" w:rsidP="00FE3BC5">
      <w:pPr>
        <w:pStyle w:val="Descripcin1"/>
        <w:rPr>
          <w:rFonts w:asciiTheme="majorHAnsi" w:hAnsiTheme="majorHAnsi" w:cstheme="majorHAnsi"/>
          <w:i w:val="0"/>
          <w:iCs w:val="0"/>
          <w:sz w:val="22"/>
          <w:szCs w:val="22"/>
        </w:rPr>
      </w:pPr>
    </w:p>
    <w:p w:rsidR="00FE3BC5" w:rsidRPr="00C9354E" w:rsidRDefault="00FE3BC5" w:rsidP="00FE3BC5">
      <w:pPr>
        <w:pStyle w:val="Descripcin1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>Only patients with the first dose adjustment or DOAC cross-over are shown.</w:t>
      </w:r>
    </w:p>
    <w:p w:rsidR="00FE3BC5" w:rsidRPr="00C9354E" w:rsidRDefault="00FE3BC5" w:rsidP="00FE3BC5">
      <w:pPr>
        <w:pStyle w:val="Descripcin1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>(One patient switched 3 times: D150 =&gt; D110 =&gt; A5 =&gt; A2.5 and another patient switched twice: D75 =&gt; D110 =&gt; A2.5).</w:t>
      </w:r>
    </w:p>
    <w:p w:rsidR="00FE3BC5" w:rsidRPr="00C9354E" w:rsidRDefault="00FE3BC5" w:rsidP="00FE3BC5">
      <w:pPr>
        <w:spacing w:line="480" w:lineRule="auto"/>
        <w:jc w:val="left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</w:p>
    <w:p w:rsidR="00FE3BC5" w:rsidRPr="00C9354E" w:rsidRDefault="00FE3BC5" w:rsidP="00FE3BC5">
      <w:pPr>
        <w:spacing w:line="480" w:lineRule="auto"/>
        <w:jc w:val="left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C9354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Supplementary table 3</w:t>
      </w:r>
      <w:r w:rsidRPr="00C9354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: Rate of appropriate dosing.</w:t>
      </w:r>
    </w:p>
    <w:tbl>
      <w:tblPr>
        <w:tblW w:w="8714" w:type="dxa"/>
        <w:tblLook w:val="04A0" w:firstRow="1" w:lastRow="0" w:firstColumn="1" w:lastColumn="0" w:noHBand="0" w:noVBand="1"/>
      </w:tblPr>
      <w:tblGrid>
        <w:gridCol w:w="2092"/>
        <w:gridCol w:w="1641"/>
        <w:gridCol w:w="1691"/>
        <w:gridCol w:w="1727"/>
        <w:gridCol w:w="1563"/>
      </w:tblGrid>
      <w:tr w:rsidR="00FE3BC5" w:rsidRPr="00C9354E" w:rsidTr="004E3AA4">
        <w:tc>
          <w:tcPr>
            <w:tcW w:w="2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Apixaban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Dabigatran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Rivaroxaban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total</w:t>
            </w:r>
          </w:p>
        </w:tc>
      </w:tr>
      <w:tr w:rsidR="00FE3BC5" w:rsidRPr="00C9354E" w:rsidTr="004E3AA4">
        <w:tc>
          <w:tcPr>
            <w:tcW w:w="2092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Appropriate dose</w:t>
            </w:r>
          </w:p>
        </w:tc>
        <w:tc>
          <w:tcPr>
            <w:tcW w:w="1641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122 (80.8%)</w:t>
            </w:r>
          </w:p>
        </w:tc>
        <w:tc>
          <w:tcPr>
            <w:tcW w:w="1691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135 (83.8)</w:t>
            </w:r>
          </w:p>
        </w:tc>
        <w:tc>
          <w:tcPr>
            <w:tcW w:w="1727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116 (65.2%)</w:t>
            </w:r>
          </w:p>
        </w:tc>
        <w:tc>
          <w:tcPr>
            <w:tcW w:w="1563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373 (76%)</w:t>
            </w:r>
          </w:p>
        </w:tc>
      </w:tr>
      <w:tr w:rsidR="00FE3BC5" w:rsidRPr="00C9354E" w:rsidTr="004E3AA4"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Inappropriate dose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Low dose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High dose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28 (18.5%)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 (0.9%)</w:t>
            </w:r>
          </w:p>
        </w:tc>
        <w:tc>
          <w:tcPr>
            <w:tcW w:w="1691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24 (14.9%)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 (1.2%)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56 (31.4%)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6 (3.4%)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108 (22%)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9 (1.8%)</w:t>
            </w:r>
          </w:p>
        </w:tc>
      </w:tr>
    </w:tbl>
    <w:p w:rsidR="00FE3BC5" w:rsidRPr="00C9354E" w:rsidRDefault="00FE3BC5" w:rsidP="00FE3BC5">
      <w:pPr>
        <w:keepNext/>
        <w:spacing w:line="480" w:lineRule="auto"/>
        <w:jc w:val="left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</w:p>
    <w:p w:rsidR="00FE3BC5" w:rsidRPr="00C9354E" w:rsidRDefault="00FE3BC5" w:rsidP="00FE3BC5">
      <w:pPr>
        <w:keepNext/>
        <w:spacing w:line="480" w:lineRule="auto"/>
        <w:jc w:val="left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</w:p>
    <w:p w:rsidR="00FE3BC5" w:rsidRPr="00C9354E" w:rsidRDefault="00FE3BC5" w:rsidP="00FE3BC5">
      <w:pPr>
        <w:spacing w:line="480" w:lineRule="auto"/>
        <w:jc w:val="left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sectPr w:rsidR="00FE3BC5" w:rsidRPr="00C9354E" w:rsidSect="0005071B">
          <w:footerReference w:type="even" r:id="rId6"/>
          <w:footerReference w:type="default" r:id="rId7"/>
          <w:endnotePr>
            <w:numFmt w:val="decimal"/>
          </w:endnotePr>
          <w:pgSz w:w="11900" w:h="16840"/>
          <w:pgMar w:top="1418" w:right="1701" w:bottom="1418" w:left="1701" w:header="709" w:footer="709" w:gutter="0"/>
          <w:cols w:space="708"/>
          <w:docGrid w:linePitch="360"/>
        </w:sectPr>
      </w:pPr>
      <w:r w:rsidRPr="00C9354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Supplementary table 4</w:t>
      </w:r>
      <w:r w:rsidRPr="00C9354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Pr="00C9354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Rates of thromboembolic events by study group</w:t>
      </w:r>
    </w:p>
    <w:p w:rsidR="00FE3BC5" w:rsidRPr="00C9354E" w:rsidRDefault="00FE3BC5" w:rsidP="00FE3BC5">
      <w:pPr>
        <w:spacing w:line="240" w:lineRule="exact"/>
        <w:jc w:val="left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</w:p>
    <w:tbl>
      <w:tblPr>
        <w:tblW w:w="15389" w:type="dxa"/>
        <w:tblLook w:val="04A0" w:firstRow="1" w:lastRow="0" w:firstColumn="1" w:lastColumn="0" w:noHBand="0" w:noVBand="1"/>
      </w:tblPr>
      <w:tblGrid>
        <w:gridCol w:w="1223"/>
        <w:gridCol w:w="933"/>
        <w:gridCol w:w="849"/>
        <w:gridCol w:w="933"/>
        <w:gridCol w:w="835"/>
        <w:gridCol w:w="933"/>
        <w:gridCol w:w="835"/>
        <w:gridCol w:w="933"/>
        <w:gridCol w:w="833"/>
        <w:gridCol w:w="933"/>
        <w:gridCol w:w="835"/>
        <w:gridCol w:w="933"/>
        <w:gridCol w:w="835"/>
        <w:gridCol w:w="933"/>
        <w:gridCol w:w="836"/>
        <w:gridCol w:w="933"/>
        <w:gridCol w:w="844"/>
      </w:tblGrid>
      <w:tr w:rsidR="00FE3BC5" w:rsidRPr="00C9354E" w:rsidTr="004E3AA4">
        <w:trPr>
          <w:trHeight w:val="838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Apixaban</w:t>
            </w:r>
            <w:proofErr w:type="spellEnd"/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2.5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(n=46)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Apixaban</w:t>
            </w:r>
            <w:proofErr w:type="spellEnd"/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5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(n=105)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Dabigatran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110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(n=61)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Dabigatran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150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(n=97)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Rivaroxaban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15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(n=87)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Rivaroxaban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20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(n=91)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Dabigatran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75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(n=3)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val="es-ES" w:eastAsia="en-US"/>
              </w:rPr>
              <w:t>Total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val="es-ES" w:eastAsia="en-US"/>
              </w:rPr>
              <w:t>(n=490)</w:t>
            </w:r>
          </w:p>
        </w:tc>
      </w:tr>
      <w:tr w:rsidR="00FE3BC5" w:rsidRPr="00C9354E" w:rsidTr="004E3AA4"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Patients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Patients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Patients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Patients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Patients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Patients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Patients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Patients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</w:tr>
      <w:tr w:rsidR="00FE3BC5" w:rsidRPr="00C9354E" w:rsidTr="004E3AA4"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Total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- Stroke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- TIA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1.26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1.26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3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2.07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1.55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0.52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3.67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3.67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1.13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1.13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8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6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4.6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3.45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24.14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24.14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20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15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2.18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1.64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0.54</w:t>
            </w:r>
          </w:p>
        </w:tc>
      </w:tr>
    </w:tbl>
    <w:p w:rsidR="00FE3BC5" w:rsidRPr="00C9354E" w:rsidRDefault="00FE3BC5" w:rsidP="00FE3BC5">
      <w:pPr>
        <w:pStyle w:val="Descripcin1"/>
        <w:rPr>
          <w:rFonts w:asciiTheme="majorHAnsi" w:hAnsiTheme="majorHAnsi" w:cstheme="majorHAnsi"/>
          <w:i w:val="0"/>
          <w:iCs w:val="0"/>
          <w:sz w:val="22"/>
          <w:szCs w:val="22"/>
        </w:rPr>
      </w:pPr>
    </w:p>
    <w:p w:rsidR="00FE3BC5" w:rsidRPr="00C9354E" w:rsidRDefault="00FE3BC5" w:rsidP="00FE3BC5">
      <w:pPr>
        <w:pStyle w:val="Descripcin1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>Abbreviations: Pt-</w:t>
      </w:r>
      <w:proofErr w:type="spellStart"/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>Yr</w:t>
      </w:r>
      <w:proofErr w:type="spellEnd"/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= number of events per 100 patients-years of follow-up; TIA = transient ischemic attack.</w:t>
      </w:r>
    </w:p>
    <w:p w:rsidR="00FE3BC5" w:rsidRPr="00C9354E" w:rsidRDefault="00FE3BC5" w:rsidP="00FE3BC5">
      <w:pPr>
        <w:pStyle w:val="Descripcin1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>Data are shown for treatment episodes with one or more events (one patient on rivaroxaban 15 mg suffered a TIA and subsequently a stroke).</w:t>
      </w:r>
    </w:p>
    <w:p w:rsidR="00FE3BC5" w:rsidRPr="00C9354E" w:rsidRDefault="00FE3BC5" w:rsidP="00FE3BC5">
      <w:pPr>
        <w:pStyle w:val="Descripcin1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>No systemic thromboembolisms were observed.</w:t>
      </w:r>
    </w:p>
    <w:p w:rsidR="00FE3BC5" w:rsidRPr="00C9354E" w:rsidRDefault="00FE3BC5" w:rsidP="00FE3BC5">
      <w:pPr>
        <w:spacing w:line="480" w:lineRule="auto"/>
        <w:jc w:val="left"/>
        <w:rPr>
          <w:rFonts w:asciiTheme="majorHAnsi" w:hAnsiTheme="majorHAnsi" w:cstheme="majorHAnsi"/>
          <w:sz w:val="22"/>
          <w:szCs w:val="22"/>
        </w:rPr>
      </w:pPr>
    </w:p>
    <w:p w:rsidR="00FE3BC5" w:rsidRPr="00C9354E" w:rsidRDefault="00FE3BC5" w:rsidP="00FE3BC5">
      <w:pPr>
        <w:spacing w:line="48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C9354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Supplementary table 5</w:t>
      </w:r>
      <w:r w:rsidRPr="00C9354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Pr="00C9354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Rates of major and non-major </w:t>
      </w:r>
      <w:r w:rsidRPr="00C9354E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clinically relevant (NMCR) bleeding</w:t>
      </w:r>
      <w:r w:rsidRPr="00C9354E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events by study group.</w:t>
      </w:r>
    </w:p>
    <w:p w:rsidR="00FE3BC5" w:rsidRPr="00C9354E" w:rsidRDefault="00FE3BC5" w:rsidP="00FE3BC5">
      <w:pPr>
        <w:keepNext/>
        <w:spacing w:line="480" w:lineRule="auto"/>
        <w:ind w:left="397" w:hanging="397"/>
        <w:jc w:val="left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</w:p>
    <w:p w:rsidR="00FE3BC5" w:rsidRPr="00C9354E" w:rsidRDefault="00FE3BC5" w:rsidP="00FE3BC5">
      <w:pPr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W w:w="15395" w:type="dxa"/>
        <w:tblInd w:w="-141" w:type="dxa"/>
        <w:tblLook w:val="04A0" w:firstRow="1" w:lastRow="0" w:firstColumn="1" w:lastColumn="0" w:noHBand="0" w:noVBand="1"/>
      </w:tblPr>
      <w:tblGrid>
        <w:gridCol w:w="2706"/>
        <w:gridCol w:w="1482"/>
        <w:gridCol w:w="541"/>
        <w:gridCol w:w="745"/>
        <w:gridCol w:w="669"/>
        <w:gridCol w:w="745"/>
        <w:gridCol w:w="669"/>
        <w:gridCol w:w="745"/>
        <w:gridCol w:w="669"/>
        <w:gridCol w:w="745"/>
        <w:gridCol w:w="681"/>
        <w:gridCol w:w="745"/>
        <w:gridCol w:w="680"/>
        <w:gridCol w:w="745"/>
        <w:gridCol w:w="669"/>
        <w:gridCol w:w="745"/>
        <w:gridCol w:w="669"/>
        <w:gridCol w:w="745"/>
      </w:tblGrid>
      <w:tr w:rsidR="00FE3BC5" w:rsidRPr="00C9354E" w:rsidTr="004E3AA4">
        <w:tc>
          <w:tcPr>
            <w:tcW w:w="4393" w:type="dxa"/>
            <w:gridSpan w:val="2"/>
            <w:vMerge w:val="restart"/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Apixaban</w:t>
            </w:r>
            <w:proofErr w:type="spellEnd"/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2.5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(n=46)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Apixaban</w:t>
            </w:r>
            <w:proofErr w:type="spellEnd"/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5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(n=105)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Dabigatran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110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(n=61)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Dabigatran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150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(n=97)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Rivaroxaban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15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(n=87)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Rivaroxaban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20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(n=91)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Dabigatran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75 mg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(n=3)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val="es-ES" w:eastAsia="en-US"/>
              </w:rPr>
              <w:t>Total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val="es-ES" w:eastAsia="en-US"/>
              </w:rPr>
              <w:t>(n=490)</w:t>
            </w:r>
          </w:p>
        </w:tc>
      </w:tr>
      <w:tr w:rsidR="00FE3BC5" w:rsidRPr="00C9354E" w:rsidTr="004E3AA4">
        <w:tc>
          <w:tcPr>
            <w:tcW w:w="439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n/100</w:t>
            </w:r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Pt-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Yr</w:t>
            </w:r>
            <w:proofErr w:type="spellEnd"/>
          </w:p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</w:tr>
      <w:tr w:rsidR="00FE3BC5" w:rsidRPr="00C9354E" w:rsidTr="004E3AA4"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incidence rate of a first major and NMCR</w:t>
            </w:r>
          </w:p>
          <w:p w:rsidR="00FE3BC5" w:rsidRPr="00C9354E" w:rsidRDefault="00FE3BC5" w:rsidP="004E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bleeding event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(2,5)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(5,7)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(9,2)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(7,4)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(5.2)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(6,6)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57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(6,2)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</w:tr>
      <w:tr w:rsidR="00FE3BC5" w:rsidRPr="00C9354E" w:rsidTr="004E3AA4">
        <w:tc>
          <w:tcPr>
            <w:tcW w:w="43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Incidence rate of any major and NMCR</w:t>
            </w:r>
          </w:p>
          <w:p w:rsidR="00FE3BC5" w:rsidRPr="00C9354E" w:rsidRDefault="00FE3BC5" w:rsidP="004E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bleeding 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event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vertAlign w:val="superscript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(6.3)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vertAlign w:val="superscript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(6.2)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vertAlign w:val="superscript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(10.1)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(8,5)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(5,2)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(8.7)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(0)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68</w:t>
            </w:r>
          </w:p>
        </w:tc>
        <w:tc>
          <w:tcPr>
            <w:tcW w:w="703" w:type="dxa"/>
            <w:tcBorders>
              <w:top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(7,4)</w:t>
            </w:r>
          </w:p>
        </w:tc>
      </w:tr>
      <w:tr w:rsidR="00FE3BC5" w:rsidRPr="00C9354E" w:rsidTr="004E3AA4">
        <w:tc>
          <w:tcPr>
            <w:tcW w:w="4393" w:type="dxa"/>
            <w:gridSpan w:val="2"/>
            <w:shd w:val="clear" w:color="auto" w:fill="auto"/>
          </w:tcPr>
          <w:p w:rsidR="00FE3BC5" w:rsidRPr="00C9354E" w:rsidRDefault="00FE3BC5" w:rsidP="004E3AA4">
            <w:pPr>
              <w:keepNext/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Major bleeding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NMCR bleeding</w:t>
            </w:r>
          </w:p>
        </w:tc>
        <w:tc>
          <w:tcPr>
            <w:tcW w:w="553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(5)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(1.3)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(2.1)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(4.1)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(1.8)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(8.3)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(2.3)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(6.2)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6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(3.5)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(1.7)</w:t>
            </w:r>
          </w:p>
        </w:tc>
        <w:tc>
          <w:tcPr>
            <w:tcW w:w="695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14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(1.1)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(7.6)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0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(0)</w:t>
            </w: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22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46</w:t>
            </w:r>
          </w:p>
        </w:tc>
        <w:tc>
          <w:tcPr>
            <w:tcW w:w="703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val="es-ES" w:eastAsia="en-US"/>
              </w:rPr>
              <w:t>(2.4)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lang w:val="es-ES" w:eastAsia="en-US"/>
              </w:rPr>
              <w:t>(5)</w:t>
            </w:r>
          </w:p>
        </w:tc>
      </w:tr>
      <w:tr w:rsidR="00FE3BC5" w:rsidRPr="00C9354E" w:rsidTr="004E3AA4">
        <w:tc>
          <w:tcPr>
            <w:tcW w:w="4393" w:type="dxa"/>
            <w:gridSpan w:val="2"/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  <w:p w:rsidR="00FE3BC5" w:rsidRPr="00C9354E" w:rsidRDefault="00FE3BC5" w:rsidP="004E3AA4">
            <w:pPr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Location</w:t>
            </w:r>
          </w:p>
        </w:tc>
        <w:tc>
          <w:tcPr>
            <w:tcW w:w="553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703" w:type="dxa"/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</w:tr>
      <w:tr w:rsidR="00FE3BC5" w:rsidRPr="00C9354E" w:rsidTr="004E3AA4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       Gastrointestinal</w:t>
            </w:r>
          </w:p>
          <w:p w:rsidR="00FE3BC5" w:rsidRPr="00C9354E" w:rsidRDefault="00FE3BC5" w:rsidP="004E3AA4">
            <w:pPr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Total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Major</w:t>
            </w:r>
          </w:p>
          <w:p w:rsidR="00FE3BC5" w:rsidRPr="00C9354E" w:rsidRDefault="00FE3BC5" w:rsidP="004E3AA4">
            <w:pPr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   NMCR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5*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(6.3)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(5)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(1.3)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3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(1.5)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(1.1)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(0.5)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5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(4.6)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(0.9)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(3.7)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3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(2.3)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(1.7)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(0.6)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3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(1.7)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(1.1)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(0.6)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(2.2)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(1.1)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(1.1)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10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(2.6)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(1.5)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(1.1)</w:t>
            </w:r>
          </w:p>
        </w:tc>
      </w:tr>
      <w:tr w:rsidR="00FE3BC5" w:rsidRPr="00C9354E" w:rsidTr="004E3AA4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       Genitourinary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Total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Major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   NMCR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2*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(1.1)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(1.1)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(3.7)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(0.9)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(2.7)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6*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(3.4)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(3.4)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(0.6)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(0.6)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6*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(3.3)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(3.3)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19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(2.1)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(0.1)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(1.9)</w:t>
            </w:r>
          </w:p>
        </w:tc>
      </w:tr>
      <w:tr w:rsidR="00FE3BC5" w:rsidRPr="00C9354E" w:rsidTr="004E3AA4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       Cranial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Total (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all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 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major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2*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(1.1)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3*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(1.7)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5</w:t>
            </w:r>
          </w:p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(0.5)</w:t>
            </w:r>
          </w:p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</w:tr>
      <w:tr w:rsidR="00FE3BC5" w:rsidRPr="00C9354E" w:rsidTr="004E3AA4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       Epistaxis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Total (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all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 NMCR)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(1.5)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(0.6)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(0.4)</w:t>
            </w:r>
          </w:p>
        </w:tc>
      </w:tr>
      <w:tr w:rsidR="00FE3BC5" w:rsidRPr="00C9354E" w:rsidTr="004E3AA4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       Hemoptysis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Total (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all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 NMCR)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(0.6)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(1.6)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(0.4)</w:t>
            </w:r>
          </w:p>
        </w:tc>
      </w:tr>
      <w:tr w:rsidR="00FE3BC5" w:rsidRPr="00C9354E" w:rsidTr="004E3AA4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       Muscular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Total (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all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 NMCR)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(0.9)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(0.6)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(0.2)</w:t>
            </w:r>
          </w:p>
        </w:tc>
      </w:tr>
      <w:tr w:rsidR="00FE3BC5" w:rsidRPr="00C9354E" w:rsidTr="004E3AA4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       Conjunctival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Total (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all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 NMCR)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(0.5)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(0.6)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(0.2)</w:t>
            </w:r>
          </w:p>
        </w:tc>
      </w:tr>
      <w:tr w:rsidR="00FE3BC5" w:rsidRPr="00C9354E" w:rsidTr="004E3AA4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       </w:t>
            </w:r>
            <w:proofErr w:type="spellStart"/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Gingivorrhagia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Total (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all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 NMCR)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(0.6)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(0.5)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(0.2)</w:t>
            </w:r>
          </w:p>
        </w:tc>
      </w:tr>
      <w:tr w:rsidR="00FE3BC5" w:rsidRPr="00C9354E" w:rsidTr="004E3AA4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lastRenderedPageBreak/>
              <w:t xml:space="preserve">                Ecchymosis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Total (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all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 NMCR)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(0.9)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(0.1)</w:t>
            </w:r>
          </w:p>
        </w:tc>
      </w:tr>
      <w:tr w:rsidR="00FE3BC5" w:rsidRPr="00C9354E" w:rsidTr="004E3AA4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keepNext/>
              <w:tabs>
                <w:tab w:val="left" w:pos="1065"/>
              </w:tabs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 xml:space="preserve">                Other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Total (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US"/>
              </w:rPr>
              <w:t>all</w:t>
            </w: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 xml:space="preserve"> NMCR)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(0.5)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(0.6)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(1.1)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i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righ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BC5" w:rsidRPr="00C9354E" w:rsidRDefault="00FE3BC5" w:rsidP="004E3AA4">
            <w:pPr>
              <w:spacing w:line="240" w:lineRule="exact"/>
              <w:jc w:val="left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</w:pPr>
            <w:r w:rsidRPr="00C9354E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val="es-ES" w:eastAsia="en-US"/>
              </w:rPr>
              <w:t>(0.5)</w:t>
            </w:r>
          </w:p>
        </w:tc>
      </w:tr>
    </w:tbl>
    <w:p w:rsidR="00FE3BC5" w:rsidRPr="00C9354E" w:rsidRDefault="00FE3BC5" w:rsidP="00FE3BC5">
      <w:pPr>
        <w:pStyle w:val="Descripcin1"/>
        <w:rPr>
          <w:rFonts w:asciiTheme="majorHAnsi" w:hAnsiTheme="majorHAnsi" w:cstheme="majorHAnsi"/>
          <w:i w:val="0"/>
          <w:iCs w:val="0"/>
          <w:sz w:val="22"/>
          <w:szCs w:val="22"/>
        </w:rPr>
      </w:pPr>
    </w:p>
    <w:p w:rsidR="00FE3BC5" w:rsidRPr="00C9354E" w:rsidRDefault="00FE3BC5" w:rsidP="00FE3BC5">
      <w:pPr>
        <w:pStyle w:val="Descripcin1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>A dash (-) represents that there were no patients with events.</w:t>
      </w:r>
    </w:p>
    <w:p w:rsidR="00FE3BC5" w:rsidRPr="00C9354E" w:rsidRDefault="00FE3BC5" w:rsidP="00FE3BC5">
      <w:pPr>
        <w:pStyle w:val="Descripcin1"/>
        <w:ind w:left="1984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>a. Several events, when they occur, are counted in the same episode within the period under study (5 patients each experienced 2 major/NMCR bleedings, 1 patient experienced 3 major/NMCR bleedings and 1 patient experienced 4 major/NMCR bleedings during the study period).</w:t>
      </w:r>
    </w:p>
    <w:p w:rsidR="00FE3BC5" w:rsidRPr="00C9354E" w:rsidRDefault="00FE3BC5" w:rsidP="00FE3BC5">
      <w:pPr>
        <w:pStyle w:val="Descripcin1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* Includes patients with repeated events for episode in the same location due to an underlying bleeding pathology e.g. radiation </w:t>
      </w:r>
      <w:proofErr w:type="spellStart"/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>proctitis</w:t>
      </w:r>
      <w:proofErr w:type="spellEnd"/>
      <w:r w:rsidRPr="00C9354E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and bladder, uterine or prostate cancer.</w:t>
      </w:r>
    </w:p>
    <w:p w:rsidR="00FE3BC5" w:rsidRPr="00C9354E" w:rsidRDefault="00FE3BC5" w:rsidP="00FE3BC5">
      <w:pPr>
        <w:rPr>
          <w:rFonts w:asciiTheme="majorHAnsi" w:hAnsiTheme="majorHAnsi" w:cstheme="majorHAnsi"/>
          <w:sz w:val="22"/>
          <w:szCs w:val="22"/>
        </w:rPr>
      </w:pPr>
    </w:p>
    <w:p w:rsidR="00FE3BC5" w:rsidRPr="00C9354E" w:rsidRDefault="00FE3BC5" w:rsidP="00FE3BC5">
      <w:pPr>
        <w:spacing w:line="240" w:lineRule="auto"/>
        <w:jc w:val="left"/>
        <w:rPr>
          <w:rFonts w:asciiTheme="majorHAnsi" w:hAnsiTheme="majorHAnsi" w:cstheme="majorHAnsi"/>
          <w:sz w:val="22"/>
          <w:szCs w:val="22"/>
        </w:rPr>
        <w:sectPr w:rsidR="00FE3BC5" w:rsidRPr="00C9354E" w:rsidSect="00212105">
          <w:endnotePr>
            <w:numFmt w:val="decimal"/>
          </w:endnotePr>
          <w:pgSz w:w="16817" w:h="11901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C9354E">
        <w:rPr>
          <w:rFonts w:asciiTheme="majorHAnsi" w:hAnsiTheme="majorHAnsi" w:cstheme="majorHAnsi"/>
          <w:sz w:val="22"/>
          <w:szCs w:val="22"/>
        </w:rPr>
        <w:br w:type="page"/>
      </w:r>
    </w:p>
    <w:p w:rsidR="00FE3BC5" w:rsidRPr="00C9354E" w:rsidRDefault="00FE3BC5" w:rsidP="00FE3BC5">
      <w:pPr>
        <w:spacing w:line="480" w:lineRule="auto"/>
        <w:jc w:val="left"/>
        <w:outlineLvl w:val="0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:rsidR="00FE3BC5" w:rsidRPr="00C9354E" w:rsidRDefault="00FE3BC5" w:rsidP="00FE3BC5">
      <w:pPr>
        <w:autoSpaceDE w:val="0"/>
        <w:autoSpaceDN w:val="0"/>
        <w:adjustRightInd w:val="0"/>
        <w:spacing w:line="480" w:lineRule="auto"/>
        <w:ind w:left="397" w:hanging="397"/>
        <w:jc w:val="left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C9354E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Supplementary guide: Guide/Protocol for using DOACs developed at the Hospital.</w:t>
      </w:r>
    </w:p>
    <w:p w:rsidR="00FE3BC5" w:rsidRPr="00C9354E" w:rsidRDefault="00FE3BC5" w:rsidP="00FE3BC5">
      <w:pPr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 w:rsidRPr="00C9354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FE3BC5" w:rsidRPr="00B7006A" w:rsidRDefault="00FE3BC5" w:rsidP="00FE3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C9354E">
        <w:rPr>
          <w:rFonts w:asciiTheme="majorHAnsi" w:eastAsia="Calibri" w:hAnsiTheme="majorHAnsi" w:cstheme="majorHAnsi"/>
          <w:b/>
          <w:color w:val="auto"/>
          <w:sz w:val="22"/>
          <w:szCs w:val="22"/>
          <w:lang w:val="pt-BR" w:eastAsia="en-US"/>
        </w:rPr>
        <w:t>Sagunto.san.gva.es/documents/7967159/7992985/guia_nacos.pdf</w:t>
      </w:r>
      <w:r w:rsidRPr="00B7006A">
        <w:rPr>
          <w:rFonts w:asciiTheme="majorHAnsi" w:eastAsia="Calibri" w:hAnsiTheme="majorHAnsi" w:cstheme="majorHAnsi"/>
          <w:b/>
          <w:color w:val="auto"/>
          <w:sz w:val="22"/>
          <w:szCs w:val="22"/>
          <w:lang w:val="pt-BR" w:eastAsia="en-US"/>
        </w:rPr>
        <w:t xml:space="preserve"> </w:t>
      </w:r>
    </w:p>
    <w:p w:rsidR="00D36F59" w:rsidRDefault="00D36F59"/>
    <w:sectPr w:rsidR="00D36F59" w:rsidSect="0005071B">
      <w:endnotePr>
        <w:numFmt w:val="decimal"/>
      </w:endnotePr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D4" w:rsidRDefault="009753D4">
      <w:pPr>
        <w:spacing w:line="240" w:lineRule="auto"/>
      </w:pPr>
      <w:r>
        <w:separator/>
      </w:r>
    </w:p>
  </w:endnote>
  <w:endnote w:type="continuationSeparator" w:id="0">
    <w:p w:rsidR="009753D4" w:rsidRDefault="00975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17" w:rsidRDefault="00C9354E" w:rsidP="00822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917" w:rsidRDefault="009753D4" w:rsidP="008229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17" w:rsidRDefault="00C9354E" w:rsidP="00822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0E">
      <w:rPr>
        <w:rStyle w:val="PageNumber"/>
        <w:noProof/>
      </w:rPr>
      <w:t>6</w:t>
    </w:r>
    <w:r>
      <w:rPr>
        <w:rStyle w:val="PageNumber"/>
      </w:rPr>
      <w:fldChar w:fldCharType="end"/>
    </w:r>
  </w:p>
  <w:p w:rsidR="006D6917" w:rsidRDefault="009753D4" w:rsidP="008229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D4" w:rsidRDefault="009753D4">
      <w:pPr>
        <w:spacing w:line="240" w:lineRule="auto"/>
      </w:pPr>
      <w:r>
        <w:separator/>
      </w:r>
    </w:p>
  </w:footnote>
  <w:footnote w:type="continuationSeparator" w:id="0">
    <w:p w:rsidR="009753D4" w:rsidRDefault="009753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C5"/>
    <w:rsid w:val="000439AD"/>
    <w:rsid w:val="00150F0E"/>
    <w:rsid w:val="009118CF"/>
    <w:rsid w:val="009753D4"/>
    <w:rsid w:val="00A902F8"/>
    <w:rsid w:val="00C9354E"/>
    <w:rsid w:val="00D36F59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B12B2-AEAB-4DB2-955A-4570B14B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C5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3BC5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C5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FE3BC5"/>
  </w:style>
  <w:style w:type="paragraph" w:customStyle="1" w:styleId="Descripcin1">
    <w:name w:val="Descripción1"/>
    <w:basedOn w:val="Normal"/>
    <w:qFormat/>
    <w:rsid w:val="00FE3BC5"/>
    <w:pPr>
      <w:suppressLineNumbers/>
      <w:spacing w:before="120" w:after="120"/>
    </w:pPr>
    <w:rPr>
      <w:rFonts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Chettri</dc:creator>
  <cp:keywords/>
  <dc:description/>
  <cp:lastModifiedBy>Sabnam Nisha</cp:lastModifiedBy>
  <cp:revision>5</cp:revision>
  <dcterms:created xsi:type="dcterms:W3CDTF">2023-04-25T11:57:00Z</dcterms:created>
  <dcterms:modified xsi:type="dcterms:W3CDTF">2023-05-27T11:49:00Z</dcterms:modified>
</cp:coreProperties>
</file>