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C5" w:rsidRPr="00C9354E" w:rsidRDefault="00FE3BC5" w:rsidP="00FE3BC5">
      <w:pPr>
        <w:spacing w:line="480" w:lineRule="auto"/>
        <w:jc w:val="left"/>
        <w:outlineLvl w:val="0"/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</w:pPr>
      <w:bookmarkStart w:id="0" w:name="_GoBack"/>
      <w:bookmarkEnd w:id="0"/>
      <w:r w:rsidRPr="00C9354E"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  <w:t>Supplementary Material</w:t>
      </w:r>
    </w:p>
    <w:p w:rsidR="00FE3BC5" w:rsidRPr="00C9354E" w:rsidRDefault="00FE3BC5" w:rsidP="00FE3BC5">
      <w:pPr>
        <w:spacing w:line="480" w:lineRule="auto"/>
        <w:jc w:val="left"/>
        <w:outlineLvl w:val="0"/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</w:pPr>
      <w:r w:rsidRPr="00C9354E"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  <w:t>Supplementary table 1</w:t>
      </w:r>
      <w:r w:rsidRPr="00C9354E"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  <w:t>: Number of patients and episodes analyzed.</w:t>
      </w:r>
    </w:p>
    <w:tbl>
      <w:tblPr>
        <w:tblW w:w="5381" w:type="dxa"/>
        <w:tblLook w:val="04A0" w:firstRow="1" w:lastRow="0" w:firstColumn="1" w:lastColumn="0" w:noHBand="0" w:noVBand="1"/>
      </w:tblPr>
      <w:tblGrid>
        <w:gridCol w:w="987"/>
        <w:gridCol w:w="2126"/>
        <w:gridCol w:w="2268"/>
      </w:tblGrid>
      <w:tr w:rsidR="00FE3BC5" w:rsidRPr="00C9354E" w:rsidTr="004E3AA4">
        <w:trPr>
          <w:trHeight w:val="651"/>
        </w:trPr>
        <w:tc>
          <w:tcPr>
            <w:tcW w:w="9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 = 445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DOAC per patient (n)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Episodes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n = 490</w:t>
            </w:r>
          </w:p>
        </w:tc>
      </w:tr>
      <w:tr w:rsidR="00FE3BC5" w:rsidRPr="00C9354E" w:rsidTr="004E3AA4">
        <w:tc>
          <w:tcPr>
            <w:tcW w:w="9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403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40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403 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br/>
              <w:t xml:space="preserve"> 80 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br/>
              <w:t xml:space="preserve">  3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4</w:t>
            </w:r>
          </w:p>
        </w:tc>
      </w:tr>
    </w:tbl>
    <w:p w:rsidR="00FE3BC5" w:rsidRPr="00C9354E" w:rsidRDefault="00FE3BC5" w:rsidP="00FE3BC5">
      <w:pPr>
        <w:spacing w:line="480" w:lineRule="auto"/>
        <w:jc w:val="left"/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</w:pPr>
    </w:p>
    <w:p w:rsidR="00FE3BC5" w:rsidRPr="00C9354E" w:rsidRDefault="00FE3BC5" w:rsidP="00FE3BC5">
      <w:pPr>
        <w:spacing w:line="480" w:lineRule="auto"/>
        <w:jc w:val="left"/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</w:pPr>
      <w:r w:rsidRPr="00C9354E"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  <w:t>Supplementary table 2</w:t>
      </w:r>
      <w:r w:rsidRPr="00C9354E"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  <w:t>: Description of dose adjustments and crossover between DOACs</w:t>
      </w:r>
      <w:r w:rsidRPr="00C9354E">
        <w:rPr>
          <w:rFonts w:asciiTheme="majorHAnsi" w:hAnsiTheme="majorHAnsi" w:cstheme="majorHAnsi"/>
          <w:sz w:val="22"/>
          <w:szCs w:val="22"/>
        </w:rPr>
        <w:t>.</w:t>
      </w:r>
    </w:p>
    <w:p w:rsidR="00FE3BC5" w:rsidRPr="00C9354E" w:rsidRDefault="00FE3BC5" w:rsidP="00FE3B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Theme="majorHAnsi" w:eastAsia="Arial" w:hAnsiTheme="majorHAnsi" w:cstheme="majorHAnsi"/>
          <w:sz w:val="22"/>
          <w:szCs w:val="22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2828"/>
        <w:gridCol w:w="2127"/>
        <w:gridCol w:w="1982"/>
        <w:gridCol w:w="1705"/>
      </w:tblGrid>
      <w:tr w:rsidR="00FE3BC5" w:rsidRPr="00C9354E" w:rsidTr="004E3AA4">
        <w:tc>
          <w:tcPr>
            <w:tcW w:w="282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9354E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Number switching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New DOAC prescribed</w:t>
            </w:r>
          </w:p>
        </w:tc>
      </w:tr>
      <w:tr w:rsidR="00FE3BC5" w:rsidRPr="00C9354E" w:rsidTr="004E3AA4">
        <w:tc>
          <w:tcPr>
            <w:tcW w:w="282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DOAC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no.</w:t>
            </w:r>
          </w:p>
        </w:tc>
      </w:tr>
      <w:tr w:rsidR="00FE3BC5" w:rsidRPr="00C9354E" w:rsidTr="004E3AA4">
        <w:tc>
          <w:tcPr>
            <w:tcW w:w="2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42/445 (9</w:t>
            </w:r>
            <w:proofErr w:type="gram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,4</w:t>
            </w:r>
            <w:proofErr w:type="gramEnd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FE3BC5" w:rsidRPr="00C9354E" w:rsidTr="004E3AA4">
        <w:tc>
          <w:tcPr>
            <w:tcW w:w="2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Rivaroxaban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16/165 (9.7%)</w:t>
            </w:r>
          </w:p>
        </w:tc>
        <w:tc>
          <w:tcPr>
            <w:tcW w:w="1982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FE3BC5" w:rsidRPr="00C9354E" w:rsidTr="004E3AA4">
        <w:tc>
          <w:tcPr>
            <w:tcW w:w="2827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Rivaroxaban 20 mg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12/87 (13</w:t>
            </w:r>
            <w:proofErr w:type="gram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,8</w:t>
            </w:r>
            <w:proofErr w:type="gramEnd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982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R15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D110</w:t>
            </w:r>
          </w:p>
        </w:tc>
        <w:tc>
          <w:tcPr>
            <w:tcW w:w="170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7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</w:p>
        </w:tc>
      </w:tr>
      <w:tr w:rsidR="00FE3BC5" w:rsidRPr="00C9354E" w:rsidTr="004E3AA4">
        <w:tc>
          <w:tcPr>
            <w:tcW w:w="2827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Rivaroxaban 15 mg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4/78 (5</w:t>
            </w:r>
            <w:proofErr w:type="gram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,1</w:t>
            </w:r>
            <w:proofErr w:type="gramEnd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A2.5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R20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</w:p>
        </w:tc>
      </w:tr>
      <w:tr w:rsidR="00FE3BC5" w:rsidRPr="00C9354E" w:rsidTr="004E3AA4">
        <w:tc>
          <w:tcPr>
            <w:tcW w:w="2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Dabigatran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21/154 (13</w:t>
            </w:r>
            <w:proofErr w:type="gram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,6</w:t>
            </w:r>
            <w:proofErr w:type="gramEnd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FE3BC5" w:rsidRPr="00C9354E" w:rsidTr="004E3AA4">
        <w:tc>
          <w:tcPr>
            <w:tcW w:w="2827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Dabigatran 150 mg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11/96 (11</w:t>
            </w:r>
            <w:proofErr w:type="gram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,4</w:t>
            </w:r>
            <w:proofErr w:type="gramEnd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982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R20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D110</w:t>
            </w:r>
          </w:p>
        </w:tc>
        <w:tc>
          <w:tcPr>
            <w:tcW w:w="170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</w:t>
            </w:r>
          </w:p>
        </w:tc>
      </w:tr>
      <w:tr w:rsidR="00FE3BC5" w:rsidRPr="00C9354E" w:rsidTr="004E3AA4">
        <w:tc>
          <w:tcPr>
            <w:tcW w:w="2827" w:type="dxa"/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Dabigatran 110 mg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8/55 (14.5%)</w:t>
            </w:r>
          </w:p>
        </w:tc>
        <w:tc>
          <w:tcPr>
            <w:tcW w:w="1982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A2.5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D150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R15</w:t>
            </w:r>
          </w:p>
        </w:tc>
        <w:tc>
          <w:tcPr>
            <w:tcW w:w="170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</w:p>
        </w:tc>
      </w:tr>
      <w:tr w:rsidR="00FE3BC5" w:rsidRPr="00C9354E" w:rsidTr="004E3AA4">
        <w:tc>
          <w:tcPr>
            <w:tcW w:w="2827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Dabigatran 75 mg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2/3 (66</w:t>
            </w:r>
            <w:proofErr w:type="gram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,6</w:t>
            </w:r>
            <w:proofErr w:type="gramEnd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D110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</w:p>
        </w:tc>
      </w:tr>
      <w:tr w:rsidR="00FE3BC5" w:rsidRPr="00C9354E" w:rsidTr="004E3AA4">
        <w:tc>
          <w:tcPr>
            <w:tcW w:w="2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Apixaban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5/126 (3.9%)</w:t>
            </w:r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FE3BC5" w:rsidRPr="00C9354E" w:rsidTr="004E3AA4">
        <w:tc>
          <w:tcPr>
            <w:tcW w:w="2827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Apixaban</w:t>
            </w:r>
            <w:proofErr w:type="spellEnd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5 mg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5/92 (5.4%)</w:t>
            </w:r>
          </w:p>
        </w:tc>
        <w:tc>
          <w:tcPr>
            <w:tcW w:w="1982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A2.5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R15</w:t>
            </w:r>
          </w:p>
        </w:tc>
        <w:tc>
          <w:tcPr>
            <w:tcW w:w="170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</w:p>
        </w:tc>
      </w:tr>
      <w:tr w:rsidR="00FE3BC5" w:rsidRPr="00C9354E" w:rsidTr="004E3AA4">
        <w:tc>
          <w:tcPr>
            <w:tcW w:w="2827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Apixaban</w:t>
            </w:r>
            <w:proofErr w:type="spellEnd"/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2.5 mg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0/34 (0%)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</w:p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Only patients with the first dose adjustment or DOAC cross-over are shown.</w:t>
      </w:r>
    </w:p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(One patient switched 3 times: D150 =&gt; D110 =&gt; A5 =&gt; A2.5 and another patient switched twice: D75 =&gt; D110 =&gt; A2.5).</w:t>
      </w:r>
    </w:p>
    <w:p w:rsidR="00FE3BC5" w:rsidRPr="00C9354E" w:rsidRDefault="00FE3BC5" w:rsidP="00FE3BC5">
      <w:pPr>
        <w:spacing w:line="480" w:lineRule="auto"/>
        <w:jc w:val="left"/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</w:pPr>
    </w:p>
    <w:p w:rsidR="00FE3BC5" w:rsidRPr="00C9354E" w:rsidRDefault="00FE3BC5" w:rsidP="00FE3BC5">
      <w:pPr>
        <w:spacing w:line="480" w:lineRule="auto"/>
        <w:jc w:val="left"/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</w:pPr>
      <w:r w:rsidRPr="00C9354E"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  <w:t>Supplementary table 3</w:t>
      </w:r>
      <w:r w:rsidRPr="00C9354E"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  <w:t>: Rate of appropriate dosing.</w:t>
      </w:r>
    </w:p>
    <w:tbl>
      <w:tblPr>
        <w:tblW w:w="8714" w:type="dxa"/>
        <w:tblLook w:val="04A0" w:firstRow="1" w:lastRow="0" w:firstColumn="1" w:lastColumn="0" w:noHBand="0" w:noVBand="1"/>
      </w:tblPr>
      <w:tblGrid>
        <w:gridCol w:w="2092"/>
        <w:gridCol w:w="1641"/>
        <w:gridCol w:w="1691"/>
        <w:gridCol w:w="1727"/>
        <w:gridCol w:w="1563"/>
      </w:tblGrid>
      <w:tr w:rsidR="00FE3BC5" w:rsidRPr="00C9354E" w:rsidTr="004E3AA4">
        <w:tc>
          <w:tcPr>
            <w:tcW w:w="20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Apixaban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Dabigatran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Rivaroxaban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total</w:t>
            </w:r>
          </w:p>
        </w:tc>
      </w:tr>
      <w:tr w:rsidR="00FE3BC5" w:rsidRPr="00C9354E" w:rsidTr="004E3AA4">
        <w:tc>
          <w:tcPr>
            <w:tcW w:w="2092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Appropriate dose</w:t>
            </w:r>
          </w:p>
        </w:tc>
        <w:tc>
          <w:tcPr>
            <w:tcW w:w="1641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122 (80.8%)</w:t>
            </w:r>
          </w:p>
        </w:tc>
        <w:tc>
          <w:tcPr>
            <w:tcW w:w="1691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135 (83.8)</w:t>
            </w:r>
          </w:p>
        </w:tc>
        <w:tc>
          <w:tcPr>
            <w:tcW w:w="1727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116 (65.2%)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373 (76%)</w:t>
            </w:r>
          </w:p>
        </w:tc>
      </w:tr>
      <w:tr w:rsidR="00FE3BC5" w:rsidRPr="00C9354E" w:rsidTr="004E3AA4">
        <w:tc>
          <w:tcPr>
            <w:tcW w:w="2092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Inappropriate dose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Low dose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    High dose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28 (18.5%)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 (0.9%)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24 (14.9%)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 (1.2%)</w:t>
            </w:r>
          </w:p>
        </w:tc>
        <w:tc>
          <w:tcPr>
            <w:tcW w:w="1727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56 (31.4%)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6 (3.4%)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108 (22%)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9 (1.8%)</w:t>
            </w:r>
          </w:p>
        </w:tc>
      </w:tr>
    </w:tbl>
    <w:p w:rsidR="00FE3BC5" w:rsidRPr="00C9354E" w:rsidRDefault="00FE3BC5" w:rsidP="00FE3BC5">
      <w:pPr>
        <w:keepNext/>
        <w:spacing w:line="480" w:lineRule="auto"/>
        <w:jc w:val="left"/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</w:pPr>
    </w:p>
    <w:p w:rsidR="00FE3BC5" w:rsidRPr="00C9354E" w:rsidRDefault="00FE3BC5" w:rsidP="00FE3BC5">
      <w:pPr>
        <w:keepNext/>
        <w:spacing w:line="480" w:lineRule="auto"/>
        <w:jc w:val="left"/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</w:pPr>
    </w:p>
    <w:p w:rsidR="00FE3BC5" w:rsidRPr="00C9354E" w:rsidRDefault="00FE3BC5" w:rsidP="00FE3BC5">
      <w:pPr>
        <w:spacing w:line="480" w:lineRule="auto"/>
        <w:jc w:val="left"/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  <w:sectPr w:rsidR="00FE3BC5" w:rsidRPr="00C9354E" w:rsidSect="0005071B">
          <w:footerReference w:type="even" r:id="rId6"/>
          <w:footerReference w:type="default" r:id="rId7"/>
          <w:endnotePr>
            <w:numFmt w:val="decimal"/>
          </w:endnotePr>
          <w:pgSz w:w="11900" w:h="16840"/>
          <w:pgMar w:top="1418" w:right="1701" w:bottom="1418" w:left="1701" w:header="709" w:footer="709" w:gutter="0"/>
          <w:cols w:space="708"/>
          <w:docGrid w:linePitch="360"/>
        </w:sectPr>
      </w:pPr>
      <w:r w:rsidRPr="00C9354E"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  <w:t>Supplementary table 4</w:t>
      </w:r>
      <w:r w:rsidRPr="00C9354E"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  <w:t xml:space="preserve">: </w:t>
      </w:r>
      <w:r w:rsidRPr="00C9354E">
        <w:rPr>
          <w:rFonts w:asciiTheme="majorHAnsi" w:eastAsia="Calibri" w:hAnsiTheme="majorHAnsi" w:cstheme="majorHAnsi"/>
          <w:bCs/>
          <w:color w:val="auto"/>
          <w:sz w:val="22"/>
          <w:szCs w:val="22"/>
          <w:lang w:eastAsia="en-US"/>
        </w:rPr>
        <w:t>Rates of thromboembolic events by study group</w:t>
      </w:r>
    </w:p>
    <w:p w:rsidR="00FE3BC5" w:rsidRPr="00C9354E" w:rsidRDefault="00FE3BC5" w:rsidP="00FE3BC5">
      <w:pPr>
        <w:spacing w:line="240" w:lineRule="exact"/>
        <w:jc w:val="left"/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</w:pPr>
    </w:p>
    <w:tbl>
      <w:tblPr>
        <w:tblW w:w="15389" w:type="dxa"/>
        <w:tblLook w:val="04A0" w:firstRow="1" w:lastRow="0" w:firstColumn="1" w:lastColumn="0" w:noHBand="0" w:noVBand="1"/>
      </w:tblPr>
      <w:tblGrid>
        <w:gridCol w:w="1223"/>
        <w:gridCol w:w="933"/>
        <w:gridCol w:w="849"/>
        <w:gridCol w:w="933"/>
        <w:gridCol w:w="835"/>
        <w:gridCol w:w="933"/>
        <w:gridCol w:w="835"/>
        <w:gridCol w:w="933"/>
        <w:gridCol w:w="833"/>
        <w:gridCol w:w="933"/>
        <w:gridCol w:w="835"/>
        <w:gridCol w:w="933"/>
        <w:gridCol w:w="835"/>
        <w:gridCol w:w="933"/>
        <w:gridCol w:w="836"/>
        <w:gridCol w:w="933"/>
        <w:gridCol w:w="844"/>
      </w:tblGrid>
      <w:tr w:rsidR="00FE3BC5" w:rsidRPr="00C9354E" w:rsidTr="004E3AA4">
        <w:trPr>
          <w:trHeight w:val="838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Apixaban</w:t>
            </w:r>
            <w:proofErr w:type="spellEnd"/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2.5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(n=46)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Apixaban</w:t>
            </w:r>
            <w:proofErr w:type="spellEnd"/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5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(n=105)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Dabigatran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110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(n=61)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Dabigatran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150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(n=97)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Rivaroxaban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15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(n=87)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Rivaroxaban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20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(n=91)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Dabigatran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75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(n=3)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  <w:t>Total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  <w:t>(n=490)</w:t>
            </w:r>
          </w:p>
        </w:tc>
      </w:tr>
      <w:tr w:rsidR="00FE3BC5" w:rsidRPr="00C9354E" w:rsidTr="004E3AA4"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Patients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</w:tr>
      <w:tr w:rsidR="00FE3BC5" w:rsidRPr="00C9354E" w:rsidTr="004E3AA4"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Total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- Stroke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- TIA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1.26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1.26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3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2.07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1.55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0.52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3.67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3.67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1.13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1.13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8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6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4.6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3.45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1.15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24.14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24.14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20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15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2.18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1.64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0.54</w:t>
            </w:r>
          </w:p>
        </w:tc>
      </w:tr>
    </w:tbl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</w:p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Abbreviations: Pt-</w:t>
      </w:r>
      <w:proofErr w:type="spellStart"/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Yr</w:t>
      </w:r>
      <w:proofErr w:type="spellEnd"/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= number of events per 100 patients-years of follow-up; TIA = transient ischemic attack.</w:t>
      </w:r>
    </w:p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Data are shown for treatment episodes with one or more events (one patient on rivaroxaban 15 mg suffered a TIA and subsequently a stroke).</w:t>
      </w:r>
    </w:p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No systemic thromboembolisms were observed.</w:t>
      </w:r>
    </w:p>
    <w:p w:rsidR="00FE3BC5" w:rsidRPr="00C9354E" w:rsidRDefault="00FE3BC5" w:rsidP="00FE3BC5">
      <w:pPr>
        <w:spacing w:line="480" w:lineRule="auto"/>
        <w:jc w:val="left"/>
        <w:rPr>
          <w:rFonts w:asciiTheme="majorHAnsi" w:hAnsiTheme="majorHAnsi" w:cstheme="majorHAnsi"/>
          <w:sz w:val="22"/>
          <w:szCs w:val="22"/>
        </w:rPr>
      </w:pPr>
    </w:p>
    <w:p w:rsidR="00FE3BC5" w:rsidRPr="00C9354E" w:rsidRDefault="00FE3BC5" w:rsidP="00FE3BC5">
      <w:pPr>
        <w:spacing w:line="48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C9354E"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  <w:t>Supplementary table 5</w:t>
      </w:r>
      <w:r w:rsidRPr="00C9354E"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  <w:t xml:space="preserve">: </w:t>
      </w:r>
      <w:r w:rsidRPr="00C9354E">
        <w:rPr>
          <w:rFonts w:asciiTheme="majorHAnsi" w:eastAsia="Calibri" w:hAnsiTheme="majorHAnsi" w:cstheme="majorHAnsi"/>
          <w:bCs/>
          <w:color w:val="auto"/>
          <w:sz w:val="22"/>
          <w:szCs w:val="22"/>
          <w:lang w:eastAsia="en-US"/>
        </w:rPr>
        <w:t xml:space="preserve">Rates of major and non-major </w:t>
      </w:r>
      <w:r w:rsidRPr="00C9354E"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  <w:t>clinically relevant (NMCR) bleeding</w:t>
      </w:r>
      <w:r w:rsidRPr="00C9354E">
        <w:rPr>
          <w:rFonts w:asciiTheme="majorHAnsi" w:eastAsia="Calibri" w:hAnsiTheme="majorHAnsi" w:cstheme="majorHAnsi"/>
          <w:bCs/>
          <w:color w:val="auto"/>
          <w:sz w:val="22"/>
          <w:szCs w:val="22"/>
          <w:lang w:eastAsia="en-US"/>
        </w:rPr>
        <w:t xml:space="preserve"> events by study group.</w:t>
      </w:r>
    </w:p>
    <w:p w:rsidR="00FE3BC5" w:rsidRPr="00C9354E" w:rsidRDefault="00FE3BC5" w:rsidP="00FE3BC5">
      <w:pPr>
        <w:keepNext/>
        <w:spacing w:line="480" w:lineRule="auto"/>
        <w:ind w:left="397" w:hanging="397"/>
        <w:jc w:val="left"/>
        <w:rPr>
          <w:rFonts w:asciiTheme="majorHAnsi" w:eastAsia="Calibri" w:hAnsiTheme="majorHAnsi" w:cstheme="majorHAnsi"/>
          <w:color w:val="auto"/>
          <w:sz w:val="22"/>
          <w:szCs w:val="22"/>
          <w:lang w:eastAsia="en-US"/>
        </w:rPr>
      </w:pPr>
    </w:p>
    <w:p w:rsidR="00FE3BC5" w:rsidRPr="00C9354E" w:rsidRDefault="00FE3BC5" w:rsidP="00FE3BC5">
      <w:pPr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W w:w="15395" w:type="dxa"/>
        <w:tblInd w:w="-141" w:type="dxa"/>
        <w:tblLook w:val="04A0" w:firstRow="1" w:lastRow="0" w:firstColumn="1" w:lastColumn="0" w:noHBand="0" w:noVBand="1"/>
      </w:tblPr>
      <w:tblGrid>
        <w:gridCol w:w="2706"/>
        <w:gridCol w:w="1482"/>
        <w:gridCol w:w="541"/>
        <w:gridCol w:w="745"/>
        <w:gridCol w:w="669"/>
        <w:gridCol w:w="745"/>
        <w:gridCol w:w="669"/>
        <w:gridCol w:w="745"/>
        <w:gridCol w:w="669"/>
        <w:gridCol w:w="745"/>
        <w:gridCol w:w="681"/>
        <w:gridCol w:w="745"/>
        <w:gridCol w:w="680"/>
        <w:gridCol w:w="745"/>
        <w:gridCol w:w="669"/>
        <w:gridCol w:w="745"/>
        <w:gridCol w:w="669"/>
        <w:gridCol w:w="745"/>
      </w:tblGrid>
      <w:tr w:rsidR="00FE3BC5" w:rsidRPr="00C9354E" w:rsidTr="004E3AA4">
        <w:tc>
          <w:tcPr>
            <w:tcW w:w="4393" w:type="dxa"/>
            <w:gridSpan w:val="2"/>
            <w:vMerge w:val="restart"/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Apixaban</w:t>
            </w:r>
            <w:proofErr w:type="spellEnd"/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2.5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(n=46)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Apixaban</w:t>
            </w:r>
            <w:proofErr w:type="spellEnd"/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5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(n=105)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Dabigatran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110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(n=61)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Dabigatran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150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(n=97)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Rivaroxaban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15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(n=87)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Rivaroxaban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20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(n=91)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Dabigatran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75 mg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(n=3)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  <w:t>Total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  <w:t>(n=490)</w:t>
            </w:r>
          </w:p>
        </w:tc>
      </w:tr>
      <w:tr w:rsidR="00FE3BC5" w:rsidRPr="00C9354E" w:rsidTr="004E3AA4">
        <w:tc>
          <w:tcPr>
            <w:tcW w:w="439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n/100</w:t>
            </w:r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Pt-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Yr</w:t>
            </w:r>
            <w:proofErr w:type="spellEnd"/>
          </w:p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</w:tr>
      <w:tr w:rsidR="00FE3BC5" w:rsidRPr="00C9354E" w:rsidTr="004E3AA4">
        <w:tc>
          <w:tcPr>
            <w:tcW w:w="43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incidence rate of a first major and NMCR</w:t>
            </w:r>
          </w:p>
          <w:p w:rsidR="00FE3BC5" w:rsidRPr="00C9354E" w:rsidRDefault="00FE3BC5" w:rsidP="004E3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bleeding event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(2,5)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(5,7)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(9,2)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13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(7,4) 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(5.2)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(6,6)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57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(6,2)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</w:tr>
      <w:tr w:rsidR="00FE3BC5" w:rsidRPr="00C9354E" w:rsidTr="004E3AA4">
        <w:tc>
          <w:tcPr>
            <w:tcW w:w="439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Incidence rate of any major and NMCR</w:t>
            </w:r>
          </w:p>
          <w:p w:rsidR="00FE3BC5" w:rsidRPr="00C9354E" w:rsidRDefault="00FE3BC5" w:rsidP="004E3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bleeding 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event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vertAlign w:val="superscript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(6.3)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vertAlign w:val="superscript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(6.2)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vertAlign w:val="superscript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(10.1)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15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(8,5)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(5,2)</w:t>
            </w:r>
          </w:p>
        </w:tc>
        <w:tc>
          <w:tcPr>
            <w:tcW w:w="695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16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(8.7)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(0)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68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(7,4)</w:t>
            </w:r>
          </w:p>
        </w:tc>
      </w:tr>
      <w:tr w:rsidR="00FE3BC5" w:rsidRPr="00C9354E" w:rsidTr="004E3AA4">
        <w:tc>
          <w:tcPr>
            <w:tcW w:w="4393" w:type="dxa"/>
            <w:gridSpan w:val="2"/>
            <w:shd w:val="clear" w:color="auto" w:fill="auto"/>
          </w:tcPr>
          <w:p w:rsidR="00FE3BC5" w:rsidRPr="00C9354E" w:rsidRDefault="00FE3BC5" w:rsidP="004E3AA4">
            <w:pPr>
              <w:keepNext/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Major bleeding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NMCR bleeding</w:t>
            </w:r>
          </w:p>
        </w:tc>
        <w:tc>
          <w:tcPr>
            <w:tcW w:w="553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(5)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(1.3)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(2.1)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(4.1)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9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(1.8)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(8.3)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(2.3)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(6.2)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6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(3.5)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(1.7)</w:t>
            </w:r>
          </w:p>
        </w:tc>
        <w:tc>
          <w:tcPr>
            <w:tcW w:w="69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14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(7.6)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0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(0)</w:t>
            </w: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46</w:t>
            </w:r>
          </w:p>
        </w:tc>
        <w:tc>
          <w:tcPr>
            <w:tcW w:w="703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  <w:t>(2.4)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  <w:lang w:val="es-ES" w:eastAsia="en-US"/>
              </w:rPr>
              <w:t>(5)</w:t>
            </w:r>
          </w:p>
        </w:tc>
      </w:tr>
      <w:tr w:rsidR="00FE3BC5" w:rsidRPr="00C9354E" w:rsidTr="004E3AA4">
        <w:tc>
          <w:tcPr>
            <w:tcW w:w="4393" w:type="dxa"/>
            <w:gridSpan w:val="2"/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  <w:p w:rsidR="00FE3BC5" w:rsidRPr="00C9354E" w:rsidRDefault="00FE3BC5" w:rsidP="004E3AA4">
            <w:pPr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Location</w:t>
            </w:r>
          </w:p>
        </w:tc>
        <w:tc>
          <w:tcPr>
            <w:tcW w:w="553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5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703" w:type="dxa"/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</w:tr>
      <w:tr w:rsidR="00FE3BC5" w:rsidRPr="00C9354E" w:rsidTr="004E3AA4"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Gastrointestinal</w:t>
            </w:r>
          </w:p>
          <w:p w:rsidR="00FE3BC5" w:rsidRPr="00C9354E" w:rsidRDefault="00FE3BC5" w:rsidP="004E3AA4">
            <w:pPr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Major</w:t>
            </w:r>
          </w:p>
          <w:p w:rsidR="00FE3BC5" w:rsidRPr="00C9354E" w:rsidRDefault="00FE3BC5" w:rsidP="004E3AA4">
            <w:pPr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  NMCR</w:t>
            </w:r>
          </w:p>
        </w:tc>
        <w:tc>
          <w:tcPr>
            <w:tcW w:w="553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5*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(6.3)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(5)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(1.3)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(1.5)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(0.5)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5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(4.6)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(0.9)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(3.7)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(2.3)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(1.7)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(1.7)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(2.2)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10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(2.6)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(1.5)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Genitourinary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Major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  NMCR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2*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(3.7)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(0.9)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(2.7)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6*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(3.4)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(3.4)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6*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(3.3)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(3.3)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19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(2.1)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(1.9)</w:t>
            </w: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Cranial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 (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all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major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2*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3*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(1.7)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5</w:t>
            </w:r>
          </w:p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(0.5)</w:t>
            </w:r>
          </w:p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Epistaxis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 (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all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NMCR)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(1.5)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(0.4)</w:t>
            </w: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Hemoptysis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 (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all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NMCR)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(1.6)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(0.4)</w:t>
            </w: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Muscular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 (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all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NMCR)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(0.9)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(0.2)</w:t>
            </w: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Conjunctival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 (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all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NMCR)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(0.5)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(0.2)</w:t>
            </w: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</w:t>
            </w:r>
            <w:proofErr w:type="spellStart"/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Gingivorrhagia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 (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all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NMCR)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(0.5)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(0.2)</w:t>
            </w: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lastRenderedPageBreak/>
              <w:t xml:space="preserve">                Ecchymosis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 (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all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NMCR)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(0.9)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(0.1)</w:t>
            </w:r>
          </w:p>
        </w:tc>
      </w:tr>
      <w:tr w:rsidR="00FE3BC5" w:rsidRPr="00C9354E" w:rsidTr="004E3AA4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keepNext/>
              <w:tabs>
                <w:tab w:val="left" w:pos="1065"/>
              </w:tabs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 xml:space="preserve">                Other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Total (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en-US"/>
              </w:rPr>
              <w:t>all</w:t>
            </w: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 xml:space="preserve"> NMCR)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(0.5)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(0.6)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(1.1)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i/>
                <w:color w:val="auto"/>
                <w:sz w:val="22"/>
                <w:szCs w:val="22"/>
                <w:lang w:val="es-ES"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righ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3BC5" w:rsidRPr="00C9354E" w:rsidRDefault="00FE3BC5" w:rsidP="004E3AA4">
            <w:pPr>
              <w:spacing w:line="240" w:lineRule="exact"/>
              <w:jc w:val="left"/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</w:pPr>
            <w:r w:rsidRPr="00C9354E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es-ES" w:eastAsia="en-US"/>
              </w:rPr>
              <w:t>(0.5)</w:t>
            </w:r>
          </w:p>
        </w:tc>
      </w:tr>
    </w:tbl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</w:p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A dash (-) represents that there were no patients with events.</w:t>
      </w:r>
    </w:p>
    <w:p w:rsidR="00FE3BC5" w:rsidRPr="00C9354E" w:rsidRDefault="00FE3BC5" w:rsidP="00FE3BC5">
      <w:pPr>
        <w:pStyle w:val="Descripcin1"/>
        <w:ind w:left="1984"/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a. Several events, when they occur, are counted in the same episode within the period under study (5 patients each experienced 2 major/NMCR bleedings, 1 patient experienced 3 major/NMCR bleedings and 1 patient experienced 4 major/NMCR bleedings during the study period).</w:t>
      </w:r>
    </w:p>
    <w:p w:rsidR="00FE3BC5" w:rsidRPr="00C9354E" w:rsidRDefault="00FE3BC5" w:rsidP="00FE3BC5">
      <w:pPr>
        <w:pStyle w:val="Descripcin1"/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* Includes patients with repeated events for episode in the same location due to an underlying bleeding pathology e.g. radiation </w:t>
      </w:r>
      <w:proofErr w:type="spellStart"/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>proctitis</w:t>
      </w:r>
      <w:proofErr w:type="spellEnd"/>
      <w:r w:rsidRPr="00C9354E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and bladder, uterine or prostate cancer.</w:t>
      </w:r>
    </w:p>
    <w:p w:rsidR="00FE3BC5" w:rsidRPr="00C9354E" w:rsidRDefault="00FE3BC5" w:rsidP="00FE3BC5">
      <w:pPr>
        <w:rPr>
          <w:rFonts w:asciiTheme="majorHAnsi" w:hAnsiTheme="majorHAnsi" w:cstheme="majorHAnsi"/>
          <w:sz w:val="22"/>
          <w:szCs w:val="22"/>
        </w:rPr>
      </w:pPr>
    </w:p>
    <w:p w:rsidR="00FE3BC5" w:rsidRPr="00C9354E" w:rsidRDefault="00FE3BC5" w:rsidP="00FE3BC5">
      <w:pPr>
        <w:spacing w:line="240" w:lineRule="auto"/>
        <w:jc w:val="left"/>
        <w:rPr>
          <w:rFonts w:asciiTheme="majorHAnsi" w:hAnsiTheme="majorHAnsi" w:cstheme="majorHAnsi"/>
          <w:sz w:val="22"/>
          <w:szCs w:val="22"/>
        </w:rPr>
        <w:sectPr w:rsidR="00FE3BC5" w:rsidRPr="00C9354E" w:rsidSect="00212105">
          <w:endnotePr>
            <w:numFmt w:val="decimal"/>
          </w:endnotePr>
          <w:pgSz w:w="16817" w:h="11901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C9354E">
        <w:rPr>
          <w:rFonts w:asciiTheme="majorHAnsi" w:hAnsiTheme="majorHAnsi" w:cstheme="majorHAnsi"/>
          <w:sz w:val="22"/>
          <w:szCs w:val="22"/>
        </w:rPr>
        <w:br w:type="page"/>
      </w:r>
    </w:p>
    <w:p w:rsidR="00FE3BC5" w:rsidRPr="00C9354E" w:rsidRDefault="00FE3BC5" w:rsidP="00FE3BC5">
      <w:pPr>
        <w:spacing w:line="480" w:lineRule="auto"/>
        <w:jc w:val="left"/>
        <w:outlineLvl w:val="0"/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</w:pPr>
    </w:p>
    <w:p w:rsidR="00FE3BC5" w:rsidRPr="00C9354E" w:rsidRDefault="00FE3BC5" w:rsidP="00FE3BC5">
      <w:pPr>
        <w:autoSpaceDE w:val="0"/>
        <w:autoSpaceDN w:val="0"/>
        <w:adjustRightInd w:val="0"/>
        <w:spacing w:line="480" w:lineRule="auto"/>
        <w:ind w:left="397" w:hanging="397"/>
        <w:jc w:val="left"/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</w:pPr>
      <w:r w:rsidRPr="00C9354E">
        <w:rPr>
          <w:rFonts w:asciiTheme="majorHAnsi" w:eastAsia="Calibri" w:hAnsiTheme="majorHAnsi" w:cstheme="majorHAnsi"/>
          <w:b/>
          <w:color w:val="auto"/>
          <w:sz w:val="22"/>
          <w:szCs w:val="22"/>
          <w:lang w:eastAsia="en-US"/>
        </w:rPr>
        <w:t>Supplementary guide: Guide/Protocol for using DOACs developed at the Hospital.</w:t>
      </w:r>
    </w:p>
    <w:p w:rsidR="00FE3BC5" w:rsidRPr="00C9354E" w:rsidRDefault="00FE3BC5" w:rsidP="00FE3BC5">
      <w:pPr>
        <w:jc w:val="left"/>
        <w:rPr>
          <w:rFonts w:asciiTheme="majorHAnsi" w:hAnsiTheme="majorHAnsi" w:cstheme="majorHAnsi"/>
          <w:sz w:val="22"/>
          <w:szCs w:val="22"/>
          <w:lang w:val="en-GB"/>
        </w:rPr>
      </w:pPr>
      <w:r w:rsidRPr="00C9354E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:rsidR="00FE3BC5" w:rsidRPr="00B7006A" w:rsidRDefault="00FE3BC5" w:rsidP="00FE3B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C9354E">
        <w:rPr>
          <w:rFonts w:asciiTheme="majorHAnsi" w:eastAsia="Calibri" w:hAnsiTheme="majorHAnsi" w:cstheme="majorHAnsi"/>
          <w:b/>
          <w:color w:val="auto"/>
          <w:sz w:val="22"/>
          <w:szCs w:val="22"/>
          <w:lang w:val="pt-BR" w:eastAsia="en-US"/>
        </w:rPr>
        <w:t>Sagunto.san.gva.es/documents/7967159/7992985/guia_nacos.pdf</w:t>
      </w:r>
      <w:r w:rsidRPr="00B7006A">
        <w:rPr>
          <w:rFonts w:asciiTheme="majorHAnsi" w:eastAsia="Calibri" w:hAnsiTheme="majorHAnsi" w:cstheme="majorHAnsi"/>
          <w:b/>
          <w:color w:val="auto"/>
          <w:sz w:val="22"/>
          <w:szCs w:val="22"/>
          <w:lang w:val="pt-BR" w:eastAsia="en-US"/>
        </w:rPr>
        <w:t xml:space="preserve"> </w:t>
      </w:r>
    </w:p>
    <w:p w:rsidR="00D36F59" w:rsidRDefault="00D36F59"/>
    <w:sectPr w:rsidR="00D36F59" w:rsidSect="0005071B">
      <w:endnotePr>
        <w:numFmt w:val="decimal"/>
      </w:endnotePr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D4" w:rsidRDefault="009753D4">
      <w:pPr>
        <w:spacing w:line="240" w:lineRule="auto"/>
      </w:pPr>
      <w:r>
        <w:separator/>
      </w:r>
    </w:p>
  </w:endnote>
  <w:endnote w:type="continuationSeparator" w:id="0">
    <w:p w:rsidR="009753D4" w:rsidRDefault="00975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17" w:rsidRDefault="00C9354E" w:rsidP="008229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917" w:rsidRDefault="009753D4" w:rsidP="00822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17" w:rsidRDefault="00C9354E" w:rsidP="008229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F0E">
      <w:rPr>
        <w:rStyle w:val="PageNumber"/>
        <w:noProof/>
      </w:rPr>
      <w:t>6</w:t>
    </w:r>
    <w:r>
      <w:rPr>
        <w:rStyle w:val="PageNumber"/>
      </w:rPr>
      <w:fldChar w:fldCharType="end"/>
    </w:r>
  </w:p>
  <w:p w:rsidR="006D6917" w:rsidRDefault="009753D4" w:rsidP="008229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D4" w:rsidRDefault="009753D4">
      <w:pPr>
        <w:spacing w:line="240" w:lineRule="auto"/>
      </w:pPr>
      <w:r>
        <w:separator/>
      </w:r>
    </w:p>
  </w:footnote>
  <w:footnote w:type="continuationSeparator" w:id="0">
    <w:p w:rsidR="009753D4" w:rsidRDefault="009753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C5"/>
    <w:rsid w:val="000439AD"/>
    <w:rsid w:val="00150F0E"/>
    <w:rsid w:val="009118CF"/>
    <w:rsid w:val="009753D4"/>
    <w:rsid w:val="00A902F8"/>
    <w:rsid w:val="00C9354E"/>
    <w:rsid w:val="00D36F59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B12B2-AEAB-4DB2-955A-4570B14B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C5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3BC5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C5"/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styleId="PageNumber">
    <w:name w:val="page number"/>
    <w:basedOn w:val="DefaultParagraphFont"/>
    <w:uiPriority w:val="99"/>
    <w:semiHidden/>
    <w:unhideWhenUsed/>
    <w:rsid w:val="00FE3BC5"/>
  </w:style>
  <w:style w:type="paragraph" w:customStyle="1" w:styleId="Descripcin1">
    <w:name w:val="Descripción1"/>
    <w:basedOn w:val="Normal"/>
    <w:qFormat/>
    <w:rsid w:val="00FE3BC5"/>
    <w:pPr>
      <w:suppressLineNumbers/>
      <w:spacing w:before="120" w:after="120"/>
    </w:pPr>
    <w:rPr>
      <w:rFonts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 Chettri</dc:creator>
  <cp:keywords/>
  <dc:description/>
  <cp:lastModifiedBy>Sabnam Nisha</cp:lastModifiedBy>
  <cp:revision>5</cp:revision>
  <dcterms:created xsi:type="dcterms:W3CDTF">2023-04-25T11:57:00Z</dcterms:created>
  <dcterms:modified xsi:type="dcterms:W3CDTF">2023-05-27T11:49:00Z</dcterms:modified>
</cp:coreProperties>
</file>