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64" w:rsidRDefault="00691364" w:rsidP="00691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JPED-2018-5410 Supplementary Material</w:t>
      </w:r>
      <w:bookmarkStart w:id="0" w:name="_GoBack"/>
      <w:bookmarkEnd w:id="0"/>
    </w:p>
    <w:p w:rsidR="00691364" w:rsidRDefault="00691364" w:rsidP="00691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91364" w:rsidRPr="0042215A" w:rsidRDefault="00691364" w:rsidP="0069136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</w:pPr>
      <w:r w:rsidRPr="0042215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Supplementary Material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Treatment protocol for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tandard risk patients (modified from BFM 90 protocols</w:t>
      </w:r>
      <w:r w:rsidRPr="0042215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8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).</w:t>
      </w:r>
    </w:p>
    <w:tbl>
      <w:tblPr>
        <w:tblStyle w:val="Tabelacomgrade"/>
        <w:tblW w:w="10098" w:type="dxa"/>
        <w:tblLook w:val="0000" w:firstRow="0" w:lastRow="0" w:firstColumn="0" w:lastColumn="0" w:noHBand="0" w:noVBand="0"/>
      </w:tblPr>
      <w:tblGrid>
        <w:gridCol w:w="4428"/>
        <w:gridCol w:w="19"/>
        <w:gridCol w:w="2771"/>
        <w:gridCol w:w="90"/>
        <w:gridCol w:w="40"/>
        <w:gridCol w:w="2750"/>
      </w:tblGrid>
      <w:tr w:rsidR="00691364" w:rsidRPr="0042215A" w:rsidTr="006F1168">
        <w:trPr>
          <w:trHeight w:val="260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D63206" w:rsidRDefault="00691364" w:rsidP="006F11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63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Treatment phase/timing of given drug</w:t>
            </w: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</w:tcPr>
          <w:p w:rsidR="00691364" w:rsidRPr="00D63206" w:rsidRDefault="00691364" w:rsidP="006F11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63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Dose (route)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chedule</w:t>
            </w:r>
          </w:p>
        </w:tc>
      </w:tr>
      <w:tr w:rsidR="00691364" w:rsidRPr="0042215A" w:rsidTr="006F1168">
        <w:trPr>
          <w:trHeight w:val="253"/>
        </w:trPr>
        <w:tc>
          <w:tcPr>
            <w:tcW w:w="10098" w:type="dxa"/>
            <w:gridSpan w:val="6"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Induction (Phase 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eeks)</w:t>
            </w:r>
          </w:p>
        </w:tc>
      </w:tr>
      <w:tr w:rsidR="00691364" w:rsidRPr="0042215A" w:rsidTr="006F1168">
        <w:trPr>
          <w:trHeight w:val="206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Prednisone 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(PO)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1–28</w:t>
            </w:r>
          </w:p>
        </w:tc>
      </w:tr>
      <w:tr w:rsidR="00691364" w:rsidRPr="0042215A" w:rsidTr="006F1168">
        <w:trPr>
          <w:trHeight w:val="180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Vincristine 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(IV) (2 mg max)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1, 8, 15, 22</w:t>
            </w:r>
          </w:p>
        </w:tc>
      </w:tr>
      <w:tr w:rsidR="00691364" w:rsidRPr="0042215A" w:rsidTr="006F1168">
        <w:trPr>
          <w:trHeight w:val="185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Daunorubicin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(IV)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1, 8, 15, 22</w:t>
            </w:r>
          </w:p>
        </w:tc>
      </w:tr>
      <w:tr w:rsidR="00691364" w:rsidRPr="0042215A" w:rsidTr="006F1168">
        <w:trPr>
          <w:trHeight w:val="206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L-</w:t>
            </w: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asparaginase</w:t>
            </w:r>
            <w:proofErr w:type="spellEnd"/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6,000 IU/m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(IM)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3, 5, 7, 9,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16, 19,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691364" w:rsidRPr="0042215A" w:rsidTr="006F1168">
        <w:trPr>
          <w:trHeight w:val="233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Methotrexate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b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mg (according to age) (IT)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1, 15, 28</w:t>
            </w:r>
          </w:p>
        </w:tc>
      </w:tr>
      <w:tr w:rsidR="00691364" w:rsidRPr="0042215A" w:rsidTr="006F1168">
        <w:trPr>
          <w:trHeight w:val="96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pStyle w:val="Default"/>
              <w:tabs>
                <w:tab w:val="center" w:pos="4680"/>
                <w:tab w:val="right" w:pos="9360"/>
              </w:tabs>
              <w:spacing w:after="16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pStyle w:val="Default"/>
              <w:tabs>
                <w:tab w:val="center" w:pos="4680"/>
                <w:tab w:val="right" w:pos="9360"/>
              </w:tabs>
              <w:spacing w:after="16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BM assessment day 29</w:t>
            </w:r>
          </w:p>
        </w:tc>
      </w:tr>
      <w:tr w:rsidR="00691364" w:rsidRPr="0042215A" w:rsidTr="006F1168">
        <w:trPr>
          <w:trHeight w:val="180"/>
        </w:trPr>
        <w:tc>
          <w:tcPr>
            <w:tcW w:w="10098" w:type="dxa"/>
            <w:gridSpan w:val="6"/>
          </w:tcPr>
          <w:p w:rsidR="00691364" w:rsidRPr="00E85769" w:rsidRDefault="00691364" w:rsidP="006F11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Consolidation (Phase 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eeks)</w:t>
            </w:r>
          </w:p>
        </w:tc>
      </w:tr>
      <w:tr w:rsidR="00691364" w:rsidRPr="0042215A" w:rsidTr="006F1168">
        <w:trPr>
          <w:trHeight w:val="180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Cyclophosphamide 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(IV)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691364" w:rsidRPr="0042215A" w:rsidTr="006F1168">
        <w:trPr>
          <w:trHeight w:val="224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Cytarabine</w:t>
            </w:r>
            <w:proofErr w:type="spellEnd"/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16-19,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23-26</w:t>
            </w:r>
          </w:p>
        </w:tc>
      </w:tr>
      <w:tr w:rsidR="00691364" w:rsidRPr="0042215A" w:rsidTr="006F1168">
        <w:trPr>
          <w:trHeight w:val="185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ercaptopurine 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1-28</w:t>
            </w:r>
          </w:p>
        </w:tc>
      </w:tr>
      <w:tr w:rsidR="00691364" w:rsidRPr="0042215A" w:rsidTr="006F1168">
        <w:trPr>
          <w:trHeight w:val="175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Methotrexate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mg (according to age) (IT)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691364" w:rsidRPr="0042215A" w:rsidTr="006F1168">
        <w:trPr>
          <w:trHeight w:val="233"/>
        </w:trPr>
        <w:tc>
          <w:tcPr>
            <w:tcW w:w="4428" w:type="dxa"/>
            <w:tcBorders>
              <w:top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BM assessment day 29</w:t>
            </w:r>
          </w:p>
        </w:tc>
      </w:tr>
      <w:tr w:rsidR="00691364" w:rsidRPr="0042215A" w:rsidTr="006F1168">
        <w:trPr>
          <w:trHeight w:val="288"/>
        </w:trPr>
        <w:tc>
          <w:tcPr>
            <w:tcW w:w="10098" w:type="dxa"/>
            <w:gridSpan w:val="6"/>
            <w:tcBorders>
              <w:bottom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Interim Maintenance (Phase III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 weeks)</w:t>
            </w: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691364" w:rsidRPr="0042215A" w:rsidTr="006F1168">
        <w:trPr>
          <w:trHeight w:val="95"/>
        </w:trPr>
        <w:tc>
          <w:tcPr>
            <w:tcW w:w="44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Methotrexate 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(PO)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eekly (8 doses)</w:t>
            </w:r>
          </w:p>
        </w:tc>
      </w:tr>
      <w:tr w:rsidR="00691364" w:rsidRPr="0042215A" w:rsidTr="006F1168">
        <w:trPr>
          <w:trHeight w:val="188"/>
        </w:trPr>
        <w:tc>
          <w:tcPr>
            <w:tcW w:w="44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ercaptopurine 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(PO)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1–56</w:t>
            </w:r>
          </w:p>
        </w:tc>
      </w:tr>
      <w:tr w:rsidR="00691364" w:rsidRPr="0042215A" w:rsidTr="006F1168">
        <w:trPr>
          <w:trHeight w:val="169"/>
        </w:trPr>
        <w:tc>
          <w:tcPr>
            <w:tcW w:w="44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Methotrexate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mg (according to age) (IT)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ay 28</w:t>
            </w:r>
          </w:p>
        </w:tc>
      </w:tr>
      <w:tr w:rsidR="00691364" w:rsidRPr="0042215A" w:rsidTr="006F1168">
        <w:trPr>
          <w:trHeight w:val="96"/>
        </w:trPr>
        <w:tc>
          <w:tcPr>
            <w:tcW w:w="44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BM assessment day 56</w:t>
            </w:r>
          </w:p>
        </w:tc>
      </w:tr>
      <w:tr w:rsidR="00691364" w:rsidRPr="0042215A" w:rsidTr="006F1168">
        <w:trPr>
          <w:trHeight w:val="296"/>
        </w:trPr>
        <w:tc>
          <w:tcPr>
            <w:tcW w:w="10098" w:type="dxa"/>
            <w:gridSpan w:val="6"/>
            <w:tcBorders>
              <w:top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Re-induction/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elayed intensification (Phase IV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 weeks)</w:t>
            </w:r>
          </w:p>
        </w:tc>
      </w:tr>
      <w:tr w:rsidR="00691364" w:rsidRPr="0042215A" w:rsidTr="006F1168">
        <w:trPr>
          <w:trHeight w:val="198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Dexamethasone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(PO)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1–21</w:t>
            </w:r>
          </w:p>
        </w:tc>
      </w:tr>
      <w:tr w:rsidR="00691364" w:rsidRPr="0042215A" w:rsidTr="006F1168">
        <w:trPr>
          <w:trHeight w:val="180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Vincristine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 (2 mg max)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1, 8, 15, 22</w:t>
            </w:r>
          </w:p>
        </w:tc>
      </w:tr>
      <w:tr w:rsidR="00691364" w:rsidRPr="0042215A" w:rsidTr="006F1168">
        <w:trPr>
          <w:trHeight w:val="180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Doxorubicin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857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1, 8, 15, 22</w:t>
            </w:r>
          </w:p>
        </w:tc>
      </w:tr>
      <w:tr w:rsidR="00691364" w:rsidRPr="0042215A" w:rsidTr="006F1168">
        <w:trPr>
          <w:trHeight w:val="185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L. </w:t>
            </w: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asparaginase</w:t>
            </w:r>
            <w:proofErr w:type="spellEnd"/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 IU/m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857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(IV/IM)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3, 5, 7, 9,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16, 19, 21</w:t>
            </w:r>
          </w:p>
        </w:tc>
      </w:tr>
      <w:tr w:rsidR="00691364" w:rsidRPr="0042215A" w:rsidTr="006F1168">
        <w:trPr>
          <w:trHeight w:val="175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Cyclophosphamide 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691364" w:rsidRPr="0042215A" w:rsidTr="006F1168">
        <w:trPr>
          <w:trHeight w:val="180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Cytarabine</w:t>
            </w:r>
            <w:proofErr w:type="spellEnd"/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38–41, 45–48</w:t>
            </w:r>
          </w:p>
        </w:tc>
      </w:tr>
      <w:tr w:rsidR="00691364" w:rsidRPr="0042215A" w:rsidTr="006F1168">
        <w:trPr>
          <w:trHeight w:val="180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6-thioguanine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36–49</w:t>
            </w:r>
          </w:p>
        </w:tc>
      </w:tr>
      <w:tr w:rsidR="00691364" w:rsidRPr="0042215A" w:rsidTr="006F1168">
        <w:trPr>
          <w:trHeight w:val="275"/>
        </w:trPr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Methotrexate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mg (according to age) (IT)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38, 45</w:t>
            </w:r>
          </w:p>
        </w:tc>
      </w:tr>
      <w:tr w:rsidR="00691364" w:rsidRPr="0042215A" w:rsidTr="006F1168">
        <w:trPr>
          <w:trHeight w:val="222"/>
        </w:trPr>
        <w:tc>
          <w:tcPr>
            <w:tcW w:w="4428" w:type="dxa"/>
            <w:tcBorders>
              <w:top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BM assessment day 49</w:t>
            </w:r>
          </w:p>
        </w:tc>
      </w:tr>
      <w:tr w:rsidR="00691364" w:rsidRPr="0042215A" w:rsidTr="006F1168">
        <w:trPr>
          <w:trHeight w:val="96"/>
        </w:trPr>
        <w:tc>
          <w:tcPr>
            <w:tcW w:w="10098" w:type="dxa"/>
            <w:gridSpan w:val="6"/>
          </w:tcPr>
          <w:p w:rsidR="00691364" w:rsidRPr="00E85769" w:rsidRDefault="00691364" w:rsidP="006F1168">
            <w:pPr>
              <w:pStyle w:val="Default"/>
              <w:spacing w:after="1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215A">
              <w:rPr>
                <w:rFonts w:ascii="Times New Roman" w:hAnsi="Times New Roman" w:cs="Times New Roman"/>
                <w:b/>
                <w:bCs/>
                <w:color w:val="auto"/>
              </w:rPr>
              <w:t>Continuation/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m</w:t>
            </w:r>
            <w:r w:rsidRPr="0042215A">
              <w:rPr>
                <w:rFonts w:ascii="Times New Roman" w:hAnsi="Times New Roman" w:cs="Times New Roman"/>
                <w:b/>
                <w:bCs/>
                <w:color w:val="auto"/>
              </w:rPr>
              <w:t>aintenance (Phase V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; </w:t>
            </w:r>
            <w:r w:rsidRPr="0042215A">
              <w:rPr>
                <w:rFonts w:ascii="Times New Roman" w:hAnsi="Times New Roman" w:cs="Times New Roman"/>
                <w:b/>
                <w:bCs/>
                <w:color w:val="auto"/>
              </w:rPr>
              <w:t>12 weeks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,</w:t>
            </w:r>
            <w:r w:rsidRPr="0042215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r</w:t>
            </w:r>
            <w:r w:rsidRPr="0042215A">
              <w:rPr>
                <w:rFonts w:ascii="Times New Roman" w:hAnsi="Times New Roman" w:cs="Times New Roman"/>
                <w:b/>
                <w:bCs/>
                <w:color w:val="auto"/>
              </w:rPr>
              <w:t>epeated for 12 cycles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  <w:r w:rsidRPr="0042215A">
              <w:rPr>
                <w:rFonts w:ascii="Times New Roman" w:hAnsi="Times New Roman" w:cs="Times New Roman"/>
                <w:b/>
                <w:bCs/>
                <w:color w:val="auto"/>
                <w:vertAlign w:val="superscript"/>
              </w:rPr>
              <w:t>e</w:t>
            </w:r>
          </w:p>
        </w:tc>
      </w:tr>
      <w:tr w:rsidR="00691364" w:rsidRPr="0042215A" w:rsidTr="006F1168">
        <w:trPr>
          <w:trHeight w:val="180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Prednisone 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1-14</w:t>
            </w:r>
          </w:p>
        </w:tc>
      </w:tr>
      <w:tr w:rsidR="00691364" w:rsidRPr="0042215A" w:rsidTr="006F1168">
        <w:trPr>
          <w:trHeight w:val="125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Vincristine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 mg/m2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91364" w:rsidRPr="0042215A" w:rsidTr="006F1168">
        <w:trPr>
          <w:trHeight w:val="180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ercaptopurine 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aily</w:t>
            </w:r>
          </w:p>
        </w:tc>
      </w:tr>
      <w:tr w:rsidR="00691364" w:rsidRPr="0042215A" w:rsidTr="006F1168">
        <w:trPr>
          <w:trHeight w:val="185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Methotrexate </w:t>
            </w: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(PO)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eekly</w:t>
            </w:r>
          </w:p>
        </w:tc>
      </w:tr>
      <w:tr w:rsidR="00691364" w:rsidRPr="0042215A" w:rsidTr="006F1168">
        <w:trPr>
          <w:trHeight w:val="175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Methotrexate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 (according to age) (IT)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1364" w:rsidRPr="0042215A" w:rsidTr="006F1168">
        <w:trPr>
          <w:trHeight w:val="220"/>
        </w:trPr>
        <w:tc>
          <w:tcPr>
            <w:tcW w:w="4428" w:type="dxa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</w:tcPr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BM assessment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at the end of each cycle, every 12 weeks.</w:t>
            </w:r>
          </w:p>
        </w:tc>
      </w:tr>
    </w:tbl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PO, orally;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, intravenous infusion; IT, 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intrathecally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gramEnd"/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Doxorubicin, a readily available and cheaper medication, which was administered in equivalent doses to all patients. 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proofErr w:type="gramEnd"/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Methotrexate intrathecal dose: 12 mg (&gt; 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years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), 10 mg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(2-3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years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), 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mg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(1-2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years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), 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mg (&lt;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years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c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Interim maintenance phase was omitted in most cases due to the prolonged duration of induction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as it entails complications such as fever, infection, severe 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mucositis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>, extravasations of chemotherapy, etc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., in order to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avoid delaying re-induction/intensification phase.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proofErr w:type="gram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Not available most of the time and not administered.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e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Patients were treated as outpatients with out-patient appointments for W1,W2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and later every month to ensure their compliance and to ensure medication resupply for those in short supply.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Treatment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rotocol for high risk patients, based on BFM 90, was Protocol I, (HR1,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HR2,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HR3) administered every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weeks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completing a total of nine courses, then onto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continuation phase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which was proceeded by 12 </w:t>
      </w:r>
      <w:proofErr w:type="spellStart"/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preventive cranial radiation if </w:t>
      </w:r>
      <w:proofErr w:type="spellStart"/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possible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42215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a</w:t>
      </w:r>
      <w:proofErr w:type="spellEnd"/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2070"/>
        <w:gridCol w:w="9"/>
        <w:gridCol w:w="4209"/>
        <w:gridCol w:w="3176"/>
      </w:tblGrid>
      <w:tr w:rsidR="00691364" w:rsidRPr="0042215A" w:rsidTr="006F1168">
        <w:trPr>
          <w:trHeight w:val="377"/>
        </w:trPr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Dose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Schedule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ays</w:t>
            </w:r>
          </w:p>
        </w:tc>
      </w:tr>
      <w:tr w:rsidR="00691364" w:rsidRPr="0042215A" w:rsidTr="006F1168">
        <w:trPr>
          <w:trHeight w:val="251"/>
        </w:trPr>
        <w:tc>
          <w:tcPr>
            <w:tcW w:w="9464" w:type="dxa"/>
            <w:gridSpan w:val="4"/>
            <w:tcBorders>
              <w:top w:val="single" w:sz="4" w:space="0" w:color="auto"/>
            </w:tcBorders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Protocol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tcBorders>
              <w:right w:val="single" w:sz="4" w:space="0" w:color="auto"/>
            </w:tcBorders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Prednisone </w:t>
            </w:r>
          </w:p>
        </w:tc>
        <w:tc>
          <w:tcPr>
            <w:tcW w:w="4218" w:type="dxa"/>
            <w:gridSpan w:val="2"/>
            <w:tcBorders>
              <w:left w:val="single" w:sz="4" w:space="0" w:color="auto"/>
            </w:tcBorders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1–28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Vincristine </w:t>
            </w:r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8, 15, 22, 29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Daunorubicin</w:t>
            </w:r>
            <w:proofErr w:type="spellEnd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8, 15, 22, 29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sparaginase</w:t>
            </w:r>
            <w:proofErr w:type="spellEnd"/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10,000 IU/m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(IM)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12, 15, 18, 21, 24, 27, 30, 33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Cyclophosphamide </w:t>
            </w:r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36, 64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Cytarabine</w:t>
            </w:r>
            <w:proofErr w:type="spellEnd"/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38–41, 45–48, 52–55, 59–62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6-Mercaptopurine </w:t>
            </w:r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36–64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Methotrexate </w:t>
            </w:r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Dose according to age (IT)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TIT</w:t>
            </w:r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Dose according to 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(IT)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15, 29, 45, 59</w:t>
            </w:r>
          </w:p>
        </w:tc>
      </w:tr>
      <w:tr w:rsidR="00691364" w:rsidRPr="0042215A" w:rsidTr="006F1168">
        <w:trPr>
          <w:trHeight w:val="300"/>
        </w:trPr>
        <w:tc>
          <w:tcPr>
            <w:tcW w:w="9464" w:type="dxa"/>
            <w:gridSpan w:val="4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HR 1 </w:t>
            </w:r>
          </w:p>
        </w:tc>
      </w:tr>
      <w:tr w:rsidR="00691364" w:rsidRPr="0042215A" w:rsidTr="006F1168">
        <w:trPr>
          <w:trHeight w:val="300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Dexamethasone </w:t>
            </w:r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1–5</w:t>
            </w:r>
          </w:p>
        </w:tc>
      </w:tr>
      <w:tr w:rsidR="00691364" w:rsidRPr="0042215A" w:rsidTr="006F1168">
        <w:trPr>
          <w:trHeight w:val="300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Vincristine </w:t>
            </w:r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 mg max)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1, 6</w:t>
            </w:r>
          </w:p>
        </w:tc>
      </w:tr>
      <w:tr w:rsidR="00691364" w:rsidRPr="0042215A" w:rsidTr="006F1168">
        <w:trPr>
          <w:trHeight w:val="300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Methotrexate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(24 h infusion)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1364" w:rsidRPr="0042215A" w:rsidTr="006F1168">
        <w:trPr>
          <w:trHeight w:val="300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ercaptopurine </w:t>
            </w:r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1–5</w:t>
            </w:r>
          </w:p>
        </w:tc>
      </w:tr>
      <w:tr w:rsidR="00691364" w:rsidRPr="0042215A" w:rsidTr="006F1168">
        <w:trPr>
          <w:trHeight w:val="300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Cytarabine</w:t>
            </w:r>
            <w:proofErr w:type="spellEnd"/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every 12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(IV) (3 h infusion)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91364" w:rsidRPr="0042215A" w:rsidTr="006F1168">
        <w:trPr>
          <w:trHeight w:val="300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sparaginase</w:t>
            </w:r>
            <w:proofErr w:type="spellEnd"/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25,000 IU/m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(IM)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91364" w:rsidRPr="0042215A" w:rsidTr="006F1168">
        <w:trPr>
          <w:trHeight w:val="300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TIT</w:t>
            </w:r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Dose according to age (IT)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1364" w:rsidRPr="0042215A" w:rsidTr="006F1168">
        <w:trPr>
          <w:trHeight w:val="300"/>
        </w:trPr>
        <w:tc>
          <w:tcPr>
            <w:tcW w:w="9464" w:type="dxa"/>
            <w:gridSpan w:val="4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HR 2 </w:t>
            </w:r>
          </w:p>
        </w:tc>
      </w:tr>
      <w:tr w:rsidR="00691364" w:rsidRPr="0042215A" w:rsidTr="006F1168">
        <w:trPr>
          <w:trHeight w:val="300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Dexamethasone </w:t>
            </w:r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1–5</w:t>
            </w:r>
          </w:p>
        </w:tc>
      </w:tr>
      <w:tr w:rsidR="00691364" w:rsidRPr="0042215A" w:rsidTr="006F1168">
        <w:trPr>
          <w:trHeight w:val="449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Vindesine</w:t>
            </w:r>
            <w:proofErr w:type="spellEnd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(max. 5 mg) (IV)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1364" w:rsidRPr="0042215A" w:rsidTr="006F1168">
        <w:trPr>
          <w:trHeight w:val="300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Methotrexate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(24 hours infusion)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1364" w:rsidRPr="0042215A" w:rsidTr="006F1168">
        <w:trPr>
          <w:trHeight w:val="300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hioguanine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1–5</w:t>
            </w:r>
          </w:p>
        </w:tc>
      </w:tr>
      <w:tr w:rsidR="00691364" w:rsidRPr="0042215A" w:rsidTr="006F1168">
        <w:trPr>
          <w:trHeight w:val="300"/>
        </w:trPr>
        <w:tc>
          <w:tcPr>
            <w:tcW w:w="2079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Ifosfamide</w:t>
            </w:r>
            <w:proofErr w:type="spellEnd"/>
          </w:p>
        </w:tc>
        <w:tc>
          <w:tcPr>
            <w:tcW w:w="4209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(IV, 1 hour infusion)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1–5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Daunorubicin</w:t>
            </w:r>
            <w:proofErr w:type="spellEnd"/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(IV, 1 hour infusion)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sparaginase</w:t>
            </w:r>
            <w:proofErr w:type="spellEnd"/>
          </w:p>
        </w:tc>
        <w:tc>
          <w:tcPr>
            <w:tcW w:w="4218" w:type="dxa"/>
            <w:gridSpan w:val="2"/>
            <w:tcBorders>
              <w:right w:val="single" w:sz="4" w:space="0" w:color="auto"/>
            </w:tcBorders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25,000 IU/m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(IM)</w:t>
            </w:r>
          </w:p>
        </w:tc>
        <w:tc>
          <w:tcPr>
            <w:tcW w:w="3176" w:type="dxa"/>
            <w:tcBorders>
              <w:left w:val="single" w:sz="4" w:space="0" w:color="auto"/>
            </w:tcBorders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TIT</w:t>
            </w:r>
          </w:p>
        </w:tc>
        <w:tc>
          <w:tcPr>
            <w:tcW w:w="4218" w:type="dxa"/>
            <w:gridSpan w:val="2"/>
            <w:tcBorders>
              <w:right w:val="single" w:sz="4" w:space="0" w:color="auto"/>
            </w:tcBorders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Dose according to age (IT)</w:t>
            </w:r>
          </w:p>
        </w:tc>
        <w:tc>
          <w:tcPr>
            <w:tcW w:w="3176" w:type="dxa"/>
            <w:tcBorders>
              <w:left w:val="single" w:sz="4" w:space="0" w:color="auto"/>
            </w:tcBorders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1364" w:rsidRPr="0042215A" w:rsidTr="006F1168">
        <w:trPr>
          <w:trHeight w:val="300"/>
        </w:trPr>
        <w:tc>
          <w:tcPr>
            <w:tcW w:w="9464" w:type="dxa"/>
            <w:gridSpan w:val="4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HR 3 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Dexamethasone </w:t>
            </w:r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1–5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Cytarabine</w:t>
            </w:r>
            <w:proofErr w:type="spellEnd"/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every 12 hour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(IV,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three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infusion)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1, 2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Etoposide</w:t>
            </w:r>
            <w:proofErr w:type="spellEnd"/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 mg/m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(IV, 1 hour infusion)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3, 4, 5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sparaginase</w:t>
            </w:r>
            <w:proofErr w:type="spellEnd"/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25,000 IU/m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(IM)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91364" w:rsidRPr="0042215A" w:rsidTr="006F1168">
        <w:trPr>
          <w:trHeight w:val="300"/>
        </w:trPr>
        <w:tc>
          <w:tcPr>
            <w:tcW w:w="2070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TIT</w:t>
            </w:r>
          </w:p>
        </w:tc>
        <w:tc>
          <w:tcPr>
            <w:tcW w:w="4218" w:type="dxa"/>
            <w:gridSpan w:val="2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Dose according to age (IT)</w:t>
            </w:r>
          </w:p>
        </w:tc>
        <w:tc>
          <w:tcPr>
            <w:tcW w:w="3176" w:type="dxa"/>
            <w:noWrap/>
            <w:hideMark/>
          </w:tcPr>
          <w:p w:rsidR="00691364" w:rsidRPr="00E85769" w:rsidRDefault="00691364" w:rsidP="006F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If cranial radiation was unavailable for CNS3 patients then TIT was administered, every other day for 12 doses, until CSF was clear.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2215A">
        <w:rPr>
          <w:rFonts w:ascii="Times New Roman" w:hAnsi="Times New Roman" w:cs="Times New Roman"/>
          <w:sz w:val="24"/>
          <w:szCs w:val="24"/>
          <w:lang w:val="en-US"/>
        </w:rPr>
        <w:t>TIT, triple intrathecal therapy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specifically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-C,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ethotrexate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ydrocortison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lastRenderedPageBreak/>
        <w:t>b</w:t>
      </w:r>
      <w:proofErr w:type="gram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Doxorubcin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, a readily available and cheaper medication that was administered in equivalent doses to all patients. 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proofErr w:type="gramEnd"/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Omitted in some of the patients due to either the unavailability of Ca-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eucovorin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>, lack of serum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methotrexate drug monitoring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they suffered from presence of liver disease. If </w:t>
      </w:r>
      <w:r>
        <w:rPr>
          <w:rFonts w:ascii="Times New Roman" w:hAnsi="Times New Roman" w:cs="Times New Roman"/>
          <w:sz w:val="24"/>
          <w:szCs w:val="24"/>
          <w:lang w:val="en-US"/>
        </w:rPr>
        <w:t>Ca-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eucovorine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was given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rescue was initiated: 15 mg/m</w:t>
      </w:r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at 36, 42, 48 and 54 hours after the start of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ethotrexate infusion.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Vindestin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>, due to unavailability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was replaced with Vincristine.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e</w:t>
      </w:r>
      <w:proofErr w:type="gram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Not available most of the time and not administered.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IV, intravenous; IM, intramuscular; PO, orally; IT, 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intrathecally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91364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The authors’</w:t>
      </w:r>
      <w:r w:rsidRPr="0042215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modifications of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the</w:t>
      </w:r>
      <w:r w:rsidRPr="0042215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BFM 90 protocol: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Doxorubicin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was used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instead of </w:t>
      </w:r>
      <w:proofErr w:type="spellStart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Daunorubicin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 it was more readily available and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a cheaper medication. It was administered in equivalent doses.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Methotrexate (MTX)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usage was limited and was mainly offered to high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risk patients and to those free from liver disease. High doses were avoided due to unavailability of rescue therapy (Ca-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eucovorin</w:t>
      </w:r>
      <w:proofErr w:type="spellEnd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) or the lack of MTX drug monitoring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specially since Egypt has the highest prevalence of hepatitis B and C in the world.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 was noticed that there was a marked increase in toxic hepatitis deaths in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leukemia patients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thus it was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subsequently omitted in the years following.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After 2017, MTX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was </w:t>
      </w:r>
      <w:r w:rsidRPr="009639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re-introduced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using the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escalating dose method (</w:t>
      </w:r>
      <w:proofErr w:type="spellStart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Cappizzi</w:t>
      </w:r>
      <w:proofErr w:type="spellEnd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MTX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tarting dose 100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mg/m </w:t>
      </w:r>
      <w:r w:rsidRPr="0042215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escalate by 50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mg/m</w:t>
      </w:r>
      <w:r w:rsidRPr="0042215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/dose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which allowed the use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lower doses of MTX without rescue (Ca-</w:t>
      </w:r>
      <w:proofErr w:type="spellStart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leucovorin</w:t>
      </w:r>
      <w:proofErr w:type="spellEnd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allowed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gradually increas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doses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while monitoring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any </w:t>
      </w:r>
      <w:proofErr w:type="gramStart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toxicities</w:t>
      </w:r>
      <w:proofErr w:type="gramEnd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L-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sparagenase</w:t>
      </w:r>
      <w:proofErr w:type="spellEnd"/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Pegulated</w:t>
      </w:r>
      <w:proofErr w:type="spellEnd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sparaginase</w:t>
      </w:r>
      <w:proofErr w:type="spellEnd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 unavailable due to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its high cost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. Therefore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different forms of L-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sparagenase</w:t>
      </w:r>
      <w:proofErr w:type="spellEnd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were </w:t>
      </w:r>
      <w:proofErr w:type="gramStart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used,</w:t>
      </w:r>
      <w:proofErr w:type="gramEnd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specifically Escherichia coli and </w:t>
      </w:r>
      <w:proofErr w:type="spellStart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Erwinia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whichever of the two medications that were available would be then administered to the patient either through IM or IV. The doses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also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differed depending on the commercial forms of the drug that were available. 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Interim maintenance phase (phase III):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This phase was omitted from the protocol in most cases due to the prolonged duration of induction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 it entails complications such as fever, infection, severe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mucositis</w:t>
      </w:r>
      <w:proofErr w:type="spellEnd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, extravasations of chemotherapy, etc.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which avoids delaying re-induction/intensification phase.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However, 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when it was administered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patients received 6-mercaptopurine (6-MP) daily and methotrexate (MTX) once weekly.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Radiotherapy: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sz w:val="24"/>
          <w:szCs w:val="24"/>
          <w:lang w:val="en-US"/>
        </w:rPr>
        <w:t>Prophylactic radiotherapy (RT) was rarely administered and only recommended to high risk patients who exhibited T-cell ALL, who were &gt;10 years of age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had WBC counts at presentations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4221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/L.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In general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RT was recommended after a period of systemic chemotherapy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normally after </w:t>
      </w:r>
      <w:r>
        <w:rPr>
          <w:rFonts w:ascii="Times New Roman" w:hAnsi="Times New Roman" w:cs="Times New Roman"/>
          <w:sz w:val="24"/>
          <w:szCs w:val="24"/>
          <w:lang w:val="en-US"/>
        </w:rPr>
        <w:t>six to eight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months. 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sz w:val="24"/>
          <w:szCs w:val="24"/>
          <w:lang w:val="en-US"/>
        </w:rPr>
        <w:t>Therapeutic RT was rarely administered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and only for those who were CNS3 on initial diagnosis. Initially, these cases were treated with triple intrathecal therapy (TIT) (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cytarabine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ara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-C), methotrexate, and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lastRenderedPageBreak/>
        <w:t>hydrocortison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), during induction (phase I) twice weekly injections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corresponding to a course of 12 injections, and administered again after clearance of CSF of blast, through further doses of </w:t>
      </w:r>
      <w:r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courses of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extended TIT.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RT was planned to be given later, after 4-6 months, once the patient achieved remission. There were several instances where it was difficult to decide whether to give patients radiotherapy in </w:t>
      </w:r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university hospital, because of technical delays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such as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machines being out of </w:t>
      </w:r>
      <w:proofErr w:type="gramStart"/>
      <w:r w:rsidRPr="0042215A">
        <w:rPr>
          <w:rFonts w:ascii="Times New Roman" w:hAnsi="Times New Roman" w:cs="Times New Roman"/>
          <w:sz w:val="24"/>
          <w:szCs w:val="24"/>
          <w:lang w:val="en-US"/>
        </w:rPr>
        <w:t>order,</w:t>
      </w:r>
      <w:proofErr w:type="gram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or long waiting lists. In these cases patients were transferred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other centers in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Cairo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to receive RT.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2215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Additional notes: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erious problems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were encountered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with fungal detection and treatment, because there are no fungal cultures, or 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galactomannan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tests for invasive 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aspergillosis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 authors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depended entirely on clinical suspicion or imaging scans.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There is a shortage of antifungal therapy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such as lyophilized amphotericin-B and 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caspofungin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sually empiric antifungal therapy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was prescribed,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using fluconazole or liposomal amphotericin-B (generic brands).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hospital's infection control teams were only recently </w:t>
      </w:r>
      <w:r w:rsidRPr="00D63206">
        <w:rPr>
          <w:rFonts w:ascii="Times New Roman" w:hAnsi="Times New Roman" w:cs="Times New Roman"/>
          <w:sz w:val="24"/>
          <w:szCs w:val="24"/>
          <w:lang w:val="en-US"/>
        </w:rPr>
        <w:t>initiated; however, the policies and procedures are still not very well established, and in fact they are quite redundant because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they are not strictly implemented, nor are they sufficiently resourced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with teams lacking the necessary equipment to do their jobs properly.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availability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antibiotics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are usually available,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i.e.,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the more generic and cheaper brands are readily available, though they may not always be delivered on time or there are significant delays experienced when accurate cultures are needed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which correspond to results that would by necessity require adjustments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antibiotics.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There are shortages of some types of </w:t>
      </w:r>
      <w:r w:rsidRPr="00D63206">
        <w:rPr>
          <w:rFonts w:ascii="Times New Roman" w:hAnsi="Times New Roman" w:cs="Times New Roman"/>
          <w:sz w:val="24"/>
          <w:szCs w:val="24"/>
          <w:lang w:val="en-US"/>
        </w:rPr>
        <w:t xml:space="preserve">chemotherapy, including the most common and integral component of maintenance therapy, </w:t>
      </w:r>
      <w:r w:rsidRPr="00D63206">
        <w:rPr>
          <w:rFonts w:ascii="Times New Roman" w:hAnsi="Times New Roman" w:cs="Times New Roman"/>
          <w:i/>
          <w:sz w:val="24"/>
          <w:szCs w:val="24"/>
          <w:lang w:val="en-US"/>
        </w:rPr>
        <w:t>i.e</w:t>
      </w:r>
      <w:r w:rsidRPr="00D63206">
        <w:rPr>
          <w:rFonts w:ascii="Times New Roman" w:hAnsi="Times New Roman" w:cs="Times New Roman"/>
          <w:sz w:val="24"/>
          <w:szCs w:val="24"/>
          <w:lang w:val="en-US"/>
        </w:rPr>
        <w:t>., the 6-MP tablets (always in short supply) and 6-thioguanin (which unfortunately has not been available for years).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sparaginase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is always in shortage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which obligates </w:t>
      </w:r>
      <w:r>
        <w:rPr>
          <w:rFonts w:ascii="Times New Roman" w:hAnsi="Times New Roman" w:cs="Times New Roman"/>
          <w:sz w:val="24"/>
          <w:szCs w:val="24"/>
          <w:lang w:val="en-US"/>
        </w:rPr>
        <w:t>the authors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to give suboptimal doses to satisfy the needs of all the patients or administer 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anthracyclines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 during induction to patients who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have the 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low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risk criteria.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691364" w:rsidRPr="0042215A" w:rsidSect="00FD625A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r w:rsidRPr="0042215A">
        <w:rPr>
          <w:rFonts w:ascii="Times New Roman" w:hAnsi="Times New Roman" w:cs="Times New Roman"/>
          <w:b/>
          <w:bCs/>
          <w:sz w:val="24"/>
          <w:szCs w:val="24"/>
          <w:lang w:val="en-US"/>
        </w:rPr>
        <w:t>Treatment outcomes of children with ALL from Egypt and neighboring Middle Eastern countries.</w:t>
      </w:r>
    </w:p>
    <w:tbl>
      <w:tblPr>
        <w:tblStyle w:val="Tabelacomgrade"/>
        <w:tblW w:w="149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1260"/>
        <w:gridCol w:w="1636"/>
        <w:gridCol w:w="3119"/>
        <w:gridCol w:w="1191"/>
        <w:gridCol w:w="2160"/>
        <w:gridCol w:w="1530"/>
      </w:tblGrid>
      <w:tr w:rsidR="00691364" w:rsidRPr="0042215A" w:rsidTr="006F1168">
        <w:trPr>
          <w:trHeight w:val="998"/>
        </w:trPr>
        <w:tc>
          <w:tcPr>
            <w:tcW w:w="198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Study, year, Country</w:t>
            </w:r>
          </w:p>
        </w:tc>
        <w:tc>
          <w:tcPr>
            <w:tcW w:w="207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Location, study time, median follow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</w:t>
            </w:r>
          </w:p>
        </w:tc>
        <w:tc>
          <w:tcPr>
            <w:tcW w:w="126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Study population, median age (range) years</w:t>
            </w:r>
          </w:p>
        </w:tc>
        <w:tc>
          <w:tcPr>
            <w:tcW w:w="1636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Treatment protocol</w:t>
            </w:r>
          </w:p>
        </w:tc>
        <w:tc>
          <w:tcPr>
            <w:tcW w:w="3119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Death </w:t>
            </w:r>
          </w:p>
        </w:tc>
        <w:tc>
          <w:tcPr>
            <w:tcW w:w="1191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5-year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OS, EFS</w:t>
            </w:r>
          </w:p>
        </w:tc>
        <w:tc>
          <w:tcPr>
            <w:tcW w:w="216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Relapse %</w:t>
            </w:r>
          </w:p>
        </w:tc>
        <w:tc>
          <w:tcPr>
            <w:tcW w:w="153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Lost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follow up/abandone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treatment</w:t>
            </w:r>
          </w:p>
        </w:tc>
      </w:tr>
      <w:tr w:rsidR="00691364" w:rsidRPr="0042215A" w:rsidTr="006F1168">
        <w:trPr>
          <w:trHeight w:val="809"/>
        </w:trPr>
        <w:tc>
          <w:tcPr>
            <w:tcW w:w="198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Our study, 2018,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Egypt</w:t>
            </w:r>
          </w:p>
        </w:tc>
        <w:tc>
          <w:tcPr>
            <w:tcW w:w="207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Mansoura University Children Hospital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2011-2016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 years (range: 0.25–5.9 years).</w:t>
            </w:r>
          </w:p>
        </w:tc>
        <w:tc>
          <w:tcPr>
            <w:tcW w:w="126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 children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5.0 (3.0-8.7)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BFM 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</w:p>
        </w:tc>
        <w:tc>
          <w:tcPr>
            <w:tcW w:w="3119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 induction death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(23% of included patients)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 patients (18.9% of CR patients)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patients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(63.4% of relapsed patients)</w:t>
            </w:r>
          </w:p>
        </w:tc>
        <w:tc>
          <w:tcPr>
            <w:tcW w:w="1191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63.1%, 46%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20.5% 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(41 patients)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RFS: 73.4% 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patients (6.5%)</w:t>
            </w:r>
          </w:p>
        </w:tc>
      </w:tr>
      <w:tr w:rsidR="00691364" w:rsidRPr="0042215A" w:rsidTr="006F1168">
        <w:trPr>
          <w:trHeight w:val="1070"/>
        </w:trPr>
        <w:tc>
          <w:tcPr>
            <w:tcW w:w="198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Jastaniah</w:t>
            </w:r>
            <w:proofErr w:type="spellEnd"/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et al.,</w:t>
            </w:r>
            <w:r w:rsidRPr="003D048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  <w:t>[6]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(2015), Saudi Arabia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Princess </w:t>
            </w:r>
            <w:proofErr w:type="spellStart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Noorah</w:t>
            </w:r>
            <w:proofErr w:type="spellEnd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Oncology Center, Jeddah,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2001-2007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 years (range: 0.02–11.67 years).</w:t>
            </w:r>
          </w:p>
        </w:tc>
        <w:tc>
          <w:tcPr>
            <w:tcW w:w="126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 children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4.9 (1–12.3)</w:t>
            </w:r>
          </w:p>
        </w:tc>
        <w:tc>
          <w:tcPr>
            <w:tcW w:w="1636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protocols 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35/219 patients (16%).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2.7% induction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3.7% remission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infection</w:t>
            </w:r>
            <w:proofErr w:type="gramEnd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(2), toxicity (1), hemorrhagic pancreatitis (1),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typhilitis</w:t>
            </w:r>
            <w:proofErr w:type="spellEnd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(1),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undocumented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(1).</w:t>
            </w:r>
          </w:p>
        </w:tc>
        <w:tc>
          <w:tcPr>
            <w:tcW w:w="1191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84.7%, 77%</w:t>
            </w:r>
          </w:p>
        </w:tc>
        <w:tc>
          <w:tcPr>
            <w:tcW w:w="216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15.1% (33 patients)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DFS: 81.4%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Induction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ailure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(1.9)</w:t>
            </w:r>
          </w:p>
        </w:tc>
        <w:tc>
          <w:tcPr>
            <w:tcW w:w="153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</w:p>
        </w:tc>
      </w:tr>
      <w:tr w:rsidR="00691364" w:rsidRPr="0042215A" w:rsidTr="006F1168">
        <w:trPr>
          <w:trHeight w:val="611"/>
        </w:trPr>
        <w:tc>
          <w:tcPr>
            <w:tcW w:w="198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Al-</w:t>
            </w:r>
            <w:proofErr w:type="spellStart"/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Sudiary</w:t>
            </w:r>
            <w:proofErr w:type="spellEnd"/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et al.,</w:t>
            </w:r>
            <w:r w:rsidRPr="003D048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  <w:t>[13]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(2014), Saudi Arabia </w:t>
            </w:r>
          </w:p>
        </w:tc>
        <w:tc>
          <w:tcPr>
            <w:tcW w:w="207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Various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pediatric oncology centers, 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 to 2008</w:t>
            </w:r>
          </w:p>
        </w:tc>
        <w:tc>
          <w:tcPr>
            <w:tcW w:w="126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594 children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4.37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(0.1–14.7)</w:t>
            </w:r>
          </w:p>
        </w:tc>
        <w:tc>
          <w:tcPr>
            <w:tcW w:w="1636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various protocols</w:t>
            </w:r>
          </w:p>
        </w:tc>
        <w:tc>
          <w:tcPr>
            <w:tcW w:w="3119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patients in induction (5 toxicities, 2 disease progression) 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patients post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remission</w:t>
            </w:r>
          </w:p>
        </w:tc>
        <w:tc>
          <w:tcPr>
            <w:tcW w:w="1191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86.9%, 73.1%</w:t>
            </w:r>
          </w:p>
        </w:tc>
        <w:tc>
          <w:tcPr>
            <w:tcW w:w="216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16% (95 patients) 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median of 1.34 years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DFS:79.1%</w:t>
            </w:r>
          </w:p>
        </w:tc>
        <w:tc>
          <w:tcPr>
            <w:tcW w:w="153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 patients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364" w:rsidRPr="0042215A" w:rsidTr="006F1168">
        <w:trPr>
          <w:trHeight w:val="710"/>
        </w:trPr>
        <w:tc>
          <w:tcPr>
            <w:tcW w:w="198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Tantawy</w:t>
            </w:r>
            <w:proofErr w:type="spellEnd"/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et al.,</w:t>
            </w:r>
            <w:r w:rsidRPr="003D048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  <w:t>[14]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(2013), 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Egypt</w:t>
            </w:r>
          </w:p>
        </w:tc>
        <w:tc>
          <w:tcPr>
            <w:tcW w:w="207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</w:t>
            </w:r>
            <w:proofErr w:type="spellEnd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Shams University, Cairo, </w:t>
            </w:r>
            <w:proofErr w:type="spellStart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Menoufeya</w:t>
            </w:r>
            <w:proofErr w:type="spellEnd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 – 2005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years </w:t>
            </w:r>
          </w:p>
        </w:tc>
        <w:tc>
          <w:tcPr>
            <w:tcW w:w="126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52 children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Age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1-17 </w:t>
            </w:r>
          </w:p>
        </w:tc>
        <w:tc>
          <w:tcPr>
            <w:tcW w:w="1636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Modified CCG protocol</w:t>
            </w:r>
          </w:p>
        </w:tc>
        <w:tc>
          <w:tcPr>
            <w:tcW w:w="3119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patients (11.5%)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sepsis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most common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cause of death in induction, relapse, (Other: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epatic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encephalopathy, CNS thrombosis)</w:t>
            </w:r>
          </w:p>
        </w:tc>
        <w:tc>
          <w:tcPr>
            <w:tcW w:w="1191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85%, 73%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11.5% (6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patients)</w:t>
            </w:r>
          </w:p>
        </w:tc>
        <w:tc>
          <w:tcPr>
            <w:tcW w:w="1530" w:type="dxa"/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ND</w:t>
            </w:r>
          </w:p>
        </w:tc>
      </w:tr>
      <w:tr w:rsidR="00691364" w:rsidRPr="0042215A" w:rsidTr="006F1168">
        <w:trPr>
          <w:trHeight w:val="854"/>
        </w:trPr>
        <w:tc>
          <w:tcPr>
            <w:tcW w:w="1980" w:type="dxa"/>
            <w:tcBorders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Halalsheh</w:t>
            </w:r>
            <w:proofErr w:type="spellEnd"/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et al.,</w:t>
            </w:r>
            <w:r w:rsidRPr="003D048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  <w:t xml:space="preserve">[15] 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(2011),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Jordan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 Hussein Cancer Center, Amman,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2003 -2009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34.5 months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(range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0.32–84.5)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 children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5 (1.0–18.0)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KHCC ALL1102 protocol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(based on St. Jude Total XIII and Total XV)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induction death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3/4 sepsis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non-relapse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related deaths in CR1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(4/6 sepsis)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89%, 80%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9% (27 patients) 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median 22 months (range 6.7–57.8) after CR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patient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  <w:tr w:rsidR="00691364" w:rsidRPr="0042215A" w:rsidTr="006F1168">
        <w:trPr>
          <w:trHeight w:val="94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Hussein et al.,</w:t>
            </w:r>
            <w:r w:rsidRPr="003D048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  <w:t>[16]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(2004), Egypt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Cancer Institute, Cairo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1998-2000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months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 children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modified St. Jude Children’s Research Hospital total XIII for high risk ALL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patients (5.8%) induction deaths, 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(2.6%) refractory leukemia,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patients (4.5%) CR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 septicemia and 4 methotrexate toxicity)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65.2%, 75.3%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17.5% (27 patients) </w:t>
            </w:r>
          </w:p>
          <w:p w:rsidR="00691364" w:rsidRPr="00E85769" w:rsidRDefault="00691364" w:rsidP="006F116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</w:p>
        </w:tc>
      </w:tr>
      <w:tr w:rsidR="00691364" w:rsidRPr="0042215A" w:rsidTr="006F1168">
        <w:trPr>
          <w:trHeight w:val="80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Dabbous</w:t>
            </w:r>
            <w:proofErr w:type="spellEnd"/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et al.,</w:t>
            </w:r>
            <w:r w:rsidRPr="003D048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  <w:t>[17]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(2003), Lebanon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American University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Beirut Medical Center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1990 -1999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 years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86 children 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modified ALGB, the </w:t>
            </w:r>
            <w:proofErr w:type="spellStart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Sallan</w:t>
            </w:r>
            <w:proofErr w:type="spellEnd"/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protocol,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St. Jude total XIII protocol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patients (34%)</w:t>
            </w:r>
          </w:p>
          <w:p w:rsidR="00691364" w:rsidRPr="00D63206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93% of deaths secondary to </w:t>
            </w:r>
            <w:r w:rsidRPr="00D63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1ry disease. </w:t>
            </w:r>
          </w:p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7%</w:t>
            </w: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CR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91364" w:rsidRPr="00E85769" w:rsidRDefault="00691364" w:rsidP="006F1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</w:p>
        </w:tc>
      </w:tr>
    </w:tbl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15A">
        <w:rPr>
          <w:rFonts w:ascii="Times New Roman" w:hAnsi="Times New Roman" w:cs="Times New Roman"/>
          <w:sz w:val="24"/>
          <w:szCs w:val="24"/>
          <w:lang w:val="en-US"/>
        </w:rPr>
        <w:t>ND, no data; CR, complete remission; CCG, Children’s Cancer Group; BFM, Berlin-Frankfurt-</w:t>
      </w:r>
      <w:proofErr w:type="spellStart"/>
      <w:r w:rsidRPr="0042215A">
        <w:rPr>
          <w:rFonts w:ascii="Times New Roman" w:hAnsi="Times New Roman" w:cs="Times New Roman"/>
          <w:sz w:val="24"/>
          <w:szCs w:val="24"/>
          <w:lang w:val="en-US"/>
        </w:rPr>
        <w:t>Münster</w:t>
      </w:r>
      <w:proofErr w:type="spellEnd"/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; OS,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 xml:space="preserve">verall survival; RFS,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elapse-free survival; DFS, disease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215A">
        <w:rPr>
          <w:rFonts w:ascii="Times New Roman" w:hAnsi="Times New Roman" w:cs="Times New Roman"/>
          <w:sz w:val="24"/>
          <w:szCs w:val="24"/>
          <w:lang w:val="en-US"/>
        </w:rPr>
        <w:t>free survival; KHCC, King Hussein Cancer Center.</w:t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691364" w:rsidRPr="0042215A" w:rsidSect="006733B7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364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0488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r w:rsidRPr="003D04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Five-year OS outcome according to relapse status. 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576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7EF1A9F" wp14:editId="1ADD078D">
            <wp:extent cx="5731510" cy="3050035"/>
            <wp:effectExtent l="19050" t="0" r="2540" b="0"/>
            <wp:docPr id="2" name="Picture 2" descr="E:\ACCEPTEDPAPERS\fwdyourmanuscriptjped_2018_540_r1hasbeenaccepted\FIG 2 survival curve (Supplement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CCEPTEDPAPERS\fwdyourmanuscriptjped_2018_540_r1hasbeenaccepted\FIG 2 survival curve (Supplement)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42215A">
        <w:rPr>
          <w:rFonts w:ascii="Times New Roman" w:hAnsi="Times New Roman" w:cs="Times New Roman"/>
          <w:bCs/>
          <w:sz w:val="24"/>
          <w:szCs w:val="24"/>
          <w:lang w:val="en-US"/>
        </w:rPr>
        <w:t>OS, Overall survival.</w:t>
      </w:r>
      <w:proofErr w:type="gramEnd"/>
    </w:p>
    <w:p w:rsidR="00691364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:rsidR="00691364" w:rsidRPr="003D0488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0488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r w:rsidRPr="003D04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Five-year OS outcome according to time of relapse. </w:t>
      </w: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  <w:sectPr w:rsidR="00691364" w:rsidRPr="0042215A" w:rsidSect="00FD625A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E85769">
        <w:rPr>
          <w:rFonts w:ascii="Times New Roman" w:hAnsi="Times New Roman" w:cs="Times New Roman"/>
          <w:noProof/>
          <w:color w:val="0070C0"/>
          <w:sz w:val="24"/>
          <w:szCs w:val="24"/>
          <w:lang w:val="en-US"/>
        </w:rPr>
        <w:drawing>
          <wp:inline distT="0" distB="0" distL="0" distR="0" wp14:anchorId="2678C701" wp14:editId="0277266B">
            <wp:extent cx="5730340" cy="4285397"/>
            <wp:effectExtent l="0" t="0" r="3810" b="1270"/>
            <wp:docPr id="3" name="Picture 3" descr="E:\ACCEPTEDPAPERS\fwdyourmanuscriptjped_2018_540_r1hasbeenaccepted\Fig 3 Survival by Relapse time (Supplement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CCEPTEDPAPERS\fwdyourmanuscriptjped_2018_540_r1hasbeenaccepted\Fig 3 Survival by Relapse time (Supplement)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t="8187"/>
                    <a:stretch/>
                  </pic:blipFill>
                  <pic:spPr bwMode="auto">
                    <a:xfrm>
                      <a:off x="0" y="0"/>
                      <a:ext cx="5731510" cy="428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</w:pP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364" w:rsidRPr="0042215A" w:rsidRDefault="00691364" w:rsidP="00691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364" w:rsidRPr="0042215A" w:rsidRDefault="00691364" w:rsidP="00691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4A41" w:rsidRDefault="00691364"/>
    <w:sectPr w:rsidR="000E4A41" w:rsidSect="00FD62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BOK B+ Adv O T 35387326. 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0EA1"/>
    <w:multiLevelType w:val="hybridMultilevel"/>
    <w:tmpl w:val="F54ADDAA"/>
    <w:lvl w:ilvl="0" w:tplc="ECA2CBAA">
      <w:start w:val="6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375"/>
    <w:multiLevelType w:val="hybridMultilevel"/>
    <w:tmpl w:val="AE0EE0DA"/>
    <w:lvl w:ilvl="0" w:tplc="0160FB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F00FE"/>
    <w:multiLevelType w:val="hybridMultilevel"/>
    <w:tmpl w:val="C8EC9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20800"/>
    <w:multiLevelType w:val="hybridMultilevel"/>
    <w:tmpl w:val="4F5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67752"/>
    <w:multiLevelType w:val="hybridMultilevel"/>
    <w:tmpl w:val="1C02DE16"/>
    <w:lvl w:ilvl="0" w:tplc="E80CD1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64"/>
    <w:rsid w:val="000C0E7C"/>
    <w:rsid w:val="00691364"/>
    <w:rsid w:val="00F2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64"/>
    <w:pPr>
      <w:spacing w:after="160" w:line="259" w:lineRule="auto"/>
    </w:pPr>
    <w:rPr>
      <w:lang w:val="en-GB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913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691364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paragraph" w:styleId="Cabealho">
    <w:name w:val="header"/>
    <w:basedOn w:val="Normal"/>
    <w:link w:val="CabealhoChar"/>
    <w:uiPriority w:val="99"/>
    <w:unhideWhenUsed/>
    <w:rsid w:val="00691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364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691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1364"/>
    <w:rPr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36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Fontepargpadro"/>
    <w:uiPriority w:val="99"/>
    <w:unhideWhenUsed/>
    <w:rsid w:val="00691364"/>
    <w:rPr>
      <w:color w:val="0000FF"/>
      <w:u w:val="single"/>
    </w:rPr>
  </w:style>
  <w:style w:type="paragraph" w:customStyle="1" w:styleId="Title1">
    <w:name w:val="Title1"/>
    <w:basedOn w:val="Normal"/>
    <w:rsid w:val="0069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sc">
    <w:name w:val="desc"/>
    <w:basedOn w:val="Normal"/>
    <w:rsid w:val="0069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tails">
    <w:name w:val="details"/>
    <w:basedOn w:val="Normal"/>
    <w:rsid w:val="0069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rnl">
    <w:name w:val="jrnl"/>
    <w:basedOn w:val="Fontepargpadro"/>
    <w:rsid w:val="00691364"/>
  </w:style>
  <w:style w:type="character" w:styleId="nfase">
    <w:name w:val="Emphasis"/>
    <w:basedOn w:val="Fontepargpadro"/>
    <w:uiPriority w:val="20"/>
    <w:qFormat/>
    <w:rsid w:val="00691364"/>
    <w:rPr>
      <w:i/>
      <w:iCs/>
    </w:rPr>
  </w:style>
  <w:style w:type="paragraph" w:styleId="NormalWeb">
    <w:name w:val="Normal (Web)"/>
    <w:basedOn w:val="Normal"/>
    <w:uiPriority w:val="99"/>
    <w:unhideWhenUsed/>
    <w:rsid w:val="0069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Fontepargpadro"/>
    <w:rsid w:val="00691364"/>
  </w:style>
  <w:style w:type="paragraph" w:styleId="PargrafodaLista">
    <w:name w:val="List Paragraph"/>
    <w:basedOn w:val="Normal"/>
    <w:uiPriority w:val="34"/>
    <w:qFormat/>
    <w:rsid w:val="00691364"/>
    <w:pPr>
      <w:ind w:left="720"/>
      <w:contextualSpacing/>
    </w:pPr>
  </w:style>
  <w:style w:type="character" w:customStyle="1" w:styleId="m5995330596826516709gmail-il">
    <w:name w:val="m_5995330596826516709gmail-il"/>
    <w:basedOn w:val="Fontepargpadro"/>
    <w:rsid w:val="00691364"/>
  </w:style>
  <w:style w:type="table" w:styleId="Tabelacomgrade">
    <w:name w:val="Table Grid"/>
    <w:basedOn w:val="Tabelanormal"/>
    <w:uiPriority w:val="59"/>
    <w:rsid w:val="00691364"/>
    <w:pPr>
      <w:spacing w:after="0" w:line="240" w:lineRule="auto"/>
    </w:pPr>
    <w:rPr>
      <w:rFonts w:eastAsiaTheme="minorEastAsia"/>
      <w:lang w:val="en-CA"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mentoClaro-nfase4">
    <w:name w:val="Light Shading Accent 4"/>
    <w:basedOn w:val="Tabelanormal"/>
    <w:uiPriority w:val="60"/>
    <w:rsid w:val="0069136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Default">
    <w:name w:val="Default"/>
    <w:rsid w:val="00691364"/>
    <w:pPr>
      <w:autoSpaceDE w:val="0"/>
      <w:autoSpaceDN w:val="0"/>
      <w:adjustRightInd w:val="0"/>
      <w:spacing w:after="0" w:line="240" w:lineRule="auto"/>
    </w:pPr>
    <w:rPr>
      <w:rFonts w:ascii="APBOK B+ Adv O T 35387326. B" w:hAnsi="APBOK B+ Adv O T 35387326. B" w:cs="APBOK B+ Adv O T 35387326. B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913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13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1364"/>
    <w:rPr>
      <w:sz w:val="20"/>
      <w:szCs w:val="20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13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1364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64"/>
    <w:pPr>
      <w:spacing w:after="160" w:line="259" w:lineRule="auto"/>
    </w:pPr>
    <w:rPr>
      <w:lang w:val="en-GB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913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691364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paragraph" w:styleId="Cabealho">
    <w:name w:val="header"/>
    <w:basedOn w:val="Normal"/>
    <w:link w:val="CabealhoChar"/>
    <w:uiPriority w:val="99"/>
    <w:unhideWhenUsed/>
    <w:rsid w:val="00691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364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691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1364"/>
    <w:rPr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36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Fontepargpadro"/>
    <w:uiPriority w:val="99"/>
    <w:unhideWhenUsed/>
    <w:rsid w:val="00691364"/>
    <w:rPr>
      <w:color w:val="0000FF"/>
      <w:u w:val="single"/>
    </w:rPr>
  </w:style>
  <w:style w:type="paragraph" w:customStyle="1" w:styleId="Title1">
    <w:name w:val="Title1"/>
    <w:basedOn w:val="Normal"/>
    <w:rsid w:val="0069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sc">
    <w:name w:val="desc"/>
    <w:basedOn w:val="Normal"/>
    <w:rsid w:val="0069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tails">
    <w:name w:val="details"/>
    <w:basedOn w:val="Normal"/>
    <w:rsid w:val="0069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rnl">
    <w:name w:val="jrnl"/>
    <w:basedOn w:val="Fontepargpadro"/>
    <w:rsid w:val="00691364"/>
  </w:style>
  <w:style w:type="character" w:styleId="nfase">
    <w:name w:val="Emphasis"/>
    <w:basedOn w:val="Fontepargpadro"/>
    <w:uiPriority w:val="20"/>
    <w:qFormat/>
    <w:rsid w:val="00691364"/>
    <w:rPr>
      <w:i/>
      <w:iCs/>
    </w:rPr>
  </w:style>
  <w:style w:type="paragraph" w:styleId="NormalWeb">
    <w:name w:val="Normal (Web)"/>
    <w:basedOn w:val="Normal"/>
    <w:uiPriority w:val="99"/>
    <w:unhideWhenUsed/>
    <w:rsid w:val="0069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Fontepargpadro"/>
    <w:rsid w:val="00691364"/>
  </w:style>
  <w:style w:type="paragraph" w:styleId="PargrafodaLista">
    <w:name w:val="List Paragraph"/>
    <w:basedOn w:val="Normal"/>
    <w:uiPriority w:val="34"/>
    <w:qFormat/>
    <w:rsid w:val="00691364"/>
    <w:pPr>
      <w:ind w:left="720"/>
      <w:contextualSpacing/>
    </w:pPr>
  </w:style>
  <w:style w:type="character" w:customStyle="1" w:styleId="m5995330596826516709gmail-il">
    <w:name w:val="m_5995330596826516709gmail-il"/>
    <w:basedOn w:val="Fontepargpadro"/>
    <w:rsid w:val="00691364"/>
  </w:style>
  <w:style w:type="table" w:styleId="Tabelacomgrade">
    <w:name w:val="Table Grid"/>
    <w:basedOn w:val="Tabelanormal"/>
    <w:uiPriority w:val="59"/>
    <w:rsid w:val="00691364"/>
    <w:pPr>
      <w:spacing w:after="0" w:line="240" w:lineRule="auto"/>
    </w:pPr>
    <w:rPr>
      <w:rFonts w:eastAsiaTheme="minorEastAsia"/>
      <w:lang w:val="en-CA"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mentoClaro-nfase4">
    <w:name w:val="Light Shading Accent 4"/>
    <w:basedOn w:val="Tabelanormal"/>
    <w:uiPriority w:val="60"/>
    <w:rsid w:val="0069136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Default">
    <w:name w:val="Default"/>
    <w:rsid w:val="00691364"/>
    <w:pPr>
      <w:autoSpaceDE w:val="0"/>
      <w:autoSpaceDN w:val="0"/>
      <w:adjustRightInd w:val="0"/>
      <w:spacing w:after="0" w:line="240" w:lineRule="auto"/>
    </w:pPr>
    <w:rPr>
      <w:rFonts w:ascii="APBOK B+ Adv O T 35387326. B" w:hAnsi="APBOK B+ Adv O T 35387326. B" w:cs="APBOK B+ Adv O T 35387326. B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913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13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1364"/>
    <w:rPr>
      <w:sz w:val="20"/>
      <w:szCs w:val="20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13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136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Reed Elsevier</cp:lastModifiedBy>
  <cp:revision>1</cp:revision>
  <dcterms:created xsi:type="dcterms:W3CDTF">2018-08-21T20:30:00Z</dcterms:created>
  <dcterms:modified xsi:type="dcterms:W3CDTF">2018-08-21T20:30:00Z</dcterms:modified>
</cp:coreProperties>
</file>