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64" w:rsidRPr="002F5D6F" w:rsidRDefault="00857364" w:rsidP="00857364">
      <w:pPr>
        <w:autoSpaceDE w:val="0"/>
        <w:autoSpaceDN w:val="0"/>
        <w:adjustRightInd w:val="0"/>
        <w:spacing w:line="360" w:lineRule="auto"/>
        <w:jc w:val="both"/>
        <w:rPr>
          <w:b/>
          <w:color w:val="000000" w:themeColor="text1"/>
          <w:szCs w:val="24"/>
          <w:lang w:val="en-US"/>
        </w:rPr>
      </w:pPr>
      <w:r w:rsidRPr="002F5D6F">
        <w:rPr>
          <w:b/>
          <w:color w:val="000000" w:themeColor="text1"/>
          <w:szCs w:val="24"/>
          <w:lang w:val="en-US"/>
        </w:rPr>
        <w:t>Supplementary Material</w:t>
      </w:r>
    </w:p>
    <w:p w:rsidR="00857364" w:rsidRPr="002F5D6F" w:rsidRDefault="00857364" w:rsidP="00857364">
      <w:pPr>
        <w:autoSpaceDE w:val="0"/>
        <w:autoSpaceDN w:val="0"/>
        <w:adjustRightInd w:val="0"/>
        <w:spacing w:line="360" w:lineRule="auto"/>
        <w:jc w:val="both"/>
        <w:rPr>
          <w:color w:val="000000" w:themeColor="text1"/>
          <w:lang w:val="en-US"/>
        </w:rPr>
      </w:pPr>
    </w:p>
    <w:p w:rsidR="00857364" w:rsidRPr="002F5D6F" w:rsidRDefault="00857364" w:rsidP="00857364">
      <w:pPr>
        <w:autoSpaceDE w:val="0"/>
        <w:autoSpaceDN w:val="0"/>
        <w:adjustRightInd w:val="0"/>
        <w:spacing w:line="360" w:lineRule="auto"/>
        <w:jc w:val="both"/>
        <w:rPr>
          <w:b/>
          <w:color w:val="000000" w:themeColor="text1"/>
          <w:szCs w:val="24"/>
          <w:lang w:val="en-US"/>
        </w:rPr>
      </w:pPr>
      <w:r w:rsidRPr="002F5D6F">
        <w:rPr>
          <w:b/>
          <w:color w:val="000000" w:themeColor="text1"/>
          <w:szCs w:val="24"/>
          <w:lang w:val="en-US"/>
        </w:rPr>
        <w:t>Severity Categories of adverse drug events (ADE) based on National Coordinating Council Medication Error Reporting and Prevention (NCC MERP) Index for Categorizing Medication Errors</w:t>
      </w:r>
      <w:r w:rsidRPr="00274D8C">
        <w:rPr>
          <w:color w:val="000000" w:themeColor="text1"/>
          <w:szCs w:val="24"/>
          <w:vertAlign w:val="superscript"/>
          <w:lang w:val="en-US"/>
        </w:rPr>
        <w:t>1</w:t>
      </w:r>
      <w:proofErr w:type="gramStart"/>
      <w:r w:rsidRPr="00274D8C">
        <w:rPr>
          <w:color w:val="000000" w:themeColor="text1"/>
          <w:szCs w:val="24"/>
          <w:vertAlign w:val="superscript"/>
          <w:lang w:val="en-US"/>
        </w:rPr>
        <w:t>,2,3</w:t>
      </w:r>
      <w:proofErr w:type="gramEnd"/>
    </w:p>
    <w:p w:rsidR="00857364" w:rsidRPr="002F5D6F" w:rsidRDefault="00857364" w:rsidP="00857364">
      <w:pPr>
        <w:autoSpaceDE w:val="0"/>
        <w:autoSpaceDN w:val="0"/>
        <w:adjustRightInd w:val="0"/>
        <w:spacing w:line="360" w:lineRule="auto"/>
        <w:jc w:val="both"/>
        <w:rPr>
          <w:color w:val="000000" w:themeColor="text1"/>
          <w:szCs w:val="24"/>
          <w:lang w:val="en-US"/>
        </w:rPr>
      </w:pPr>
    </w:p>
    <w:tbl>
      <w:tblPr>
        <w:tblStyle w:val="Tabelacomgrade"/>
        <w:tblW w:w="0" w:type="auto"/>
        <w:tblLook w:val="04A0" w:firstRow="1" w:lastRow="0" w:firstColumn="1" w:lastColumn="0" w:noHBand="0" w:noVBand="1"/>
      </w:tblPr>
      <w:tblGrid>
        <w:gridCol w:w="1696"/>
        <w:gridCol w:w="6798"/>
      </w:tblGrid>
      <w:tr w:rsidR="00857364" w:rsidRPr="00857364" w:rsidTr="00426E3C">
        <w:tc>
          <w:tcPr>
            <w:tcW w:w="1696" w:type="dxa"/>
          </w:tcPr>
          <w:p w:rsidR="00857364" w:rsidRPr="002F5D6F" w:rsidRDefault="00857364" w:rsidP="00426E3C">
            <w:pPr>
              <w:spacing w:line="360" w:lineRule="auto"/>
              <w:jc w:val="both"/>
              <w:rPr>
                <w:b/>
                <w:color w:val="000000" w:themeColor="text1"/>
                <w:szCs w:val="24"/>
              </w:rPr>
            </w:pPr>
            <w:proofErr w:type="spellStart"/>
            <w:r w:rsidRPr="002F5D6F">
              <w:rPr>
                <w:b/>
                <w:color w:val="000000" w:themeColor="text1"/>
                <w:szCs w:val="24"/>
              </w:rPr>
              <w:t>Category</w:t>
            </w:r>
            <w:proofErr w:type="spellEnd"/>
          </w:p>
        </w:tc>
        <w:tc>
          <w:tcPr>
            <w:tcW w:w="6798" w:type="dxa"/>
          </w:tcPr>
          <w:p w:rsidR="00857364" w:rsidRPr="002F5D6F" w:rsidRDefault="00857364" w:rsidP="00426E3C">
            <w:pPr>
              <w:spacing w:line="360" w:lineRule="auto"/>
              <w:jc w:val="both"/>
              <w:rPr>
                <w:b/>
                <w:color w:val="000000" w:themeColor="text1"/>
                <w:szCs w:val="24"/>
                <w:lang w:val="en-US"/>
              </w:rPr>
            </w:pPr>
            <w:r w:rsidRPr="002F5D6F">
              <w:rPr>
                <w:b/>
                <w:color w:val="000000" w:themeColor="text1"/>
                <w:szCs w:val="24"/>
                <w:lang w:val="en-US"/>
              </w:rPr>
              <w:t>Description of the categories of harm</w:t>
            </w:r>
          </w:p>
        </w:tc>
      </w:tr>
      <w:tr w:rsidR="00857364" w:rsidRPr="00857364" w:rsidTr="00426E3C">
        <w:tc>
          <w:tcPr>
            <w:tcW w:w="1696" w:type="dxa"/>
          </w:tcPr>
          <w:p w:rsidR="00857364" w:rsidRPr="002F5D6F" w:rsidRDefault="00857364" w:rsidP="00426E3C">
            <w:pPr>
              <w:spacing w:line="360" w:lineRule="auto"/>
              <w:jc w:val="both"/>
              <w:rPr>
                <w:color w:val="000000" w:themeColor="text1"/>
                <w:szCs w:val="24"/>
              </w:rPr>
            </w:pPr>
            <w:proofErr w:type="spellStart"/>
            <w:r w:rsidRPr="002F5D6F">
              <w:rPr>
                <w:color w:val="000000" w:themeColor="text1"/>
                <w:szCs w:val="24"/>
              </w:rPr>
              <w:t>Category</w:t>
            </w:r>
            <w:proofErr w:type="spellEnd"/>
            <w:r w:rsidRPr="002F5D6F">
              <w:rPr>
                <w:color w:val="000000" w:themeColor="text1"/>
                <w:szCs w:val="24"/>
              </w:rPr>
              <w:t xml:space="preserve"> E</w:t>
            </w:r>
          </w:p>
        </w:tc>
        <w:tc>
          <w:tcPr>
            <w:tcW w:w="6798" w:type="dxa"/>
          </w:tcPr>
          <w:p w:rsidR="00857364" w:rsidRPr="002F5D6F" w:rsidRDefault="00857364" w:rsidP="00426E3C">
            <w:pPr>
              <w:spacing w:line="360" w:lineRule="auto"/>
              <w:jc w:val="both"/>
              <w:rPr>
                <w:color w:val="000000" w:themeColor="text1"/>
                <w:szCs w:val="24"/>
                <w:lang w:val="en-US"/>
              </w:rPr>
            </w:pPr>
            <w:r w:rsidRPr="002F5D6F">
              <w:rPr>
                <w:color w:val="000000" w:themeColor="text1"/>
                <w:szCs w:val="24"/>
                <w:lang w:val="en-US"/>
              </w:rPr>
              <w:t xml:space="preserve">An event occurred that may have contributed to or resulted in temporary harm to the patient and required intervention </w:t>
            </w:r>
          </w:p>
        </w:tc>
      </w:tr>
      <w:tr w:rsidR="00857364" w:rsidRPr="00857364" w:rsidTr="00426E3C">
        <w:tc>
          <w:tcPr>
            <w:tcW w:w="1696" w:type="dxa"/>
          </w:tcPr>
          <w:p w:rsidR="00857364" w:rsidRPr="002F5D6F" w:rsidRDefault="00857364" w:rsidP="00426E3C">
            <w:pPr>
              <w:spacing w:line="360" w:lineRule="auto"/>
              <w:jc w:val="both"/>
              <w:rPr>
                <w:color w:val="000000" w:themeColor="text1"/>
                <w:szCs w:val="24"/>
              </w:rPr>
            </w:pPr>
            <w:proofErr w:type="spellStart"/>
            <w:r w:rsidRPr="002F5D6F">
              <w:rPr>
                <w:color w:val="000000" w:themeColor="text1"/>
                <w:szCs w:val="24"/>
              </w:rPr>
              <w:t>Category</w:t>
            </w:r>
            <w:proofErr w:type="spellEnd"/>
            <w:r w:rsidRPr="002F5D6F">
              <w:rPr>
                <w:color w:val="000000" w:themeColor="text1"/>
                <w:szCs w:val="24"/>
              </w:rPr>
              <w:t xml:space="preserve"> F</w:t>
            </w:r>
          </w:p>
        </w:tc>
        <w:tc>
          <w:tcPr>
            <w:tcW w:w="6798" w:type="dxa"/>
          </w:tcPr>
          <w:p w:rsidR="00857364" w:rsidRPr="002F5D6F" w:rsidRDefault="00857364" w:rsidP="00426E3C">
            <w:pPr>
              <w:spacing w:line="360" w:lineRule="auto"/>
              <w:jc w:val="both"/>
              <w:rPr>
                <w:color w:val="000000" w:themeColor="text1"/>
                <w:szCs w:val="24"/>
                <w:lang w:val="en-US"/>
              </w:rPr>
            </w:pPr>
            <w:r w:rsidRPr="002F5D6F">
              <w:rPr>
                <w:color w:val="000000" w:themeColor="text1"/>
                <w:szCs w:val="24"/>
                <w:lang w:val="en-US"/>
              </w:rPr>
              <w:t>An event occurred that may have contributed to or resulted in temporary harm to the patient and required initial or prolonged hospitalization</w:t>
            </w:r>
          </w:p>
        </w:tc>
      </w:tr>
      <w:tr w:rsidR="00857364" w:rsidRPr="00857364" w:rsidTr="00426E3C">
        <w:tc>
          <w:tcPr>
            <w:tcW w:w="1696" w:type="dxa"/>
          </w:tcPr>
          <w:p w:rsidR="00857364" w:rsidRPr="002F5D6F" w:rsidRDefault="00857364" w:rsidP="00426E3C">
            <w:pPr>
              <w:spacing w:line="360" w:lineRule="auto"/>
              <w:jc w:val="both"/>
              <w:rPr>
                <w:color w:val="000000" w:themeColor="text1"/>
                <w:szCs w:val="24"/>
              </w:rPr>
            </w:pPr>
            <w:proofErr w:type="spellStart"/>
            <w:r w:rsidRPr="002F5D6F">
              <w:rPr>
                <w:color w:val="000000" w:themeColor="text1"/>
                <w:szCs w:val="24"/>
              </w:rPr>
              <w:t>Category</w:t>
            </w:r>
            <w:proofErr w:type="spellEnd"/>
            <w:r w:rsidRPr="002F5D6F">
              <w:rPr>
                <w:color w:val="000000" w:themeColor="text1"/>
                <w:szCs w:val="24"/>
              </w:rPr>
              <w:t xml:space="preserve"> G</w:t>
            </w:r>
          </w:p>
        </w:tc>
        <w:tc>
          <w:tcPr>
            <w:tcW w:w="6798" w:type="dxa"/>
          </w:tcPr>
          <w:p w:rsidR="00857364" w:rsidRPr="002F5D6F" w:rsidRDefault="00857364" w:rsidP="00426E3C">
            <w:pPr>
              <w:spacing w:line="360" w:lineRule="auto"/>
              <w:jc w:val="both"/>
              <w:rPr>
                <w:color w:val="000000" w:themeColor="text1"/>
                <w:szCs w:val="24"/>
                <w:lang w:val="en-US"/>
              </w:rPr>
            </w:pPr>
            <w:r w:rsidRPr="002F5D6F">
              <w:rPr>
                <w:color w:val="000000" w:themeColor="text1"/>
                <w:szCs w:val="24"/>
                <w:lang w:val="en-US"/>
              </w:rPr>
              <w:t>An event occurred that may have contributed to or resulted in permanent patient harm</w:t>
            </w:r>
          </w:p>
        </w:tc>
      </w:tr>
      <w:tr w:rsidR="00857364" w:rsidRPr="00857364" w:rsidTr="00426E3C">
        <w:tc>
          <w:tcPr>
            <w:tcW w:w="1696" w:type="dxa"/>
          </w:tcPr>
          <w:p w:rsidR="00857364" w:rsidRPr="002F5D6F" w:rsidRDefault="00857364" w:rsidP="00426E3C">
            <w:pPr>
              <w:spacing w:line="360" w:lineRule="auto"/>
              <w:jc w:val="both"/>
              <w:rPr>
                <w:color w:val="000000" w:themeColor="text1"/>
                <w:szCs w:val="24"/>
              </w:rPr>
            </w:pPr>
            <w:proofErr w:type="spellStart"/>
            <w:r w:rsidRPr="002F5D6F">
              <w:rPr>
                <w:color w:val="000000" w:themeColor="text1"/>
                <w:szCs w:val="24"/>
              </w:rPr>
              <w:t>Category</w:t>
            </w:r>
            <w:proofErr w:type="spellEnd"/>
            <w:r w:rsidRPr="002F5D6F">
              <w:rPr>
                <w:color w:val="000000" w:themeColor="text1"/>
                <w:szCs w:val="24"/>
              </w:rPr>
              <w:t xml:space="preserve"> H</w:t>
            </w:r>
          </w:p>
        </w:tc>
        <w:tc>
          <w:tcPr>
            <w:tcW w:w="6798" w:type="dxa"/>
          </w:tcPr>
          <w:p w:rsidR="00857364" w:rsidRPr="002F5D6F" w:rsidRDefault="00857364" w:rsidP="00426E3C">
            <w:pPr>
              <w:spacing w:line="360" w:lineRule="auto"/>
              <w:jc w:val="both"/>
              <w:rPr>
                <w:color w:val="000000" w:themeColor="text1"/>
                <w:szCs w:val="24"/>
                <w:lang w:val="en-US"/>
              </w:rPr>
            </w:pPr>
            <w:r w:rsidRPr="002F5D6F">
              <w:rPr>
                <w:color w:val="000000" w:themeColor="text1"/>
                <w:szCs w:val="24"/>
                <w:lang w:val="en-US"/>
              </w:rPr>
              <w:t>An event occurred that required intervention necessary to sustain life</w:t>
            </w:r>
          </w:p>
        </w:tc>
      </w:tr>
      <w:tr w:rsidR="00857364" w:rsidRPr="00857364" w:rsidTr="00426E3C">
        <w:tc>
          <w:tcPr>
            <w:tcW w:w="1696" w:type="dxa"/>
          </w:tcPr>
          <w:p w:rsidR="00857364" w:rsidRPr="002F5D6F" w:rsidRDefault="00857364" w:rsidP="00426E3C">
            <w:pPr>
              <w:spacing w:line="360" w:lineRule="auto"/>
              <w:jc w:val="both"/>
              <w:rPr>
                <w:color w:val="000000" w:themeColor="text1"/>
                <w:szCs w:val="24"/>
              </w:rPr>
            </w:pPr>
            <w:proofErr w:type="spellStart"/>
            <w:r w:rsidRPr="002F5D6F">
              <w:rPr>
                <w:color w:val="000000" w:themeColor="text1"/>
                <w:szCs w:val="24"/>
              </w:rPr>
              <w:t>Category</w:t>
            </w:r>
            <w:proofErr w:type="spellEnd"/>
            <w:r w:rsidRPr="002F5D6F">
              <w:rPr>
                <w:color w:val="000000" w:themeColor="text1"/>
                <w:szCs w:val="24"/>
              </w:rPr>
              <w:t xml:space="preserve"> I</w:t>
            </w:r>
          </w:p>
        </w:tc>
        <w:tc>
          <w:tcPr>
            <w:tcW w:w="6798" w:type="dxa"/>
          </w:tcPr>
          <w:p w:rsidR="00857364" w:rsidRPr="002F5D6F" w:rsidRDefault="00857364" w:rsidP="00426E3C">
            <w:pPr>
              <w:spacing w:line="360" w:lineRule="auto"/>
              <w:jc w:val="both"/>
              <w:rPr>
                <w:color w:val="000000" w:themeColor="text1"/>
                <w:szCs w:val="24"/>
                <w:lang w:val="en-US"/>
              </w:rPr>
            </w:pPr>
            <w:r w:rsidRPr="002F5D6F">
              <w:rPr>
                <w:color w:val="000000" w:themeColor="text1"/>
                <w:szCs w:val="24"/>
                <w:lang w:val="en-US"/>
              </w:rPr>
              <w:t>An event occurred that may have contributed to or resulted in the patient’s death</w:t>
            </w:r>
          </w:p>
        </w:tc>
      </w:tr>
    </w:tbl>
    <w:p w:rsidR="00857364" w:rsidRPr="002F5D6F" w:rsidRDefault="00857364" w:rsidP="00857364">
      <w:pPr>
        <w:autoSpaceDE w:val="0"/>
        <w:autoSpaceDN w:val="0"/>
        <w:adjustRightInd w:val="0"/>
        <w:spacing w:line="360" w:lineRule="auto"/>
        <w:jc w:val="both"/>
        <w:rPr>
          <w:color w:val="000000" w:themeColor="text1"/>
          <w:szCs w:val="24"/>
          <w:lang w:val="en-US"/>
        </w:rPr>
      </w:pPr>
    </w:p>
    <w:p w:rsidR="00857364" w:rsidRPr="002F5D6F" w:rsidRDefault="00857364" w:rsidP="00857364">
      <w:pPr>
        <w:autoSpaceDE w:val="0"/>
        <w:autoSpaceDN w:val="0"/>
        <w:adjustRightInd w:val="0"/>
        <w:spacing w:line="360" w:lineRule="auto"/>
        <w:jc w:val="both"/>
        <w:rPr>
          <w:color w:val="000000" w:themeColor="text1"/>
          <w:szCs w:val="24"/>
          <w:lang w:val="en-US"/>
        </w:rPr>
      </w:pPr>
      <w:r w:rsidRPr="002F5D6F">
        <w:rPr>
          <w:color w:val="000000" w:themeColor="text1"/>
          <w:szCs w:val="24"/>
          <w:lang w:val="en-US"/>
        </w:rPr>
        <w:t xml:space="preserve">* </w:t>
      </w:r>
      <w:proofErr w:type="gramStart"/>
      <w:r w:rsidRPr="002F5D6F">
        <w:rPr>
          <w:color w:val="000000" w:themeColor="text1"/>
          <w:szCs w:val="24"/>
          <w:lang w:val="en-US"/>
        </w:rPr>
        <w:t>the</w:t>
      </w:r>
      <w:proofErr w:type="gramEnd"/>
      <w:r w:rsidRPr="002F5D6F">
        <w:rPr>
          <w:color w:val="000000" w:themeColor="text1"/>
          <w:szCs w:val="24"/>
          <w:lang w:val="en-US"/>
        </w:rPr>
        <w:t xml:space="preserve"> trigger tool utilizes the categories E, F, G, H e I of the National Coordinating Council Medication Error Reporting and Prevention (NCC MERP) Index because these categories are related with harm and the categories A, B, C e D are not related to harm. The expression “an error” of the original index were exchange to “an event” because in this paper the focus is adverse drug event and not only medication error.  </w:t>
      </w:r>
    </w:p>
    <w:p w:rsidR="00857364" w:rsidRPr="002F5D6F" w:rsidRDefault="00857364" w:rsidP="00857364">
      <w:pPr>
        <w:autoSpaceDE w:val="0"/>
        <w:autoSpaceDN w:val="0"/>
        <w:adjustRightInd w:val="0"/>
        <w:jc w:val="both"/>
        <w:rPr>
          <w:b/>
          <w:color w:val="000000" w:themeColor="text1"/>
          <w:szCs w:val="24"/>
          <w:lang w:val="en-US"/>
        </w:rPr>
      </w:pPr>
    </w:p>
    <w:p w:rsidR="00857364" w:rsidRPr="00D4275F" w:rsidRDefault="00857364" w:rsidP="00857364">
      <w:pPr>
        <w:autoSpaceDE w:val="0"/>
        <w:autoSpaceDN w:val="0"/>
        <w:adjustRightInd w:val="0"/>
        <w:jc w:val="both"/>
        <w:rPr>
          <w:color w:val="000000" w:themeColor="text1"/>
          <w:szCs w:val="24"/>
        </w:rPr>
      </w:pPr>
      <w:proofErr w:type="spellStart"/>
      <w:r w:rsidRPr="00D4275F">
        <w:rPr>
          <w:b/>
          <w:color w:val="000000" w:themeColor="text1"/>
          <w:szCs w:val="24"/>
        </w:rPr>
        <w:t>References</w:t>
      </w:r>
      <w:proofErr w:type="spellEnd"/>
      <w:r w:rsidRPr="00D4275F">
        <w:rPr>
          <w:color w:val="000000" w:themeColor="text1"/>
          <w:szCs w:val="24"/>
        </w:rPr>
        <w:t>:</w:t>
      </w:r>
    </w:p>
    <w:p w:rsidR="00857364" w:rsidRPr="00274D8C" w:rsidRDefault="00857364" w:rsidP="00857364">
      <w:pPr>
        <w:pStyle w:val="Pa7"/>
        <w:spacing w:after="160" w:line="360" w:lineRule="auto"/>
        <w:contextualSpacing/>
        <w:jc w:val="both"/>
        <w:rPr>
          <w:rFonts w:ascii="Times New Roman" w:hAnsi="Times New Roman" w:cs="Times New Roman"/>
          <w:color w:val="000000"/>
          <w:lang w:val="en-US"/>
        </w:rPr>
      </w:pPr>
      <w:r w:rsidRPr="00274D8C">
        <w:rPr>
          <w:rFonts w:ascii="Times New Roman" w:hAnsi="Times New Roman" w:cs="Times New Roman"/>
          <w:color w:val="000000"/>
          <w:vertAlign w:val="superscript"/>
        </w:rPr>
        <w:t>1</w:t>
      </w:r>
      <w:r w:rsidRPr="00274D8C">
        <w:rPr>
          <w:rFonts w:ascii="Times New Roman" w:hAnsi="Times New Roman" w:cs="Times New Roman"/>
          <w:color w:val="000000"/>
        </w:rPr>
        <w:t xml:space="preserve">Lopes, FM. Manual de rastreadores em pediatria: medindo eventos adversos a medicamentos em hospital pediátrico [e-book]. </w:t>
      </w:r>
      <w:proofErr w:type="spellStart"/>
      <w:r w:rsidRPr="00274D8C">
        <w:rPr>
          <w:rFonts w:ascii="Times New Roman" w:hAnsi="Times New Roman" w:cs="Times New Roman"/>
          <w:color w:val="000000"/>
          <w:lang w:val="en-US"/>
        </w:rPr>
        <w:t>Goiânia</w:t>
      </w:r>
      <w:proofErr w:type="spellEnd"/>
      <w:r w:rsidRPr="00274D8C">
        <w:rPr>
          <w:rFonts w:ascii="Times New Roman" w:hAnsi="Times New Roman" w:cs="Times New Roman"/>
          <w:color w:val="000000"/>
          <w:lang w:val="en-US"/>
        </w:rPr>
        <w:t xml:space="preserve">: </w:t>
      </w:r>
      <w:proofErr w:type="spellStart"/>
      <w:r w:rsidRPr="00274D8C">
        <w:rPr>
          <w:rFonts w:ascii="Times New Roman" w:hAnsi="Times New Roman" w:cs="Times New Roman"/>
          <w:color w:val="000000"/>
          <w:lang w:val="en-US"/>
        </w:rPr>
        <w:t>Editora</w:t>
      </w:r>
      <w:proofErr w:type="spellEnd"/>
      <w:r w:rsidRPr="00274D8C">
        <w:rPr>
          <w:rFonts w:ascii="Times New Roman" w:hAnsi="Times New Roman" w:cs="Times New Roman"/>
          <w:color w:val="000000"/>
          <w:lang w:val="en-US"/>
        </w:rPr>
        <w:t xml:space="preserve"> UFG; 2017. </w:t>
      </w:r>
      <w:proofErr w:type="gramStart"/>
      <w:r w:rsidRPr="00274D8C">
        <w:rPr>
          <w:rFonts w:ascii="Times New Roman" w:hAnsi="Times New Roman" w:cs="Times New Roman"/>
          <w:color w:val="000000"/>
          <w:lang w:val="en-US"/>
        </w:rPr>
        <w:t>71</w:t>
      </w:r>
      <w:proofErr w:type="gramEnd"/>
      <w:r w:rsidRPr="00274D8C">
        <w:rPr>
          <w:rFonts w:ascii="Times New Roman" w:hAnsi="Times New Roman" w:cs="Times New Roman"/>
          <w:color w:val="000000"/>
          <w:lang w:val="en-US"/>
        </w:rPr>
        <w:t xml:space="preserve"> p. Available from: </w:t>
      </w:r>
      <w:hyperlink r:id="rId4" w:history="1">
        <w:r w:rsidRPr="00274D8C">
          <w:rPr>
            <w:rStyle w:val="Hyperlink"/>
            <w:rFonts w:ascii="Times New Roman" w:hAnsi="Times New Roman" w:cs="Times New Roman"/>
            <w:lang w:val="en-US"/>
          </w:rPr>
          <w:t>https://lapesf.farmacia.ufg.br/up/828/o/e-book_manual_de_rastreadores_(1).pdf?1508417612</w:t>
        </w:r>
      </w:hyperlink>
      <w:r w:rsidRPr="00274D8C">
        <w:rPr>
          <w:rFonts w:ascii="Times New Roman" w:hAnsi="Times New Roman" w:cs="Times New Roman"/>
          <w:color w:val="000000"/>
          <w:lang w:val="en-US"/>
        </w:rPr>
        <w:t>. (</w:t>
      </w:r>
      <w:bookmarkStart w:id="0" w:name="_GoBack"/>
      <w:bookmarkEnd w:id="0"/>
      <w:r>
        <w:rPr>
          <w:rFonts w:ascii="Times New Roman" w:hAnsi="Times New Roman" w:cs="Times New Roman"/>
          <w:color w:val="000000"/>
          <w:lang w:val="en-US"/>
        </w:rPr>
        <w:t>reference 15)</w:t>
      </w:r>
    </w:p>
    <w:p w:rsidR="00857364" w:rsidRPr="00274D8C" w:rsidRDefault="00857364" w:rsidP="00857364">
      <w:pPr>
        <w:pStyle w:val="Pa7"/>
        <w:spacing w:after="160" w:line="360" w:lineRule="auto"/>
        <w:contextualSpacing/>
        <w:jc w:val="both"/>
        <w:rPr>
          <w:rFonts w:ascii="Times New Roman" w:hAnsi="Times New Roman" w:cs="Times New Roman"/>
          <w:color w:val="000000" w:themeColor="text1"/>
          <w:lang w:val="en-US"/>
        </w:rPr>
      </w:pPr>
      <w:r w:rsidRPr="00274D8C">
        <w:rPr>
          <w:rFonts w:ascii="Times New Roman" w:hAnsi="Times New Roman" w:cs="Times New Roman"/>
          <w:color w:val="000000" w:themeColor="text1"/>
          <w:vertAlign w:val="superscript"/>
          <w:lang w:val="en-US"/>
        </w:rPr>
        <w:t>2</w:t>
      </w:r>
      <w:r w:rsidRPr="00274D8C">
        <w:rPr>
          <w:rFonts w:ascii="Times New Roman" w:hAnsi="Times New Roman" w:cs="Times New Roman"/>
          <w:color w:val="000000" w:themeColor="text1"/>
          <w:lang w:val="en-US"/>
        </w:rPr>
        <w:t xml:space="preserve">Griffin F, </w:t>
      </w:r>
      <w:proofErr w:type="spellStart"/>
      <w:r w:rsidRPr="00274D8C">
        <w:rPr>
          <w:rFonts w:ascii="Times New Roman" w:hAnsi="Times New Roman" w:cs="Times New Roman"/>
          <w:color w:val="000000" w:themeColor="text1"/>
          <w:lang w:val="en-US"/>
        </w:rPr>
        <w:t>Resar</w:t>
      </w:r>
      <w:proofErr w:type="spellEnd"/>
      <w:r w:rsidRPr="00274D8C">
        <w:rPr>
          <w:rFonts w:ascii="Times New Roman" w:hAnsi="Times New Roman" w:cs="Times New Roman"/>
          <w:color w:val="000000" w:themeColor="text1"/>
          <w:lang w:val="en-US"/>
        </w:rPr>
        <w:t xml:space="preserve"> R. IHI Global Trigger Tool for measuring adverse events. IHI </w:t>
      </w:r>
      <w:proofErr w:type="spellStart"/>
      <w:r w:rsidRPr="00274D8C">
        <w:rPr>
          <w:rFonts w:ascii="Times New Roman" w:hAnsi="Times New Roman" w:cs="Times New Roman"/>
          <w:color w:val="000000" w:themeColor="text1"/>
          <w:lang w:val="en-US"/>
        </w:rPr>
        <w:t>Innov</w:t>
      </w:r>
      <w:proofErr w:type="spellEnd"/>
      <w:r w:rsidRPr="00274D8C">
        <w:rPr>
          <w:rFonts w:ascii="Times New Roman" w:hAnsi="Times New Roman" w:cs="Times New Roman"/>
          <w:color w:val="000000" w:themeColor="text1"/>
          <w:lang w:val="en-US"/>
        </w:rPr>
        <w:t xml:space="preserve"> </w:t>
      </w:r>
      <w:proofErr w:type="spellStart"/>
      <w:r w:rsidRPr="00274D8C">
        <w:rPr>
          <w:rFonts w:ascii="Times New Roman" w:hAnsi="Times New Roman" w:cs="Times New Roman"/>
          <w:color w:val="000000" w:themeColor="text1"/>
          <w:lang w:val="en-US"/>
        </w:rPr>
        <w:t>Ser</w:t>
      </w:r>
      <w:proofErr w:type="spellEnd"/>
      <w:r w:rsidRPr="00274D8C">
        <w:rPr>
          <w:rFonts w:ascii="Times New Roman" w:hAnsi="Times New Roman" w:cs="Times New Roman"/>
          <w:color w:val="000000" w:themeColor="text1"/>
          <w:lang w:val="en-US"/>
        </w:rPr>
        <w:t xml:space="preserve"> white Pap. 2009</w:t>
      </w:r>
      <w:proofErr w:type="gramStart"/>
      <w:r w:rsidRPr="00274D8C">
        <w:rPr>
          <w:rFonts w:ascii="Times New Roman" w:hAnsi="Times New Roman" w:cs="Times New Roman"/>
          <w:color w:val="000000" w:themeColor="text1"/>
          <w:lang w:val="en-US"/>
        </w:rPr>
        <w:t>;1</w:t>
      </w:r>
      <w:proofErr w:type="gramEnd"/>
      <w:r w:rsidRPr="00274D8C">
        <w:rPr>
          <w:rFonts w:ascii="Times New Roman" w:hAnsi="Times New Roman" w:cs="Times New Roman"/>
          <w:color w:val="000000" w:themeColor="text1"/>
          <w:lang w:val="en-US"/>
        </w:rPr>
        <w:t>–44. (</w:t>
      </w:r>
      <w:proofErr w:type="gramStart"/>
      <w:r>
        <w:rPr>
          <w:rFonts w:ascii="Times New Roman" w:hAnsi="Times New Roman" w:cs="Times New Roman"/>
          <w:color w:val="000000" w:themeColor="text1"/>
          <w:lang w:val="en-US"/>
        </w:rPr>
        <w:t>reference</w:t>
      </w:r>
      <w:proofErr w:type="gramEnd"/>
      <w:r>
        <w:rPr>
          <w:rFonts w:ascii="Times New Roman" w:hAnsi="Times New Roman" w:cs="Times New Roman"/>
          <w:color w:val="000000" w:themeColor="text1"/>
          <w:lang w:val="en-US"/>
        </w:rPr>
        <w:t xml:space="preserve"> 17</w:t>
      </w:r>
      <w:r w:rsidRPr="00274D8C">
        <w:rPr>
          <w:rFonts w:ascii="Times New Roman" w:hAnsi="Times New Roman" w:cs="Times New Roman"/>
          <w:color w:val="000000" w:themeColor="text1"/>
          <w:lang w:val="en-US"/>
        </w:rPr>
        <w:t>)</w:t>
      </w:r>
    </w:p>
    <w:p w:rsidR="00857364" w:rsidRPr="00274D8C" w:rsidRDefault="00857364" w:rsidP="00857364">
      <w:pPr>
        <w:pStyle w:val="Pa7"/>
        <w:spacing w:after="160" w:line="360" w:lineRule="auto"/>
        <w:contextualSpacing/>
        <w:jc w:val="both"/>
        <w:rPr>
          <w:rFonts w:ascii="Times New Roman" w:hAnsi="Times New Roman" w:cs="Times New Roman"/>
          <w:color w:val="000000" w:themeColor="text1"/>
          <w:lang w:val="en-US"/>
        </w:rPr>
      </w:pPr>
      <w:r w:rsidRPr="00274D8C">
        <w:rPr>
          <w:rFonts w:ascii="Times New Roman" w:hAnsi="Times New Roman" w:cs="Times New Roman"/>
          <w:color w:val="000000" w:themeColor="text1"/>
          <w:vertAlign w:val="superscript"/>
          <w:lang w:val="en-US"/>
        </w:rPr>
        <w:t>3</w:t>
      </w:r>
      <w:r w:rsidRPr="00274D8C">
        <w:rPr>
          <w:rFonts w:ascii="Times New Roman" w:hAnsi="Times New Roman" w:cs="Times New Roman"/>
          <w:color w:val="222222"/>
          <w:lang w:val="en-US"/>
        </w:rPr>
        <w:t xml:space="preserve">National Coordinating Council for Medication Error Reporting and Prevention (NCC MERP) Index for Categorizing Errors. </w:t>
      </w:r>
      <w:r>
        <w:rPr>
          <w:rFonts w:ascii="Times New Roman" w:hAnsi="Times New Roman" w:cs="Times New Roman"/>
          <w:color w:val="000000" w:themeColor="text1"/>
          <w:lang w:val="en-US"/>
        </w:rPr>
        <w:t xml:space="preserve">[Cited </w:t>
      </w:r>
      <w:r w:rsidRPr="00274D8C">
        <w:rPr>
          <w:rFonts w:ascii="Times New Roman" w:hAnsi="Times New Roman" w:cs="Times New Roman"/>
          <w:color w:val="000000" w:themeColor="text1"/>
          <w:lang w:val="en-US"/>
        </w:rPr>
        <w:t>2018</w:t>
      </w:r>
      <w:r>
        <w:rPr>
          <w:rFonts w:ascii="Times New Roman" w:hAnsi="Times New Roman" w:cs="Times New Roman"/>
          <w:color w:val="000000" w:themeColor="text1"/>
          <w:lang w:val="en-US"/>
        </w:rPr>
        <w:t xml:space="preserve"> Dec 26</w:t>
      </w:r>
      <w:r w:rsidRPr="00274D8C">
        <w:rPr>
          <w:rFonts w:ascii="Times New Roman" w:hAnsi="Times New Roman" w:cs="Times New Roman"/>
          <w:color w:val="000000" w:themeColor="text1"/>
          <w:lang w:val="en-US"/>
        </w:rPr>
        <w:t>]. Available from:</w:t>
      </w:r>
      <w:r w:rsidRPr="00274D8C">
        <w:rPr>
          <w:rFonts w:ascii="Times New Roman" w:hAnsi="Times New Roman" w:cs="Times New Roman"/>
          <w:color w:val="222222"/>
          <w:lang w:val="en-US"/>
        </w:rPr>
        <w:t> </w:t>
      </w:r>
      <w:hyperlink r:id="rId5" w:tgtFrame="_blank" w:history="1">
        <w:r w:rsidRPr="00274D8C">
          <w:rPr>
            <w:rStyle w:val="Hyperlink"/>
            <w:rFonts w:ascii="Times New Roman" w:hAnsi="Times New Roman" w:cs="Times New Roman"/>
            <w:color w:val="1155CC"/>
            <w:lang w:val="en-US"/>
          </w:rPr>
          <w:t>https://www.nccmerp.org/types-medication-errors</w:t>
        </w:r>
      </w:hyperlink>
      <w:r w:rsidRPr="00274D8C">
        <w:rPr>
          <w:rFonts w:ascii="Times New Roman" w:hAnsi="Times New Roman" w:cs="Times New Roman"/>
          <w:color w:val="222222"/>
          <w:lang w:val="en-US"/>
        </w:rPr>
        <w:t> </w:t>
      </w:r>
    </w:p>
    <w:p w:rsidR="00857364" w:rsidRPr="002F5D6F" w:rsidRDefault="00857364" w:rsidP="00857364">
      <w:pPr>
        <w:spacing w:line="360" w:lineRule="auto"/>
        <w:jc w:val="both"/>
        <w:rPr>
          <w:b/>
          <w:color w:val="000000" w:themeColor="text1"/>
          <w:szCs w:val="24"/>
          <w:lang w:val="en-US"/>
        </w:rPr>
      </w:pPr>
      <w:r w:rsidRPr="002F5D6F">
        <w:rPr>
          <w:b/>
          <w:color w:val="000000" w:themeColor="text1"/>
          <w:szCs w:val="24"/>
          <w:lang w:val="en-US"/>
        </w:rPr>
        <w:lastRenderedPageBreak/>
        <w:t xml:space="preserve">Outcomes measures included: </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 Measure 1: Adverse drug events per 1,000 patient-days</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(Total number of adverse drug events/Total length of stay for all charts reviewed) x 1000</w:t>
      </w:r>
    </w:p>
    <w:p w:rsidR="00857364" w:rsidRPr="002F5D6F" w:rsidRDefault="00857364" w:rsidP="00857364">
      <w:pPr>
        <w:spacing w:line="360" w:lineRule="auto"/>
        <w:jc w:val="both"/>
        <w:rPr>
          <w:color w:val="000000" w:themeColor="text1"/>
          <w:szCs w:val="24"/>
          <w:lang w:val="en-US"/>
        </w:rPr>
      </w:pP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 Measure 2: Adverse drug events per 100 admissions</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(Total number of adverse drug events/Total charts reviewed) x 100</w:t>
      </w:r>
    </w:p>
    <w:p w:rsidR="00857364" w:rsidRPr="002F5D6F" w:rsidRDefault="00857364" w:rsidP="00857364">
      <w:pPr>
        <w:spacing w:line="360" w:lineRule="auto"/>
        <w:jc w:val="both"/>
        <w:rPr>
          <w:color w:val="000000" w:themeColor="text1"/>
          <w:szCs w:val="24"/>
          <w:lang w:val="en-US"/>
        </w:rPr>
      </w:pP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 Measure 3: Adverse drug events per 1000 drugs</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(Total number of adverse drug events/Total number of drugs) x 1000</w:t>
      </w:r>
    </w:p>
    <w:p w:rsidR="00857364" w:rsidRPr="002F5D6F" w:rsidRDefault="00857364" w:rsidP="00857364">
      <w:pPr>
        <w:spacing w:line="360" w:lineRule="auto"/>
        <w:jc w:val="both"/>
        <w:rPr>
          <w:color w:val="000000" w:themeColor="text1"/>
          <w:szCs w:val="24"/>
          <w:lang w:val="en-US"/>
        </w:rPr>
      </w:pP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 Measure 4: Adverse drug events per 1000 drug doses</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(Total number of adverse drug events/Total number of drug doses) x 1000</w:t>
      </w:r>
    </w:p>
    <w:p w:rsidR="00857364" w:rsidRPr="002F5D6F" w:rsidRDefault="00857364" w:rsidP="00857364">
      <w:pPr>
        <w:spacing w:line="360" w:lineRule="auto"/>
        <w:jc w:val="both"/>
        <w:rPr>
          <w:color w:val="000000" w:themeColor="text1"/>
          <w:szCs w:val="24"/>
          <w:lang w:val="en-US"/>
        </w:rPr>
      </w:pP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 Measure 5: Percent of admissions with an adverse drug event (number of admissions with at least one adverse event)</w:t>
      </w:r>
    </w:p>
    <w:p w:rsidR="00857364" w:rsidRPr="002F5D6F" w:rsidRDefault="00857364" w:rsidP="00857364">
      <w:pPr>
        <w:spacing w:line="360" w:lineRule="auto"/>
        <w:jc w:val="both"/>
        <w:rPr>
          <w:color w:val="000000" w:themeColor="text1"/>
          <w:szCs w:val="24"/>
          <w:lang w:val="en-US"/>
        </w:rPr>
      </w:pPr>
      <w:r w:rsidRPr="002F5D6F">
        <w:rPr>
          <w:color w:val="000000" w:themeColor="text1"/>
          <w:szCs w:val="24"/>
          <w:lang w:val="en-US"/>
        </w:rPr>
        <w:t>(Total number of charts with at least one adverse drug events/Total charts reviewed) x 1000</w:t>
      </w:r>
    </w:p>
    <w:p w:rsidR="00857364" w:rsidRPr="002F5D6F" w:rsidRDefault="00857364" w:rsidP="00857364">
      <w:pPr>
        <w:spacing w:line="360" w:lineRule="auto"/>
        <w:jc w:val="both"/>
        <w:rPr>
          <w:color w:val="000000" w:themeColor="text1"/>
          <w:szCs w:val="24"/>
          <w:lang w:val="en-US"/>
        </w:rPr>
      </w:pPr>
    </w:p>
    <w:p w:rsidR="00655F18" w:rsidRPr="00857364" w:rsidRDefault="00655F18" w:rsidP="00857364">
      <w:pPr>
        <w:rPr>
          <w:lang w:val="en-US"/>
        </w:rPr>
      </w:pPr>
    </w:p>
    <w:sectPr w:rsidR="00655F18" w:rsidRPr="008573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sen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8F"/>
    <w:rsid w:val="0019713C"/>
    <w:rsid w:val="001D7FE8"/>
    <w:rsid w:val="002B4B81"/>
    <w:rsid w:val="002B5E2E"/>
    <w:rsid w:val="00433F3A"/>
    <w:rsid w:val="004F7C7B"/>
    <w:rsid w:val="00655F18"/>
    <w:rsid w:val="00717AFF"/>
    <w:rsid w:val="007F5E8F"/>
    <w:rsid w:val="00857364"/>
    <w:rsid w:val="00883309"/>
    <w:rsid w:val="008F46F7"/>
    <w:rsid w:val="00987B4C"/>
    <w:rsid w:val="009D629B"/>
    <w:rsid w:val="00A80D5E"/>
    <w:rsid w:val="00C86522"/>
    <w:rsid w:val="00D11001"/>
    <w:rsid w:val="00D202E3"/>
    <w:rsid w:val="00D462E6"/>
    <w:rsid w:val="00EB1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723F"/>
  <w15:chartTrackingRefBased/>
  <w15:docId w15:val="{4C0B26CE-8157-4491-97CD-38AEB9B1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64"/>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F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F5E8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uiPriority w:val="99"/>
    <w:rsid w:val="00857364"/>
    <w:rPr>
      <w:color w:val="0000FF"/>
      <w:u w:val="single"/>
    </w:rPr>
  </w:style>
  <w:style w:type="paragraph" w:customStyle="1" w:styleId="Pa7">
    <w:name w:val="Pa7"/>
    <w:basedOn w:val="Normal"/>
    <w:next w:val="Normal"/>
    <w:uiPriority w:val="99"/>
    <w:rsid w:val="00857364"/>
    <w:pPr>
      <w:autoSpaceDE w:val="0"/>
      <w:autoSpaceDN w:val="0"/>
      <w:adjustRightInd w:val="0"/>
      <w:spacing w:line="161" w:lineRule="atLeast"/>
    </w:pPr>
    <w:rPr>
      <w:rFonts w:ascii="Arsenal" w:eastAsiaTheme="minorHAnsi" w:hAnsi="Arsenal"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cmerp.org/types-medication-errors" TargetMode="External"/><Relationship Id="rId4" Type="http://schemas.openxmlformats.org/officeDocument/2006/relationships/hyperlink" Target="https://lapesf.farmacia.ufg.br/up/828/o/e-book_manual_de_rastreadores_(1).pdf?150841761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1934</TotalTime>
  <Pages>2</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desconhecido</dc:creator>
  <cp:keywords/>
  <dc:description/>
  <cp:lastModifiedBy>Autor desconhecido</cp:lastModifiedBy>
  <cp:revision>5</cp:revision>
  <dcterms:created xsi:type="dcterms:W3CDTF">2018-11-14T19:19:00Z</dcterms:created>
  <dcterms:modified xsi:type="dcterms:W3CDTF">2019-03-01T14:51:00Z</dcterms:modified>
</cp:coreProperties>
</file>