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7ED45E" w14:textId="77777777" w:rsidR="00BE7F9F" w:rsidRDefault="00BE7F9F">
      <w:r>
        <w:t>Appendi</w:t>
      </w:r>
      <w:r w:rsidR="00156045">
        <w:t>x</w:t>
      </w:r>
      <w:r>
        <w:t>.</w:t>
      </w:r>
      <w:r w:rsidR="006F1944">
        <w:t xml:space="preserve"> Additional material online.</w:t>
      </w:r>
    </w:p>
    <w:p w14:paraId="61A5C95A" w14:textId="77777777" w:rsidR="00156045" w:rsidRDefault="00156045"/>
    <w:p w14:paraId="302A6C2B" w14:textId="77777777" w:rsidR="00BE7F9F" w:rsidRDefault="00BE7F9F">
      <w:bookmarkStart w:id="0" w:name="_GoBack"/>
      <w:r>
        <w:t>Table 5</w:t>
      </w:r>
      <w:r w:rsidR="00661F04">
        <w:t xml:space="preserve"> (additional material)</w:t>
      </w:r>
      <w:r>
        <w:t xml:space="preserve">. Summary of protocolized specific treatments for COVID-19 </w:t>
      </w:r>
      <w:r w:rsidR="00F216DB">
        <w:t xml:space="preserve">ICU </w:t>
      </w:r>
      <w:bookmarkEnd w:id="0"/>
      <w:r>
        <w:t>patients</w:t>
      </w:r>
      <w:r w:rsidR="00156045">
        <w:t xml:space="preserve"> (usual therapy is not showed, as is antibiotic treatments guided by antibiogram in the case of coinfections)</w:t>
      </w:r>
      <w:r>
        <w:t>.</w:t>
      </w:r>
    </w:p>
    <w:p w14:paraId="66848BBB" w14:textId="77777777" w:rsidR="00156045" w:rsidRDefault="0015604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2"/>
      </w:tblGrid>
      <w:tr w:rsidR="00BE7F9F" w14:paraId="6BB0E308" w14:textId="77777777" w:rsidTr="00BE7F9F">
        <w:tc>
          <w:tcPr>
            <w:tcW w:w="9622" w:type="dxa"/>
          </w:tcPr>
          <w:p w14:paraId="05F1642C" w14:textId="77777777" w:rsidR="00F27835" w:rsidRPr="00F50FE7" w:rsidRDefault="00F27835" w:rsidP="00156045">
            <w:pPr>
              <w:rPr>
                <w:i/>
                <w:iCs/>
              </w:rPr>
            </w:pPr>
            <w:r w:rsidRPr="00F50FE7">
              <w:rPr>
                <w:i/>
                <w:iCs/>
              </w:rPr>
              <w:t>Respiratory infection without pneumonia, patient with comorbidities</w:t>
            </w:r>
            <w:r w:rsidR="00F50FE7">
              <w:rPr>
                <w:i/>
                <w:iCs/>
              </w:rPr>
              <w:t xml:space="preserve"> (protocol 1)</w:t>
            </w:r>
            <w:r w:rsidRPr="00F50FE7">
              <w:rPr>
                <w:i/>
                <w:iCs/>
              </w:rPr>
              <w:t>:</w:t>
            </w:r>
          </w:p>
          <w:p w14:paraId="189C9A4B" w14:textId="77777777" w:rsidR="00F27835" w:rsidRDefault="00F27835" w:rsidP="00156045">
            <w:r>
              <w:t xml:space="preserve">Azithromycin </w:t>
            </w:r>
            <w:r w:rsidR="00331376">
              <w:t xml:space="preserve">or clarithromycin </w:t>
            </w:r>
            <w:r>
              <w:t>500 mg/24h po</w:t>
            </w:r>
            <w:r w:rsidR="00331376">
              <w:t>*</w:t>
            </w:r>
            <w:r>
              <w:t xml:space="preserve"> (5 days)</w:t>
            </w:r>
          </w:p>
          <w:p w14:paraId="4AD7EC76" w14:textId="77777777" w:rsidR="00F27835" w:rsidRDefault="00F27835" w:rsidP="00156045">
            <w:r>
              <w:t>Hydrox</w:t>
            </w:r>
            <w:r w:rsidR="00640228">
              <w:t xml:space="preserve">ychloroquine 400 mg/12h </w:t>
            </w:r>
            <w:r w:rsidR="00022141">
              <w:t xml:space="preserve">po </w:t>
            </w:r>
            <w:r w:rsidR="00640228">
              <w:t xml:space="preserve">(1 day), followed by 200 mg/12h </w:t>
            </w:r>
            <w:r w:rsidR="00022141">
              <w:t xml:space="preserve">po </w:t>
            </w:r>
            <w:r w:rsidR="00640228">
              <w:t>(4 days)</w:t>
            </w:r>
          </w:p>
          <w:p w14:paraId="58975411" w14:textId="77777777" w:rsidR="00640228" w:rsidRDefault="00640228" w:rsidP="00156045">
            <w:r>
              <w:t>Enoxaparin 60</w:t>
            </w:r>
            <w:r w:rsidR="00F50FE7">
              <w:t>-80</w:t>
            </w:r>
            <w:r>
              <w:t xml:space="preserve"> mg/24h </w:t>
            </w:r>
            <w:proofErr w:type="spellStart"/>
            <w:r>
              <w:t>sc</w:t>
            </w:r>
            <w:proofErr w:type="spellEnd"/>
          </w:p>
          <w:p w14:paraId="4080EAEA" w14:textId="77777777" w:rsidR="00F27835" w:rsidRPr="00F50FE7" w:rsidRDefault="00F50FE7" w:rsidP="00156045">
            <w:pPr>
              <w:rPr>
                <w:i/>
                <w:iCs/>
              </w:rPr>
            </w:pPr>
            <w:r w:rsidRPr="00F50FE7">
              <w:rPr>
                <w:i/>
                <w:iCs/>
              </w:rPr>
              <w:t>Respiratory infection with pneumonia (irrespective of age, and comorbidities):</w:t>
            </w:r>
          </w:p>
          <w:p w14:paraId="2CC0EB93" w14:textId="77777777" w:rsidR="00F27835" w:rsidRDefault="00F50FE7" w:rsidP="00156045">
            <w:r>
              <w:t>Protocol 1 plus</w:t>
            </w:r>
          </w:p>
          <w:p w14:paraId="001A34B5" w14:textId="77777777" w:rsidR="00F50FE7" w:rsidRDefault="00F50FE7" w:rsidP="00156045">
            <w:r>
              <w:t>Methyl-prednisolone 250 mg/24 (1 day), followed by methyl-prednisolone 40 mg/12h (4 days)</w:t>
            </w:r>
          </w:p>
          <w:p w14:paraId="0864B01D" w14:textId="77777777" w:rsidR="00F50FE7" w:rsidRDefault="00F50FE7" w:rsidP="00156045">
            <w:pPr>
              <w:rPr>
                <w:i/>
                <w:iCs/>
              </w:rPr>
            </w:pPr>
            <w:r w:rsidRPr="00CC000D">
              <w:rPr>
                <w:i/>
                <w:iCs/>
              </w:rPr>
              <w:t>If interstitial pneumonitis with respiratory insufficiency or mechanical ventilation or organ failure (shock or SOFA &gt;</w:t>
            </w:r>
            <w:r w:rsidRPr="00CC000D">
              <w:rPr>
                <w:rFonts w:ascii="Calibri" w:hAnsi="Calibri"/>
                <w:i/>
                <w:iCs/>
              </w:rPr>
              <w:t>=</w:t>
            </w:r>
            <w:r w:rsidRPr="00CC000D">
              <w:rPr>
                <w:i/>
                <w:iCs/>
              </w:rPr>
              <w:t>3) or SIRS criteria or D-dimer &gt; 1500</w:t>
            </w:r>
            <w:r w:rsidR="00CC000D" w:rsidRPr="00CC000D">
              <w:rPr>
                <w:i/>
                <w:iCs/>
              </w:rPr>
              <w:t>, add</w:t>
            </w:r>
            <w:r w:rsidR="00CC000D">
              <w:rPr>
                <w:i/>
                <w:iCs/>
              </w:rPr>
              <w:t xml:space="preserve"> (protocol 2):</w:t>
            </w:r>
          </w:p>
          <w:p w14:paraId="19C51065" w14:textId="77777777" w:rsidR="00612CCA" w:rsidRDefault="00612CCA" w:rsidP="00612CCA">
            <w:proofErr w:type="spellStart"/>
            <w:r w:rsidRPr="00612CCA">
              <w:t>Remdesivir</w:t>
            </w:r>
            <w:proofErr w:type="spellEnd"/>
            <w:r w:rsidRPr="00612CCA">
              <w:t xml:space="preserve"> 200 mg</w:t>
            </w:r>
            <w:r>
              <w:t xml:space="preserve">/24h iv (1 day) followed </w:t>
            </w:r>
            <w:r w:rsidRPr="00612CCA">
              <w:t xml:space="preserve">100 mg </w:t>
            </w:r>
            <w:r>
              <w:t>(2-10 days)</w:t>
            </w:r>
          </w:p>
          <w:p w14:paraId="3812BBF6" w14:textId="77777777" w:rsidR="00CA58EF" w:rsidRPr="00612CCA" w:rsidRDefault="00CA58EF" w:rsidP="00612CCA">
            <w:r>
              <w:t>plus (if inflammatory markers are persistently increased)</w:t>
            </w:r>
          </w:p>
          <w:p w14:paraId="41C1AFAF" w14:textId="77777777" w:rsidR="00F50FE7" w:rsidRDefault="00F50FE7" w:rsidP="00156045">
            <w:r>
              <w:t xml:space="preserve">Tocilizumab </w:t>
            </w:r>
            <w:r w:rsidR="00CC000D">
              <w:t>400-600 mg (1 dose; 2 doses in 48h if there is no clinical improvement)</w:t>
            </w:r>
          </w:p>
          <w:p w14:paraId="3E7DB087" w14:textId="77777777" w:rsidR="00CC000D" w:rsidRPr="00CC000D" w:rsidRDefault="00CC000D" w:rsidP="00156045">
            <w:pPr>
              <w:rPr>
                <w:i/>
                <w:iCs/>
              </w:rPr>
            </w:pPr>
            <w:r w:rsidRPr="00CC000D">
              <w:rPr>
                <w:i/>
                <w:iCs/>
              </w:rPr>
              <w:t>If no improvement add (protocol 3):</w:t>
            </w:r>
          </w:p>
          <w:p w14:paraId="76EA10B8" w14:textId="77777777" w:rsidR="00CC000D" w:rsidRDefault="00CC000D" w:rsidP="00156045">
            <w:proofErr w:type="spellStart"/>
            <w:r>
              <w:t>Anakinra</w:t>
            </w:r>
            <w:proofErr w:type="spellEnd"/>
            <w:r>
              <w:t xml:space="preserve"> 200 mg/24h </w:t>
            </w:r>
            <w:proofErr w:type="spellStart"/>
            <w:r>
              <w:t>sc</w:t>
            </w:r>
            <w:proofErr w:type="spellEnd"/>
            <w:r>
              <w:t xml:space="preserve">, followed by 100 mg/24h </w:t>
            </w:r>
            <w:proofErr w:type="spellStart"/>
            <w:r>
              <w:t>sc</w:t>
            </w:r>
            <w:proofErr w:type="spellEnd"/>
            <w:r w:rsidR="004B1B58">
              <w:t>,</w:t>
            </w:r>
            <w:r>
              <w:t xml:space="preserve"> if no improvement (2-5 days)</w:t>
            </w:r>
          </w:p>
          <w:p w14:paraId="0C904F58" w14:textId="77777777" w:rsidR="004B1B58" w:rsidRPr="004B1B58" w:rsidRDefault="004B1B58" w:rsidP="00156045">
            <w:pPr>
              <w:rPr>
                <w:i/>
                <w:iCs/>
              </w:rPr>
            </w:pPr>
            <w:r w:rsidRPr="004B1B58">
              <w:rPr>
                <w:i/>
                <w:iCs/>
              </w:rPr>
              <w:t>If D-dimer &gt;2000</w:t>
            </w:r>
            <w:r w:rsidR="00331376">
              <w:rPr>
                <w:i/>
                <w:iCs/>
              </w:rPr>
              <w:t>**</w:t>
            </w:r>
            <w:r w:rsidRPr="004B1B58">
              <w:rPr>
                <w:i/>
                <w:iCs/>
              </w:rPr>
              <w:t xml:space="preserve"> add:</w:t>
            </w:r>
          </w:p>
          <w:p w14:paraId="1740970C" w14:textId="77777777" w:rsidR="004B1B58" w:rsidRDefault="004B1B58" w:rsidP="00156045">
            <w:r>
              <w:t xml:space="preserve">Enoxaparin 1.5 mg/kg/24h </w:t>
            </w:r>
            <w:proofErr w:type="spellStart"/>
            <w:r>
              <w:t>sc</w:t>
            </w:r>
            <w:proofErr w:type="spellEnd"/>
            <w:r w:rsidR="00331376">
              <w:t xml:space="preserve"> or </w:t>
            </w:r>
            <w:proofErr w:type="spellStart"/>
            <w:r w:rsidR="00331376">
              <w:t>bemiparin</w:t>
            </w:r>
            <w:proofErr w:type="spellEnd"/>
            <w:r w:rsidR="00331376">
              <w:t xml:space="preserve"> 115 UI/kg/24h (if contraindication </w:t>
            </w:r>
            <w:proofErr w:type="spellStart"/>
            <w:r w:rsidR="00331376">
              <w:t>fondaparinux</w:t>
            </w:r>
            <w:proofErr w:type="spellEnd"/>
            <w:r w:rsidR="00331376">
              <w:t xml:space="preserve"> 2.5 mg/24h </w:t>
            </w:r>
            <w:proofErr w:type="spellStart"/>
            <w:r w:rsidR="00331376">
              <w:t>sc</w:t>
            </w:r>
            <w:proofErr w:type="spellEnd"/>
            <w:r w:rsidR="00331376">
              <w:t>)</w:t>
            </w:r>
          </w:p>
          <w:p w14:paraId="23EF640E" w14:textId="77777777" w:rsidR="00CC000D" w:rsidRDefault="00CC000D" w:rsidP="00156045"/>
          <w:p w14:paraId="31DE2582" w14:textId="77777777" w:rsidR="00F50FE7" w:rsidRPr="00D0256D" w:rsidRDefault="00D0256D" w:rsidP="00156045">
            <w:pPr>
              <w:rPr>
                <w:i/>
                <w:iCs/>
              </w:rPr>
            </w:pPr>
            <w:r w:rsidRPr="00D0256D">
              <w:rPr>
                <w:i/>
                <w:iCs/>
              </w:rPr>
              <w:t>All patients:</w:t>
            </w:r>
          </w:p>
          <w:p w14:paraId="3251BD73" w14:textId="77777777" w:rsidR="00331376" w:rsidRDefault="00331376" w:rsidP="00156045">
            <w:proofErr w:type="spellStart"/>
            <w:r>
              <w:t>Aminoglucosidic</w:t>
            </w:r>
            <w:proofErr w:type="spellEnd"/>
            <w:r>
              <w:t xml:space="preserve"> drugs should be avoided</w:t>
            </w:r>
          </w:p>
          <w:p w14:paraId="04DDBAB9" w14:textId="77777777" w:rsidR="00156045" w:rsidRDefault="00156045" w:rsidP="00156045">
            <w:r>
              <w:t>Ceftriaxone 2g/24h iv</w:t>
            </w:r>
            <w:r w:rsidR="00331376">
              <w:t xml:space="preserve"> (</w:t>
            </w:r>
            <w:r>
              <w:t>5</w:t>
            </w:r>
            <w:r w:rsidR="00F77302">
              <w:t>-7</w:t>
            </w:r>
            <w:r>
              <w:t xml:space="preserve"> da</w:t>
            </w:r>
            <w:r w:rsidR="00331376">
              <w:t>ys)</w:t>
            </w:r>
            <w:r w:rsidR="00FB23A5">
              <w:t>; if allergy change by levofloxacin 500 mg/12h (or linezolid 600 mg/12h)</w:t>
            </w:r>
          </w:p>
          <w:p w14:paraId="49510BCC" w14:textId="77777777" w:rsidR="00FB23A5" w:rsidRPr="00FB23A5" w:rsidRDefault="00FB23A5" w:rsidP="00156045">
            <w:pPr>
              <w:rPr>
                <w:i/>
                <w:iCs/>
              </w:rPr>
            </w:pPr>
            <w:r w:rsidRPr="00FB23A5">
              <w:rPr>
                <w:i/>
                <w:iCs/>
              </w:rPr>
              <w:t>plus</w:t>
            </w:r>
          </w:p>
          <w:p w14:paraId="453E5A9D" w14:textId="77777777" w:rsidR="00BE7F9F" w:rsidRDefault="00156045" w:rsidP="00156045">
            <w:r>
              <w:t>Azithromycin</w:t>
            </w:r>
            <w:r w:rsidR="00F77302">
              <w:t xml:space="preserve"> or clarithromycin </w:t>
            </w:r>
          </w:p>
          <w:p w14:paraId="04271A25" w14:textId="77777777" w:rsidR="00331376" w:rsidRDefault="00331376" w:rsidP="00331376">
            <w:r>
              <w:t>Hydroxychloroquine</w:t>
            </w:r>
          </w:p>
          <w:p w14:paraId="6B22C080" w14:textId="77777777" w:rsidR="00331376" w:rsidRDefault="00661F04" w:rsidP="00661F04">
            <w:r>
              <w:t>Vitamin C</w:t>
            </w:r>
            <w:r w:rsidR="00FB23A5">
              <w:t>#</w:t>
            </w:r>
            <w:r>
              <w:t xml:space="preserve"> 1</w:t>
            </w:r>
            <w:r w:rsidR="00331376">
              <w:t>.</w:t>
            </w:r>
            <w:r>
              <w:t xml:space="preserve">5g/6h </w:t>
            </w:r>
          </w:p>
          <w:p w14:paraId="2F3FDE25" w14:textId="77777777" w:rsidR="00F216DB" w:rsidRDefault="00661F04" w:rsidP="00661F04">
            <w:proofErr w:type="spellStart"/>
            <w:r>
              <w:t>Tiamin</w:t>
            </w:r>
            <w:r w:rsidR="00331376">
              <w:t>e</w:t>
            </w:r>
            <w:proofErr w:type="spellEnd"/>
            <w:r w:rsidR="00FB23A5">
              <w:t>#</w:t>
            </w:r>
            <w:r>
              <w:t xml:space="preserve"> 200mg/12h</w:t>
            </w:r>
          </w:p>
          <w:p w14:paraId="4039FDCB" w14:textId="77777777" w:rsidR="00F216DB" w:rsidRDefault="00331376" w:rsidP="00F216DB">
            <w:r>
              <w:t xml:space="preserve">In patients under previous oral </w:t>
            </w:r>
            <w:r w:rsidR="00F216DB">
              <w:t>anticoagula</w:t>
            </w:r>
            <w:r>
              <w:t>nt: change to LMWH in therapeutic ranges</w:t>
            </w:r>
            <w:r w:rsidR="00F216DB">
              <w:t xml:space="preserve"> (10</w:t>
            </w:r>
            <w:r>
              <w:t>,</w:t>
            </w:r>
            <w:r w:rsidR="00F216DB">
              <w:t>000 UI/24h, 150 UI/kg/24</w:t>
            </w:r>
            <w:r>
              <w:t>h or</w:t>
            </w:r>
            <w:r w:rsidR="00F216DB">
              <w:t xml:space="preserve"> 100 UI/</w:t>
            </w:r>
            <w:r>
              <w:t>k</w:t>
            </w:r>
            <w:r w:rsidR="00F216DB">
              <w:t>g/12h</w:t>
            </w:r>
            <w:r>
              <w:t xml:space="preserve"> depending on the drug</w:t>
            </w:r>
            <w:r w:rsidR="00F216DB">
              <w:t>).</w:t>
            </w:r>
          </w:p>
          <w:p w14:paraId="0BCA321C" w14:textId="77777777" w:rsidR="00331376" w:rsidRDefault="00331376" w:rsidP="00331376">
            <w:r>
              <w:t>Statins: atorvastatin 40 mg/24h or pravastatin 80 mg/24h po</w:t>
            </w:r>
          </w:p>
          <w:p w14:paraId="66F11C15" w14:textId="77777777" w:rsidR="00331376" w:rsidRDefault="00331376" w:rsidP="00331376"/>
          <w:p w14:paraId="4ACF4F82" w14:textId="77777777" w:rsidR="00F216DB" w:rsidRDefault="00331376" w:rsidP="00331376">
            <w:r>
              <w:t xml:space="preserve">** </w:t>
            </w:r>
            <w:proofErr w:type="gramStart"/>
            <w:r>
              <w:t>or</w:t>
            </w:r>
            <w:proofErr w:type="gramEnd"/>
            <w:r>
              <w:t xml:space="preserve"> f</w:t>
            </w:r>
            <w:r w:rsidR="00F216DB">
              <w:t xml:space="preserve">ibrinogen &gt;5 </w:t>
            </w:r>
            <w:r>
              <w:t>g</w:t>
            </w:r>
            <w:r w:rsidR="00F216DB">
              <w:t>/L o</w:t>
            </w:r>
            <w:r>
              <w:t>r</w:t>
            </w:r>
            <w:r w:rsidR="00F216DB">
              <w:t xml:space="preserve"> ISTH score&gt;=4 o</w:t>
            </w:r>
            <w:r>
              <w:t>r</w:t>
            </w:r>
            <w:r w:rsidR="00F216DB">
              <w:t xml:space="preserve"> </w:t>
            </w:r>
            <w:r>
              <w:t xml:space="preserve">clinical suspicion of PTE or platelet count </w:t>
            </w:r>
            <w:r w:rsidR="00F216DB">
              <w:t>&gt; 50</w:t>
            </w:r>
            <w:r>
              <w:t>,</w:t>
            </w:r>
            <w:r w:rsidR="00F216DB">
              <w:t>000</w:t>
            </w:r>
            <w:r>
              <w:t xml:space="preserve"> </w:t>
            </w:r>
            <w:proofErr w:type="spellStart"/>
            <w:r>
              <w:t>microL</w:t>
            </w:r>
            <w:proofErr w:type="spellEnd"/>
            <w:r w:rsidR="00F216DB">
              <w:t xml:space="preserve">. </w:t>
            </w:r>
          </w:p>
          <w:p w14:paraId="0E2A0E10" w14:textId="77777777" w:rsidR="00F216DB" w:rsidRDefault="00F216DB" w:rsidP="00F216DB"/>
          <w:p w14:paraId="7E6A3B80" w14:textId="77777777" w:rsidR="00F216DB" w:rsidRDefault="00FB23A5" w:rsidP="00FB23A5">
            <w:r>
              <w:t xml:space="preserve">#Mandatory if </w:t>
            </w:r>
            <w:proofErr w:type="spellStart"/>
            <w:r>
              <w:t>procalcitonin</w:t>
            </w:r>
            <w:proofErr w:type="spellEnd"/>
            <w:r w:rsidR="00F216DB">
              <w:t xml:space="preserve">&gt;2 ng/ml </w:t>
            </w:r>
            <w:r>
              <w:t>(plus</w:t>
            </w:r>
            <w:r w:rsidR="00F216DB">
              <w:t xml:space="preserve"> </w:t>
            </w:r>
            <w:proofErr w:type="spellStart"/>
            <w:r w:rsidR="00F216DB">
              <w:t>actocortin</w:t>
            </w:r>
            <w:proofErr w:type="spellEnd"/>
            <w:r w:rsidR="00F216DB">
              <w:t xml:space="preserve"> 200 mg/24h</w:t>
            </w:r>
            <w:r>
              <w:t xml:space="preserve"> iv; and if patients were under steroid therapy</w:t>
            </w:r>
            <w:r w:rsidR="00C16641">
              <w:t>)</w:t>
            </w:r>
          </w:p>
          <w:p w14:paraId="4C798679" w14:textId="77777777" w:rsidR="00F216DB" w:rsidRDefault="00F216DB" w:rsidP="00F216DB"/>
          <w:p w14:paraId="6D28BC3A" w14:textId="77777777" w:rsidR="00FB23A5" w:rsidRPr="00FB23A5" w:rsidRDefault="00FB23A5" w:rsidP="00F216DB">
            <w:pPr>
              <w:rPr>
                <w:i/>
                <w:iCs/>
              </w:rPr>
            </w:pPr>
            <w:r w:rsidRPr="00FB23A5">
              <w:rPr>
                <w:i/>
                <w:iCs/>
              </w:rPr>
              <w:t>If nosocomial pneumonia is suspected add:</w:t>
            </w:r>
          </w:p>
          <w:p w14:paraId="4EC9E8F7" w14:textId="77777777" w:rsidR="00F216DB" w:rsidRDefault="00F216DB" w:rsidP="00F216DB">
            <w:proofErr w:type="spellStart"/>
            <w:r>
              <w:t>T</w:t>
            </w:r>
            <w:r w:rsidR="00FB23A5">
              <w:t>ygecyclin</w:t>
            </w:r>
            <w:proofErr w:type="spellEnd"/>
            <w:r w:rsidR="00FB23A5">
              <w:t xml:space="preserve"> </w:t>
            </w:r>
            <w:r>
              <w:t xml:space="preserve">100 </w:t>
            </w:r>
            <w:r w:rsidR="00FB23A5">
              <w:t>mg/12h iv plus levofloxacin 500 mg/12h iv (or colistin</w:t>
            </w:r>
            <w:r>
              <w:t xml:space="preserve"> 4mU </w:t>
            </w:r>
            <w:r w:rsidR="00FB23A5">
              <w:t xml:space="preserve">1 dose, followed by </w:t>
            </w:r>
            <w:r>
              <w:t>2mU/8h iv).</w:t>
            </w:r>
          </w:p>
          <w:p w14:paraId="32FB3B26" w14:textId="77777777" w:rsidR="00F216DB" w:rsidRDefault="00F216DB" w:rsidP="00FB23A5"/>
          <w:p w14:paraId="6B18FE76" w14:textId="77777777" w:rsidR="00F216DB" w:rsidRDefault="00FB23A5" w:rsidP="00F216DB">
            <w:r>
              <w:lastRenderedPageBreak/>
              <w:t>L</w:t>
            </w:r>
            <w:r w:rsidR="00F216DB">
              <w:t xml:space="preserve">opinavir/ritonavir </w:t>
            </w:r>
            <w:r>
              <w:t>and alpha-interferon were withdrawn for protocols at the end of March.</w:t>
            </w:r>
          </w:p>
          <w:p w14:paraId="38E6F705" w14:textId="77777777" w:rsidR="001B7D18" w:rsidRDefault="00E85F0E" w:rsidP="00F216DB">
            <w:r w:rsidRPr="001B7D18">
              <w:rPr>
                <w:i/>
                <w:iCs/>
              </w:rPr>
              <w:t xml:space="preserve">If there are </w:t>
            </w:r>
            <w:r w:rsidR="00FF10C9" w:rsidRPr="001B7D18">
              <w:rPr>
                <w:i/>
                <w:iCs/>
              </w:rPr>
              <w:t>lopinavir-ritonavir gastrointestinal intolerance or drug shortages add</w:t>
            </w:r>
            <w:r w:rsidR="001B7D18">
              <w:rPr>
                <w:i/>
                <w:iCs/>
              </w:rPr>
              <w:t>:</w:t>
            </w:r>
            <w:r w:rsidR="00FF10C9">
              <w:t xml:space="preserve"> </w:t>
            </w:r>
          </w:p>
          <w:p w14:paraId="0F9F41ED" w14:textId="77777777" w:rsidR="00F216DB" w:rsidRDefault="001B7D18" w:rsidP="00F216DB">
            <w:r>
              <w:t>D</w:t>
            </w:r>
            <w:r w:rsidR="00F216DB">
              <w:t>arunavir</w:t>
            </w:r>
            <w:r w:rsidR="00FF10C9">
              <w:t>-c</w:t>
            </w:r>
            <w:r w:rsidR="00F216DB">
              <w:t>obicistat 800/150 mg/24 h</w:t>
            </w:r>
            <w:r w:rsidR="00FF10C9">
              <w:t xml:space="preserve"> po (</w:t>
            </w:r>
            <w:r w:rsidR="00F216DB">
              <w:t>14 d</w:t>
            </w:r>
            <w:r w:rsidR="00FF10C9">
              <w:t>ays</w:t>
            </w:r>
            <w:r w:rsidR="00F216DB">
              <w:t>)</w:t>
            </w:r>
          </w:p>
        </w:tc>
      </w:tr>
    </w:tbl>
    <w:p w14:paraId="7C02A41C" w14:textId="77777777" w:rsidR="00BE7F9F" w:rsidRDefault="00F77302">
      <w:proofErr w:type="gramStart"/>
      <w:r>
        <w:lastRenderedPageBreak/>
        <w:t>iv</w:t>
      </w:r>
      <w:proofErr w:type="gramEnd"/>
      <w:r>
        <w:t xml:space="preserve">: intravenous; </w:t>
      </w:r>
      <w:proofErr w:type="spellStart"/>
      <w:r>
        <w:t>po</w:t>
      </w:r>
      <w:proofErr w:type="spellEnd"/>
      <w:r>
        <w:t xml:space="preserve">: per </w:t>
      </w:r>
      <w:proofErr w:type="spellStart"/>
      <w:r>
        <w:t>os</w:t>
      </w:r>
      <w:proofErr w:type="spellEnd"/>
      <w:r w:rsidR="00C16641">
        <w:t xml:space="preserve"> or by nasogastric tube in intubated patients or unable to swallow</w:t>
      </w:r>
      <w:r w:rsidR="00D0256D">
        <w:t>*</w:t>
      </w:r>
      <w:r w:rsidR="00640228">
        <w:t xml:space="preserve">; </w:t>
      </w:r>
      <w:proofErr w:type="spellStart"/>
      <w:r w:rsidR="00640228">
        <w:t>sc</w:t>
      </w:r>
      <w:proofErr w:type="spellEnd"/>
      <w:r w:rsidR="00640228">
        <w:t>: subcutaneous route</w:t>
      </w:r>
      <w:r>
        <w:t>.</w:t>
      </w:r>
      <w:r w:rsidR="00331376">
        <w:t xml:space="preserve"> PTE: pulmonary thromboembolism.</w:t>
      </w:r>
    </w:p>
    <w:p w14:paraId="0C5ED045" w14:textId="77777777" w:rsidR="00BE7F9F" w:rsidRDefault="00BE7F9F"/>
    <w:p w14:paraId="2C68918D" w14:textId="77777777" w:rsidR="00E10B1D" w:rsidRDefault="00E10B1D">
      <w:r>
        <w:t>Table</w:t>
      </w:r>
      <w:r w:rsidR="0023509C">
        <w:t xml:space="preserve"> </w:t>
      </w:r>
      <w:r w:rsidR="00BE7F9F">
        <w:t>6</w:t>
      </w:r>
      <w:r w:rsidR="002E15A9">
        <w:t xml:space="preserve"> (additional material)</w:t>
      </w:r>
      <w:r>
        <w:t>. General epidemiologic data from Spain.</w:t>
      </w:r>
    </w:p>
    <w:p w14:paraId="42A4A7B0" w14:textId="77777777" w:rsidR="00E10B1D" w:rsidRDefault="00E10B1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2"/>
      </w:tblGrid>
      <w:tr w:rsidR="00E10B1D" w14:paraId="03FF322F" w14:textId="77777777" w:rsidTr="00E10B1D">
        <w:tc>
          <w:tcPr>
            <w:tcW w:w="9622" w:type="dxa"/>
          </w:tcPr>
          <w:p w14:paraId="41C1E022" w14:textId="77777777" w:rsidR="00E10B1D" w:rsidRDefault="00E10B1D">
            <w:r>
              <w:t>General numbers by 05/24/20</w:t>
            </w:r>
          </w:p>
          <w:p w14:paraId="45C03FFC" w14:textId="77777777" w:rsidR="00E10B1D" w:rsidRDefault="00622048">
            <w:r>
              <w:t xml:space="preserve">1) </w:t>
            </w:r>
            <w:r w:rsidR="00E10B1D">
              <w:t xml:space="preserve">Cases (by PCR): </w:t>
            </w:r>
            <w:r w:rsidR="0011720B" w:rsidRPr="0011720B">
              <w:t>235772</w:t>
            </w:r>
            <w:r w:rsidR="00B06C71">
              <w:t xml:space="preserve"> (124845 needing admission to the hospital)</w:t>
            </w:r>
            <w:r w:rsidR="00E10B1D">
              <w:t>; ICU admissions: 11477; deceased: 28752</w:t>
            </w:r>
          </w:p>
          <w:p w14:paraId="7B6372E5" w14:textId="77777777" w:rsidR="00622048" w:rsidRDefault="00622048">
            <w:r>
              <w:t>2) Basic instantaneous reproductive number: 5.11 by 02/29/20; 3.47 by 03/10/20</w:t>
            </w:r>
          </w:p>
          <w:p w14:paraId="313BBEEB" w14:textId="77777777" w:rsidR="002543FC" w:rsidRDefault="002543FC">
            <w:r>
              <w:t>Duplication time (by 03/26/20, epidemic peak point)</w:t>
            </w:r>
          </w:p>
          <w:p w14:paraId="5C17FD6F" w14:textId="77777777" w:rsidR="00E10B1D" w:rsidRDefault="002543FC">
            <w:r>
              <w:t xml:space="preserve">3) </w:t>
            </w:r>
            <w:r w:rsidR="00E10B1D">
              <w:t>ICU admissions</w:t>
            </w:r>
            <w:r w:rsidR="00622048">
              <w:t xml:space="preserve"> (</w:t>
            </w:r>
            <w:r>
              <w:t xml:space="preserve">3 </w:t>
            </w:r>
            <w:proofErr w:type="spellStart"/>
            <w:r w:rsidR="00622048">
              <w:t>timecuts</w:t>
            </w:r>
            <w:proofErr w:type="spellEnd"/>
            <w:r w:rsidR="00622048">
              <w:t>): 4 by 03/01/20; 6065 by 03/29/20; 11454 by 05/20/20</w:t>
            </w:r>
          </w:p>
          <w:p w14:paraId="1F6270C8" w14:textId="77777777" w:rsidR="002543FC" w:rsidRDefault="002543FC">
            <w:r>
              <w:t>4) Lethality*:</w:t>
            </w:r>
          </w:p>
          <w:p w14:paraId="1E8D59E3" w14:textId="77777777" w:rsidR="002543FC" w:rsidRDefault="002543FC">
            <w:r>
              <w:t xml:space="preserve">Spain 14.3%, </w:t>
            </w:r>
            <w:r w:rsidR="0023509C">
              <w:t>Italy 1</w:t>
            </w:r>
            <w:r w:rsidR="00D02371">
              <w:t>2</w:t>
            </w:r>
            <w:r w:rsidR="0023509C">
              <w:t>.</w:t>
            </w:r>
            <w:r w:rsidR="00D02371">
              <w:t>2</w:t>
            </w:r>
            <w:r w:rsidR="0023509C">
              <w:t xml:space="preserve">%, </w:t>
            </w:r>
            <w:r>
              <w:t>USA 6.0%</w:t>
            </w:r>
            <w:r w:rsidR="00D11B01">
              <w:t>, Brazil 6.3%, Mexico 10.9%</w:t>
            </w:r>
          </w:p>
          <w:p w14:paraId="2FBE19E8" w14:textId="77777777" w:rsidR="00D11B01" w:rsidRDefault="00D11B01">
            <w:r>
              <w:t>5) Mortality rate per 100,000, by 05/20-24/20:</w:t>
            </w:r>
          </w:p>
          <w:p w14:paraId="2AF494DA" w14:textId="77777777" w:rsidR="00622048" w:rsidRDefault="00D11B01">
            <w:r>
              <w:t>Spain 0.</w:t>
            </w:r>
            <w:r w:rsidR="00B06C71">
              <w:t>06</w:t>
            </w:r>
            <w:r>
              <w:t xml:space="preserve">%, </w:t>
            </w:r>
            <w:r w:rsidR="0011720B">
              <w:t>USA 0.</w:t>
            </w:r>
            <w:r w:rsidR="00B06C71">
              <w:t>02</w:t>
            </w:r>
            <w:r w:rsidR="0011720B">
              <w:t xml:space="preserve">%, </w:t>
            </w:r>
            <w:r>
              <w:t>UK 0.</w:t>
            </w:r>
            <w:r w:rsidR="00B06C71">
              <w:t>05</w:t>
            </w:r>
            <w:r>
              <w:t>%, Ital</w:t>
            </w:r>
            <w:r w:rsidR="002E15A9">
              <w:t>y</w:t>
            </w:r>
            <w:r>
              <w:t xml:space="preserve"> 0.</w:t>
            </w:r>
            <w:r w:rsidR="0023509C">
              <w:t>05</w:t>
            </w:r>
            <w:r>
              <w:t>%, Brazil 0.</w:t>
            </w:r>
            <w:r w:rsidR="00B06C71">
              <w:t>01</w:t>
            </w:r>
            <w:r>
              <w:t>%, Ru</w:t>
            </w:r>
            <w:r w:rsidR="001A52B6">
              <w:t>s</w:t>
            </w:r>
            <w:r>
              <w:t>sia 0.</w:t>
            </w:r>
            <w:r w:rsidR="0023509C">
              <w:t>002</w:t>
            </w:r>
            <w:r>
              <w:t>%</w:t>
            </w:r>
          </w:p>
        </w:tc>
      </w:tr>
    </w:tbl>
    <w:p w14:paraId="7034F762" w14:textId="77777777" w:rsidR="00E10B1D" w:rsidRDefault="002543FC">
      <w:r>
        <w:t xml:space="preserve">PCR: </w:t>
      </w:r>
      <w:r w:rsidR="007A0CE2">
        <w:t xml:space="preserve">polymerase chain reaction. ICU: intensive care unit. </w:t>
      </w:r>
    </w:p>
    <w:p w14:paraId="3B03614A" w14:textId="77777777" w:rsidR="007A0CE2" w:rsidRDefault="007A0CE2">
      <w:r>
        <w:t xml:space="preserve">*Data of lethality could be </w:t>
      </w:r>
      <w:r w:rsidR="00C16641">
        <w:t xml:space="preserve">strictly not comparable because it proceeded </w:t>
      </w:r>
      <w:r>
        <w:t xml:space="preserve">from different </w:t>
      </w:r>
      <w:r w:rsidR="00C16641">
        <w:t>information</w:t>
      </w:r>
      <w:r>
        <w:t xml:space="preserve"> source</w:t>
      </w:r>
      <w:r w:rsidR="00C16641">
        <w:t>s</w:t>
      </w:r>
      <w:r w:rsidR="005370DB">
        <w:t xml:space="preserve"> </w:t>
      </w:r>
      <w:r>
        <w:t>(</w:t>
      </w:r>
      <w:r w:rsidRPr="002D505F">
        <w:t>https://www.mscbs.gob.es/en/profesionales/saludPublica/ccayes/alertasActual/nCov-China/documentos/Actualizacion_115_COVID-19.pdf</w:t>
      </w:r>
      <w:r>
        <w:t>).</w:t>
      </w:r>
    </w:p>
    <w:p w14:paraId="0BB822F0" w14:textId="77777777" w:rsidR="00BD2EFD" w:rsidRDefault="00BD2EFD"/>
    <w:p w14:paraId="3220F681" w14:textId="77777777" w:rsidR="00BD2EFD" w:rsidRDefault="00BD2EFD">
      <w:r>
        <w:t xml:space="preserve">Table </w:t>
      </w:r>
      <w:r w:rsidR="00BE7F9F">
        <w:t>7</w:t>
      </w:r>
      <w:r>
        <w:t xml:space="preserve"> (additional material). Local data from the </w:t>
      </w:r>
      <w:proofErr w:type="spellStart"/>
      <w:r>
        <w:t>Consorcio</w:t>
      </w:r>
      <w:proofErr w:type="spellEnd"/>
      <w:r>
        <w:t xml:space="preserve"> Hospital General </w:t>
      </w:r>
      <w:proofErr w:type="spellStart"/>
      <w:r>
        <w:t>Universitario</w:t>
      </w:r>
      <w:proofErr w:type="spellEnd"/>
      <w:r>
        <w:t xml:space="preserve"> de Valencia (CHGUV), Valencia, Spain.</w:t>
      </w:r>
      <w:r w:rsidR="00977985">
        <w:t xml:space="preserve"> The COVID-19 specific data are by 04/14/20.</w:t>
      </w:r>
    </w:p>
    <w:p w14:paraId="359D77E0" w14:textId="77777777" w:rsidR="00BD2EFD" w:rsidRDefault="00BD2EF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2"/>
      </w:tblGrid>
      <w:tr w:rsidR="00BD2EFD" w14:paraId="132FA320" w14:textId="77777777" w:rsidTr="00BD2EFD">
        <w:tc>
          <w:tcPr>
            <w:tcW w:w="9622" w:type="dxa"/>
          </w:tcPr>
          <w:p w14:paraId="750C8B03" w14:textId="77777777" w:rsidR="00BD2EFD" w:rsidRDefault="00BD2EFD">
            <w:r>
              <w:t xml:space="preserve">The CHGUV is a tertiary care, 450 beds, </w:t>
            </w:r>
            <w:proofErr w:type="gramStart"/>
            <w:r w:rsidR="00977985">
              <w:t>general</w:t>
            </w:r>
            <w:proofErr w:type="gramEnd"/>
            <w:r w:rsidR="00977985">
              <w:t xml:space="preserve"> </w:t>
            </w:r>
            <w:r>
              <w:t>hospital. The population in the allocated health</w:t>
            </w:r>
            <w:r w:rsidR="00977985">
              <w:t xml:space="preserve"> </w:t>
            </w:r>
            <w:r>
              <w:t xml:space="preserve">care area (public system) is of </w:t>
            </w:r>
            <w:r w:rsidR="00E62C27">
              <w:t xml:space="preserve">more than </w:t>
            </w:r>
            <w:r w:rsidR="00E62C27" w:rsidRPr="00E62C27">
              <w:t>364.0</w:t>
            </w:r>
            <w:r w:rsidR="00E62C27">
              <w:t>00</w:t>
            </w:r>
            <w:r w:rsidR="00E62C27" w:rsidRPr="00E62C27">
              <w:t xml:space="preserve"> </w:t>
            </w:r>
            <w:r w:rsidR="00977985">
              <w:t xml:space="preserve">(and serves around 1,000,000 people for several surgical </w:t>
            </w:r>
            <w:proofErr w:type="spellStart"/>
            <w:r w:rsidR="00E62C27">
              <w:t>e</w:t>
            </w:r>
            <w:r w:rsidR="00977985">
              <w:t>specialities</w:t>
            </w:r>
            <w:proofErr w:type="spellEnd"/>
            <w:r w:rsidR="00977985">
              <w:t>).</w:t>
            </w:r>
          </w:p>
          <w:p w14:paraId="7D3DEC98" w14:textId="77777777" w:rsidR="00BD2EFD" w:rsidRDefault="00BD2EFD">
            <w:r>
              <w:t>Total cumulated COVID-19 cases in the area of coverage: 763 (82 health care workers</w:t>
            </w:r>
            <w:r w:rsidR="00A273DC">
              <w:t xml:space="preserve"> affected</w:t>
            </w:r>
            <w:r>
              <w:t>)</w:t>
            </w:r>
          </w:p>
          <w:p w14:paraId="4BAA82D2" w14:textId="77777777" w:rsidR="00BD2EFD" w:rsidRDefault="00BD2EFD">
            <w:r>
              <w:t>Number of hospital beds dedicated to COVID-19 patients</w:t>
            </w:r>
            <w:r w:rsidR="00977985">
              <w:t xml:space="preserve"> (isolation)</w:t>
            </w:r>
            <w:r>
              <w:t>: 171</w:t>
            </w:r>
          </w:p>
          <w:p w14:paraId="67699903" w14:textId="77777777" w:rsidR="00977985" w:rsidRDefault="00977985">
            <w:r>
              <w:t>Number COVID-ICU beds: 47</w:t>
            </w:r>
          </w:p>
          <w:p w14:paraId="5920096A" w14:textId="77777777" w:rsidR="00977985" w:rsidRDefault="00977985">
            <w:r>
              <w:t xml:space="preserve">Number of no-COVID-ICU beds: 10 </w:t>
            </w:r>
          </w:p>
          <w:p w14:paraId="3D1614FB" w14:textId="77777777" w:rsidR="00977985" w:rsidRDefault="00977985">
            <w:r>
              <w:t>The usual fully equipped ICU beds is 37</w:t>
            </w:r>
          </w:p>
        </w:tc>
      </w:tr>
    </w:tbl>
    <w:p w14:paraId="2591B01C" w14:textId="77777777" w:rsidR="00BD2EFD" w:rsidRDefault="00977985">
      <w:r>
        <w:t xml:space="preserve">Data </w:t>
      </w:r>
      <w:r w:rsidR="00834088">
        <w:t>correspond</w:t>
      </w:r>
      <w:r>
        <w:t xml:space="preserve"> </w:t>
      </w:r>
      <w:r w:rsidR="00834088">
        <w:t>with</w:t>
      </w:r>
      <w:r>
        <w:t xml:space="preserve"> the pandemic peak.</w:t>
      </w:r>
    </w:p>
    <w:p w14:paraId="611DDF76" w14:textId="77777777" w:rsidR="00AA5FA0" w:rsidRDefault="00AA5FA0"/>
    <w:p w14:paraId="5212A209" w14:textId="77777777" w:rsidR="00AA5FA0" w:rsidRDefault="00AA5FA0">
      <w:pPr>
        <w:sectPr w:rsidR="00AA5FA0" w:rsidSect="00F64C9D">
          <w:pgSz w:w="11900" w:h="16820"/>
          <w:pgMar w:top="1418" w:right="1134" w:bottom="1418" w:left="1134" w:header="709" w:footer="709" w:gutter="0"/>
          <w:cols w:space="708"/>
          <w:docGrid w:linePitch="360"/>
        </w:sectPr>
      </w:pPr>
    </w:p>
    <w:p w14:paraId="2FDF09E3" w14:textId="77777777" w:rsidR="00AA5FA0" w:rsidRDefault="00AA5FA0" w:rsidP="006518EB">
      <w:pPr>
        <w:spacing w:line="360" w:lineRule="auto"/>
      </w:pPr>
      <w:r>
        <w:lastRenderedPageBreak/>
        <w:t>Figures</w:t>
      </w:r>
      <w:r w:rsidR="000F1259">
        <w:t xml:space="preserve"> (additional material online)</w:t>
      </w:r>
      <w:r>
        <w:t>.</w:t>
      </w:r>
    </w:p>
    <w:p w14:paraId="1A8B2268" w14:textId="77777777" w:rsidR="006518EB" w:rsidRDefault="006518EB" w:rsidP="006518EB">
      <w:pPr>
        <w:spacing w:line="360" w:lineRule="auto"/>
      </w:pPr>
    </w:p>
    <w:p w14:paraId="66B3BA8F" w14:textId="77777777" w:rsidR="00AA5FA0" w:rsidRDefault="00C31743" w:rsidP="006518EB">
      <w:pPr>
        <w:spacing w:line="360" w:lineRule="auto"/>
      </w:pPr>
      <w:r>
        <w:t xml:space="preserve">Figure 1. Plain chest </w:t>
      </w:r>
      <w:proofErr w:type="gramStart"/>
      <w:r>
        <w:t>X</w:t>
      </w:r>
      <w:proofErr w:type="gramEnd"/>
      <w:r>
        <w:t xml:space="preserve"> ray (patient 5). Bilateral interstitial infiltrates (posteroanterior and lateral projections).</w:t>
      </w:r>
    </w:p>
    <w:p w14:paraId="1808E46E" w14:textId="77777777" w:rsidR="006518EB" w:rsidRDefault="006518EB" w:rsidP="006518EB">
      <w:pPr>
        <w:spacing w:line="360" w:lineRule="auto"/>
      </w:pPr>
    </w:p>
    <w:p w14:paraId="283019B1" w14:textId="77777777" w:rsidR="006518EB" w:rsidRDefault="006518EB" w:rsidP="006518EB">
      <w:pPr>
        <w:spacing w:line="360" w:lineRule="auto"/>
      </w:pPr>
      <w:r>
        <w:t xml:space="preserve">Figure 2. </w:t>
      </w:r>
      <w:r w:rsidR="00717680">
        <w:t xml:space="preserve">Plain chest </w:t>
      </w:r>
      <w:proofErr w:type="gramStart"/>
      <w:r w:rsidR="00717680">
        <w:t>X</w:t>
      </w:r>
      <w:proofErr w:type="gramEnd"/>
      <w:r w:rsidR="00717680">
        <w:t xml:space="preserve"> ray (patient 5). Bilateral lung opacities. Tracheostomy tube. Right peripherally inserted central venous catheter.</w:t>
      </w:r>
    </w:p>
    <w:p w14:paraId="58566AF3" w14:textId="77777777" w:rsidR="00D62C53" w:rsidRDefault="00D62C53" w:rsidP="006518EB">
      <w:pPr>
        <w:spacing w:line="360" w:lineRule="auto"/>
      </w:pPr>
    </w:p>
    <w:p w14:paraId="0651C958" w14:textId="77777777" w:rsidR="00D62C53" w:rsidRDefault="00D62C53" w:rsidP="006518EB">
      <w:pPr>
        <w:spacing w:line="360" w:lineRule="auto"/>
      </w:pPr>
      <w:r>
        <w:t>Figure 3.</w:t>
      </w:r>
      <w:r w:rsidR="00913D61">
        <w:t xml:space="preserve"> Plain chest </w:t>
      </w:r>
      <w:proofErr w:type="gramStart"/>
      <w:r w:rsidR="00913D61">
        <w:t>X</w:t>
      </w:r>
      <w:proofErr w:type="gramEnd"/>
      <w:r w:rsidR="00913D61">
        <w:t xml:space="preserve"> ray (patient 5). Right lung opacities, left massive pneumothorax (before chest tube insertion), right </w:t>
      </w:r>
      <w:r w:rsidR="004A6839">
        <w:t xml:space="preserve">internal </w:t>
      </w:r>
      <w:r w:rsidR="00913D61">
        <w:t>jugular vein catheter.</w:t>
      </w:r>
    </w:p>
    <w:p w14:paraId="0AA5D903" w14:textId="77777777" w:rsidR="006518EB" w:rsidRDefault="006518EB" w:rsidP="006518EB">
      <w:pPr>
        <w:spacing w:line="360" w:lineRule="auto"/>
      </w:pPr>
    </w:p>
    <w:p w14:paraId="178309BB" w14:textId="77777777" w:rsidR="006518EB" w:rsidRDefault="006518EB" w:rsidP="006518EB">
      <w:pPr>
        <w:spacing w:line="360" w:lineRule="auto"/>
      </w:pPr>
      <w:r>
        <w:t xml:space="preserve">Figure </w:t>
      </w:r>
      <w:r w:rsidR="00D62C53">
        <w:t>4</w:t>
      </w:r>
      <w:r>
        <w:t xml:space="preserve">. Plain chest </w:t>
      </w:r>
      <w:proofErr w:type="gramStart"/>
      <w:r>
        <w:t>X</w:t>
      </w:r>
      <w:proofErr w:type="gramEnd"/>
      <w:r>
        <w:t xml:space="preserve"> ray (patient 5). Bilateral </w:t>
      </w:r>
      <w:r w:rsidR="00D62C53">
        <w:t xml:space="preserve">severe </w:t>
      </w:r>
      <w:r>
        <w:t xml:space="preserve">consolidation, bilateral </w:t>
      </w:r>
      <w:proofErr w:type="spellStart"/>
      <w:r>
        <w:t>pneumothoraces</w:t>
      </w:r>
      <w:proofErr w:type="spellEnd"/>
      <w:r>
        <w:t xml:space="preserve">, mediastinal widening, left jugular vein catheter, thoracic tubes (both sides), </w:t>
      </w:r>
      <w:r w:rsidR="00913D61">
        <w:t xml:space="preserve">subcutaneous emphysema, </w:t>
      </w:r>
      <w:r w:rsidR="002F14B7">
        <w:t>staples in the left sutured chest (thoracotomy, see text for explanations).</w:t>
      </w:r>
    </w:p>
    <w:p w14:paraId="191902E8" w14:textId="77777777" w:rsidR="00717680" w:rsidRDefault="00717680" w:rsidP="006518EB">
      <w:pPr>
        <w:spacing w:line="360" w:lineRule="auto"/>
      </w:pPr>
    </w:p>
    <w:p w14:paraId="6F914C0E" w14:textId="77777777" w:rsidR="00717680" w:rsidRDefault="00717680" w:rsidP="006518EB">
      <w:pPr>
        <w:spacing w:line="360" w:lineRule="auto"/>
      </w:pPr>
      <w:r>
        <w:t xml:space="preserve">Figure 5. </w:t>
      </w:r>
      <w:r w:rsidR="00797C58">
        <w:t xml:space="preserve">Plain chest </w:t>
      </w:r>
      <w:proofErr w:type="gramStart"/>
      <w:r w:rsidR="00797C58">
        <w:t>X</w:t>
      </w:r>
      <w:proofErr w:type="gramEnd"/>
      <w:r w:rsidR="00797C58">
        <w:t xml:space="preserve"> ray (patient 6). Bilateral </w:t>
      </w:r>
      <w:r w:rsidR="000C1DC0">
        <w:t xml:space="preserve">lung </w:t>
      </w:r>
      <w:r w:rsidR="00797C58">
        <w:t xml:space="preserve">reticular </w:t>
      </w:r>
      <w:r w:rsidR="007E21E6">
        <w:t>opacities</w:t>
      </w:r>
      <w:r w:rsidR="00797C58">
        <w:t xml:space="preserve">. </w:t>
      </w:r>
    </w:p>
    <w:p w14:paraId="341FA3C2" w14:textId="77777777" w:rsidR="006A5CDC" w:rsidRDefault="006A5CDC" w:rsidP="006518EB">
      <w:pPr>
        <w:spacing w:line="360" w:lineRule="auto"/>
      </w:pPr>
    </w:p>
    <w:p w14:paraId="3CDA07E4" w14:textId="77777777" w:rsidR="006A5CDC" w:rsidRDefault="006A5CDC" w:rsidP="006518EB">
      <w:pPr>
        <w:spacing w:line="360" w:lineRule="auto"/>
      </w:pPr>
      <w:r>
        <w:t>Figure 6. Computed tomography (patient 6). A. Bilateral lung condensations and some interstitial inf</w:t>
      </w:r>
      <w:r w:rsidR="007E21E6">
        <w:t>il</w:t>
      </w:r>
      <w:r>
        <w:t xml:space="preserve">tration. B. Bilateral lung condensations and bilateral pleural effusion, mainly in the left hemithorax.   </w:t>
      </w:r>
    </w:p>
    <w:p w14:paraId="136D9B6F" w14:textId="77777777" w:rsidR="005A1D3D" w:rsidRDefault="005A1D3D" w:rsidP="006518EB">
      <w:pPr>
        <w:spacing w:line="360" w:lineRule="auto"/>
      </w:pPr>
    </w:p>
    <w:p w14:paraId="6EF0B07C" w14:textId="77777777" w:rsidR="005A1D3D" w:rsidRDefault="005A1D3D" w:rsidP="006518EB">
      <w:pPr>
        <w:spacing w:line="360" w:lineRule="auto"/>
      </w:pPr>
      <w:r>
        <w:t xml:space="preserve">Figure </w:t>
      </w:r>
      <w:r w:rsidR="006A5CDC">
        <w:t>7</w:t>
      </w:r>
      <w:r>
        <w:t xml:space="preserve">. Plain chest </w:t>
      </w:r>
      <w:proofErr w:type="gramStart"/>
      <w:r>
        <w:t>X</w:t>
      </w:r>
      <w:proofErr w:type="gramEnd"/>
      <w:r>
        <w:t xml:space="preserve"> ray (patient 6). Bilateral opacities and consolidations.</w:t>
      </w:r>
      <w:r w:rsidR="00BE1E5D">
        <w:t xml:space="preserve"> </w:t>
      </w:r>
      <w:r w:rsidR="00EF40F1">
        <w:t>R</w:t>
      </w:r>
      <w:r w:rsidR="00BE1E5D">
        <w:t>ight pleural effusion. Left internal jugular vein catheter.</w:t>
      </w:r>
    </w:p>
    <w:p w14:paraId="22AF89F9" w14:textId="77777777" w:rsidR="006A5CDC" w:rsidRDefault="006A5CDC" w:rsidP="006518EB">
      <w:pPr>
        <w:spacing w:line="360" w:lineRule="auto"/>
      </w:pPr>
    </w:p>
    <w:p w14:paraId="434CD1ED" w14:textId="77777777" w:rsidR="006A5CDC" w:rsidRDefault="006A5CDC" w:rsidP="006518EB">
      <w:pPr>
        <w:spacing w:line="360" w:lineRule="auto"/>
      </w:pPr>
    </w:p>
    <w:sectPr w:rsidR="006A5CDC" w:rsidSect="00F64C9D">
      <w:pgSz w:w="11900" w:h="16820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14C"/>
    <w:rsid w:val="00017D38"/>
    <w:rsid w:val="00022141"/>
    <w:rsid w:val="000227A4"/>
    <w:rsid w:val="00024D91"/>
    <w:rsid w:val="00043ACC"/>
    <w:rsid w:val="00046E01"/>
    <w:rsid w:val="00062083"/>
    <w:rsid w:val="00075DF0"/>
    <w:rsid w:val="00081A10"/>
    <w:rsid w:val="00083BD5"/>
    <w:rsid w:val="0008496E"/>
    <w:rsid w:val="00092BD2"/>
    <w:rsid w:val="000C1DC0"/>
    <w:rsid w:val="000C6238"/>
    <w:rsid w:val="000D669D"/>
    <w:rsid w:val="000E3C23"/>
    <w:rsid w:val="000E5CB6"/>
    <w:rsid w:val="000F1259"/>
    <w:rsid w:val="001019E7"/>
    <w:rsid w:val="00105445"/>
    <w:rsid w:val="0011720B"/>
    <w:rsid w:val="0012415E"/>
    <w:rsid w:val="00131D40"/>
    <w:rsid w:val="00153C13"/>
    <w:rsid w:val="00156045"/>
    <w:rsid w:val="001A52B6"/>
    <w:rsid w:val="001A623F"/>
    <w:rsid w:val="001B7D18"/>
    <w:rsid w:val="001C7B9D"/>
    <w:rsid w:val="001D0A41"/>
    <w:rsid w:val="001E6A42"/>
    <w:rsid w:val="001F2002"/>
    <w:rsid w:val="0020281A"/>
    <w:rsid w:val="002041E9"/>
    <w:rsid w:val="00205053"/>
    <w:rsid w:val="0023509C"/>
    <w:rsid w:val="002379EF"/>
    <w:rsid w:val="0024185A"/>
    <w:rsid w:val="00244FE3"/>
    <w:rsid w:val="002543FC"/>
    <w:rsid w:val="00264B17"/>
    <w:rsid w:val="00276B30"/>
    <w:rsid w:val="002802E1"/>
    <w:rsid w:val="002805CB"/>
    <w:rsid w:val="0028174D"/>
    <w:rsid w:val="0028613D"/>
    <w:rsid w:val="00286C73"/>
    <w:rsid w:val="002A7416"/>
    <w:rsid w:val="002C1F47"/>
    <w:rsid w:val="002C31B8"/>
    <w:rsid w:val="002E15A9"/>
    <w:rsid w:val="002F14B7"/>
    <w:rsid w:val="002F2B69"/>
    <w:rsid w:val="002F370E"/>
    <w:rsid w:val="002F7281"/>
    <w:rsid w:val="00303579"/>
    <w:rsid w:val="00306394"/>
    <w:rsid w:val="00327A26"/>
    <w:rsid w:val="00331376"/>
    <w:rsid w:val="0034464D"/>
    <w:rsid w:val="00346A3E"/>
    <w:rsid w:val="00364ADE"/>
    <w:rsid w:val="00366437"/>
    <w:rsid w:val="00371CAA"/>
    <w:rsid w:val="00382BAB"/>
    <w:rsid w:val="00384C04"/>
    <w:rsid w:val="003A4AFA"/>
    <w:rsid w:val="003C284F"/>
    <w:rsid w:val="003C6BFF"/>
    <w:rsid w:val="003D593C"/>
    <w:rsid w:val="003E25FE"/>
    <w:rsid w:val="00404F02"/>
    <w:rsid w:val="004167D6"/>
    <w:rsid w:val="00453C04"/>
    <w:rsid w:val="004635F9"/>
    <w:rsid w:val="004763DD"/>
    <w:rsid w:val="00495F6B"/>
    <w:rsid w:val="004A2CF9"/>
    <w:rsid w:val="004A6839"/>
    <w:rsid w:val="004B1B58"/>
    <w:rsid w:val="004C2445"/>
    <w:rsid w:val="004C6FDE"/>
    <w:rsid w:val="004C7502"/>
    <w:rsid w:val="004D01F1"/>
    <w:rsid w:val="005057AA"/>
    <w:rsid w:val="0052135A"/>
    <w:rsid w:val="00522D2B"/>
    <w:rsid w:val="00530337"/>
    <w:rsid w:val="00535244"/>
    <w:rsid w:val="005370DB"/>
    <w:rsid w:val="00541075"/>
    <w:rsid w:val="00551F08"/>
    <w:rsid w:val="00554CFF"/>
    <w:rsid w:val="00555284"/>
    <w:rsid w:val="00563ACC"/>
    <w:rsid w:val="005661AE"/>
    <w:rsid w:val="0057571C"/>
    <w:rsid w:val="005774B3"/>
    <w:rsid w:val="00586FA6"/>
    <w:rsid w:val="005A1D3D"/>
    <w:rsid w:val="005C6EC4"/>
    <w:rsid w:val="005C77D2"/>
    <w:rsid w:val="005D136A"/>
    <w:rsid w:val="005E14FD"/>
    <w:rsid w:val="005F03C2"/>
    <w:rsid w:val="005F2B5E"/>
    <w:rsid w:val="00600401"/>
    <w:rsid w:val="00612CCA"/>
    <w:rsid w:val="006135BB"/>
    <w:rsid w:val="00617F14"/>
    <w:rsid w:val="00622048"/>
    <w:rsid w:val="0062291D"/>
    <w:rsid w:val="00634499"/>
    <w:rsid w:val="00637295"/>
    <w:rsid w:val="00640228"/>
    <w:rsid w:val="006473B1"/>
    <w:rsid w:val="00650A85"/>
    <w:rsid w:val="006518EB"/>
    <w:rsid w:val="00656877"/>
    <w:rsid w:val="00661F04"/>
    <w:rsid w:val="00663420"/>
    <w:rsid w:val="00690EFF"/>
    <w:rsid w:val="006A0B8F"/>
    <w:rsid w:val="006A5CDC"/>
    <w:rsid w:val="006B48D0"/>
    <w:rsid w:val="006D08B4"/>
    <w:rsid w:val="006E1C36"/>
    <w:rsid w:val="006F1944"/>
    <w:rsid w:val="006F46C7"/>
    <w:rsid w:val="00700E03"/>
    <w:rsid w:val="00711B57"/>
    <w:rsid w:val="00717680"/>
    <w:rsid w:val="00725C58"/>
    <w:rsid w:val="0073316A"/>
    <w:rsid w:val="00737B45"/>
    <w:rsid w:val="007414BA"/>
    <w:rsid w:val="00742979"/>
    <w:rsid w:val="007720A2"/>
    <w:rsid w:val="0077536C"/>
    <w:rsid w:val="00781DB2"/>
    <w:rsid w:val="007949E8"/>
    <w:rsid w:val="00797517"/>
    <w:rsid w:val="00797C58"/>
    <w:rsid w:val="007A02F8"/>
    <w:rsid w:val="007A0CE2"/>
    <w:rsid w:val="007A1D5A"/>
    <w:rsid w:val="007A49FC"/>
    <w:rsid w:val="007B7C68"/>
    <w:rsid w:val="007C7C97"/>
    <w:rsid w:val="007D2335"/>
    <w:rsid w:val="007E21E6"/>
    <w:rsid w:val="0080062D"/>
    <w:rsid w:val="008046E4"/>
    <w:rsid w:val="00806F69"/>
    <w:rsid w:val="00807BA9"/>
    <w:rsid w:val="00822876"/>
    <w:rsid w:val="00824DE4"/>
    <w:rsid w:val="0082720B"/>
    <w:rsid w:val="00834088"/>
    <w:rsid w:val="008357E0"/>
    <w:rsid w:val="0084448A"/>
    <w:rsid w:val="008524BA"/>
    <w:rsid w:val="008533DF"/>
    <w:rsid w:val="008633DF"/>
    <w:rsid w:val="0086563A"/>
    <w:rsid w:val="00866942"/>
    <w:rsid w:val="00871FF4"/>
    <w:rsid w:val="008742F5"/>
    <w:rsid w:val="008844E4"/>
    <w:rsid w:val="008869AE"/>
    <w:rsid w:val="00897860"/>
    <w:rsid w:val="008B7FD5"/>
    <w:rsid w:val="008C3E08"/>
    <w:rsid w:val="008D2377"/>
    <w:rsid w:val="008D4D81"/>
    <w:rsid w:val="008E7191"/>
    <w:rsid w:val="00913D61"/>
    <w:rsid w:val="0091467A"/>
    <w:rsid w:val="00917390"/>
    <w:rsid w:val="009270B6"/>
    <w:rsid w:val="0094136B"/>
    <w:rsid w:val="00941856"/>
    <w:rsid w:val="00943CC0"/>
    <w:rsid w:val="00966FB9"/>
    <w:rsid w:val="00977985"/>
    <w:rsid w:val="00987602"/>
    <w:rsid w:val="009A16C4"/>
    <w:rsid w:val="009D6D11"/>
    <w:rsid w:val="009F6B61"/>
    <w:rsid w:val="00A00D2B"/>
    <w:rsid w:val="00A0496A"/>
    <w:rsid w:val="00A1014D"/>
    <w:rsid w:val="00A14FD8"/>
    <w:rsid w:val="00A273DC"/>
    <w:rsid w:val="00A30FD8"/>
    <w:rsid w:val="00A372CF"/>
    <w:rsid w:val="00A404E4"/>
    <w:rsid w:val="00A4251D"/>
    <w:rsid w:val="00A455C7"/>
    <w:rsid w:val="00A47187"/>
    <w:rsid w:val="00A6114C"/>
    <w:rsid w:val="00A6262E"/>
    <w:rsid w:val="00A62A1A"/>
    <w:rsid w:val="00A63668"/>
    <w:rsid w:val="00A76952"/>
    <w:rsid w:val="00AA4C9A"/>
    <w:rsid w:val="00AA5FA0"/>
    <w:rsid w:val="00AA6241"/>
    <w:rsid w:val="00AA653A"/>
    <w:rsid w:val="00AA7724"/>
    <w:rsid w:val="00B00C13"/>
    <w:rsid w:val="00B03817"/>
    <w:rsid w:val="00B06C71"/>
    <w:rsid w:val="00B14030"/>
    <w:rsid w:val="00B17CBD"/>
    <w:rsid w:val="00B35597"/>
    <w:rsid w:val="00B4616A"/>
    <w:rsid w:val="00B7535B"/>
    <w:rsid w:val="00B8560A"/>
    <w:rsid w:val="00B97259"/>
    <w:rsid w:val="00BA2BEB"/>
    <w:rsid w:val="00BC1B8B"/>
    <w:rsid w:val="00BC287A"/>
    <w:rsid w:val="00BC52EC"/>
    <w:rsid w:val="00BD0240"/>
    <w:rsid w:val="00BD2EFD"/>
    <w:rsid w:val="00BE1E5D"/>
    <w:rsid w:val="00BE6286"/>
    <w:rsid w:val="00BE7F9F"/>
    <w:rsid w:val="00BF214D"/>
    <w:rsid w:val="00BF285D"/>
    <w:rsid w:val="00BF59DD"/>
    <w:rsid w:val="00C1548F"/>
    <w:rsid w:val="00C16641"/>
    <w:rsid w:val="00C31743"/>
    <w:rsid w:val="00C31B68"/>
    <w:rsid w:val="00C47D29"/>
    <w:rsid w:val="00C63B12"/>
    <w:rsid w:val="00C719E8"/>
    <w:rsid w:val="00C77586"/>
    <w:rsid w:val="00C811CB"/>
    <w:rsid w:val="00C877A5"/>
    <w:rsid w:val="00C92004"/>
    <w:rsid w:val="00CA58EF"/>
    <w:rsid w:val="00CB05F2"/>
    <w:rsid w:val="00CB3861"/>
    <w:rsid w:val="00CB6139"/>
    <w:rsid w:val="00CC000D"/>
    <w:rsid w:val="00CE4180"/>
    <w:rsid w:val="00D02371"/>
    <w:rsid w:val="00D0256D"/>
    <w:rsid w:val="00D11B01"/>
    <w:rsid w:val="00D32D76"/>
    <w:rsid w:val="00D3672D"/>
    <w:rsid w:val="00D47B16"/>
    <w:rsid w:val="00D50A76"/>
    <w:rsid w:val="00D55FD3"/>
    <w:rsid w:val="00D62C53"/>
    <w:rsid w:val="00D70D31"/>
    <w:rsid w:val="00D711E6"/>
    <w:rsid w:val="00D75785"/>
    <w:rsid w:val="00D8537D"/>
    <w:rsid w:val="00D86210"/>
    <w:rsid w:val="00D962CC"/>
    <w:rsid w:val="00D97E0F"/>
    <w:rsid w:val="00DA1F75"/>
    <w:rsid w:val="00DB1E16"/>
    <w:rsid w:val="00DB22E3"/>
    <w:rsid w:val="00DD3371"/>
    <w:rsid w:val="00DD5423"/>
    <w:rsid w:val="00DD5E87"/>
    <w:rsid w:val="00DE2150"/>
    <w:rsid w:val="00DE7123"/>
    <w:rsid w:val="00E10B1D"/>
    <w:rsid w:val="00E2495C"/>
    <w:rsid w:val="00E342B0"/>
    <w:rsid w:val="00E412D5"/>
    <w:rsid w:val="00E62C27"/>
    <w:rsid w:val="00E64F11"/>
    <w:rsid w:val="00E826E2"/>
    <w:rsid w:val="00E85F0E"/>
    <w:rsid w:val="00EC1FB1"/>
    <w:rsid w:val="00EF40F1"/>
    <w:rsid w:val="00EF7C69"/>
    <w:rsid w:val="00F00540"/>
    <w:rsid w:val="00F016C2"/>
    <w:rsid w:val="00F06B1F"/>
    <w:rsid w:val="00F14C56"/>
    <w:rsid w:val="00F216DB"/>
    <w:rsid w:val="00F27835"/>
    <w:rsid w:val="00F31A43"/>
    <w:rsid w:val="00F349F1"/>
    <w:rsid w:val="00F40840"/>
    <w:rsid w:val="00F50FE7"/>
    <w:rsid w:val="00F5337F"/>
    <w:rsid w:val="00F64C9D"/>
    <w:rsid w:val="00F77302"/>
    <w:rsid w:val="00F777D1"/>
    <w:rsid w:val="00F80A3B"/>
    <w:rsid w:val="00FB23A5"/>
    <w:rsid w:val="00FB73D2"/>
    <w:rsid w:val="00FC3EDC"/>
    <w:rsid w:val="00FC4340"/>
    <w:rsid w:val="00FD6D06"/>
    <w:rsid w:val="00FE3B1F"/>
    <w:rsid w:val="00FE56FF"/>
    <w:rsid w:val="00FF10C9"/>
    <w:rsid w:val="00FF4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C96668"/>
  <w15:chartTrackingRefBased/>
  <w15:docId w15:val="{4D520F79-0F5F-D240-BA4D-3F1DF109B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611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844E4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44E4"/>
    <w:rPr>
      <w:rFonts w:ascii="Times New Roman" w:eastAsiaTheme="minorEastAsia" w:hAnsi="Times New Roman" w:cs="Times New Roman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912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7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42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121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793</Words>
  <Characters>4523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errando</dc:creator>
  <cp:keywords/>
  <dc:description/>
  <cp:lastModifiedBy>Norkey Bhutia</cp:lastModifiedBy>
  <cp:revision>2</cp:revision>
  <dcterms:created xsi:type="dcterms:W3CDTF">2021-04-09T10:30:00Z</dcterms:created>
  <dcterms:modified xsi:type="dcterms:W3CDTF">2021-04-09T10:30:00Z</dcterms:modified>
</cp:coreProperties>
</file>