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BE" w:rsidRPr="00A61A10" w:rsidRDefault="003F1DBE" w:rsidP="00D969D7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</w:rPr>
        <w:t>Tabla</w:t>
      </w:r>
      <w:r w:rsidR="006C5D27">
        <w:rPr>
          <w:rFonts w:cstheme="minorHAnsi"/>
          <w:b/>
        </w:rPr>
        <w:t xml:space="preserve"> X</w:t>
      </w:r>
      <w:r w:rsidRPr="00AA1301">
        <w:rPr>
          <w:rFonts w:cstheme="minorHAnsi"/>
          <w:b/>
          <w:i/>
        </w:rPr>
        <w:t>.</w:t>
      </w:r>
      <w:r w:rsidRPr="00AA1301">
        <w:rPr>
          <w:rFonts w:cstheme="minorHAnsi"/>
        </w:rPr>
        <w:t xml:space="preserve"> </w:t>
      </w:r>
      <w:r w:rsidRPr="00283DC3">
        <w:rPr>
          <w:rFonts w:cstheme="minorHAnsi"/>
          <w:b/>
        </w:rPr>
        <w:t xml:space="preserve">Métodos de diagnóstico invasivo (requieren la realización de endoscopia) utilizados para detectar la infección por </w:t>
      </w:r>
      <w:r w:rsidRPr="00283DC3">
        <w:rPr>
          <w:rFonts w:cstheme="minorHAnsi"/>
          <w:b/>
          <w:i/>
          <w:iCs/>
        </w:rPr>
        <w:t>H</w:t>
      </w:r>
      <w:r>
        <w:rPr>
          <w:rFonts w:cstheme="minorHAnsi"/>
          <w:b/>
          <w:i/>
          <w:iCs/>
        </w:rPr>
        <w:t>.</w:t>
      </w:r>
      <w:r w:rsidRPr="00283DC3">
        <w:rPr>
          <w:rFonts w:cstheme="minorHAnsi"/>
          <w:b/>
          <w:i/>
          <w:iCs/>
        </w:rPr>
        <w:t xml:space="preserve"> pylori.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13"/>
        <w:gridCol w:w="2334"/>
        <w:gridCol w:w="2431"/>
        <w:gridCol w:w="2216"/>
      </w:tblGrid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Método 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Fundamento 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Ventajas 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Limitaciones </w:t>
            </w: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Cultivo 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La bacteria se pue</w:t>
            </w:r>
            <w:r>
              <w:rPr>
                <w:rFonts w:cstheme="minorHAnsi"/>
              </w:rPr>
              <w:t>de cultivar en medios de agar só</w:t>
            </w:r>
            <w:r w:rsidRPr="00AA1301">
              <w:rPr>
                <w:rFonts w:cstheme="minorHAnsi"/>
              </w:rPr>
              <w:t xml:space="preserve">lidos selectivos o no selectivos 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Permite realizar la identificación definitiva de la bacteria</w:t>
            </w:r>
            <w:r>
              <w:rPr>
                <w:rFonts w:cstheme="minorHAnsi"/>
              </w:rPr>
              <w:t xml:space="preserve"> y el antibiograma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Negativo por perdida de viabilidad </w:t>
            </w: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Tinción de Gram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Con esta tinción se tiñen como bacilos Gram negativas con morfología curvada 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Técnica muy barata y disponible en todos los laboratorios de microbiología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Presenta baja sensibilidad</w:t>
            </w: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Histología 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Permite observar</w:t>
            </w:r>
            <w:r w:rsidRPr="00AA1301">
              <w:rPr>
                <w:rFonts w:cstheme="minorHAnsi"/>
              </w:rPr>
              <w:t xml:space="preserve"> bacilos curvados compatibles con </w:t>
            </w:r>
            <w:r w:rsidRPr="001E00E9">
              <w:rPr>
                <w:rFonts w:cstheme="minorHAnsi"/>
                <w:i/>
              </w:rPr>
              <w:t xml:space="preserve">H. pylori </w:t>
            </w:r>
            <w:r w:rsidRPr="00AA1301">
              <w:rPr>
                <w:rFonts w:cstheme="minorHAnsi"/>
              </w:rPr>
              <w:t xml:space="preserve">y además observa la patología asociada 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Imprescindible para detectar la patología digestiva asociada a la infección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Prueba rápida de la ureasa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1E00E9">
              <w:rPr>
                <w:rFonts w:cstheme="minorHAnsi"/>
                <w:i/>
                <w:iCs/>
              </w:rPr>
              <w:t>H. pylori</w:t>
            </w:r>
            <w:r w:rsidRPr="00AA1301">
              <w:rPr>
                <w:rFonts w:cstheme="minorHAnsi"/>
              </w:rPr>
              <w:t xml:space="preserve"> presenta una potente ureasa que es capaz de degradar la urea. El medio incluye un indicador de pH que hace que el medio adquiera color rosa al hidrolizarse la urea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Se puede realizar en la propia sala de endoscopias</w:t>
            </w:r>
            <w:r>
              <w:rPr>
                <w:rFonts w:cstheme="minorHAnsi"/>
              </w:rPr>
              <w:t xml:space="preserve"> detectando el cambio de color en</w:t>
            </w:r>
            <w:r w:rsidRPr="00AA1301">
              <w:rPr>
                <w:rFonts w:cstheme="minorHAnsi"/>
              </w:rPr>
              <w:t xml:space="preserve"> los </w:t>
            </w:r>
            <w:r>
              <w:rPr>
                <w:rFonts w:cstheme="minorHAnsi"/>
              </w:rPr>
              <w:t xml:space="preserve">primeros </w:t>
            </w:r>
            <w:r w:rsidRPr="00AA1301">
              <w:rPr>
                <w:rFonts w:cstheme="minorHAnsi"/>
              </w:rPr>
              <w:t>30min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Otras bacterias pueden hidrolizar la urea sobre todo si la lectura se realiza después del tiempo recomendado</w:t>
            </w: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PCR (</w:t>
            </w:r>
            <w:proofErr w:type="spellStart"/>
            <w:r w:rsidRPr="00AA1301">
              <w:rPr>
                <w:rFonts w:cstheme="minorHAnsi"/>
                <w:b/>
              </w:rPr>
              <w:t>Polymerase</w:t>
            </w:r>
            <w:proofErr w:type="spellEnd"/>
            <w:r w:rsidRPr="00AA1301">
              <w:rPr>
                <w:rFonts w:cstheme="minorHAnsi"/>
                <w:b/>
              </w:rPr>
              <w:t xml:space="preserve"> </w:t>
            </w:r>
            <w:proofErr w:type="spellStart"/>
            <w:r w:rsidRPr="00AA1301">
              <w:rPr>
                <w:rFonts w:cstheme="minorHAnsi"/>
                <w:b/>
              </w:rPr>
              <w:t>Chain</w:t>
            </w:r>
            <w:proofErr w:type="spellEnd"/>
            <w:r w:rsidRPr="00AA1301">
              <w:rPr>
                <w:rFonts w:cstheme="minorHAnsi"/>
                <w:b/>
              </w:rPr>
              <w:t xml:space="preserve"> </w:t>
            </w:r>
            <w:proofErr w:type="spellStart"/>
            <w:r w:rsidRPr="00AA1301">
              <w:rPr>
                <w:rFonts w:cstheme="minorHAnsi"/>
                <w:b/>
              </w:rPr>
              <w:t>Reaction</w:t>
            </w:r>
            <w:proofErr w:type="spellEnd"/>
            <w:r w:rsidRPr="00AA1301">
              <w:rPr>
                <w:rFonts w:cstheme="minorHAnsi"/>
                <w:b/>
              </w:rPr>
              <w:t>)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Técnica que permite amplificar genes específicos de </w:t>
            </w:r>
            <w:r w:rsidRPr="001E00E9">
              <w:rPr>
                <w:rFonts w:cstheme="minorHAnsi"/>
                <w:i/>
                <w:iCs/>
              </w:rPr>
              <w:t>H. pylori</w:t>
            </w:r>
            <w:r w:rsidRPr="00AA1301">
              <w:rPr>
                <w:rFonts w:cstheme="minorHAnsi"/>
              </w:rPr>
              <w:t xml:space="preserve"> pero también genes de resistencia a antibióticos 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Diferentes kits comerciales para detectar la bacteria y su resistencia a </w:t>
            </w:r>
            <w:proofErr w:type="spellStart"/>
            <w:r w:rsidRPr="00AA1301">
              <w:rPr>
                <w:rFonts w:cstheme="minorHAnsi"/>
              </w:rPr>
              <w:t>claritromicina</w:t>
            </w:r>
            <w:proofErr w:type="spellEnd"/>
            <w:r w:rsidRPr="00AA1301">
              <w:rPr>
                <w:rFonts w:cstheme="minorHAnsi"/>
              </w:rPr>
              <w:t xml:space="preserve"> y </w:t>
            </w:r>
            <w:proofErr w:type="spellStart"/>
            <w:r w:rsidRPr="00AA1301">
              <w:rPr>
                <w:rFonts w:cstheme="minorHAnsi"/>
              </w:rPr>
              <w:t>levofloxacino</w:t>
            </w:r>
            <w:proofErr w:type="spellEnd"/>
            <w:r w:rsidRPr="00AA1301">
              <w:rPr>
                <w:rFonts w:cstheme="minorHAnsi"/>
              </w:rPr>
              <w:t>, aunque haya perdido viabilidad</w:t>
            </w:r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No está disponible en muchos laboratorios</w:t>
            </w:r>
          </w:p>
        </w:tc>
      </w:tr>
      <w:tr w:rsidR="003F1DBE" w:rsidRPr="00AA1301" w:rsidTr="003502DF">
        <w:tc>
          <w:tcPr>
            <w:tcW w:w="78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AA1301">
              <w:rPr>
                <w:rFonts w:cstheme="minorHAnsi"/>
                <w:b/>
                <w:lang w:val="en-US"/>
              </w:rPr>
              <w:t xml:space="preserve">FISH (Fluorescence </w:t>
            </w:r>
            <w:r w:rsidRPr="00AA1301">
              <w:rPr>
                <w:rFonts w:cstheme="minorHAnsi"/>
                <w:b/>
                <w:i/>
                <w:iCs/>
                <w:lang w:val="en-US"/>
              </w:rPr>
              <w:t>In situ</w:t>
            </w:r>
            <w:r w:rsidRPr="00AA1301">
              <w:rPr>
                <w:rFonts w:cstheme="minorHAnsi"/>
                <w:b/>
                <w:lang w:val="en-US"/>
              </w:rPr>
              <w:t xml:space="preserve"> Hybridization)</w:t>
            </w:r>
          </w:p>
        </w:tc>
        <w:tc>
          <w:tcPr>
            <w:tcW w:w="140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Técnica que utiliza sondas fluorescentes para detectar </w:t>
            </w:r>
            <w:r w:rsidRPr="001E00E9">
              <w:rPr>
                <w:rFonts w:cstheme="minorHAnsi"/>
                <w:i/>
                <w:iCs/>
              </w:rPr>
              <w:t>H. pylori</w:t>
            </w:r>
            <w:r w:rsidRPr="00AA1301">
              <w:rPr>
                <w:rFonts w:cstheme="minorHAnsi"/>
              </w:rPr>
              <w:t xml:space="preserve"> y su resistencia a </w:t>
            </w:r>
            <w:proofErr w:type="spellStart"/>
            <w:r w:rsidRPr="00AA1301">
              <w:rPr>
                <w:rFonts w:cstheme="minorHAnsi"/>
              </w:rPr>
              <w:t>claritromicina</w:t>
            </w:r>
            <w:proofErr w:type="spellEnd"/>
            <w:r w:rsidRPr="00AA1301">
              <w:rPr>
                <w:rFonts w:cstheme="minorHAnsi"/>
              </w:rPr>
              <w:t xml:space="preserve"> en las extensiones de biopsia</w:t>
            </w:r>
          </w:p>
        </w:tc>
        <w:tc>
          <w:tcPr>
            <w:tcW w:w="1465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  <w:color w:val="000000" w:themeColor="text1"/>
              </w:rPr>
              <w:t xml:space="preserve">Muy sensible y específica para detectar </w:t>
            </w:r>
            <w:r w:rsidRPr="001E00E9">
              <w:rPr>
                <w:rFonts w:cstheme="minorHAnsi"/>
                <w:i/>
                <w:iCs/>
                <w:color w:val="000000" w:themeColor="text1"/>
              </w:rPr>
              <w:t>H. pylori</w:t>
            </w:r>
            <w:r w:rsidRPr="00AA1301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Pr="00AA1301">
              <w:rPr>
                <w:rFonts w:cstheme="minorHAnsi"/>
                <w:color w:val="000000" w:themeColor="text1"/>
              </w:rPr>
              <w:t xml:space="preserve">y permite también detectar formas </w:t>
            </w:r>
            <w:proofErr w:type="spellStart"/>
            <w:r w:rsidRPr="00AA1301">
              <w:rPr>
                <w:rFonts w:cstheme="minorHAnsi"/>
                <w:color w:val="000000" w:themeColor="text1"/>
              </w:rPr>
              <w:t>cocoides</w:t>
            </w:r>
            <w:proofErr w:type="spellEnd"/>
            <w:r w:rsidRPr="00AA1301">
              <w:rPr>
                <w:rFonts w:cstheme="minorHAnsi"/>
                <w:color w:val="000000" w:themeColor="text1"/>
              </w:rPr>
              <w:t xml:space="preserve">, además de resistencia a </w:t>
            </w:r>
            <w:proofErr w:type="spellStart"/>
            <w:r w:rsidRPr="00AA1301">
              <w:rPr>
                <w:rFonts w:cstheme="minorHAnsi"/>
                <w:color w:val="000000" w:themeColor="text1"/>
              </w:rPr>
              <w:t>claritromicina</w:t>
            </w:r>
            <w:proofErr w:type="spellEnd"/>
          </w:p>
        </w:tc>
        <w:tc>
          <w:tcPr>
            <w:tcW w:w="1338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Requiere experiencia del personal, es menos sensible que la PCR y no está disponible en muchos laboratorios</w:t>
            </w:r>
          </w:p>
        </w:tc>
      </w:tr>
    </w:tbl>
    <w:p w:rsidR="003F1DBE" w:rsidRDefault="003F1DBE"/>
    <w:p w:rsidR="003F1DBE" w:rsidRDefault="003F1DBE"/>
    <w:p w:rsidR="00FE45D1" w:rsidRDefault="00FE45D1"/>
    <w:p w:rsidR="003F1DBE" w:rsidRDefault="003F1DBE"/>
    <w:p w:rsidR="003F1DBE" w:rsidRPr="00AA1301" w:rsidRDefault="0011331A" w:rsidP="00D969D7">
      <w:pPr>
        <w:spacing w:line="276" w:lineRule="auto"/>
        <w:rPr>
          <w:rFonts w:cstheme="minorHAnsi"/>
        </w:rPr>
      </w:pPr>
      <w:r>
        <w:rPr>
          <w:rFonts w:cstheme="minorHAnsi"/>
          <w:b/>
        </w:rPr>
        <w:lastRenderedPageBreak/>
        <w:t xml:space="preserve">Tabla </w:t>
      </w:r>
      <w:r w:rsidR="006C5D27">
        <w:rPr>
          <w:rFonts w:cstheme="minorHAnsi"/>
          <w:b/>
        </w:rPr>
        <w:t>Y</w:t>
      </w:r>
      <w:r w:rsidR="003F1DBE" w:rsidRPr="00AA1301">
        <w:rPr>
          <w:rFonts w:cstheme="minorHAnsi"/>
          <w:b/>
          <w:i/>
        </w:rPr>
        <w:t>.</w:t>
      </w:r>
      <w:r w:rsidR="003F1DBE" w:rsidRPr="00AA1301">
        <w:rPr>
          <w:rFonts w:cstheme="minorHAnsi"/>
        </w:rPr>
        <w:t xml:space="preserve"> </w:t>
      </w:r>
      <w:r w:rsidR="003F1DBE" w:rsidRPr="00283DC3">
        <w:rPr>
          <w:rFonts w:cstheme="minorHAnsi"/>
          <w:b/>
        </w:rPr>
        <w:t xml:space="preserve">Métodos de diagnóstico no invasivos utilizados para detectar la infección por </w:t>
      </w:r>
      <w:proofErr w:type="spellStart"/>
      <w:r w:rsidR="003F1DBE" w:rsidRPr="00283DC3">
        <w:rPr>
          <w:rFonts w:cstheme="minorHAnsi"/>
          <w:b/>
          <w:i/>
          <w:iCs/>
        </w:rPr>
        <w:t>Helicobacter</w:t>
      </w:r>
      <w:proofErr w:type="spellEnd"/>
      <w:r w:rsidR="003F1DBE" w:rsidRPr="00283DC3">
        <w:rPr>
          <w:rFonts w:cstheme="minorHAnsi"/>
          <w:b/>
          <w:i/>
          <w:iCs/>
        </w:rPr>
        <w:t xml:space="preserve"> pylori.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16"/>
        <w:gridCol w:w="2184"/>
        <w:gridCol w:w="1968"/>
        <w:gridCol w:w="2126"/>
      </w:tblGrid>
      <w:tr w:rsidR="003F1DBE" w:rsidRPr="00AA1301" w:rsidTr="003502DF">
        <w:tc>
          <w:tcPr>
            <w:tcW w:w="106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Método </w:t>
            </w:r>
          </w:p>
        </w:tc>
        <w:tc>
          <w:tcPr>
            <w:tcW w:w="1367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Fundamento </w:t>
            </w:r>
          </w:p>
        </w:tc>
        <w:tc>
          <w:tcPr>
            <w:tcW w:w="123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Ventajas </w:t>
            </w:r>
          </w:p>
        </w:tc>
        <w:tc>
          <w:tcPr>
            <w:tcW w:w="133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Limitaciones </w:t>
            </w:r>
          </w:p>
        </w:tc>
      </w:tr>
      <w:tr w:rsidR="003F1DBE" w:rsidRPr="00AA1301" w:rsidTr="003502DF">
        <w:tc>
          <w:tcPr>
            <w:tcW w:w="106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Prueba del aliento</w:t>
            </w:r>
          </w:p>
        </w:tc>
        <w:tc>
          <w:tcPr>
            <w:tcW w:w="1367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El paciente ingiere urea marcada con </w:t>
            </w:r>
            <w:r w:rsidRPr="00AA1301">
              <w:rPr>
                <w:rFonts w:cstheme="minorHAnsi"/>
                <w:vertAlign w:val="superscript"/>
              </w:rPr>
              <w:t>13</w:t>
            </w:r>
            <w:r>
              <w:rPr>
                <w:rFonts w:cstheme="minorHAnsi"/>
              </w:rPr>
              <w:t>C. S</w:t>
            </w:r>
            <w:r w:rsidRPr="00AA1301">
              <w:rPr>
                <w:rFonts w:cstheme="minorHAnsi"/>
              </w:rPr>
              <w:t xml:space="preserve">i </w:t>
            </w:r>
            <w:r w:rsidRPr="001E00E9">
              <w:rPr>
                <w:rFonts w:cstheme="minorHAnsi"/>
                <w:i/>
                <w:iCs/>
              </w:rPr>
              <w:t>H. pylori</w:t>
            </w:r>
            <w:r w:rsidRPr="00AA1301">
              <w:rPr>
                <w:rFonts w:cstheme="minorHAnsi"/>
              </w:rPr>
              <w:t xml:space="preserve"> se encuentra en el estómago, será degradada por la ureasa liberando </w:t>
            </w:r>
            <w:r w:rsidRPr="00AA1301">
              <w:rPr>
                <w:rFonts w:cstheme="minorHAnsi"/>
                <w:vertAlign w:val="superscript"/>
              </w:rPr>
              <w:t>13</w:t>
            </w:r>
            <w:r w:rsidRPr="00AA1301">
              <w:rPr>
                <w:rFonts w:cstheme="minorHAnsi"/>
              </w:rPr>
              <w:t xml:space="preserve">CO2 </w:t>
            </w:r>
          </w:p>
        </w:tc>
        <w:tc>
          <w:tcPr>
            <w:tcW w:w="123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Alta sensibilidad y especificidad</w:t>
            </w:r>
          </w:p>
        </w:tc>
        <w:tc>
          <w:tcPr>
            <w:tcW w:w="133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Falsos positivos en niños &lt; 6 años.</w:t>
            </w:r>
          </w:p>
        </w:tc>
      </w:tr>
      <w:tr w:rsidR="003F1DBE" w:rsidRPr="00AA1301" w:rsidTr="003502DF">
        <w:tc>
          <w:tcPr>
            <w:tcW w:w="106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Serología</w:t>
            </w:r>
          </w:p>
        </w:tc>
        <w:tc>
          <w:tcPr>
            <w:tcW w:w="1367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Detecta la presencia de anticuerpos producidos por el paciente si ha estado en contacto con la bacteria</w:t>
            </w:r>
          </w:p>
        </w:tc>
        <w:tc>
          <w:tcPr>
            <w:tcW w:w="123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 xml:space="preserve">Útil para estudios epidemiológicos </w:t>
            </w:r>
          </w:p>
        </w:tc>
        <w:tc>
          <w:tcPr>
            <w:tcW w:w="133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No permite detectar infección activa ni sirve como seguimiento del tratamiento</w:t>
            </w:r>
          </w:p>
        </w:tc>
      </w:tr>
      <w:tr w:rsidR="003F1DBE" w:rsidRPr="00AA1301" w:rsidTr="003502DF">
        <w:tc>
          <w:tcPr>
            <w:tcW w:w="106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 xml:space="preserve">Detección de Antígeno en heces por </w:t>
            </w:r>
            <w:proofErr w:type="spellStart"/>
            <w:r w:rsidRPr="00AA1301">
              <w:rPr>
                <w:rFonts w:cstheme="minorHAnsi"/>
                <w:b/>
                <w:color w:val="000000" w:themeColor="text1"/>
              </w:rPr>
              <w:t>Enzimoinmuno</w:t>
            </w:r>
            <w:proofErr w:type="spellEnd"/>
            <w:r w:rsidRPr="00AA1301">
              <w:rPr>
                <w:rFonts w:cstheme="minorHAnsi"/>
                <w:b/>
                <w:color w:val="000000" w:themeColor="text1"/>
              </w:rPr>
              <w:t xml:space="preserve"> ensayo (EIA) o </w:t>
            </w:r>
            <w:proofErr w:type="spellStart"/>
            <w:r w:rsidRPr="00AA1301">
              <w:rPr>
                <w:rFonts w:cstheme="minorHAnsi"/>
                <w:b/>
                <w:color w:val="000000" w:themeColor="text1"/>
              </w:rPr>
              <w:t>inmunoensayo</w:t>
            </w:r>
            <w:proofErr w:type="spellEnd"/>
            <w:r w:rsidRPr="00AA1301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AA1301">
              <w:rPr>
                <w:rFonts w:cstheme="minorHAnsi"/>
                <w:b/>
                <w:color w:val="000000" w:themeColor="text1"/>
              </w:rPr>
              <w:t>quimioluminiscente</w:t>
            </w:r>
            <w:proofErr w:type="spellEnd"/>
            <w:r w:rsidRPr="00AA1301">
              <w:rPr>
                <w:rFonts w:cstheme="minorHAnsi"/>
                <w:b/>
                <w:color w:val="000000" w:themeColor="text1"/>
              </w:rPr>
              <w:t xml:space="preserve"> (CLIA)</w:t>
            </w:r>
          </w:p>
        </w:tc>
        <w:tc>
          <w:tcPr>
            <w:tcW w:w="1367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  <w:color w:val="000000" w:themeColor="text1"/>
              </w:rPr>
              <w:t xml:space="preserve">Si en las heces se ha liberado antígeno de </w:t>
            </w:r>
            <w:r w:rsidRPr="001E00E9">
              <w:rPr>
                <w:rFonts w:cstheme="minorHAnsi"/>
                <w:i/>
                <w:iCs/>
                <w:color w:val="000000" w:themeColor="text1"/>
              </w:rPr>
              <w:t>H. pylori</w:t>
            </w:r>
            <w:r w:rsidRPr="00AA1301">
              <w:rPr>
                <w:rFonts w:cstheme="minorHAnsi"/>
                <w:color w:val="000000" w:themeColor="text1"/>
              </w:rPr>
              <w:t xml:space="preserve"> reaccionar</w:t>
            </w:r>
            <w:r>
              <w:rPr>
                <w:rFonts w:cstheme="minorHAnsi"/>
                <w:color w:val="000000" w:themeColor="text1"/>
              </w:rPr>
              <w:t>á</w:t>
            </w:r>
            <w:r w:rsidRPr="00AA1301">
              <w:rPr>
                <w:rFonts w:cstheme="minorHAnsi"/>
                <w:color w:val="000000" w:themeColor="text1"/>
              </w:rPr>
              <w:t xml:space="preserve"> con el anticuerpo monoclonal presente en el kit</w:t>
            </w:r>
          </w:p>
        </w:tc>
        <w:tc>
          <w:tcPr>
            <w:tcW w:w="123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  <w:color w:val="000000" w:themeColor="text1"/>
              </w:rPr>
              <w:t>La sensibilidad y especificidad de los EIA basados en anticuerpos monoclonales son comparables a la prueba del aliento.</w:t>
            </w:r>
          </w:p>
        </w:tc>
        <w:tc>
          <w:tcPr>
            <w:tcW w:w="133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</w:p>
        </w:tc>
      </w:tr>
      <w:tr w:rsidR="003F1DBE" w:rsidRPr="00AA1301" w:rsidTr="003502DF">
        <w:tc>
          <w:tcPr>
            <w:tcW w:w="106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  <w:b/>
              </w:rPr>
            </w:pPr>
            <w:r w:rsidRPr="00AA1301">
              <w:rPr>
                <w:rFonts w:cstheme="minorHAnsi"/>
                <w:b/>
              </w:rPr>
              <w:t>Detección de Antígeno</w:t>
            </w:r>
            <w:r>
              <w:rPr>
                <w:rFonts w:cstheme="minorHAnsi"/>
                <w:b/>
              </w:rPr>
              <w:t xml:space="preserve"> en heces por </w:t>
            </w:r>
            <w:proofErr w:type="spellStart"/>
            <w:r>
              <w:rPr>
                <w:rFonts w:cstheme="minorHAnsi"/>
                <w:b/>
              </w:rPr>
              <w:t>inmunocromatografí</w:t>
            </w:r>
            <w:r w:rsidRPr="00AA1301">
              <w:rPr>
                <w:rFonts w:cstheme="minorHAnsi"/>
                <w:b/>
              </w:rPr>
              <w:t>a</w:t>
            </w:r>
            <w:proofErr w:type="spellEnd"/>
            <w:r w:rsidRPr="00AA1301">
              <w:rPr>
                <w:rFonts w:cstheme="minorHAnsi"/>
                <w:b/>
                <w:color w:val="000000" w:themeColor="text1"/>
              </w:rPr>
              <w:t xml:space="preserve"> (ICT)</w:t>
            </w:r>
          </w:p>
        </w:tc>
        <w:tc>
          <w:tcPr>
            <w:tcW w:w="1367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  <w:color w:val="000000" w:themeColor="text1"/>
              </w:rPr>
              <w:t xml:space="preserve">Si en las heces se ha liberado antígeno de </w:t>
            </w:r>
            <w:r w:rsidRPr="001E00E9">
              <w:rPr>
                <w:rFonts w:cstheme="minorHAnsi"/>
                <w:i/>
                <w:iCs/>
                <w:color w:val="000000" w:themeColor="text1"/>
              </w:rPr>
              <w:t>H. pylori</w:t>
            </w:r>
            <w:r w:rsidRPr="00AA1301">
              <w:rPr>
                <w:rFonts w:cstheme="minorHAnsi"/>
                <w:color w:val="000000" w:themeColor="text1"/>
              </w:rPr>
              <w:t xml:space="preserve"> reaccionar</w:t>
            </w:r>
            <w:r>
              <w:rPr>
                <w:rFonts w:cstheme="minorHAnsi"/>
                <w:color w:val="000000" w:themeColor="text1"/>
              </w:rPr>
              <w:t>á</w:t>
            </w:r>
            <w:r w:rsidRPr="00AA1301">
              <w:rPr>
                <w:rFonts w:cstheme="minorHAnsi"/>
                <w:color w:val="000000" w:themeColor="text1"/>
              </w:rPr>
              <w:t xml:space="preserve"> con el anticuerpo monoclonal presente en el dispositivo</w:t>
            </w:r>
          </w:p>
        </w:tc>
        <w:tc>
          <w:tcPr>
            <w:tcW w:w="1239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</w:rPr>
              <w:t>Se puede hacer en cada muestra individual</w:t>
            </w:r>
          </w:p>
        </w:tc>
        <w:tc>
          <w:tcPr>
            <w:tcW w:w="1332" w:type="pct"/>
          </w:tcPr>
          <w:p w:rsidR="003F1DBE" w:rsidRPr="00AA1301" w:rsidRDefault="003F1DBE" w:rsidP="00D969D7">
            <w:pPr>
              <w:spacing w:line="276" w:lineRule="auto"/>
              <w:rPr>
                <w:rFonts w:cstheme="minorHAnsi"/>
              </w:rPr>
            </w:pPr>
            <w:r w:rsidRPr="00AA1301">
              <w:rPr>
                <w:rFonts w:cstheme="minorHAnsi"/>
                <w:color w:val="000000" w:themeColor="text1"/>
              </w:rPr>
              <w:t>Suelen presentar buena especificidad, pero baja sensibilidad</w:t>
            </w:r>
          </w:p>
        </w:tc>
      </w:tr>
    </w:tbl>
    <w:p w:rsidR="003F1DBE" w:rsidRDefault="003F1DBE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/>
    <w:p w:rsidR="009B3CF9" w:rsidRDefault="009B3CF9">
      <w:r w:rsidRPr="009B3CF9">
        <w:rPr>
          <w:b/>
          <w:i/>
        </w:rPr>
        <w:lastRenderedPageBreak/>
        <w:t xml:space="preserve">Figura </w:t>
      </w:r>
      <w:r w:rsidR="00BD2C6E">
        <w:rPr>
          <w:b/>
          <w:i/>
        </w:rPr>
        <w:t>Z</w:t>
      </w:r>
      <w:r>
        <w:t xml:space="preserve">. Diario de seguimiento del tratamiento </w:t>
      </w:r>
      <w:proofErr w:type="spellStart"/>
      <w:r>
        <w:t>erradicador</w:t>
      </w:r>
      <w:proofErr w:type="spellEnd"/>
      <w:r>
        <w:t xml:space="preserve"> (tomado de www.espghan.org)</w:t>
      </w:r>
    </w:p>
    <w:p w:rsidR="009B3CF9" w:rsidRDefault="009B3CF9">
      <w:r>
        <w:rPr>
          <w:noProof/>
          <w:lang w:eastAsia="es-ES"/>
        </w:rPr>
        <w:drawing>
          <wp:inline distT="0" distB="0" distL="0" distR="0">
            <wp:extent cx="5308600" cy="371766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a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2" t="5435" r="11924"/>
                    <a:stretch/>
                  </pic:blipFill>
                  <pic:spPr bwMode="auto">
                    <a:xfrm>
                      <a:off x="0" y="0"/>
                      <a:ext cx="5329294" cy="3732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3CF9" w:rsidRDefault="009B3CF9">
      <w:r>
        <w:rPr>
          <w:noProof/>
          <w:lang w:eastAsia="es-ES"/>
        </w:rPr>
        <w:drawing>
          <wp:inline distT="0" distB="0" distL="0" distR="0">
            <wp:extent cx="5314950" cy="366633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a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0" t="5016" r="11571" b="1547"/>
                    <a:stretch/>
                  </pic:blipFill>
                  <pic:spPr bwMode="auto">
                    <a:xfrm>
                      <a:off x="0" y="0"/>
                      <a:ext cx="5340227" cy="3683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F472D"/>
    <w:multiLevelType w:val="hybridMultilevel"/>
    <w:tmpl w:val="7E0E5298"/>
    <w:lvl w:ilvl="0" w:tplc="CDDE4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BE"/>
    <w:rsid w:val="000D4AEE"/>
    <w:rsid w:val="0011331A"/>
    <w:rsid w:val="003F1DBE"/>
    <w:rsid w:val="005B5F8E"/>
    <w:rsid w:val="00653415"/>
    <w:rsid w:val="006C5D27"/>
    <w:rsid w:val="009B3CF9"/>
    <w:rsid w:val="00A05DA7"/>
    <w:rsid w:val="00BD2C6E"/>
    <w:rsid w:val="00D969D7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1F965-AE0D-448D-B8FE-0CA96745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F1D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3F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3F1DBE"/>
    <w:pPr>
      <w:suppressLineNumbers/>
    </w:pPr>
  </w:style>
  <w:style w:type="paragraph" w:customStyle="1" w:styleId="TableHeading">
    <w:name w:val="Table Heading"/>
    <w:basedOn w:val="TableContents"/>
    <w:rsid w:val="003F1DBE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D9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10</cp:revision>
  <dcterms:created xsi:type="dcterms:W3CDTF">2021-02-16T16:59:00Z</dcterms:created>
  <dcterms:modified xsi:type="dcterms:W3CDTF">2021-03-03T17:32:00Z</dcterms:modified>
</cp:coreProperties>
</file>