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1" w:rsidRPr="004705FD" w:rsidRDefault="00101621">
      <w:pPr>
        <w:rPr>
          <w:b/>
          <w:lang w:val="en-US"/>
        </w:rPr>
      </w:pPr>
      <w:proofErr w:type="spellStart"/>
      <w:r w:rsidRPr="004705FD">
        <w:rPr>
          <w:b/>
          <w:lang w:val="en-US"/>
        </w:rPr>
        <w:t>Suplementary</w:t>
      </w:r>
      <w:proofErr w:type="spellEnd"/>
      <w:r w:rsidRPr="004705FD">
        <w:rPr>
          <w:b/>
          <w:lang w:val="en-US"/>
        </w:rPr>
        <w:t xml:space="preserve"> Table 1: </w:t>
      </w:r>
      <w:r w:rsidR="004705FD" w:rsidRPr="004705FD">
        <w:rPr>
          <w:b/>
          <w:lang w:val="en-US"/>
        </w:rPr>
        <w:t>Baseline characteristics of suspected RH</w:t>
      </w:r>
    </w:p>
    <w:tbl>
      <w:tblPr>
        <w:tblStyle w:val="Sombreadomedio2-nfasis3"/>
        <w:tblpPr w:leftFromText="141" w:rightFromText="141" w:vertAnchor="page" w:horzAnchor="margin" w:tblpXSpec="center" w:tblpY="1658"/>
        <w:tblW w:w="4095" w:type="pct"/>
        <w:tblLook w:val="00A0"/>
      </w:tblPr>
      <w:tblGrid>
        <w:gridCol w:w="5300"/>
        <w:gridCol w:w="3178"/>
        <w:gridCol w:w="271"/>
      </w:tblGrid>
      <w:tr w:rsidR="00EC437B" w:rsidRPr="00101621" w:rsidTr="00EC437B">
        <w:trPr>
          <w:gridAfter w:val="1"/>
          <w:cnfStyle w:val="100000000000"/>
          <w:wAfter w:w="155" w:type="pct"/>
          <w:trHeight w:val="442"/>
        </w:trPr>
        <w:tc>
          <w:tcPr>
            <w:cnfStyle w:val="001000000100"/>
            <w:tcW w:w="3029" w:type="pct"/>
            <w:tcBorders>
              <w:bottom w:val="nil"/>
            </w:tcBorders>
            <w:shd w:val="clear" w:color="auto" w:fill="auto"/>
            <w:vAlign w:val="center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Anthropometric measures</w:t>
            </w:r>
          </w:p>
        </w:tc>
        <w:tc>
          <w:tcPr>
            <w:cnfStyle w:val="000010000000"/>
            <w:tcW w:w="1816" w:type="pct"/>
            <w:tcBorders>
              <w:bottom w:val="nil"/>
            </w:tcBorders>
            <w:shd w:val="clear" w:color="auto" w:fill="auto"/>
            <w:vAlign w:val="center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Patients (N=60)</w:t>
            </w:r>
          </w:p>
        </w:tc>
      </w:tr>
      <w:tr w:rsidR="00EC437B" w:rsidRPr="00101621" w:rsidTr="00EC437B">
        <w:trPr>
          <w:gridAfter w:val="1"/>
          <w:cnfStyle w:val="000000100000"/>
          <w:wAfter w:w="155" w:type="pct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Age, years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 xml:space="preserve"> (SD)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63.73 (9.77)</w:t>
            </w:r>
          </w:p>
        </w:tc>
      </w:tr>
      <w:tr w:rsidR="00EC437B" w:rsidRPr="00101621" w:rsidTr="00EC437B">
        <w:trPr>
          <w:gridAfter w:val="1"/>
          <w:wAfter w:w="155" w:type="pct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Male, n (%)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41 (68.3)</w:t>
            </w:r>
          </w:p>
        </w:tc>
      </w:tr>
      <w:tr w:rsidR="00EC437B" w:rsidRPr="00101621" w:rsidTr="00EC437B">
        <w:trPr>
          <w:gridAfter w:val="1"/>
          <w:cnfStyle w:val="000000100000"/>
          <w:wAfter w:w="155" w:type="pct"/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Body mass index, kg/m</w:t>
            </w: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(SD)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30.86 (4.22)</w:t>
            </w:r>
          </w:p>
        </w:tc>
      </w:tr>
      <w:tr w:rsidR="00EC437B" w:rsidRPr="00101621" w:rsidTr="00EC437B">
        <w:trPr>
          <w:gridAfter w:val="1"/>
          <w:wAfter w:w="155" w:type="pct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Waist circumference, cm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 xml:space="preserve"> (SD)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107.38 (10.23)</w:t>
            </w:r>
          </w:p>
        </w:tc>
      </w:tr>
      <w:tr w:rsidR="00EC437B" w:rsidRPr="00101621" w:rsidTr="00EC437B">
        <w:trPr>
          <w:gridAfter w:val="1"/>
          <w:cnfStyle w:val="000000100000"/>
          <w:wAfter w:w="155" w:type="pct"/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Office systolic BP, mmHg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 xml:space="preserve"> (SD)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154.27 (14.41)</w:t>
            </w:r>
          </w:p>
        </w:tc>
      </w:tr>
      <w:tr w:rsidR="00EC437B" w:rsidRPr="00101621" w:rsidTr="00EC437B">
        <w:trPr>
          <w:gridAfter w:val="1"/>
          <w:wAfter w:w="155" w:type="pct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Office diastolic BP, mmHg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 xml:space="preserve"> (SD)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84.38 (13.67)</w:t>
            </w:r>
          </w:p>
        </w:tc>
      </w:tr>
      <w:tr w:rsidR="00EC437B" w:rsidRPr="00101621" w:rsidTr="00EC437B">
        <w:trPr>
          <w:gridAfter w:val="1"/>
          <w:cnfStyle w:val="000000100000"/>
          <w:wAfter w:w="155" w:type="pct"/>
          <w:trHeight w:val="442"/>
        </w:trPr>
        <w:tc>
          <w:tcPr>
            <w:cnfStyle w:val="001000000000"/>
            <w:tcW w:w="484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Cardiovascular risk factors</w:t>
            </w:r>
          </w:p>
        </w:tc>
      </w:tr>
      <w:tr w:rsidR="00EC437B" w:rsidRPr="00101621" w:rsidTr="00EC437B">
        <w:trPr>
          <w:gridAfter w:val="1"/>
          <w:wAfter w:w="155" w:type="pct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Family history of early CVD, n (%)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6 (10)</w:t>
            </w:r>
          </w:p>
        </w:tc>
      </w:tr>
      <w:tr w:rsidR="00EC437B" w:rsidRPr="00101621" w:rsidTr="00EC437B">
        <w:trPr>
          <w:gridAfter w:val="1"/>
          <w:cnfStyle w:val="000000100000"/>
          <w:wAfter w:w="155" w:type="pct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Previous cardiovascular event, n (%)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 (13.3)</w:t>
            </w:r>
          </w:p>
        </w:tc>
      </w:tr>
      <w:tr w:rsidR="00EC437B" w:rsidRPr="00101621" w:rsidTr="00EC437B">
        <w:trPr>
          <w:gridAfter w:val="1"/>
          <w:wAfter w:w="155" w:type="pct"/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Current smokers, n (%)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12 (20)</w:t>
            </w:r>
          </w:p>
        </w:tc>
      </w:tr>
      <w:tr w:rsidR="00EC437B" w:rsidRPr="00101621" w:rsidTr="00EC437B">
        <w:trPr>
          <w:gridAfter w:val="1"/>
          <w:cnfStyle w:val="000000100000"/>
          <w:wAfter w:w="155" w:type="pct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Diabetes, n (%)</w:t>
            </w:r>
          </w:p>
        </w:tc>
        <w:tc>
          <w:tcPr>
            <w:cnfStyle w:val="000010000000"/>
            <w:tcW w:w="1816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30 (50)</w:t>
            </w:r>
          </w:p>
        </w:tc>
      </w:tr>
      <w:tr w:rsidR="00EC437B" w:rsidRPr="00101621" w:rsidTr="00EC437B">
        <w:trPr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Dyslipidemia, n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39 (65)</w:t>
            </w:r>
          </w:p>
        </w:tc>
      </w:tr>
      <w:tr w:rsidR="00EC437B" w:rsidRPr="00101621" w:rsidTr="00EC437B">
        <w:trPr>
          <w:cnfStyle w:val="000000100000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Chronic kidney disease, n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10 (16.7)</w:t>
            </w:r>
          </w:p>
        </w:tc>
      </w:tr>
      <w:tr w:rsidR="00EC437B" w:rsidRPr="00101621" w:rsidTr="00EC437B">
        <w:trPr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Obesity, n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35  (58.3)</w:t>
            </w:r>
          </w:p>
        </w:tc>
      </w:tr>
      <w:tr w:rsidR="00EC437B" w:rsidRPr="00101621" w:rsidTr="00EC437B">
        <w:trPr>
          <w:cnfStyle w:val="000000100000"/>
          <w:trHeight w:val="430"/>
        </w:trPr>
        <w:tc>
          <w:tcPr>
            <w:cnfStyle w:val="001000000000"/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Target organ damage</w:t>
            </w:r>
          </w:p>
        </w:tc>
      </w:tr>
      <w:tr w:rsidR="00EC437B" w:rsidRPr="00101621" w:rsidTr="00EC437B">
        <w:trPr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Left ventricular hypertrophy (ECG), n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18 (30)</w:t>
            </w:r>
          </w:p>
        </w:tc>
      </w:tr>
      <w:tr w:rsidR="00EC437B" w:rsidRPr="00101621" w:rsidTr="00EC437B">
        <w:trPr>
          <w:cnfStyle w:val="000000100000"/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pt-BR"/>
              </w:rPr>
            </w:pPr>
            <w:proofErr w:type="spellStart"/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pt-BR"/>
              </w:rPr>
              <w:t>Left</w:t>
            </w:r>
            <w:proofErr w:type="spellEnd"/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pt-BR"/>
              </w:rPr>
              <w:t xml:space="preserve"> ventricular </w:t>
            </w:r>
            <w:proofErr w:type="spellStart"/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pt-BR"/>
              </w:rPr>
              <w:t>hypertrophy</w:t>
            </w:r>
            <w:proofErr w:type="spellEnd"/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pt-BR"/>
              </w:rPr>
              <w:t xml:space="preserve"> (</w:t>
            </w:r>
            <w:proofErr w:type="spellStart"/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pt-BR"/>
              </w:rPr>
              <w:t>echo</w:t>
            </w:r>
            <w:proofErr w:type="spellEnd"/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pt-BR"/>
              </w:rPr>
              <w:t>), n (%</w:t>
            </w:r>
            <w:proofErr w:type="gramStart"/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pt-BR"/>
              </w:rPr>
              <w:t>)</w:t>
            </w:r>
            <w:proofErr w:type="gramEnd"/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23 (38.3)</w:t>
            </w:r>
          </w:p>
        </w:tc>
      </w:tr>
      <w:tr w:rsidR="00EC437B" w:rsidRPr="00101621" w:rsidTr="00EC437B">
        <w:trPr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3C38FE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proofErr w:type="spellStart"/>
            <w:r w:rsidRPr="003C38FE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Glomerular</w:t>
            </w:r>
            <w:proofErr w:type="spellEnd"/>
            <w:r w:rsidRPr="003C38FE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 xml:space="preserve"> filtration rate &lt;60 ml/min, n (%)</w:t>
            </w:r>
          </w:p>
          <w:p w:rsidR="00EC437B" w:rsidRPr="003C38FE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3C38FE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UACR, mg/</w:t>
            </w:r>
            <w:proofErr w:type="spellStart"/>
            <w:r w:rsidRPr="003C38FE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gr</w:t>
            </w:r>
            <w:proofErr w:type="spellEnd"/>
            <w:r w:rsidRPr="003C38FE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 xml:space="preserve">, </w:t>
            </w:r>
            <w:proofErr w:type="gramStart"/>
            <w:r w:rsidRPr="003C38FE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n(</w:t>
            </w:r>
            <w:proofErr w:type="gramEnd"/>
            <w:r w:rsidRPr="003C38FE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3C38FE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3C38FE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11 (18.3)</w:t>
            </w:r>
          </w:p>
          <w:p w:rsidR="00EC437B" w:rsidRPr="003C38FE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3C38FE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31(54.4)</w:t>
            </w:r>
          </w:p>
        </w:tc>
      </w:tr>
      <w:tr w:rsidR="00EC437B" w:rsidRPr="00101621" w:rsidTr="00EC437B">
        <w:trPr>
          <w:cnfStyle w:val="000000100000"/>
          <w:trHeight w:val="416"/>
        </w:trPr>
        <w:tc>
          <w:tcPr>
            <w:cnfStyle w:val="001000000000"/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color w:val="auto"/>
                <w:sz w:val="16"/>
                <w:szCs w:val="20"/>
                <w:lang w:val="en-US"/>
              </w:rPr>
              <w:t>Antihypertensive treatment</w:t>
            </w:r>
          </w:p>
        </w:tc>
      </w:tr>
      <w:tr w:rsidR="00EC437B" w:rsidRPr="00101621" w:rsidTr="00EC437B">
        <w:trPr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Number of antihypertensive drugs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, n (SD)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3.63 (0.55)</w:t>
            </w:r>
          </w:p>
        </w:tc>
      </w:tr>
      <w:tr w:rsidR="00EC437B" w:rsidRPr="00101621" w:rsidTr="00EC437B">
        <w:trPr>
          <w:cnfStyle w:val="000000100000"/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Fixed-dose combination, n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36 (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60</w:t>
            </w: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EC437B" w:rsidRPr="00101621" w:rsidTr="00EC437B">
        <w:trPr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Combination of 3 drugs, n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24 (40)</w:t>
            </w:r>
          </w:p>
        </w:tc>
      </w:tr>
      <w:tr w:rsidR="00EC437B" w:rsidRPr="00101621" w:rsidTr="00EC437B">
        <w:trPr>
          <w:cnfStyle w:val="000000100000"/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Combination of more than 3 drugs, n (%)</w:t>
            </w: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ab/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36 (60)</w:t>
            </w:r>
          </w:p>
        </w:tc>
      </w:tr>
      <w:tr w:rsidR="00EC437B" w:rsidRPr="00101621" w:rsidTr="00EC437B">
        <w:trPr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ACE inhibitors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30</w:t>
            </w:r>
          </w:p>
        </w:tc>
      </w:tr>
      <w:tr w:rsidR="00EC437B" w:rsidRPr="00101621" w:rsidTr="00EC437B">
        <w:trPr>
          <w:cnfStyle w:val="000000100000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ARB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70</w:t>
            </w:r>
          </w:p>
        </w:tc>
      </w:tr>
      <w:tr w:rsidR="00EC437B" w:rsidRPr="00101621" w:rsidTr="00EC437B">
        <w:trPr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Calcium channel blockers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83.3</w:t>
            </w:r>
          </w:p>
        </w:tc>
      </w:tr>
      <w:tr w:rsidR="00EC437B" w:rsidRPr="00101621" w:rsidTr="00EC437B">
        <w:trPr>
          <w:cnfStyle w:val="000000100000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Diuretics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90</w:t>
            </w:r>
          </w:p>
        </w:tc>
      </w:tr>
      <w:tr w:rsidR="00EC437B" w:rsidRPr="00101621" w:rsidTr="00EC437B">
        <w:trPr>
          <w:trHeight w:val="416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Beta-adrenergic antagonists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51.7</w:t>
            </w:r>
          </w:p>
        </w:tc>
      </w:tr>
      <w:tr w:rsidR="00EC437B" w:rsidRPr="00101621" w:rsidTr="00EC437B">
        <w:trPr>
          <w:cnfStyle w:val="000000100000"/>
          <w:trHeight w:val="403"/>
        </w:trPr>
        <w:tc>
          <w:tcPr>
            <w:cnfStyle w:val="001000000000"/>
            <w:tcW w:w="3029" w:type="pct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Alpha-adrenergic antagonists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33.3</w:t>
            </w:r>
          </w:p>
        </w:tc>
      </w:tr>
      <w:tr w:rsidR="00EC437B" w:rsidRPr="00101621" w:rsidTr="00EC437B">
        <w:trPr>
          <w:trHeight w:val="278"/>
        </w:trPr>
        <w:tc>
          <w:tcPr>
            <w:cnfStyle w:val="001000000000"/>
            <w:tcW w:w="3029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proofErr w:type="spellStart"/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>Aldosterone</w:t>
            </w:r>
            <w:proofErr w:type="spellEnd"/>
            <w:r w:rsidRPr="00101621"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  <w:t xml:space="preserve"> receptor antagonists (%)</w:t>
            </w:r>
          </w:p>
        </w:tc>
        <w:tc>
          <w:tcPr>
            <w:cnfStyle w:val="000010000000"/>
            <w:tcW w:w="1971" w:type="pct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C437B" w:rsidRPr="00101621" w:rsidRDefault="00EC437B" w:rsidP="00EC43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1016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6.7</w:t>
            </w:r>
          </w:p>
        </w:tc>
      </w:tr>
      <w:tr w:rsidR="00EC437B" w:rsidRPr="00EC437B" w:rsidTr="00EC437B">
        <w:trPr>
          <w:cnfStyle w:val="000000100000"/>
          <w:trHeight w:val="278"/>
        </w:trPr>
        <w:tc>
          <w:tcPr>
            <w:cnfStyle w:val="001000000000"/>
            <w:tcW w:w="5000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EC437B" w:rsidRPr="00D043D5" w:rsidRDefault="00EC437B" w:rsidP="00EC437B">
            <w:pPr>
              <w:rPr>
                <w:rFonts w:ascii="Times New Roman" w:hAnsi="Times New Roman" w:cs="Times New Roman"/>
                <w:b w:val="0"/>
                <w:color w:val="auto"/>
                <w:sz w:val="16"/>
                <w:szCs w:val="20"/>
                <w:lang w:val="en-US"/>
              </w:rPr>
            </w:pPr>
            <w:r w:rsidRPr="00D043D5"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val="en-US"/>
              </w:rPr>
              <w:t>Values are mean (SD) except for qualitative variables, expressed as n (%). BP: blood pressure; CVD: cardiovascular disease; ECG: electrocardiogram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val="en-US"/>
              </w:rPr>
              <w:t>; UACR: urine albumin-to-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val="en-US"/>
              </w:rPr>
              <w:t>creatinine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24"/>
                <w:lang w:val="en-US"/>
              </w:rPr>
              <w:t xml:space="preserve"> ratio.</w:t>
            </w:r>
          </w:p>
        </w:tc>
      </w:tr>
    </w:tbl>
    <w:p w:rsidR="00101621" w:rsidRPr="00D043D5" w:rsidRDefault="00101621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</w:p>
    <w:p w:rsidR="00D043D5" w:rsidRPr="00D043D5" w:rsidRDefault="00D043D5" w:rsidP="00101621">
      <w:pPr>
        <w:rPr>
          <w:lang w:val="en-US"/>
        </w:rPr>
      </w:pPr>
      <w:r w:rsidRPr="00D043D5">
        <w:rPr>
          <w:lang w:val="en-US"/>
        </w:rPr>
        <w:tab/>
      </w:r>
      <w:r w:rsidRPr="00D043D5">
        <w:rPr>
          <w:lang w:val="en-US"/>
        </w:rPr>
        <w:tab/>
      </w:r>
    </w:p>
    <w:sectPr w:rsidR="00D043D5" w:rsidRPr="00D043D5" w:rsidSect="00D04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621"/>
    <w:rsid w:val="00011412"/>
    <w:rsid w:val="00101621"/>
    <w:rsid w:val="001E5B26"/>
    <w:rsid w:val="003516FC"/>
    <w:rsid w:val="00351821"/>
    <w:rsid w:val="003C38FE"/>
    <w:rsid w:val="00453641"/>
    <w:rsid w:val="0046468C"/>
    <w:rsid w:val="004705FD"/>
    <w:rsid w:val="00635F8F"/>
    <w:rsid w:val="00687E9F"/>
    <w:rsid w:val="00A77544"/>
    <w:rsid w:val="00B37E25"/>
    <w:rsid w:val="00D043D5"/>
    <w:rsid w:val="00E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2-nfasis3">
    <w:name w:val="Medium Shading 2 Accent 3"/>
    <w:basedOn w:val="Tablanormal"/>
    <w:uiPriority w:val="64"/>
    <w:rsid w:val="00101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7</cp:revision>
  <dcterms:created xsi:type="dcterms:W3CDTF">2016-05-31T10:53:00Z</dcterms:created>
  <dcterms:modified xsi:type="dcterms:W3CDTF">2017-06-09T10:59:00Z</dcterms:modified>
</cp:coreProperties>
</file>