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D4438" w14:textId="77777777" w:rsidR="004071BB" w:rsidRDefault="001900A3" w:rsidP="0009176E">
      <w:pPr>
        <w:spacing w:after="0" w:line="360" w:lineRule="auto"/>
        <w:jc w:val="both"/>
        <w:rPr>
          <w:rFonts w:ascii="Arial" w:hAnsi="Arial" w:cs="Arial"/>
          <w:b/>
          <w:sz w:val="24"/>
          <w:szCs w:val="24"/>
        </w:rPr>
      </w:pPr>
      <w:bookmarkStart w:id="0" w:name="_GoBack"/>
      <w:bookmarkEnd w:id="0"/>
      <w:r w:rsidRPr="0009176E">
        <w:rPr>
          <w:rFonts w:ascii="Arial" w:hAnsi="Arial" w:cs="Arial"/>
          <w:b/>
          <w:sz w:val="24"/>
          <w:szCs w:val="24"/>
        </w:rPr>
        <w:t xml:space="preserve">Apéndice A. </w:t>
      </w:r>
    </w:p>
    <w:p w14:paraId="2679F901" w14:textId="77777777" w:rsidR="00D11FD5" w:rsidRPr="0009176E" w:rsidRDefault="00D11FD5" w:rsidP="0009176E">
      <w:pPr>
        <w:spacing w:after="0" w:line="360" w:lineRule="auto"/>
        <w:jc w:val="both"/>
        <w:rPr>
          <w:rFonts w:ascii="Arial" w:hAnsi="Arial" w:cs="Arial"/>
          <w:b/>
          <w:sz w:val="24"/>
          <w:szCs w:val="24"/>
        </w:rPr>
      </w:pPr>
    </w:p>
    <w:p w14:paraId="16EED6C3" w14:textId="51B69B4B" w:rsidR="004071BB" w:rsidRPr="00F524DC" w:rsidRDefault="004071BB" w:rsidP="0009176E">
      <w:pPr>
        <w:spacing w:after="0" w:line="360" w:lineRule="auto"/>
        <w:jc w:val="both"/>
        <w:rPr>
          <w:rFonts w:ascii="Arial" w:hAnsi="Arial" w:cs="Arial"/>
          <w:sz w:val="24"/>
          <w:szCs w:val="24"/>
        </w:rPr>
      </w:pPr>
      <w:r w:rsidRPr="00F524DC">
        <w:rPr>
          <w:rFonts w:ascii="Arial" w:hAnsi="Arial" w:cs="Arial"/>
          <w:b/>
          <w:sz w:val="24"/>
          <w:szCs w:val="24"/>
        </w:rPr>
        <w:t>Definiciones generales:</w:t>
      </w:r>
      <w:r w:rsidRPr="00F524DC">
        <w:rPr>
          <w:rFonts w:ascii="Arial" w:hAnsi="Arial" w:cs="Arial"/>
          <w:sz w:val="24"/>
          <w:szCs w:val="24"/>
        </w:rPr>
        <w:t xml:space="preserve"> Se definió fiebre como una temperatura mayor de 37</w:t>
      </w:r>
      <w:r w:rsidR="00837D3A" w:rsidRPr="00F524DC">
        <w:rPr>
          <w:rFonts w:ascii="Arial" w:hAnsi="Arial" w:cs="Arial"/>
          <w:sz w:val="24"/>
          <w:szCs w:val="24"/>
        </w:rPr>
        <w:t>,</w:t>
      </w:r>
      <w:r w:rsidRPr="00F524DC">
        <w:rPr>
          <w:rFonts w:ascii="Arial" w:hAnsi="Arial" w:cs="Arial"/>
          <w:sz w:val="24"/>
          <w:szCs w:val="24"/>
        </w:rPr>
        <w:t>5°C, el concepto de actividad se basó en una escala internacional conocida como SLEDAI clasificando el órgano que se está viendo comprometido. Infección se definió según el sistema que se haya visto afectado en pacientes que requirieron de manejo con antimicrobiano, sin la necesidad de tener un cultivo positivo. El desenlace que incluyera la combinación de actividad y fiebre se daba por el compromiso de órgano secundario a la enfermedad más el paciente que requirió de tratamiento con antimicrobiano observando mejoría después del tratamiento. Las definiciones utilizadas para infecciones y recaídas que afectan órganos específicos se incluyen en el Apéndice A.</w:t>
      </w:r>
    </w:p>
    <w:p w14:paraId="305254C2" w14:textId="77777777" w:rsidR="00D11FD5" w:rsidRPr="00F524DC" w:rsidRDefault="00D11FD5" w:rsidP="0009176E">
      <w:pPr>
        <w:spacing w:after="0" w:line="360" w:lineRule="auto"/>
        <w:jc w:val="both"/>
        <w:rPr>
          <w:rFonts w:ascii="Arial" w:hAnsi="Arial" w:cs="Arial"/>
          <w:sz w:val="24"/>
          <w:szCs w:val="24"/>
        </w:rPr>
      </w:pPr>
    </w:p>
    <w:p w14:paraId="63B1B614" w14:textId="77777777" w:rsidR="001900A3" w:rsidRPr="00F524DC" w:rsidRDefault="001900A3" w:rsidP="0009176E">
      <w:pPr>
        <w:spacing w:after="0" w:line="360" w:lineRule="auto"/>
        <w:jc w:val="both"/>
        <w:rPr>
          <w:rFonts w:ascii="Arial" w:hAnsi="Arial" w:cs="Arial"/>
          <w:b/>
          <w:sz w:val="24"/>
          <w:szCs w:val="24"/>
        </w:rPr>
      </w:pPr>
      <w:r w:rsidRPr="00F524DC">
        <w:rPr>
          <w:rFonts w:ascii="Arial" w:hAnsi="Arial" w:cs="Arial"/>
          <w:b/>
          <w:sz w:val="24"/>
          <w:szCs w:val="24"/>
        </w:rPr>
        <w:t>Definiciones de infecciones específicas</w:t>
      </w:r>
    </w:p>
    <w:p w14:paraId="618A758F" w14:textId="77777777" w:rsidR="00D11FD5" w:rsidRPr="00F524DC" w:rsidRDefault="00D11FD5" w:rsidP="0009176E">
      <w:pPr>
        <w:spacing w:after="0" w:line="360" w:lineRule="auto"/>
        <w:jc w:val="both"/>
        <w:rPr>
          <w:rFonts w:ascii="Arial" w:hAnsi="Arial" w:cs="Arial"/>
          <w:b/>
          <w:sz w:val="24"/>
          <w:szCs w:val="24"/>
        </w:rPr>
      </w:pPr>
    </w:p>
    <w:p w14:paraId="33A302CB" w14:textId="77777777" w:rsidR="001900A3" w:rsidRPr="00F524DC" w:rsidRDefault="001900A3" w:rsidP="0009176E">
      <w:pPr>
        <w:pStyle w:val="ListParagraph"/>
        <w:numPr>
          <w:ilvl w:val="0"/>
          <w:numId w:val="4"/>
        </w:numPr>
        <w:spacing w:after="0" w:line="360" w:lineRule="auto"/>
        <w:contextualSpacing w:val="0"/>
        <w:jc w:val="both"/>
        <w:rPr>
          <w:rFonts w:ascii="Arial" w:hAnsi="Arial" w:cs="Arial"/>
          <w:sz w:val="24"/>
          <w:szCs w:val="24"/>
        </w:rPr>
      </w:pPr>
      <w:r w:rsidRPr="00F524DC">
        <w:rPr>
          <w:rFonts w:ascii="Arial" w:hAnsi="Arial" w:cs="Arial"/>
          <w:sz w:val="24"/>
          <w:szCs w:val="24"/>
        </w:rPr>
        <w:t>Tracto urinario: abarca cistitis aguda y pielonefritis no complicada. Esto se registró cuando la disuria, la frecuencia o la urgencia (acompañada o no por dolor suprapúbico) se asoció con piuria o hematuria en el análisis de orina (ya sea por microscopía o por tira reactiva). El análisis de orina en ausencia de cultivo de orina fue suficiente para el diagnóstico de cistitis sin complicaciones si los síntomas eran compatibles con ella.</w:t>
      </w:r>
    </w:p>
    <w:p w14:paraId="17CCDC0C" w14:textId="77777777" w:rsidR="00D11FD5" w:rsidRPr="00F524DC" w:rsidRDefault="00D11FD5" w:rsidP="00D11FD5">
      <w:pPr>
        <w:pStyle w:val="ListParagraph"/>
        <w:spacing w:after="0" w:line="360" w:lineRule="auto"/>
        <w:contextualSpacing w:val="0"/>
        <w:jc w:val="both"/>
        <w:rPr>
          <w:rFonts w:ascii="Arial" w:hAnsi="Arial" w:cs="Arial"/>
          <w:sz w:val="24"/>
          <w:szCs w:val="24"/>
        </w:rPr>
      </w:pPr>
    </w:p>
    <w:p w14:paraId="0FAF044F" w14:textId="77777777" w:rsidR="001900A3" w:rsidRPr="00F524DC" w:rsidRDefault="001900A3" w:rsidP="0009176E">
      <w:pPr>
        <w:pStyle w:val="ListParagraph"/>
        <w:numPr>
          <w:ilvl w:val="0"/>
          <w:numId w:val="4"/>
        </w:numPr>
        <w:spacing w:after="0" w:line="360" w:lineRule="auto"/>
        <w:contextualSpacing w:val="0"/>
        <w:jc w:val="both"/>
        <w:rPr>
          <w:rFonts w:ascii="Arial" w:hAnsi="Arial" w:cs="Arial"/>
          <w:sz w:val="24"/>
          <w:szCs w:val="24"/>
        </w:rPr>
      </w:pPr>
      <w:r w:rsidRPr="00F524DC">
        <w:rPr>
          <w:rFonts w:ascii="Arial" w:hAnsi="Arial" w:cs="Arial"/>
          <w:sz w:val="24"/>
          <w:szCs w:val="24"/>
        </w:rPr>
        <w:t xml:space="preserve">Neumonía adquirida en la comunidad: fue el término aplicado a la combinación de tos, producción de esputo, disnea y crepitaciones audibles en el examen físico con evidencia de apoyo de un infiltrado demostrable en la radiografía de tórax o tomografía computarizada (TC). Los datos microbiológicos registrados (disponibles) consistieron en coloración de Gram de esputo, cultivo de sangre o esputo. </w:t>
      </w:r>
    </w:p>
    <w:p w14:paraId="29227DD2" w14:textId="77777777" w:rsidR="00D11FD5" w:rsidRPr="00F524DC" w:rsidRDefault="00D11FD5" w:rsidP="00D11FD5">
      <w:pPr>
        <w:spacing w:after="0" w:line="360" w:lineRule="auto"/>
        <w:jc w:val="both"/>
        <w:rPr>
          <w:rFonts w:ascii="Arial" w:hAnsi="Arial" w:cs="Arial"/>
          <w:sz w:val="24"/>
          <w:szCs w:val="24"/>
        </w:rPr>
      </w:pPr>
    </w:p>
    <w:p w14:paraId="48450704" w14:textId="77777777" w:rsidR="001900A3" w:rsidRPr="00F524DC" w:rsidRDefault="001900A3" w:rsidP="0009176E">
      <w:pPr>
        <w:pStyle w:val="ListParagraph"/>
        <w:numPr>
          <w:ilvl w:val="0"/>
          <w:numId w:val="4"/>
        </w:numPr>
        <w:spacing w:after="0" w:line="360" w:lineRule="auto"/>
        <w:contextualSpacing w:val="0"/>
        <w:jc w:val="both"/>
        <w:rPr>
          <w:rFonts w:ascii="Arial" w:hAnsi="Arial" w:cs="Arial"/>
          <w:sz w:val="24"/>
          <w:szCs w:val="24"/>
        </w:rPr>
      </w:pPr>
      <w:r w:rsidRPr="00F524DC">
        <w:rPr>
          <w:rFonts w:ascii="Arial" w:hAnsi="Arial" w:cs="Arial"/>
          <w:sz w:val="24"/>
          <w:szCs w:val="24"/>
        </w:rPr>
        <w:lastRenderedPageBreak/>
        <w:t xml:space="preserve">Gastroenteritis aguda: se definió como una disminución de la inconsistencia y un aumento en la frecuencia de los movimientos intestinales (≥ 3 deposiciones por día) que se resolvió en menos de 14 días. Los síntomas de acompañamiento pueden incluir náuseas, vómitos o calambres abdominales. No se necesitaron cultivos de heces para el diagnóstico. </w:t>
      </w:r>
    </w:p>
    <w:p w14:paraId="49C4306B" w14:textId="77777777" w:rsidR="00D11FD5" w:rsidRPr="00F524DC" w:rsidRDefault="00D11FD5" w:rsidP="00D11FD5">
      <w:pPr>
        <w:spacing w:after="0" w:line="360" w:lineRule="auto"/>
        <w:jc w:val="both"/>
        <w:rPr>
          <w:rFonts w:ascii="Arial" w:hAnsi="Arial" w:cs="Arial"/>
          <w:sz w:val="24"/>
          <w:szCs w:val="24"/>
        </w:rPr>
      </w:pPr>
    </w:p>
    <w:p w14:paraId="1B2B06C3" w14:textId="66CD4F9C" w:rsidR="001900A3" w:rsidRPr="00F524DC" w:rsidRDefault="001900A3" w:rsidP="0009176E">
      <w:pPr>
        <w:pStyle w:val="ListParagraph"/>
        <w:numPr>
          <w:ilvl w:val="0"/>
          <w:numId w:val="4"/>
        </w:numPr>
        <w:spacing w:after="0" w:line="360" w:lineRule="auto"/>
        <w:contextualSpacing w:val="0"/>
        <w:jc w:val="both"/>
        <w:rPr>
          <w:rFonts w:ascii="Arial" w:hAnsi="Arial" w:cs="Arial"/>
          <w:sz w:val="24"/>
          <w:szCs w:val="24"/>
        </w:rPr>
      </w:pPr>
      <w:r w:rsidRPr="00F524DC">
        <w:rPr>
          <w:rFonts w:ascii="Arial" w:hAnsi="Arial" w:cs="Arial"/>
          <w:sz w:val="24"/>
          <w:szCs w:val="24"/>
        </w:rPr>
        <w:t xml:space="preserve">Bronquitis aguda: se consideró en presencia de tos que dura más de cinco días, pero menos de tres semanas, lo que podría incluir producción de esputo o disnea sin evidencia de neumonía u otras complicaciones relacionadas (empiema, derrame pleural) observadas en radiografía de tórax o TC. </w:t>
      </w:r>
    </w:p>
    <w:p w14:paraId="5A46A16E" w14:textId="77777777" w:rsidR="00D11FD5" w:rsidRPr="00F524DC" w:rsidRDefault="00D11FD5" w:rsidP="00D11FD5">
      <w:pPr>
        <w:spacing w:after="0" w:line="360" w:lineRule="auto"/>
        <w:jc w:val="both"/>
        <w:rPr>
          <w:rFonts w:ascii="Arial" w:hAnsi="Arial" w:cs="Arial"/>
          <w:sz w:val="24"/>
          <w:szCs w:val="24"/>
        </w:rPr>
      </w:pPr>
    </w:p>
    <w:p w14:paraId="5CAF264D" w14:textId="77777777" w:rsidR="001900A3" w:rsidRPr="00F524DC" w:rsidRDefault="001900A3" w:rsidP="0009176E">
      <w:pPr>
        <w:pStyle w:val="ListParagraph"/>
        <w:numPr>
          <w:ilvl w:val="0"/>
          <w:numId w:val="4"/>
        </w:numPr>
        <w:spacing w:after="0" w:line="360" w:lineRule="auto"/>
        <w:contextualSpacing w:val="0"/>
        <w:jc w:val="both"/>
        <w:rPr>
          <w:rFonts w:ascii="Arial" w:hAnsi="Arial" w:cs="Arial"/>
          <w:sz w:val="24"/>
          <w:szCs w:val="24"/>
        </w:rPr>
      </w:pPr>
      <w:r w:rsidRPr="00F524DC">
        <w:rPr>
          <w:rFonts w:ascii="Arial" w:hAnsi="Arial" w:cs="Arial"/>
          <w:sz w:val="24"/>
          <w:szCs w:val="24"/>
        </w:rPr>
        <w:t>Absceso cutáneo: se definió como una colección de pus dentro de la dermis y los tejidos más profundos de la piel.</w:t>
      </w:r>
    </w:p>
    <w:p w14:paraId="40571F52" w14:textId="77777777" w:rsidR="00D11FD5" w:rsidRPr="00F524DC" w:rsidRDefault="00D11FD5" w:rsidP="00D11FD5">
      <w:pPr>
        <w:spacing w:after="0" w:line="360" w:lineRule="auto"/>
        <w:jc w:val="both"/>
        <w:rPr>
          <w:rFonts w:ascii="Arial" w:hAnsi="Arial" w:cs="Arial"/>
          <w:sz w:val="24"/>
          <w:szCs w:val="24"/>
        </w:rPr>
      </w:pPr>
    </w:p>
    <w:p w14:paraId="465D5268" w14:textId="77777777" w:rsidR="001900A3" w:rsidRPr="00F524DC" w:rsidRDefault="001900A3" w:rsidP="0009176E">
      <w:pPr>
        <w:pStyle w:val="ListParagraph"/>
        <w:numPr>
          <w:ilvl w:val="0"/>
          <w:numId w:val="4"/>
        </w:numPr>
        <w:spacing w:after="0" w:line="360" w:lineRule="auto"/>
        <w:contextualSpacing w:val="0"/>
        <w:jc w:val="both"/>
        <w:rPr>
          <w:rFonts w:ascii="Arial" w:hAnsi="Arial" w:cs="Arial"/>
          <w:sz w:val="24"/>
          <w:szCs w:val="24"/>
        </w:rPr>
      </w:pPr>
      <w:r w:rsidRPr="00F524DC">
        <w:rPr>
          <w:rFonts w:ascii="Arial" w:hAnsi="Arial" w:cs="Arial"/>
          <w:sz w:val="24"/>
          <w:szCs w:val="24"/>
        </w:rPr>
        <w:t>Celulitis: se definieron como eritema cutáneo, edema y calor que implican la dermis más profunda y la grasa subcutánea (celulitis) o la dermis superior y los linfáticos superficiales (erisipela). Los hemocultivos, las aspiraciones con aguja o las biopsias de punción no fueron necesarios para el diagnóstico, pero los datos se recuperaron cuando estaban disponibles.</w:t>
      </w:r>
    </w:p>
    <w:p w14:paraId="41E348B2" w14:textId="77777777" w:rsidR="00D11FD5" w:rsidRPr="00F524DC" w:rsidRDefault="00D11FD5" w:rsidP="00D11FD5">
      <w:pPr>
        <w:spacing w:after="0" w:line="360" w:lineRule="auto"/>
        <w:jc w:val="both"/>
        <w:rPr>
          <w:rFonts w:ascii="Arial" w:hAnsi="Arial" w:cs="Arial"/>
          <w:sz w:val="24"/>
          <w:szCs w:val="24"/>
        </w:rPr>
      </w:pPr>
    </w:p>
    <w:p w14:paraId="052F31FB" w14:textId="6D73F048" w:rsidR="001900A3" w:rsidRPr="00F524DC" w:rsidRDefault="001900A3" w:rsidP="0009176E">
      <w:pPr>
        <w:pStyle w:val="ListParagraph"/>
        <w:numPr>
          <w:ilvl w:val="0"/>
          <w:numId w:val="4"/>
        </w:numPr>
        <w:spacing w:after="0" w:line="360" w:lineRule="auto"/>
        <w:contextualSpacing w:val="0"/>
        <w:jc w:val="both"/>
        <w:rPr>
          <w:rFonts w:ascii="Arial" w:hAnsi="Arial" w:cs="Arial"/>
          <w:sz w:val="24"/>
          <w:szCs w:val="24"/>
        </w:rPr>
      </w:pPr>
      <w:r w:rsidRPr="00F524DC">
        <w:rPr>
          <w:rFonts w:ascii="Arial" w:hAnsi="Arial" w:cs="Arial"/>
          <w:sz w:val="24"/>
          <w:szCs w:val="24"/>
        </w:rPr>
        <w:t xml:space="preserve">Infección de la vía aérea superior: el resfriado común y la rinosinusitis aguda fueron considerados bajo el término infecciones respiratorias del tracto superior. Los síntomas incluyen la combinación de malestar, dolor de garganta, tos, dolor de cabeza, congestión nasal, ronquera, sensibilidad en los senos, secreción nasal, malestar maxilar o dolor facial. La sinusitis se confirmó mediante radiografías simples o TC </w:t>
      </w:r>
    </w:p>
    <w:p w14:paraId="50289A34" w14:textId="77777777" w:rsidR="00D11FD5" w:rsidRPr="00F524DC" w:rsidRDefault="00D11FD5" w:rsidP="00D11FD5">
      <w:pPr>
        <w:spacing w:after="0" w:line="360" w:lineRule="auto"/>
        <w:jc w:val="both"/>
        <w:rPr>
          <w:rFonts w:ascii="Arial" w:hAnsi="Arial" w:cs="Arial"/>
          <w:sz w:val="24"/>
          <w:szCs w:val="24"/>
        </w:rPr>
      </w:pPr>
    </w:p>
    <w:p w14:paraId="7E9D279F" w14:textId="3DEE7631" w:rsidR="001900A3" w:rsidRPr="00F524DC" w:rsidRDefault="001900A3" w:rsidP="0009176E">
      <w:pPr>
        <w:pStyle w:val="ListParagraph"/>
        <w:numPr>
          <w:ilvl w:val="0"/>
          <w:numId w:val="4"/>
        </w:numPr>
        <w:spacing w:after="0" w:line="360" w:lineRule="auto"/>
        <w:contextualSpacing w:val="0"/>
        <w:jc w:val="both"/>
        <w:rPr>
          <w:rFonts w:ascii="Arial" w:hAnsi="Arial" w:cs="Arial"/>
          <w:sz w:val="24"/>
          <w:szCs w:val="24"/>
        </w:rPr>
      </w:pPr>
      <w:r w:rsidRPr="00F524DC">
        <w:rPr>
          <w:rFonts w:ascii="Arial" w:hAnsi="Arial" w:cs="Arial"/>
          <w:sz w:val="24"/>
          <w:szCs w:val="24"/>
        </w:rPr>
        <w:t xml:space="preserve">Absceso abdominal: se consideró una colección de material purulento confirmada por ultrasonido, TC o resonancia magnética (RM), expresada </w:t>
      </w:r>
      <w:r w:rsidRPr="00F524DC">
        <w:rPr>
          <w:rFonts w:ascii="Arial" w:hAnsi="Arial" w:cs="Arial"/>
          <w:sz w:val="24"/>
          <w:szCs w:val="24"/>
        </w:rPr>
        <w:lastRenderedPageBreak/>
        <w:t xml:space="preserve">clínicamente con síntomas de disfunción gastrointestinal tales como anorexia, náuseas, vómitos, hinchazón o constipación.  </w:t>
      </w:r>
    </w:p>
    <w:p w14:paraId="7813870D" w14:textId="77777777" w:rsidR="00D11FD5" w:rsidRPr="00F524DC" w:rsidRDefault="00D11FD5" w:rsidP="00D11FD5">
      <w:pPr>
        <w:spacing w:after="0" w:line="360" w:lineRule="auto"/>
        <w:jc w:val="both"/>
        <w:rPr>
          <w:rFonts w:ascii="Arial" w:hAnsi="Arial" w:cs="Arial"/>
          <w:sz w:val="24"/>
          <w:szCs w:val="24"/>
        </w:rPr>
      </w:pPr>
    </w:p>
    <w:p w14:paraId="6E05FCDD" w14:textId="77777777" w:rsidR="001900A3" w:rsidRPr="00F524DC" w:rsidRDefault="001900A3" w:rsidP="0009176E">
      <w:pPr>
        <w:pStyle w:val="ListParagraph"/>
        <w:numPr>
          <w:ilvl w:val="0"/>
          <w:numId w:val="4"/>
        </w:numPr>
        <w:spacing w:after="0" w:line="360" w:lineRule="auto"/>
        <w:contextualSpacing w:val="0"/>
        <w:jc w:val="both"/>
        <w:rPr>
          <w:rFonts w:ascii="Arial" w:hAnsi="Arial" w:cs="Arial"/>
          <w:sz w:val="24"/>
          <w:szCs w:val="24"/>
        </w:rPr>
      </w:pPr>
      <w:r w:rsidRPr="00F524DC">
        <w:rPr>
          <w:rFonts w:ascii="Arial" w:hAnsi="Arial" w:cs="Arial"/>
          <w:sz w:val="24"/>
          <w:szCs w:val="24"/>
        </w:rPr>
        <w:t xml:space="preserve">Meningitis: fue considerado cuando la cefalea estaba acompañada de náuseas, fotofobia o alteraciones cognitivas asociada a aumento de leucocitos y niveles de proteína en el líquido cefalorraquídeo (LCR). La designación de meningitis aséptica se realizó cuando los cultivos de LCR para bacterias y hongos permanecieron estériles. </w:t>
      </w:r>
    </w:p>
    <w:p w14:paraId="0E746C5E" w14:textId="77777777" w:rsidR="00D11FD5" w:rsidRPr="00F524DC" w:rsidRDefault="00D11FD5" w:rsidP="00D11FD5">
      <w:pPr>
        <w:spacing w:after="0" w:line="360" w:lineRule="auto"/>
        <w:jc w:val="both"/>
        <w:rPr>
          <w:rFonts w:ascii="Arial" w:hAnsi="Arial" w:cs="Arial"/>
          <w:sz w:val="24"/>
          <w:szCs w:val="24"/>
        </w:rPr>
      </w:pPr>
    </w:p>
    <w:p w14:paraId="76C29F18" w14:textId="77777777" w:rsidR="001900A3" w:rsidRPr="00F524DC" w:rsidRDefault="001900A3" w:rsidP="0009176E">
      <w:pPr>
        <w:pStyle w:val="ListParagraph"/>
        <w:numPr>
          <w:ilvl w:val="0"/>
          <w:numId w:val="4"/>
        </w:numPr>
        <w:spacing w:after="0" w:line="360" w:lineRule="auto"/>
        <w:contextualSpacing w:val="0"/>
        <w:jc w:val="both"/>
        <w:rPr>
          <w:rFonts w:ascii="Arial" w:hAnsi="Arial" w:cs="Arial"/>
          <w:sz w:val="24"/>
          <w:szCs w:val="24"/>
        </w:rPr>
      </w:pPr>
      <w:r w:rsidRPr="00F524DC">
        <w:rPr>
          <w:rFonts w:ascii="Arial" w:hAnsi="Arial" w:cs="Arial"/>
          <w:sz w:val="24"/>
          <w:szCs w:val="24"/>
        </w:rPr>
        <w:t>Infección relacionada con catéter: se consideró cuando un paciente con necesidad previa de un catéter permanente presentaba síntomas de sepsis o complicaciones como endocarditis o tromboflebitis supurativa y hemocultivos positivos en ausencia de otras fuentes identificables de infección</w:t>
      </w:r>
    </w:p>
    <w:p w14:paraId="04775736" w14:textId="77777777" w:rsidR="00D11FD5" w:rsidRPr="00F524DC" w:rsidRDefault="00D11FD5" w:rsidP="00D11FD5">
      <w:pPr>
        <w:pStyle w:val="ListParagraph"/>
        <w:rPr>
          <w:rFonts w:ascii="Arial" w:hAnsi="Arial" w:cs="Arial"/>
          <w:sz w:val="24"/>
          <w:szCs w:val="24"/>
        </w:rPr>
      </w:pPr>
    </w:p>
    <w:p w14:paraId="5A4E2F3F" w14:textId="77777777" w:rsidR="00D11FD5" w:rsidRPr="00F524DC" w:rsidRDefault="00D11FD5" w:rsidP="00D11FD5">
      <w:pPr>
        <w:spacing w:after="0" w:line="360" w:lineRule="auto"/>
        <w:jc w:val="both"/>
        <w:rPr>
          <w:rFonts w:ascii="Arial" w:hAnsi="Arial" w:cs="Arial"/>
          <w:sz w:val="24"/>
          <w:szCs w:val="24"/>
        </w:rPr>
      </w:pPr>
    </w:p>
    <w:p w14:paraId="235E62D1" w14:textId="77777777" w:rsidR="001900A3" w:rsidRPr="00F524DC" w:rsidRDefault="001900A3" w:rsidP="0009176E">
      <w:pPr>
        <w:spacing w:after="0" w:line="360" w:lineRule="auto"/>
        <w:jc w:val="both"/>
        <w:rPr>
          <w:rFonts w:ascii="Arial" w:hAnsi="Arial" w:cs="Arial"/>
          <w:b/>
          <w:sz w:val="24"/>
          <w:szCs w:val="24"/>
        </w:rPr>
      </w:pPr>
      <w:r w:rsidRPr="00F524DC">
        <w:rPr>
          <w:rFonts w:ascii="Arial" w:hAnsi="Arial" w:cs="Arial"/>
          <w:b/>
          <w:sz w:val="24"/>
          <w:szCs w:val="24"/>
        </w:rPr>
        <w:t>Definiciones de recaídas específicas de órganos</w:t>
      </w:r>
    </w:p>
    <w:p w14:paraId="7395F639" w14:textId="77777777" w:rsidR="00D11FD5" w:rsidRPr="00F524DC" w:rsidRDefault="00D11FD5" w:rsidP="0009176E">
      <w:pPr>
        <w:spacing w:after="0" w:line="360" w:lineRule="auto"/>
        <w:jc w:val="both"/>
        <w:rPr>
          <w:rFonts w:ascii="Arial" w:hAnsi="Arial" w:cs="Arial"/>
          <w:b/>
          <w:sz w:val="24"/>
          <w:szCs w:val="24"/>
        </w:rPr>
      </w:pPr>
    </w:p>
    <w:p w14:paraId="7701B295" w14:textId="77777777" w:rsidR="001900A3" w:rsidRPr="00F524DC" w:rsidRDefault="001900A3" w:rsidP="0009176E">
      <w:pPr>
        <w:pStyle w:val="ListParagraph"/>
        <w:numPr>
          <w:ilvl w:val="0"/>
          <w:numId w:val="4"/>
        </w:numPr>
        <w:spacing w:after="0" w:line="360" w:lineRule="auto"/>
        <w:contextualSpacing w:val="0"/>
        <w:jc w:val="both"/>
        <w:rPr>
          <w:rFonts w:ascii="Arial" w:hAnsi="Arial" w:cs="Arial"/>
          <w:sz w:val="24"/>
          <w:szCs w:val="24"/>
        </w:rPr>
      </w:pPr>
      <w:proofErr w:type="spellStart"/>
      <w:r w:rsidRPr="00F524DC">
        <w:rPr>
          <w:rFonts w:ascii="Arial" w:hAnsi="Arial" w:cs="Arial"/>
          <w:sz w:val="24"/>
          <w:szCs w:val="24"/>
        </w:rPr>
        <w:t>Mucocutáneo</w:t>
      </w:r>
      <w:proofErr w:type="spellEnd"/>
      <w:r w:rsidRPr="00F524DC">
        <w:rPr>
          <w:rFonts w:ascii="Arial" w:hAnsi="Arial" w:cs="Arial"/>
          <w:sz w:val="24"/>
          <w:szCs w:val="24"/>
        </w:rPr>
        <w:t xml:space="preserve">: </w:t>
      </w:r>
      <w:proofErr w:type="spellStart"/>
      <w:r w:rsidRPr="00F524DC">
        <w:rPr>
          <w:rFonts w:ascii="Arial" w:hAnsi="Arial" w:cs="Arial"/>
          <w:sz w:val="24"/>
          <w:szCs w:val="24"/>
        </w:rPr>
        <w:t>Rash</w:t>
      </w:r>
      <w:proofErr w:type="spellEnd"/>
      <w:r w:rsidRPr="00F524DC">
        <w:rPr>
          <w:rFonts w:ascii="Arial" w:hAnsi="Arial" w:cs="Arial"/>
          <w:sz w:val="24"/>
          <w:szCs w:val="24"/>
        </w:rPr>
        <w:t xml:space="preserve"> malar, úlceras orales, lesiones discoideas, paniculitis, alopecia, infartos digitales y vasculitis cutánea</w:t>
      </w:r>
    </w:p>
    <w:p w14:paraId="172CE2FC" w14:textId="77777777" w:rsidR="001900A3" w:rsidRPr="00F524DC" w:rsidRDefault="001900A3" w:rsidP="0009176E">
      <w:pPr>
        <w:pStyle w:val="ListParagraph"/>
        <w:numPr>
          <w:ilvl w:val="0"/>
          <w:numId w:val="4"/>
        </w:numPr>
        <w:spacing w:after="0" w:line="360" w:lineRule="auto"/>
        <w:contextualSpacing w:val="0"/>
        <w:jc w:val="both"/>
        <w:rPr>
          <w:rFonts w:ascii="Arial" w:hAnsi="Arial" w:cs="Arial"/>
          <w:sz w:val="24"/>
          <w:szCs w:val="24"/>
        </w:rPr>
      </w:pPr>
      <w:r w:rsidRPr="00F524DC">
        <w:rPr>
          <w:rFonts w:ascii="Arial" w:hAnsi="Arial" w:cs="Arial"/>
          <w:sz w:val="24"/>
          <w:szCs w:val="24"/>
        </w:rPr>
        <w:t>Articular: artralgias con artritis</w:t>
      </w:r>
    </w:p>
    <w:p w14:paraId="300CA3E8" w14:textId="77777777" w:rsidR="001900A3" w:rsidRPr="00F524DC" w:rsidRDefault="001900A3" w:rsidP="0009176E">
      <w:pPr>
        <w:pStyle w:val="ListParagraph"/>
        <w:numPr>
          <w:ilvl w:val="0"/>
          <w:numId w:val="4"/>
        </w:numPr>
        <w:spacing w:after="0" w:line="360" w:lineRule="auto"/>
        <w:contextualSpacing w:val="0"/>
        <w:jc w:val="both"/>
        <w:rPr>
          <w:rFonts w:ascii="Arial" w:hAnsi="Arial" w:cs="Arial"/>
          <w:sz w:val="24"/>
          <w:szCs w:val="24"/>
        </w:rPr>
      </w:pPr>
      <w:r w:rsidRPr="00F524DC">
        <w:rPr>
          <w:rFonts w:ascii="Arial" w:hAnsi="Arial" w:cs="Arial"/>
          <w:sz w:val="24"/>
          <w:szCs w:val="24"/>
        </w:rPr>
        <w:t xml:space="preserve">Hematológico: disminución del número de plaquetas &lt; 100.000/mm3, Coombs positivo activo, anemia hemolítica con nivel de hemoglobina &lt; 10 mg/dl o adenitis lúpica </w:t>
      </w:r>
    </w:p>
    <w:p w14:paraId="6FF8C442" w14:textId="77777777" w:rsidR="001900A3" w:rsidRPr="00F524DC" w:rsidRDefault="001900A3" w:rsidP="0009176E">
      <w:pPr>
        <w:pStyle w:val="ListParagraph"/>
        <w:numPr>
          <w:ilvl w:val="0"/>
          <w:numId w:val="4"/>
        </w:numPr>
        <w:spacing w:after="0" w:line="360" w:lineRule="auto"/>
        <w:contextualSpacing w:val="0"/>
        <w:jc w:val="both"/>
        <w:rPr>
          <w:rFonts w:ascii="Arial" w:hAnsi="Arial" w:cs="Arial"/>
          <w:sz w:val="24"/>
          <w:szCs w:val="24"/>
        </w:rPr>
      </w:pPr>
      <w:proofErr w:type="spellStart"/>
      <w:r w:rsidRPr="00F524DC">
        <w:rPr>
          <w:rFonts w:ascii="Arial" w:hAnsi="Arial" w:cs="Arial"/>
          <w:sz w:val="24"/>
          <w:szCs w:val="24"/>
        </w:rPr>
        <w:t>Serositis</w:t>
      </w:r>
      <w:proofErr w:type="spellEnd"/>
      <w:r w:rsidRPr="00F524DC">
        <w:rPr>
          <w:rFonts w:ascii="Arial" w:hAnsi="Arial" w:cs="Arial"/>
          <w:sz w:val="24"/>
          <w:szCs w:val="24"/>
        </w:rPr>
        <w:t>: pleuritis, pericarditis y derrame pericárdico o pleural</w:t>
      </w:r>
    </w:p>
    <w:p w14:paraId="358E1508" w14:textId="77777777" w:rsidR="001900A3" w:rsidRPr="00F524DC" w:rsidRDefault="001900A3" w:rsidP="0009176E">
      <w:pPr>
        <w:pStyle w:val="ListParagraph"/>
        <w:numPr>
          <w:ilvl w:val="0"/>
          <w:numId w:val="4"/>
        </w:numPr>
        <w:spacing w:after="0" w:line="360" w:lineRule="auto"/>
        <w:contextualSpacing w:val="0"/>
        <w:jc w:val="both"/>
        <w:rPr>
          <w:rFonts w:ascii="Arial" w:hAnsi="Arial" w:cs="Arial"/>
          <w:sz w:val="24"/>
          <w:szCs w:val="24"/>
        </w:rPr>
      </w:pPr>
      <w:r w:rsidRPr="00F524DC">
        <w:rPr>
          <w:rFonts w:ascii="Arial" w:hAnsi="Arial" w:cs="Arial"/>
          <w:sz w:val="24"/>
          <w:szCs w:val="24"/>
        </w:rPr>
        <w:t xml:space="preserve">Renal: A) un aumento en los niveles de proteína de orina de 24 horas &gt; 1 g si el valor anterior era de &lt; 0,5 g, &gt; 3 g si el valor de la línea de base era &gt; 0,5 - 1 g o más de dos veces el valor de referencia si el valor de referencia fue &gt; 1 g. B) un aumento del nivel de creatinina sérica de &gt; 25% acompañado de proteinuria, hematuria. C) aumento de la hematuria en 2 en comparación </w:t>
      </w:r>
      <w:r w:rsidRPr="00F524DC">
        <w:rPr>
          <w:rFonts w:ascii="Arial" w:hAnsi="Arial" w:cs="Arial"/>
          <w:sz w:val="24"/>
          <w:szCs w:val="24"/>
        </w:rPr>
        <w:lastRenderedPageBreak/>
        <w:t>con el último valor, asociado con el nuevo valor glóbulos rojos o un aumento en las concentraciones de proteína urinaria de 24 horas</w:t>
      </w:r>
    </w:p>
    <w:p w14:paraId="26C9B3E4" w14:textId="77777777" w:rsidR="001900A3" w:rsidRPr="00F524DC" w:rsidRDefault="001900A3" w:rsidP="0009176E">
      <w:pPr>
        <w:pStyle w:val="ListParagraph"/>
        <w:numPr>
          <w:ilvl w:val="0"/>
          <w:numId w:val="4"/>
        </w:numPr>
        <w:spacing w:after="0" w:line="360" w:lineRule="auto"/>
        <w:contextualSpacing w:val="0"/>
        <w:jc w:val="both"/>
        <w:rPr>
          <w:rFonts w:ascii="Arial" w:hAnsi="Arial" w:cs="Arial"/>
          <w:sz w:val="24"/>
          <w:szCs w:val="24"/>
        </w:rPr>
      </w:pPr>
      <w:r w:rsidRPr="00F524DC">
        <w:rPr>
          <w:rFonts w:ascii="Arial" w:hAnsi="Arial" w:cs="Arial"/>
          <w:sz w:val="24"/>
          <w:szCs w:val="24"/>
        </w:rPr>
        <w:t>Muscular: miositis inflamatoria</w:t>
      </w:r>
    </w:p>
    <w:p w14:paraId="2306FF75" w14:textId="77777777" w:rsidR="001900A3" w:rsidRPr="00F524DC" w:rsidRDefault="001900A3" w:rsidP="0009176E">
      <w:pPr>
        <w:pStyle w:val="ListParagraph"/>
        <w:numPr>
          <w:ilvl w:val="0"/>
          <w:numId w:val="4"/>
        </w:numPr>
        <w:spacing w:after="0" w:line="360" w:lineRule="auto"/>
        <w:contextualSpacing w:val="0"/>
        <w:jc w:val="both"/>
        <w:rPr>
          <w:rFonts w:ascii="Arial" w:hAnsi="Arial" w:cs="Arial"/>
          <w:sz w:val="24"/>
          <w:szCs w:val="24"/>
        </w:rPr>
      </w:pPr>
      <w:r w:rsidRPr="00F524DC">
        <w:rPr>
          <w:rFonts w:ascii="Arial" w:hAnsi="Arial" w:cs="Arial"/>
          <w:sz w:val="24"/>
          <w:szCs w:val="24"/>
        </w:rPr>
        <w:t xml:space="preserve">Cardiopulmonar: neumonitis lúpica, miocarditis, enfermedad pulmonar intersticial, hipertensión pulmonar, hemorragia alveolar. </w:t>
      </w:r>
    </w:p>
    <w:p w14:paraId="5E82E5DF" w14:textId="77777777" w:rsidR="001900A3" w:rsidRPr="00F524DC" w:rsidRDefault="001900A3" w:rsidP="0009176E">
      <w:pPr>
        <w:pStyle w:val="ListParagraph"/>
        <w:numPr>
          <w:ilvl w:val="0"/>
          <w:numId w:val="4"/>
        </w:numPr>
        <w:spacing w:after="0" w:line="360" w:lineRule="auto"/>
        <w:contextualSpacing w:val="0"/>
        <w:jc w:val="both"/>
        <w:rPr>
          <w:rFonts w:ascii="Arial" w:hAnsi="Arial" w:cs="Arial"/>
          <w:sz w:val="24"/>
          <w:szCs w:val="24"/>
        </w:rPr>
      </w:pPr>
      <w:r w:rsidRPr="00F524DC">
        <w:rPr>
          <w:rFonts w:ascii="Arial" w:hAnsi="Arial" w:cs="Arial"/>
          <w:sz w:val="24"/>
          <w:szCs w:val="24"/>
        </w:rPr>
        <w:t>Gastrointestinal: Hepatitis autoinmune relacionada con lupus, enteropatía, colitis y pancreatitis secundaria a vasculitis de LES.</w:t>
      </w:r>
    </w:p>
    <w:p w14:paraId="5EB988F5" w14:textId="77777777" w:rsidR="001900A3" w:rsidRPr="00F524DC" w:rsidRDefault="001900A3" w:rsidP="0009176E">
      <w:pPr>
        <w:pStyle w:val="ListParagraph"/>
        <w:numPr>
          <w:ilvl w:val="0"/>
          <w:numId w:val="4"/>
        </w:numPr>
        <w:spacing w:after="0" w:line="360" w:lineRule="auto"/>
        <w:contextualSpacing w:val="0"/>
        <w:jc w:val="both"/>
        <w:rPr>
          <w:rFonts w:ascii="Arial" w:hAnsi="Arial" w:cs="Arial"/>
          <w:sz w:val="24"/>
          <w:szCs w:val="24"/>
        </w:rPr>
      </w:pPr>
      <w:r w:rsidRPr="00F524DC">
        <w:rPr>
          <w:rFonts w:ascii="Arial" w:hAnsi="Arial" w:cs="Arial"/>
          <w:sz w:val="24"/>
          <w:szCs w:val="24"/>
        </w:rPr>
        <w:t xml:space="preserve">Neuropsiquiátrico: uno de los 19 síndromes de lupus neuropsiquiátricos </w:t>
      </w:r>
    </w:p>
    <w:p w14:paraId="0EC7FCE4" w14:textId="77777777" w:rsidR="001900A3" w:rsidRPr="0009176E" w:rsidRDefault="001900A3" w:rsidP="0009176E">
      <w:pPr>
        <w:spacing w:after="0" w:line="360" w:lineRule="auto"/>
        <w:jc w:val="both"/>
        <w:rPr>
          <w:rFonts w:ascii="Arial" w:hAnsi="Arial" w:cs="Arial"/>
          <w:sz w:val="24"/>
          <w:szCs w:val="24"/>
        </w:rPr>
      </w:pPr>
    </w:p>
    <w:p w14:paraId="293D8129" w14:textId="77777777" w:rsidR="001900A3" w:rsidRPr="0009176E" w:rsidRDefault="001900A3" w:rsidP="0009176E">
      <w:pPr>
        <w:spacing w:after="0" w:line="360" w:lineRule="auto"/>
        <w:rPr>
          <w:rFonts w:ascii="Arial" w:hAnsi="Arial" w:cs="Arial"/>
          <w:sz w:val="24"/>
          <w:szCs w:val="24"/>
        </w:rPr>
      </w:pPr>
    </w:p>
    <w:p w14:paraId="3790BC90" w14:textId="77777777" w:rsidR="0084668E" w:rsidRPr="0009176E" w:rsidRDefault="0084668E" w:rsidP="0009176E">
      <w:pPr>
        <w:spacing w:after="0" w:line="360" w:lineRule="auto"/>
        <w:rPr>
          <w:rFonts w:ascii="Arial" w:hAnsi="Arial" w:cs="Arial"/>
          <w:sz w:val="24"/>
          <w:szCs w:val="24"/>
        </w:rPr>
      </w:pPr>
    </w:p>
    <w:sectPr w:rsidR="0084668E" w:rsidRPr="0009176E" w:rsidSect="0009176E">
      <w:pgSz w:w="12240" w:h="15840" w:code="1"/>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3419"/>
    <w:multiLevelType w:val="hybridMultilevel"/>
    <w:tmpl w:val="E48EAD10"/>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EAA47CC"/>
    <w:multiLevelType w:val="multilevel"/>
    <w:tmpl w:val="68504C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1022169"/>
    <w:multiLevelType w:val="hybridMultilevel"/>
    <w:tmpl w:val="E48EAD10"/>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154A3D"/>
    <w:multiLevelType w:val="hybridMultilevel"/>
    <w:tmpl w:val="373EA20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2BEA6381"/>
    <w:multiLevelType w:val="hybridMultilevel"/>
    <w:tmpl w:val="1D0E14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165270A"/>
    <w:multiLevelType w:val="hybridMultilevel"/>
    <w:tmpl w:val="154EBAFE"/>
    <w:lvl w:ilvl="0" w:tplc="DD6CF8E6">
      <w:start w:val="2"/>
      <w:numFmt w:val="bullet"/>
      <w:lvlText w:val=""/>
      <w:lvlJc w:val="left"/>
      <w:pPr>
        <w:ind w:left="720" w:hanging="360"/>
      </w:pPr>
      <w:rPr>
        <w:rFonts w:ascii="Wingdings" w:eastAsiaTheme="minorHAnsi" w:hAnsi="Wingdings"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2684F99"/>
    <w:multiLevelType w:val="multilevel"/>
    <w:tmpl w:val="B4D03B7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7">
    <w:nsid w:val="450E60FB"/>
    <w:multiLevelType w:val="hybridMultilevel"/>
    <w:tmpl w:val="1A3256F4"/>
    <w:lvl w:ilvl="0" w:tplc="3172520C">
      <w:start w:val="16"/>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C26621A"/>
    <w:multiLevelType w:val="hybridMultilevel"/>
    <w:tmpl w:val="E05E1986"/>
    <w:lvl w:ilvl="0" w:tplc="1752F378">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1170A5A"/>
    <w:multiLevelType w:val="hybridMultilevel"/>
    <w:tmpl w:val="616AAF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C275BF7"/>
    <w:multiLevelType w:val="hybridMultilevel"/>
    <w:tmpl w:val="B748DA06"/>
    <w:lvl w:ilvl="0" w:tplc="731452BE">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E6029BC"/>
    <w:multiLevelType w:val="hybridMultilevel"/>
    <w:tmpl w:val="130278E8"/>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E1C5B97"/>
    <w:multiLevelType w:val="hybridMultilevel"/>
    <w:tmpl w:val="8286ED7E"/>
    <w:lvl w:ilvl="0" w:tplc="7C067464">
      <w:numFmt w:val="bullet"/>
      <w:lvlText w:val="-"/>
      <w:lvlJc w:val="left"/>
      <w:pPr>
        <w:ind w:left="720" w:hanging="360"/>
      </w:pPr>
      <w:rPr>
        <w:rFonts w:ascii="Calibri" w:eastAsiaTheme="minorHAnsi" w:hAnsi="Calibri"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nsid w:val="7E206BD5"/>
    <w:multiLevelType w:val="hybridMultilevel"/>
    <w:tmpl w:val="AC9A36B4"/>
    <w:lvl w:ilvl="0" w:tplc="E3667A84">
      <w:start w:val="32"/>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12"/>
  </w:num>
  <w:num w:numId="5">
    <w:abstractNumId w:val="4"/>
  </w:num>
  <w:num w:numId="6">
    <w:abstractNumId w:val="6"/>
  </w:num>
  <w:num w:numId="7">
    <w:abstractNumId w:val="10"/>
  </w:num>
  <w:num w:numId="8">
    <w:abstractNumId w:val="2"/>
  </w:num>
  <w:num w:numId="9">
    <w:abstractNumId w:val="11"/>
  </w:num>
  <w:num w:numId="10">
    <w:abstractNumId w:val="5"/>
  </w:num>
  <w:num w:numId="11">
    <w:abstractNumId w:val="8"/>
  </w:num>
  <w:num w:numId="12">
    <w:abstractNumId w:val="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0A3"/>
    <w:rsid w:val="0000269F"/>
    <w:rsid w:val="000064FF"/>
    <w:rsid w:val="00051F87"/>
    <w:rsid w:val="00067745"/>
    <w:rsid w:val="0007128B"/>
    <w:rsid w:val="0009176E"/>
    <w:rsid w:val="000B0479"/>
    <w:rsid w:val="000C13DE"/>
    <w:rsid w:val="000D1354"/>
    <w:rsid w:val="000D5E87"/>
    <w:rsid w:val="000E1975"/>
    <w:rsid w:val="000F437D"/>
    <w:rsid w:val="00102475"/>
    <w:rsid w:val="00123D54"/>
    <w:rsid w:val="00136AFE"/>
    <w:rsid w:val="00144C72"/>
    <w:rsid w:val="00155CE9"/>
    <w:rsid w:val="0016589D"/>
    <w:rsid w:val="00183D0A"/>
    <w:rsid w:val="001900A3"/>
    <w:rsid w:val="001B535E"/>
    <w:rsid w:val="001C6F3B"/>
    <w:rsid w:val="00205EFD"/>
    <w:rsid w:val="0021265F"/>
    <w:rsid w:val="00233459"/>
    <w:rsid w:val="002526C2"/>
    <w:rsid w:val="0026681C"/>
    <w:rsid w:val="00272553"/>
    <w:rsid w:val="002834C3"/>
    <w:rsid w:val="002C354E"/>
    <w:rsid w:val="002D07B2"/>
    <w:rsid w:val="002D43A2"/>
    <w:rsid w:val="002E458C"/>
    <w:rsid w:val="002F0408"/>
    <w:rsid w:val="002F490F"/>
    <w:rsid w:val="00357885"/>
    <w:rsid w:val="00363922"/>
    <w:rsid w:val="003B3620"/>
    <w:rsid w:val="003E5810"/>
    <w:rsid w:val="003E78DA"/>
    <w:rsid w:val="004071BB"/>
    <w:rsid w:val="0043769D"/>
    <w:rsid w:val="0044409C"/>
    <w:rsid w:val="0044670F"/>
    <w:rsid w:val="00460A4C"/>
    <w:rsid w:val="0047209E"/>
    <w:rsid w:val="00473883"/>
    <w:rsid w:val="004925D2"/>
    <w:rsid w:val="004A4C55"/>
    <w:rsid w:val="004C0610"/>
    <w:rsid w:val="004D1C18"/>
    <w:rsid w:val="004F72A7"/>
    <w:rsid w:val="00521ADE"/>
    <w:rsid w:val="00573FE6"/>
    <w:rsid w:val="005B5D7A"/>
    <w:rsid w:val="005C0F1C"/>
    <w:rsid w:val="005D4AE7"/>
    <w:rsid w:val="005D5A30"/>
    <w:rsid w:val="005E4B06"/>
    <w:rsid w:val="00611CA6"/>
    <w:rsid w:val="00612D71"/>
    <w:rsid w:val="0063624B"/>
    <w:rsid w:val="006412BC"/>
    <w:rsid w:val="0067150C"/>
    <w:rsid w:val="00676ED4"/>
    <w:rsid w:val="0068023D"/>
    <w:rsid w:val="00695001"/>
    <w:rsid w:val="006A6B27"/>
    <w:rsid w:val="006C4180"/>
    <w:rsid w:val="006D4AC8"/>
    <w:rsid w:val="007110EF"/>
    <w:rsid w:val="00716A45"/>
    <w:rsid w:val="0071768C"/>
    <w:rsid w:val="00761CA8"/>
    <w:rsid w:val="0077744B"/>
    <w:rsid w:val="007D155A"/>
    <w:rsid w:val="007E4FBC"/>
    <w:rsid w:val="00800EB0"/>
    <w:rsid w:val="00802683"/>
    <w:rsid w:val="00804C02"/>
    <w:rsid w:val="00821DC3"/>
    <w:rsid w:val="00826A62"/>
    <w:rsid w:val="00837D3A"/>
    <w:rsid w:val="0084668E"/>
    <w:rsid w:val="00853792"/>
    <w:rsid w:val="00865D7C"/>
    <w:rsid w:val="00872BD1"/>
    <w:rsid w:val="00876088"/>
    <w:rsid w:val="008B3097"/>
    <w:rsid w:val="008C350E"/>
    <w:rsid w:val="008D39E7"/>
    <w:rsid w:val="0093144A"/>
    <w:rsid w:val="009531B8"/>
    <w:rsid w:val="00982C5D"/>
    <w:rsid w:val="009A1EB1"/>
    <w:rsid w:val="009D7012"/>
    <w:rsid w:val="009E1D94"/>
    <w:rsid w:val="00A05199"/>
    <w:rsid w:val="00A20C85"/>
    <w:rsid w:val="00A32AE1"/>
    <w:rsid w:val="00A42F72"/>
    <w:rsid w:val="00A55669"/>
    <w:rsid w:val="00A73EB0"/>
    <w:rsid w:val="00A80091"/>
    <w:rsid w:val="00A93DBB"/>
    <w:rsid w:val="00AB1D43"/>
    <w:rsid w:val="00AF778F"/>
    <w:rsid w:val="00B0011D"/>
    <w:rsid w:val="00B02F6E"/>
    <w:rsid w:val="00B05EFF"/>
    <w:rsid w:val="00B42966"/>
    <w:rsid w:val="00B4310D"/>
    <w:rsid w:val="00B43580"/>
    <w:rsid w:val="00B82057"/>
    <w:rsid w:val="00BA6A23"/>
    <w:rsid w:val="00BB3EFA"/>
    <w:rsid w:val="00BC186C"/>
    <w:rsid w:val="00BC7E24"/>
    <w:rsid w:val="00BF7788"/>
    <w:rsid w:val="00C35B3F"/>
    <w:rsid w:val="00CA2149"/>
    <w:rsid w:val="00CA7D7E"/>
    <w:rsid w:val="00CD2286"/>
    <w:rsid w:val="00CD525B"/>
    <w:rsid w:val="00CE37C7"/>
    <w:rsid w:val="00D0046C"/>
    <w:rsid w:val="00D07D10"/>
    <w:rsid w:val="00D11FD5"/>
    <w:rsid w:val="00D3354E"/>
    <w:rsid w:val="00D46E61"/>
    <w:rsid w:val="00D51BC5"/>
    <w:rsid w:val="00D76817"/>
    <w:rsid w:val="00DA1EDB"/>
    <w:rsid w:val="00DA3FEC"/>
    <w:rsid w:val="00DB13EC"/>
    <w:rsid w:val="00DD2546"/>
    <w:rsid w:val="00E117E4"/>
    <w:rsid w:val="00E13EC0"/>
    <w:rsid w:val="00E31B08"/>
    <w:rsid w:val="00E34EC4"/>
    <w:rsid w:val="00E81AB9"/>
    <w:rsid w:val="00EC6EE3"/>
    <w:rsid w:val="00ED7258"/>
    <w:rsid w:val="00EE7A24"/>
    <w:rsid w:val="00F03C49"/>
    <w:rsid w:val="00F447B7"/>
    <w:rsid w:val="00F524DC"/>
    <w:rsid w:val="00F56866"/>
    <w:rsid w:val="00F71C7D"/>
    <w:rsid w:val="00F80D4E"/>
    <w:rsid w:val="00FE3CB4"/>
    <w:rsid w:val="00FF1A9F"/>
    <w:rsid w:val="65769D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ECF14"/>
  <w15:chartTrackingRefBased/>
  <w15:docId w15:val="{9250F8BC-2829-49A9-A675-9F910362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0A3"/>
    <w:pPr>
      <w:spacing w:after="0" w:line="240" w:lineRule="auto"/>
    </w:pPr>
  </w:style>
  <w:style w:type="paragraph" w:styleId="ListParagraph">
    <w:name w:val="List Paragraph"/>
    <w:basedOn w:val="Normal"/>
    <w:uiPriority w:val="34"/>
    <w:qFormat/>
    <w:rsid w:val="001900A3"/>
    <w:pPr>
      <w:ind w:left="720"/>
      <w:contextualSpacing/>
    </w:pPr>
  </w:style>
  <w:style w:type="paragraph" w:styleId="CommentText">
    <w:name w:val="annotation text"/>
    <w:basedOn w:val="Normal"/>
    <w:link w:val="CommentTextChar"/>
    <w:uiPriority w:val="99"/>
    <w:semiHidden/>
    <w:unhideWhenUsed/>
    <w:rsid w:val="001900A3"/>
    <w:pPr>
      <w:spacing w:line="240" w:lineRule="auto"/>
    </w:pPr>
    <w:rPr>
      <w:sz w:val="20"/>
      <w:szCs w:val="20"/>
    </w:rPr>
  </w:style>
  <w:style w:type="character" w:customStyle="1" w:styleId="CommentTextChar">
    <w:name w:val="Comment Text Char"/>
    <w:basedOn w:val="DefaultParagraphFont"/>
    <w:link w:val="CommentText"/>
    <w:uiPriority w:val="99"/>
    <w:semiHidden/>
    <w:rsid w:val="001900A3"/>
    <w:rPr>
      <w:sz w:val="20"/>
      <w:szCs w:val="20"/>
    </w:rPr>
  </w:style>
  <w:style w:type="character" w:customStyle="1" w:styleId="CommentSubjectChar">
    <w:name w:val="Comment Subject Char"/>
    <w:basedOn w:val="CommentTextChar"/>
    <w:link w:val="CommentSubject"/>
    <w:uiPriority w:val="99"/>
    <w:semiHidden/>
    <w:rsid w:val="001900A3"/>
    <w:rPr>
      <w:b/>
      <w:bCs/>
      <w:sz w:val="20"/>
      <w:szCs w:val="20"/>
    </w:rPr>
  </w:style>
  <w:style w:type="paragraph" w:styleId="CommentSubject">
    <w:name w:val="annotation subject"/>
    <w:basedOn w:val="CommentText"/>
    <w:next w:val="CommentText"/>
    <w:link w:val="CommentSubjectChar"/>
    <w:uiPriority w:val="99"/>
    <w:semiHidden/>
    <w:unhideWhenUsed/>
    <w:rsid w:val="001900A3"/>
    <w:rPr>
      <w:b/>
      <w:bCs/>
    </w:rPr>
  </w:style>
  <w:style w:type="character" w:customStyle="1" w:styleId="AsuntodelcomentarioCar1">
    <w:name w:val="Asunto del comentario Car1"/>
    <w:basedOn w:val="CommentTextChar"/>
    <w:uiPriority w:val="99"/>
    <w:semiHidden/>
    <w:rsid w:val="001900A3"/>
    <w:rPr>
      <w:b/>
      <w:bCs/>
      <w:sz w:val="20"/>
      <w:szCs w:val="20"/>
    </w:rPr>
  </w:style>
  <w:style w:type="character" w:customStyle="1" w:styleId="BalloonTextChar">
    <w:name w:val="Balloon Text Char"/>
    <w:basedOn w:val="DefaultParagraphFont"/>
    <w:link w:val="BalloonText"/>
    <w:uiPriority w:val="99"/>
    <w:semiHidden/>
    <w:rsid w:val="001900A3"/>
    <w:rPr>
      <w:rFonts w:ascii="Segoe UI" w:hAnsi="Segoe UI" w:cs="Segoe UI"/>
      <w:sz w:val="18"/>
      <w:szCs w:val="18"/>
    </w:rPr>
  </w:style>
  <w:style w:type="paragraph" w:styleId="BalloonText">
    <w:name w:val="Balloon Text"/>
    <w:basedOn w:val="Normal"/>
    <w:link w:val="BalloonTextChar"/>
    <w:uiPriority w:val="99"/>
    <w:semiHidden/>
    <w:unhideWhenUsed/>
    <w:rsid w:val="001900A3"/>
    <w:pPr>
      <w:spacing w:after="0" w:line="240" w:lineRule="auto"/>
    </w:pPr>
    <w:rPr>
      <w:rFonts w:ascii="Segoe UI" w:hAnsi="Segoe UI" w:cs="Segoe UI"/>
      <w:sz w:val="18"/>
      <w:szCs w:val="18"/>
    </w:rPr>
  </w:style>
  <w:style w:type="character" w:customStyle="1" w:styleId="TextodegloboCar1">
    <w:name w:val="Texto de globo Car1"/>
    <w:basedOn w:val="DefaultParagraphFont"/>
    <w:uiPriority w:val="99"/>
    <w:semiHidden/>
    <w:rsid w:val="001900A3"/>
    <w:rPr>
      <w:rFonts w:ascii="Segoe UI" w:hAnsi="Segoe UI" w:cs="Segoe UI"/>
      <w:sz w:val="18"/>
      <w:szCs w:val="18"/>
    </w:rPr>
  </w:style>
  <w:style w:type="table" w:styleId="PlainTable1">
    <w:name w:val="Plain Table 1"/>
    <w:basedOn w:val="TableNormal"/>
    <w:uiPriority w:val="41"/>
    <w:rsid w:val="001900A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1900A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D0046C"/>
    <w:rPr>
      <w:sz w:val="16"/>
      <w:szCs w:val="16"/>
    </w:rPr>
  </w:style>
  <w:style w:type="character" w:customStyle="1" w:styleId="normaltextrun">
    <w:name w:val="normaltextrun"/>
    <w:basedOn w:val="DefaultParagraphFont"/>
    <w:rsid w:val="00460A4C"/>
  </w:style>
  <w:style w:type="character" w:customStyle="1" w:styleId="contextualspellingandgrammarerror">
    <w:name w:val="contextualspellingandgrammarerror"/>
    <w:basedOn w:val="DefaultParagraphFont"/>
    <w:rsid w:val="00460A4C"/>
  </w:style>
  <w:style w:type="character" w:customStyle="1" w:styleId="findhit">
    <w:name w:val="findhit"/>
    <w:basedOn w:val="DefaultParagraphFont"/>
    <w:rsid w:val="00460A4C"/>
  </w:style>
  <w:style w:type="character" w:customStyle="1" w:styleId="eop">
    <w:name w:val="eop"/>
    <w:basedOn w:val="DefaultParagraphFont"/>
    <w:rsid w:val="0046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46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055B61D420A74EAB05BD87D6CC5E35" ma:contentTypeVersion="13" ma:contentTypeDescription="Create a new document." ma:contentTypeScope="" ma:versionID="21c4c0b0d56aecd89daa06e81db8e49b">
  <xsd:schema xmlns:xsd="http://www.w3.org/2001/XMLSchema" xmlns:xs="http://www.w3.org/2001/XMLSchema" xmlns:p="http://schemas.microsoft.com/office/2006/metadata/properties" xmlns:ns3="16adaee7-8470-4f21-93f0-12401dc292cf" xmlns:ns4="aa8b0c33-d8c7-47c4-bc08-f235a56f3ce6" targetNamespace="http://schemas.microsoft.com/office/2006/metadata/properties" ma:root="true" ma:fieldsID="3a6f6af833a1c559df5e867a3fd6d464" ns3:_="" ns4:_="">
    <xsd:import namespace="16adaee7-8470-4f21-93f0-12401dc292cf"/>
    <xsd:import namespace="aa8b0c33-d8c7-47c4-bc08-f235a56f3ce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daee7-8470-4f21-93f0-12401dc292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8b0c33-d8c7-47c4-bc08-f235a56f3ce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87E975-F06A-4F23-A67C-ABFEC5AF02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183C17-88F4-4C04-AE6B-A7FCA37DE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daee7-8470-4f21-93f0-12401dc292cf"/>
    <ds:schemaRef ds:uri="aa8b0c33-d8c7-47c4-bc08-f235a56f3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3644F6-3C9B-448D-A1D5-EE17B8B61C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803</Words>
  <Characters>4580</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TuSoft</dc:creator>
  <cp:keywords/>
  <dc:description/>
  <cp:lastModifiedBy>Norkey Bhutia</cp:lastModifiedBy>
  <cp:revision>2</cp:revision>
  <dcterms:created xsi:type="dcterms:W3CDTF">2020-04-27T09:25:00Z</dcterms:created>
  <dcterms:modified xsi:type="dcterms:W3CDTF">2020-04-27T09:25:00Z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0x01010031055B61D420A74EAB05BD87D6CC5E35</vt:lpwstr>
  </property>
</Properties>
</file>