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46D" w:rsidRPr="000538D0" w:rsidRDefault="00531F09" w:rsidP="003B346D">
      <w:pPr>
        <w:spacing w:after="0" w:line="480" w:lineRule="auto"/>
        <w:jc w:val="both"/>
        <w:rPr>
          <w:rFonts w:ascii="Times New Roman" w:eastAsiaTheme="minorEastAsia" w:hAnsi="Times New Roman" w:cs="Times New Roman"/>
          <w:szCs w:val="24"/>
          <w:lang w:val="en-US"/>
        </w:rPr>
      </w:pPr>
      <w:r w:rsidRPr="000538D0">
        <w:rPr>
          <w:rFonts w:ascii="Times New Roman" w:eastAsiaTheme="minorEastAsia" w:hAnsi="Times New Roman" w:cs="Times New Roman"/>
          <w:b/>
          <w:sz w:val="24"/>
          <w:szCs w:val="24"/>
          <w:lang w:val="en-US"/>
        </w:rPr>
        <w:t>Table S1:</w:t>
      </w:r>
      <w:r>
        <w:rPr>
          <w:rFonts w:ascii="Times New Roman" w:eastAsiaTheme="minorEastAsia" w:hAnsi="Times New Roman" w:cs="Times New Roman"/>
          <w:sz w:val="24"/>
          <w:szCs w:val="24"/>
          <w:lang w:val="en-US"/>
        </w:rPr>
        <w:t xml:space="preserve"> Case</w:t>
      </w:r>
      <w:r w:rsidR="003B346D" w:rsidRPr="006721E2">
        <w:rPr>
          <w:rFonts w:ascii="Times New Roman" w:eastAsiaTheme="minorEastAsia" w:hAnsi="Times New Roman" w:cs="Times New Roman"/>
          <w:sz w:val="24"/>
          <w:szCs w:val="24"/>
          <w:lang w:val="en-US"/>
        </w:rPr>
        <w:t xml:space="preserve"> studies species and the </w:t>
      </w:r>
      <w:r w:rsidR="003B346D">
        <w:rPr>
          <w:rFonts w:ascii="Times New Roman" w:eastAsiaTheme="minorEastAsia" w:hAnsi="Times New Roman" w:cs="Times New Roman"/>
          <w:sz w:val="24"/>
          <w:szCs w:val="24"/>
          <w:lang w:val="en-US"/>
        </w:rPr>
        <w:t xml:space="preserve">environmental </w:t>
      </w:r>
      <w:r w:rsidR="003B346D" w:rsidRPr="006721E2">
        <w:rPr>
          <w:rFonts w:ascii="Times New Roman" w:eastAsiaTheme="minorEastAsia" w:hAnsi="Times New Roman" w:cs="Times New Roman"/>
          <w:sz w:val="24"/>
          <w:szCs w:val="24"/>
          <w:lang w:val="en-US"/>
        </w:rPr>
        <w:t>parameters used in the habitat suitability model (elevation and habitat preferences).</w:t>
      </w:r>
      <w:r w:rsidR="003B346D" w:rsidRPr="000538D0">
        <w:rPr>
          <w:rFonts w:ascii="Times New Roman" w:eastAsiaTheme="minorEastAsia" w:hAnsi="Times New Roman" w:cs="Times New Roman"/>
          <w:szCs w:val="24"/>
          <w:lang w:val="en-US"/>
        </w:rPr>
        <w:t xml:space="preserve"> </w:t>
      </w:r>
    </w:p>
    <w:tbl>
      <w:tblPr>
        <w:tblStyle w:val="SombreamentoClaro"/>
        <w:tblW w:w="5000" w:type="pct"/>
        <w:tblLook w:val="06A0" w:firstRow="1" w:lastRow="0" w:firstColumn="1" w:lastColumn="0" w:noHBand="1" w:noVBand="1"/>
      </w:tblPr>
      <w:tblGrid>
        <w:gridCol w:w="3353"/>
        <w:gridCol w:w="3026"/>
        <w:gridCol w:w="2863"/>
      </w:tblGrid>
      <w:tr w:rsidR="003B346D" w:rsidRPr="006721E2" w:rsidTr="002D3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vAlign w:val="center"/>
          </w:tcPr>
          <w:p w:rsidR="003B346D" w:rsidRPr="006721E2" w:rsidRDefault="003B346D" w:rsidP="002D351E">
            <w:pPr>
              <w:spacing w:line="480" w:lineRule="auto"/>
              <w:jc w:val="center"/>
              <w:rPr>
                <w:rFonts w:ascii="Times New Roman" w:eastAsiaTheme="minorEastAsia" w:hAnsi="Times New Roman" w:cs="Times New Roman"/>
                <w:b w:val="0"/>
                <w:sz w:val="24"/>
                <w:szCs w:val="24"/>
                <w:lang w:val="en-US"/>
              </w:rPr>
            </w:pPr>
            <w:r w:rsidRPr="006721E2">
              <w:rPr>
                <w:rFonts w:ascii="Times New Roman" w:eastAsiaTheme="minorEastAsia" w:hAnsi="Times New Roman" w:cs="Times New Roman"/>
                <w:b w:val="0"/>
                <w:sz w:val="24"/>
                <w:szCs w:val="24"/>
                <w:lang w:val="en-US"/>
              </w:rPr>
              <w:t>species</w:t>
            </w:r>
          </w:p>
        </w:tc>
        <w:tc>
          <w:tcPr>
            <w:tcW w:w="1637" w:type="pct"/>
            <w:vAlign w:val="center"/>
          </w:tcPr>
          <w:p w:rsidR="003B346D" w:rsidRPr="006721E2" w:rsidRDefault="003B346D" w:rsidP="002D351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lang w:val="en-US"/>
              </w:rPr>
            </w:pPr>
            <w:r w:rsidRPr="006721E2">
              <w:rPr>
                <w:rFonts w:ascii="Times New Roman" w:eastAsiaTheme="minorEastAsia" w:hAnsi="Times New Roman" w:cs="Times New Roman"/>
                <w:b w:val="0"/>
                <w:sz w:val="24"/>
                <w:szCs w:val="24"/>
                <w:lang w:val="en-US"/>
              </w:rPr>
              <w:t>habitat (land use classes</w:t>
            </w:r>
            <w:bookmarkStart w:id="0" w:name="_GoBack"/>
            <w:bookmarkEnd w:id="0"/>
            <w:r w:rsidRPr="006721E2">
              <w:rPr>
                <w:rFonts w:ascii="Times New Roman" w:eastAsiaTheme="minorEastAsia" w:hAnsi="Times New Roman" w:cs="Times New Roman"/>
                <w:b w:val="0"/>
                <w:sz w:val="24"/>
                <w:szCs w:val="24"/>
                <w:lang w:val="en-US"/>
              </w:rPr>
              <w:t>)</w:t>
            </w:r>
          </w:p>
        </w:tc>
        <w:tc>
          <w:tcPr>
            <w:tcW w:w="1549" w:type="pct"/>
            <w:vAlign w:val="center"/>
          </w:tcPr>
          <w:p w:rsidR="003B346D" w:rsidRPr="006721E2" w:rsidRDefault="003B346D" w:rsidP="002D351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lang w:val="en-US"/>
              </w:rPr>
            </w:pPr>
            <w:r w:rsidRPr="006721E2">
              <w:rPr>
                <w:rFonts w:ascii="Times New Roman" w:eastAsiaTheme="minorEastAsia" w:hAnsi="Times New Roman" w:cs="Times New Roman"/>
                <w:b w:val="0"/>
                <w:sz w:val="24"/>
                <w:szCs w:val="24"/>
                <w:lang w:val="en-US"/>
              </w:rPr>
              <w:t>elevation (m)</w:t>
            </w:r>
          </w:p>
        </w:tc>
      </w:tr>
      <w:tr w:rsidR="003B346D" w:rsidRPr="006721E2" w:rsidTr="002D351E">
        <w:tc>
          <w:tcPr>
            <w:cnfStyle w:val="001000000000" w:firstRow="0" w:lastRow="0" w:firstColumn="1" w:lastColumn="0" w:oddVBand="0" w:evenVBand="0" w:oddHBand="0" w:evenHBand="0" w:firstRowFirstColumn="0" w:firstRowLastColumn="0" w:lastRowFirstColumn="0" w:lastRowLastColumn="0"/>
            <w:tcW w:w="1814" w:type="pct"/>
            <w:vAlign w:val="center"/>
          </w:tcPr>
          <w:p w:rsidR="003B346D" w:rsidRPr="006721E2" w:rsidRDefault="003B346D" w:rsidP="002D351E">
            <w:pPr>
              <w:spacing w:line="480" w:lineRule="auto"/>
              <w:jc w:val="center"/>
              <w:rPr>
                <w:rFonts w:ascii="Times New Roman" w:eastAsiaTheme="minorEastAsia" w:hAnsi="Times New Roman" w:cs="Times New Roman"/>
                <w:b w:val="0"/>
                <w:i/>
                <w:sz w:val="24"/>
                <w:szCs w:val="24"/>
                <w:lang w:val="en-US"/>
              </w:rPr>
            </w:pPr>
            <w:r w:rsidRPr="006721E2">
              <w:rPr>
                <w:rFonts w:ascii="Times New Roman" w:eastAsiaTheme="minorEastAsia" w:hAnsi="Times New Roman" w:cs="Times New Roman"/>
                <w:b w:val="0"/>
                <w:i/>
                <w:sz w:val="24"/>
                <w:szCs w:val="24"/>
                <w:lang w:val="en-US"/>
              </w:rPr>
              <w:t xml:space="preserve">Aquila </w:t>
            </w:r>
            <w:proofErr w:type="spellStart"/>
            <w:r w:rsidRPr="006721E2">
              <w:rPr>
                <w:rFonts w:ascii="Times New Roman" w:eastAsiaTheme="minorEastAsia" w:hAnsi="Times New Roman" w:cs="Times New Roman"/>
                <w:b w:val="0"/>
                <w:i/>
                <w:sz w:val="24"/>
                <w:szCs w:val="24"/>
                <w:lang w:val="en-US"/>
              </w:rPr>
              <w:t>adalberti</w:t>
            </w:r>
            <w:proofErr w:type="spellEnd"/>
          </w:p>
        </w:tc>
        <w:tc>
          <w:tcPr>
            <w:tcW w:w="1637"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40; 50; 60; 70; 90; 100; 110; 120; 130; 140; 160; 170; 180;</w:t>
            </w:r>
          </w:p>
        </w:tc>
        <w:tc>
          <w:tcPr>
            <w:tcW w:w="1549"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0 – all the highest peaks</w:t>
            </w:r>
          </w:p>
        </w:tc>
      </w:tr>
      <w:tr w:rsidR="003B346D" w:rsidRPr="006721E2" w:rsidTr="002D351E">
        <w:tc>
          <w:tcPr>
            <w:cnfStyle w:val="001000000000" w:firstRow="0" w:lastRow="0" w:firstColumn="1" w:lastColumn="0" w:oddVBand="0" w:evenVBand="0" w:oddHBand="0" w:evenHBand="0" w:firstRowFirstColumn="0" w:firstRowLastColumn="0" w:lastRowFirstColumn="0" w:lastRowLastColumn="0"/>
            <w:tcW w:w="1814" w:type="pct"/>
            <w:vAlign w:val="center"/>
          </w:tcPr>
          <w:p w:rsidR="003B346D" w:rsidRPr="006721E2" w:rsidRDefault="003B346D" w:rsidP="002D351E">
            <w:pPr>
              <w:spacing w:line="480" w:lineRule="auto"/>
              <w:jc w:val="center"/>
              <w:rPr>
                <w:rFonts w:ascii="Times New Roman" w:eastAsiaTheme="minorEastAsia" w:hAnsi="Times New Roman" w:cs="Times New Roman"/>
                <w:b w:val="0"/>
                <w:i/>
                <w:sz w:val="24"/>
                <w:szCs w:val="24"/>
                <w:lang w:val="en-US"/>
              </w:rPr>
            </w:pPr>
            <w:proofErr w:type="spellStart"/>
            <w:r w:rsidRPr="006721E2">
              <w:rPr>
                <w:rFonts w:ascii="Times New Roman" w:eastAsiaTheme="minorEastAsia" w:hAnsi="Times New Roman" w:cs="Times New Roman"/>
                <w:b w:val="0"/>
                <w:i/>
                <w:sz w:val="24"/>
                <w:szCs w:val="24"/>
                <w:lang w:val="en-US"/>
              </w:rPr>
              <w:t>Brachyteles</w:t>
            </w:r>
            <w:proofErr w:type="spellEnd"/>
            <w:r w:rsidRPr="006721E2">
              <w:rPr>
                <w:rFonts w:ascii="Times New Roman" w:eastAsiaTheme="minorEastAsia" w:hAnsi="Times New Roman" w:cs="Times New Roman"/>
                <w:b w:val="0"/>
                <w:i/>
                <w:sz w:val="24"/>
                <w:szCs w:val="24"/>
                <w:lang w:val="en-US"/>
              </w:rPr>
              <w:t xml:space="preserve"> </w:t>
            </w:r>
            <w:proofErr w:type="spellStart"/>
            <w:r w:rsidRPr="006721E2">
              <w:rPr>
                <w:rFonts w:ascii="Times New Roman" w:eastAsiaTheme="minorEastAsia" w:hAnsi="Times New Roman" w:cs="Times New Roman"/>
                <w:b w:val="0"/>
                <w:i/>
                <w:sz w:val="24"/>
                <w:szCs w:val="24"/>
                <w:lang w:val="en-US"/>
              </w:rPr>
              <w:t>arachnoides</w:t>
            </w:r>
            <w:proofErr w:type="spellEnd"/>
          </w:p>
        </w:tc>
        <w:tc>
          <w:tcPr>
            <w:tcW w:w="1637"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40; 50; 60; 70; 90; 100; 110; 120; 130; 140; 160; 170; 180;</w:t>
            </w:r>
          </w:p>
        </w:tc>
        <w:tc>
          <w:tcPr>
            <w:tcW w:w="1549"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600 – 1,800</w:t>
            </w:r>
          </w:p>
        </w:tc>
      </w:tr>
      <w:tr w:rsidR="003B346D" w:rsidRPr="006721E2" w:rsidTr="002D351E">
        <w:tc>
          <w:tcPr>
            <w:cnfStyle w:val="001000000000" w:firstRow="0" w:lastRow="0" w:firstColumn="1" w:lastColumn="0" w:oddVBand="0" w:evenVBand="0" w:oddHBand="0" w:evenHBand="0" w:firstRowFirstColumn="0" w:firstRowLastColumn="0" w:lastRowFirstColumn="0" w:lastRowLastColumn="0"/>
            <w:tcW w:w="1814" w:type="pct"/>
            <w:vAlign w:val="center"/>
          </w:tcPr>
          <w:p w:rsidR="003B346D" w:rsidRPr="006721E2" w:rsidRDefault="003B346D" w:rsidP="002D351E">
            <w:pPr>
              <w:spacing w:line="480" w:lineRule="auto"/>
              <w:jc w:val="center"/>
              <w:rPr>
                <w:rFonts w:ascii="Times New Roman" w:eastAsiaTheme="minorEastAsia" w:hAnsi="Times New Roman" w:cs="Times New Roman"/>
                <w:b w:val="0"/>
                <w:i/>
                <w:sz w:val="24"/>
                <w:szCs w:val="24"/>
                <w:lang w:val="en-US"/>
              </w:rPr>
            </w:pPr>
            <w:proofErr w:type="spellStart"/>
            <w:r w:rsidRPr="006721E2">
              <w:rPr>
                <w:rFonts w:ascii="Times New Roman" w:eastAsiaTheme="minorEastAsia" w:hAnsi="Times New Roman" w:cs="Times New Roman"/>
                <w:b w:val="0"/>
                <w:i/>
                <w:sz w:val="24"/>
                <w:szCs w:val="24"/>
                <w:lang w:val="en-US"/>
              </w:rPr>
              <w:t>Eulemur</w:t>
            </w:r>
            <w:proofErr w:type="spellEnd"/>
            <w:r w:rsidRPr="006721E2">
              <w:rPr>
                <w:rFonts w:ascii="Times New Roman" w:eastAsiaTheme="minorEastAsia" w:hAnsi="Times New Roman" w:cs="Times New Roman"/>
                <w:b w:val="0"/>
                <w:i/>
                <w:sz w:val="24"/>
                <w:szCs w:val="24"/>
                <w:lang w:val="en-US"/>
              </w:rPr>
              <w:t xml:space="preserve"> </w:t>
            </w:r>
            <w:proofErr w:type="spellStart"/>
            <w:r w:rsidRPr="006721E2">
              <w:rPr>
                <w:rFonts w:ascii="Times New Roman" w:eastAsiaTheme="minorEastAsia" w:hAnsi="Times New Roman" w:cs="Times New Roman"/>
                <w:b w:val="0"/>
                <w:i/>
                <w:sz w:val="24"/>
                <w:szCs w:val="24"/>
                <w:lang w:val="en-US"/>
              </w:rPr>
              <w:t>flavifrons</w:t>
            </w:r>
            <w:proofErr w:type="spellEnd"/>
          </w:p>
        </w:tc>
        <w:tc>
          <w:tcPr>
            <w:tcW w:w="1637"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11;14;20;30;40; 50; 60; 70; 90; 100; 110; 130; 160; 170; 180;</w:t>
            </w:r>
          </w:p>
        </w:tc>
        <w:tc>
          <w:tcPr>
            <w:tcW w:w="1549"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0 – 1,200</w:t>
            </w:r>
          </w:p>
        </w:tc>
      </w:tr>
      <w:tr w:rsidR="003B346D" w:rsidRPr="006721E2" w:rsidTr="002D351E">
        <w:tc>
          <w:tcPr>
            <w:cnfStyle w:val="001000000000" w:firstRow="0" w:lastRow="0" w:firstColumn="1" w:lastColumn="0" w:oddVBand="0" w:evenVBand="0" w:oddHBand="0" w:evenHBand="0" w:firstRowFirstColumn="0" w:firstRowLastColumn="0" w:lastRowFirstColumn="0" w:lastRowLastColumn="0"/>
            <w:tcW w:w="1814" w:type="pct"/>
            <w:vAlign w:val="center"/>
          </w:tcPr>
          <w:p w:rsidR="003B346D" w:rsidRPr="006721E2" w:rsidRDefault="003B346D" w:rsidP="002D351E">
            <w:pPr>
              <w:spacing w:line="480" w:lineRule="auto"/>
              <w:jc w:val="center"/>
              <w:rPr>
                <w:rFonts w:ascii="Times New Roman" w:eastAsiaTheme="minorEastAsia" w:hAnsi="Times New Roman" w:cs="Times New Roman"/>
                <w:b w:val="0"/>
                <w:i/>
                <w:sz w:val="24"/>
                <w:szCs w:val="24"/>
                <w:lang w:val="en-US"/>
              </w:rPr>
            </w:pPr>
            <w:proofErr w:type="spellStart"/>
            <w:r w:rsidRPr="006721E2">
              <w:rPr>
                <w:rFonts w:ascii="Times New Roman" w:eastAsiaTheme="minorEastAsia" w:hAnsi="Times New Roman" w:cs="Times New Roman"/>
                <w:b w:val="0"/>
                <w:i/>
                <w:sz w:val="24"/>
                <w:szCs w:val="24"/>
                <w:lang w:val="en-US"/>
              </w:rPr>
              <w:t>Heloderma</w:t>
            </w:r>
            <w:proofErr w:type="spellEnd"/>
            <w:r w:rsidRPr="006721E2">
              <w:rPr>
                <w:rFonts w:ascii="Times New Roman" w:eastAsiaTheme="minorEastAsia" w:hAnsi="Times New Roman" w:cs="Times New Roman"/>
                <w:b w:val="0"/>
                <w:i/>
                <w:sz w:val="24"/>
                <w:szCs w:val="24"/>
                <w:lang w:val="en-US"/>
              </w:rPr>
              <w:t xml:space="preserve"> </w:t>
            </w:r>
            <w:proofErr w:type="spellStart"/>
            <w:r w:rsidRPr="006721E2">
              <w:rPr>
                <w:rFonts w:ascii="Times New Roman" w:eastAsiaTheme="minorEastAsia" w:hAnsi="Times New Roman" w:cs="Times New Roman"/>
                <w:b w:val="0"/>
                <w:i/>
                <w:sz w:val="24"/>
                <w:szCs w:val="24"/>
                <w:lang w:val="en-US"/>
              </w:rPr>
              <w:t>suspectum</w:t>
            </w:r>
            <w:proofErr w:type="spellEnd"/>
          </w:p>
        </w:tc>
        <w:tc>
          <w:tcPr>
            <w:tcW w:w="1637"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40; 50; 60; 70; 90; 100; 110; 120; 130; 140; 150; 160; 170; 180; 200;</w:t>
            </w:r>
          </w:p>
        </w:tc>
        <w:tc>
          <w:tcPr>
            <w:tcW w:w="1549"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0 – 1,950</w:t>
            </w:r>
          </w:p>
        </w:tc>
      </w:tr>
      <w:tr w:rsidR="003B346D" w:rsidRPr="000538D0" w:rsidTr="002D351E">
        <w:tc>
          <w:tcPr>
            <w:cnfStyle w:val="001000000000" w:firstRow="0" w:lastRow="0" w:firstColumn="1" w:lastColumn="0" w:oddVBand="0" w:evenVBand="0" w:oddHBand="0" w:evenHBand="0" w:firstRowFirstColumn="0" w:firstRowLastColumn="0" w:lastRowFirstColumn="0" w:lastRowLastColumn="0"/>
            <w:tcW w:w="1814" w:type="pct"/>
            <w:vAlign w:val="center"/>
          </w:tcPr>
          <w:p w:rsidR="003B346D" w:rsidRPr="006721E2" w:rsidRDefault="003B346D" w:rsidP="002D351E">
            <w:pPr>
              <w:spacing w:line="480" w:lineRule="auto"/>
              <w:jc w:val="center"/>
              <w:rPr>
                <w:rFonts w:ascii="Times New Roman" w:eastAsiaTheme="minorEastAsia" w:hAnsi="Times New Roman" w:cs="Times New Roman"/>
                <w:b w:val="0"/>
                <w:i/>
                <w:sz w:val="24"/>
                <w:szCs w:val="24"/>
                <w:lang w:val="en-US"/>
              </w:rPr>
            </w:pPr>
            <w:r w:rsidRPr="006721E2">
              <w:rPr>
                <w:rFonts w:ascii="Times New Roman" w:eastAsiaTheme="minorEastAsia" w:hAnsi="Times New Roman" w:cs="Times New Roman"/>
                <w:b w:val="0"/>
                <w:i/>
                <w:sz w:val="24"/>
                <w:szCs w:val="24"/>
                <w:lang w:val="en-US"/>
              </w:rPr>
              <w:t xml:space="preserve">Sarcophilus </w:t>
            </w:r>
            <w:proofErr w:type="spellStart"/>
            <w:r w:rsidRPr="006721E2">
              <w:rPr>
                <w:rFonts w:ascii="Times New Roman" w:eastAsiaTheme="minorEastAsia" w:hAnsi="Times New Roman" w:cs="Times New Roman"/>
                <w:b w:val="0"/>
                <w:i/>
                <w:sz w:val="24"/>
                <w:szCs w:val="24"/>
                <w:lang w:val="en-US"/>
              </w:rPr>
              <w:t>harrisii</w:t>
            </w:r>
            <w:proofErr w:type="spellEnd"/>
          </w:p>
        </w:tc>
        <w:tc>
          <w:tcPr>
            <w:tcW w:w="1637"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11; 14; 20; 30;  60; 70; 100; 110; 120; 160; 170; 180;</w:t>
            </w:r>
          </w:p>
        </w:tc>
        <w:tc>
          <w:tcPr>
            <w:tcW w:w="1549" w:type="pct"/>
            <w:vAlign w:val="center"/>
          </w:tcPr>
          <w:p w:rsidR="003B346D" w:rsidRPr="006721E2" w:rsidRDefault="003B346D" w:rsidP="002D351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0 – all the highest peaks of Tasmania</w:t>
            </w:r>
          </w:p>
        </w:tc>
      </w:tr>
    </w:tbl>
    <w:p w:rsidR="003B346D" w:rsidRDefault="003B346D" w:rsidP="003B346D">
      <w:pPr>
        <w:spacing w:after="0" w:line="480" w:lineRule="auto"/>
        <w:jc w:val="both"/>
        <w:rPr>
          <w:rFonts w:ascii="Times New Roman" w:eastAsiaTheme="minorEastAsia" w:hAnsi="Times New Roman" w:cs="Times New Roman"/>
          <w:sz w:val="24"/>
          <w:szCs w:val="24"/>
          <w:lang w:val="en-US"/>
        </w:rPr>
      </w:pPr>
      <w:r w:rsidRPr="006721E2">
        <w:rPr>
          <w:rFonts w:ascii="Times New Roman" w:eastAsiaTheme="minorEastAsia" w:hAnsi="Times New Roman" w:cs="Times New Roman"/>
          <w:sz w:val="24"/>
          <w:szCs w:val="24"/>
          <w:lang w:val="en-US"/>
        </w:rPr>
        <w:t xml:space="preserve"> </w:t>
      </w:r>
    </w:p>
    <w:p w:rsidR="003B346D" w:rsidRDefault="003B346D" w:rsidP="003B346D">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br w:type="page"/>
      </w:r>
    </w:p>
    <w:p w:rsidR="003B346D" w:rsidRPr="006721E2" w:rsidRDefault="003B346D" w:rsidP="003B346D">
      <w:pPr>
        <w:spacing w:after="0" w:line="480" w:lineRule="auto"/>
        <w:jc w:val="both"/>
        <w:rPr>
          <w:rFonts w:ascii="Times New Roman" w:eastAsiaTheme="minorEastAsia" w:hAnsi="Times New Roman" w:cs="Times New Roman"/>
          <w:sz w:val="24"/>
          <w:szCs w:val="24"/>
          <w:lang w:val="en-US"/>
        </w:rPr>
      </w:pPr>
      <w:r w:rsidRPr="000538D0">
        <w:rPr>
          <w:rFonts w:ascii="Times New Roman" w:eastAsiaTheme="minorEastAsia" w:hAnsi="Times New Roman" w:cs="Times New Roman"/>
          <w:b/>
          <w:sz w:val="24"/>
          <w:szCs w:val="24"/>
          <w:lang w:val="en-US"/>
        </w:rPr>
        <w:lastRenderedPageBreak/>
        <w:t>Table S2:</w:t>
      </w:r>
      <w:r w:rsidRPr="006721E2">
        <w:rPr>
          <w:rFonts w:ascii="Times New Roman" w:eastAsiaTheme="minorEastAsia" w:hAnsi="Times New Roman" w:cs="Times New Roman"/>
          <w:sz w:val="24"/>
          <w:szCs w:val="24"/>
          <w:lang w:val="en-US"/>
        </w:rPr>
        <w:t xml:space="preserve"> Case studies species and the </w:t>
      </w:r>
      <w:r>
        <w:rPr>
          <w:rFonts w:ascii="Times New Roman" w:eastAsiaTheme="minorEastAsia" w:hAnsi="Times New Roman" w:cs="Times New Roman"/>
          <w:sz w:val="24"/>
          <w:szCs w:val="24"/>
          <w:lang w:val="en-US"/>
        </w:rPr>
        <w:t xml:space="preserve">biological </w:t>
      </w:r>
      <w:r w:rsidRPr="006721E2">
        <w:rPr>
          <w:rFonts w:ascii="Times New Roman" w:eastAsiaTheme="minorEastAsia" w:hAnsi="Times New Roman" w:cs="Times New Roman"/>
          <w:sz w:val="24"/>
          <w:szCs w:val="24"/>
          <w:lang w:val="en-US"/>
        </w:rPr>
        <w:t>parameters</w:t>
      </w:r>
      <w:r>
        <w:rPr>
          <w:rFonts w:ascii="Times New Roman" w:eastAsiaTheme="minorEastAsia" w:hAnsi="Times New Roman" w:cs="Times New Roman"/>
          <w:sz w:val="24"/>
          <w:szCs w:val="24"/>
          <w:lang w:val="en-US"/>
        </w:rPr>
        <w:t xml:space="preserve"> </w:t>
      </w:r>
      <w:r w:rsidRPr="006721E2">
        <w:rPr>
          <w:rFonts w:ascii="Times New Roman" w:eastAsiaTheme="minorEastAsia" w:hAnsi="Times New Roman" w:cs="Times New Roman"/>
          <w:sz w:val="24"/>
          <w:szCs w:val="24"/>
          <w:lang w:val="en-US"/>
        </w:rPr>
        <w:t>used in the habitat suitability model</w:t>
      </w:r>
      <w:r>
        <w:rPr>
          <w:rFonts w:ascii="Times New Roman" w:eastAsiaTheme="minorEastAsia" w:hAnsi="Times New Roman" w:cs="Times New Roman"/>
          <w:sz w:val="24"/>
          <w:szCs w:val="24"/>
          <w:lang w:val="en-US"/>
        </w:rPr>
        <w:t>. The data</w:t>
      </w:r>
      <w:r w:rsidRPr="006721E2">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was collected from a literature review and in which we based the individual area requirement and the daily path length. IAR=individual area requirement (km</w:t>
      </w:r>
      <w:r w:rsidRPr="00822144">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 xml:space="preserve">); M/S= movement/season (m); </w:t>
      </w:r>
      <w:proofErr w:type="spellStart"/>
      <w:r>
        <w:rPr>
          <w:rFonts w:ascii="Times New Roman" w:eastAsiaTheme="minorEastAsia" w:hAnsi="Times New Roman" w:cs="Times New Roman"/>
          <w:sz w:val="24"/>
          <w:szCs w:val="24"/>
          <w:lang w:val="en-US"/>
        </w:rPr>
        <w:t>dlp</w:t>
      </w:r>
      <w:proofErr w:type="spellEnd"/>
      <w:r>
        <w:rPr>
          <w:rFonts w:ascii="Times New Roman" w:eastAsiaTheme="minorEastAsia" w:hAnsi="Times New Roman" w:cs="Times New Roman"/>
          <w:sz w:val="24"/>
          <w:szCs w:val="24"/>
          <w:lang w:val="en-US"/>
        </w:rPr>
        <w:t>=daily path length. Home range is different for each species (</w:t>
      </w:r>
      <w:r>
        <w:rPr>
          <w:rFonts w:ascii="Times New Roman" w:eastAsia="Times New Roman" w:hAnsi="Times New Roman"/>
          <w:sz w:val="24"/>
          <w:szCs w:val="24"/>
          <w:lang w:val="en-US"/>
        </w:rPr>
        <w:t xml:space="preserve">for </w:t>
      </w:r>
      <w:r>
        <w:rPr>
          <w:rFonts w:ascii="Times New Roman" w:hAnsi="Times New Roman"/>
          <w:i/>
          <w:sz w:val="24"/>
          <w:szCs w:val="24"/>
          <w:lang w:val="en-US"/>
        </w:rPr>
        <w:t xml:space="preserve">A. </w:t>
      </w:r>
      <w:proofErr w:type="spellStart"/>
      <w:r>
        <w:rPr>
          <w:rFonts w:ascii="Times New Roman" w:hAnsi="Times New Roman"/>
          <w:i/>
          <w:sz w:val="24"/>
          <w:szCs w:val="24"/>
          <w:lang w:val="en-US"/>
        </w:rPr>
        <w:t>adalberti</w:t>
      </w:r>
      <w:proofErr w:type="spellEnd"/>
      <w:r>
        <w:rPr>
          <w:rFonts w:ascii="Times New Roman" w:hAnsi="Times New Roman"/>
          <w:i/>
          <w:sz w:val="24"/>
          <w:szCs w:val="24"/>
          <w:lang w:val="en-US"/>
        </w:rPr>
        <w:t xml:space="preserve"> </w:t>
      </w:r>
      <w:r>
        <w:rPr>
          <w:rFonts w:ascii="Times New Roman" w:hAnsi="Times New Roman"/>
          <w:sz w:val="24"/>
          <w:szCs w:val="24"/>
          <w:lang w:val="en-US"/>
        </w:rPr>
        <w:t xml:space="preserve">based on home range size of a breeding couple; for </w:t>
      </w:r>
      <w:r>
        <w:rPr>
          <w:rFonts w:ascii="Times New Roman" w:hAnsi="Times New Roman"/>
          <w:i/>
          <w:sz w:val="24"/>
          <w:szCs w:val="24"/>
          <w:lang w:val="en-US"/>
        </w:rPr>
        <w:t xml:space="preserve">B. </w:t>
      </w:r>
      <w:proofErr w:type="spellStart"/>
      <w:r>
        <w:rPr>
          <w:rFonts w:ascii="Times New Roman" w:hAnsi="Times New Roman"/>
          <w:i/>
          <w:sz w:val="24"/>
          <w:szCs w:val="24"/>
          <w:lang w:val="en-US"/>
        </w:rPr>
        <w:t>arachnoides</w:t>
      </w:r>
      <w:proofErr w:type="spellEnd"/>
      <w:r>
        <w:rPr>
          <w:rFonts w:ascii="Times New Roman" w:hAnsi="Times New Roman"/>
          <w:sz w:val="24"/>
          <w:szCs w:val="24"/>
          <w:lang w:val="en-US"/>
        </w:rPr>
        <w:t xml:space="preserve"> and </w:t>
      </w:r>
      <w:r>
        <w:rPr>
          <w:rFonts w:ascii="Times New Roman" w:hAnsi="Times New Roman"/>
          <w:i/>
          <w:sz w:val="24"/>
          <w:szCs w:val="24"/>
          <w:lang w:val="en-US"/>
        </w:rPr>
        <w:t xml:space="preserve">H. </w:t>
      </w:r>
      <w:proofErr w:type="spellStart"/>
      <w:r>
        <w:rPr>
          <w:rFonts w:ascii="Times New Roman" w:hAnsi="Times New Roman"/>
          <w:i/>
          <w:sz w:val="24"/>
          <w:szCs w:val="24"/>
          <w:lang w:val="en-US"/>
        </w:rPr>
        <w:t>suspectum</w:t>
      </w:r>
      <w:proofErr w:type="spellEnd"/>
      <w:r>
        <w:rPr>
          <w:rFonts w:ascii="Times New Roman" w:hAnsi="Times New Roman"/>
          <w:sz w:val="24"/>
          <w:szCs w:val="24"/>
          <w:lang w:val="en-US"/>
        </w:rPr>
        <w:t xml:space="preserve"> </w:t>
      </w:r>
      <w:r>
        <w:rPr>
          <w:rFonts w:ascii="Times New Roman" w:hAnsi="Times New Roman"/>
          <w:i/>
          <w:sz w:val="24"/>
          <w:szCs w:val="24"/>
          <w:lang w:val="en-US"/>
        </w:rPr>
        <w:t>IAR</w:t>
      </w:r>
      <w:r>
        <w:rPr>
          <w:rFonts w:ascii="Times New Roman" w:hAnsi="Times New Roman"/>
          <w:sz w:val="24"/>
          <w:szCs w:val="24"/>
          <w:lang w:val="en-US"/>
        </w:rPr>
        <w:t xml:space="preserve"> was based on the female home range size because for these species, females establish territories while males move among flocks; for </w:t>
      </w:r>
      <w:r>
        <w:rPr>
          <w:rFonts w:ascii="Times New Roman" w:hAnsi="Times New Roman"/>
          <w:i/>
          <w:sz w:val="24"/>
          <w:szCs w:val="24"/>
          <w:lang w:val="en-US"/>
        </w:rPr>
        <w:t xml:space="preserve">S. </w:t>
      </w:r>
      <w:proofErr w:type="spellStart"/>
      <w:r>
        <w:rPr>
          <w:rFonts w:ascii="Times New Roman" w:hAnsi="Times New Roman"/>
          <w:i/>
          <w:sz w:val="24"/>
          <w:szCs w:val="24"/>
          <w:lang w:val="en-US"/>
        </w:rPr>
        <w:t>harrisii</w:t>
      </w:r>
      <w:proofErr w:type="spellEnd"/>
      <w:r>
        <w:rPr>
          <w:rFonts w:ascii="Times New Roman" w:hAnsi="Times New Roman"/>
          <w:sz w:val="24"/>
          <w:szCs w:val="24"/>
          <w:lang w:val="en-US"/>
        </w:rPr>
        <w:t xml:space="preserve"> </w:t>
      </w:r>
      <w:r>
        <w:rPr>
          <w:rFonts w:ascii="Times New Roman" w:hAnsi="Times New Roman"/>
          <w:i/>
          <w:sz w:val="24"/>
          <w:szCs w:val="24"/>
          <w:lang w:val="en-US"/>
        </w:rPr>
        <w:t xml:space="preserve">IAR </w:t>
      </w:r>
      <w:r>
        <w:rPr>
          <w:rFonts w:ascii="Times New Roman" w:hAnsi="Times New Roman"/>
          <w:sz w:val="24"/>
          <w:szCs w:val="24"/>
          <w:lang w:val="en-US"/>
        </w:rPr>
        <w:t xml:space="preserve">was based on female home range because male and female does not take care of offspring together and, therefore, live alone; for </w:t>
      </w:r>
      <w:r>
        <w:rPr>
          <w:rFonts w:ascii="Times New Roman" w:hAnsi="Times New Roman"/>
          <w:i/>
          <w:sz w:val="24"/>
          <w:szCs w:val="24"/>
          <w:lang w:val="en-US"/>
        </w:rPr>
        <w:t xml:space="preserve">E. </w:t>
      </w:r>
      <w:proofErr w:type="spellStart"/>
      <w:r>
        <w:rPr>
          <w:rFonts w:ascii="Times New Roman" w:hAnsi="Times New Roman"/>
          <w:i/>
          <w:sz w:val="24"/>
          <w:szCs w:val="24"/>
          <w:lang w:val="en-US"/>
        </w:rPr>
        <w:t>flavifrons</w:t>
      </w:r>
      <w:proofErr w:type="spellEnd"/>
      <w:r>
        <w:rPr>
          <w:rFonts w:ascii="Times New Roman" w:hAnsi="Times New Roman"/>
          <w:sz w:val="24"/>
          <w:szCs w:val="24"/>
          <w:lang w:val="en-US"/>
        </w:rPr>
        <w:t xml:space="preserve"> was based on flock home range size.</w:t>
      </w:r>
    </w:p>
    <w:tbl>
      <w:tblPr>
        <w:tblStyle w:val="Tabelacomgrade"/>
        <w:tblW w:w="0" w:type="auto"/>
        <w:tblLook w:val="04A0" w:firstRow="1" w:lastRow="0" w:firstColumn="1" w:lastColumn="0" w:noHBand="0" w:noVBand="1"/>
      </w:tblPr>
      <w:tblGrid>
        <w:gridCol w:w="2468"/>
        <w:gridCol w:w="1010"/>
        <w:gridCol w:w="970"/>
        <w:gridCol w:w="1058"/>
        <w:gridCol w:w="943"/>
        <w:gridCol w:w="876"/>
        <w:gridCol w:w="1336"/>
      </w:tblGrid>
      <w:tr w:rsidR="003B346D" w:rsidTr="002D351E">
        <w:tc>
          <w:tcPr>
            <w:tcW w:w="2468" w:type="dxa"/>
            <w:vAlign w:val="center"/>
          </w:tcPr>
          <w:p w:rsidR="003B346D" w:rsidRDefault="003B346D" w:rsidP="002D351E">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Species</w:t>
            </w:r>
          </w:p>
        </w:tc>
        <w:tc>
          <w:tcPr>
            <w:tcW w:w="1010" w:type="dxa"/>
            <w:vAlign w:val="center"/>
          </w:tcPr>
          <w:p w:rsidR="003B346D" w:rsidRDefault="003B346D" w:rsidP="002D351E">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Home range (km</w:t>
            </w:r>
            <w:r w:rsidRPr="00480F77">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w:t>
            </w:r>
          </w:p>
        </w:tc>
        <w:tc>
          <w:tcPr>
            <w:tcW w:w="970" w:type="dxa"/>
            <w:vAlign w:val="center"/>
          </w:tcPr>
          <w:p w:rsidR="003B346D" w:rsidRDefault="003B346D" w:rsidP="002D351E">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M/S (m)</w:t>
            </w:r>
          </w:p>
        </w:tc>
        <w:tc>
          <w:tcPr>
            <w:tcW w:w="1058" w:type="dxa"/>
            <w:vAlign w:val="center"/>
          </w:tcPr>
          <w:p w:rsidR="003B346D" w:rsidRDefault="003B346D" w:rsidP="002D351E">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Season (days)</w:t>
            </w:r>
          </w:p>
        </w:tc>
        <w:tc>
          <w:tcPr>
            <w:tcW w:w="943" w:type="dxa"/>
            <w:vAlign w:val="center"/>
          </w:tcPr>
          <w:p w:rsidR="003B346D" w:rsidRDefault="003B346D" w:rsidP="002D351E">
            <w:pPr>
              <w:jc w:val="center"/>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dlp</w:t>
            </w:r>
            <w:proofErr w:type="spellEnd"/>
            <w:r>
              <w:rPr>
                <w:rFonts w:ascii="Times New Roman" w:eastAsiaTheme="minorEastAsia" w:hAnsi="Times New Roman" w:cs="Times New Roman"/>
                <w:sz w:val="24"/>
                <w:szCs w:val="24"/>
                <w:lang w:val="en-US"/>
              </w:rPr>
              <w:t xml:space="preserve"> (m)</w:t>
            </w:r>
          </w:p>
        </w:tc>
        <w:tc>
          <w:tcPr>
            <w:tcW w:w="871" w:type="dxa"/>
            <w:vAlign w:val="center"/>
          </w:tcPr>
          <w:p w:rsidR="003B346D" w:rsidRDefault="003B346D" w:rsidP="002D351E">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α</w:t>
            </w:r>
          </w:p>
        </w:tc>
        <w:tc>
          <w:tcPr>
            <w:tcW w:w="883" w:type="dxa"/>
            <w:vAlign w:val="center"/>
          </w:tcPr>
          <w:p w:rsidR="003B346D" w:rsidRDefault="003B346D" w:rsidP="002D351E">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Source</w:t>
            </w:r>
          </w:p>
        </w:tc>
      </w:tr>
      <w:tr w:rsidR="003B346D" w:rsidRPr="00DE0C48" w:rsidTr="002D351E">
        <w:tc>
          <w:tcPr>
            <w:tcW w:w="2468" w:type="dxa"/>
            <w:vAlign w:val="center"/>
          </w:tcPr>
          <w:p w:rsidR="003B346D" w:rsidRPr="00822144" w:rsidRDefault="003B346D" w:rsidP="002D351E">
            <w:pPr>
              <w:spacing w:line="480" w:lineRule="auto"/>
              <w:ind w:left="360"/>
              <w:jc w:val="center"/>
              <w:rPr>
                <w:rFonts w:ascii="Times New Roman" w:eastAsiaTheme="minorEastAsia" w:hAnsi="Times New Roman" w:cs="Times New Roman"/>
                <w:i/>
                <w:sz w:val="24"/>
                <w:szCs w:val="24"/>
                <w:lang w:val="en-US"/>
              </w:rPr>
            </w:pPr>
            <w:r>
              <w:rPr>
                <w:rFonts w:ascii="Times New Roman" w:eastAsiaTheme="minorEastAsia" w:hAnsi="Times New Roman" w:cs="Times New Roman"/>
                <w:i/>
                <w:sz w:val="24"/>
                <w:szCs w:val="24"/>
                <w:lang w:val="en-US"/>
              </w:rPr>
              <w:t xml:space="preserve">A. </w:t>
            </w:r>
            <w:proofErr w:type="spellStart"/>
            <w:r w:rsidRPr="00822144">
              <w:rPr>
                <w:rFonts w:ascii="Times New Roman" w:eastAsiaTheme="minorEastAsia" w:hAnsi="Times New Roman" w:cs="Times New Roman"/>
                <w:i/>
                <w:sz w:val="24"/>
                <w:szCs w:val="24"/>
                <w:lang w:val="en-US"/>
              </w:rPr>
              <w:t>adalberti</w:t>
            </w:r>
            <w:proofErr w:type="spellEnd"/>
          </w:p>
        </w:tc>
        <w:tc>
          <w:tcPr>
            <w:tcW w:w="101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52.00</w:t>
            </w:r>
          </w:p>
        </w:tc>
        <w:tc>
          <w:tcPr>
            <w:tcW w:w="97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138000</w:t>
            </w:r>
          </w:p>
        </w:tc>
        <w:tc>
          <w:tcPr>
            <w:tcW w:w="1058"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1095</w:t>
            </w:r>
          </w:p>
        </w:tc>
        <w:tc>
          <w:tcPr>
            <w:tcW w:w="94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126</w:t>
            </w:r>
          </w:p>
        </w:tc>
        <w:tc>
          <w:tcPr>
            <w:tcW w:w="871"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0.0097</w:t>
            </w:r>
          </w:p>
        </w:tc>
        <w:tc>
          <w:tcPr>
            <w:tcW w:w="88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 "citationItems" : [ { "id" : "ITEM-1", "itemData" : { "abstract" : "I studied factors influencing dispersal dis- tances in 30 young Spanish imperial eagles (Aquila adal- berti) radio-tagged in southwestern Spain in 1986-1990. The mean dispersal distance between the natal nest and the settling area was 138 km. Every young bird reached its maximum dispersal distance within 4 months of its departure from the natal population. No significant dif- ferences between the sexes were detected in maximum dispersal distance, but females spent more time in the more distant settling areas. Dispersal distance was not related to the date of departure from the natal popula- tion. Dispersal distance was significantly longer for birds that hatched earlier and that had lower blood urea levels, indicating that better-nourished young had longer dis- placements. These results are not in accordance with the competitive displacement hypothesis", "author" : [ { "dropping-particle" : "", "family" : "Ferrer", "given" : "M.", "non-dropping-particle" : "", "parse-names" : false, "suffix" : "" } ], "container-title" : "Behavioral Ecology and Sociobiology", "id" : "ITEM-1", "issue" : "4", "issued" : { "date-parts" : [ [ "1993" ] ] }, "page" : "259-263", "title" : "Ontogeny of dispersal distances in young Spanish imperial eagles", "type" : "article-journal", "volume" : "32" }, "uris" : [ "http://www.mendeley.com/documents/?uuid=ade0987b-e9e2-4637-85d8-629c80afb178" ] }, { "id" : "ITEM-2", "itemData" : { "abstract" : "We documented a density-dependent age of first reproduction using a pop-ulation of Spanish Imperial Eagles (Aquila adalberti)inDon\u02dc ana National Park (south-western Spain). Then, a stochastic individual-based simulation was designed to analyze the effect of variations in the age of first reproduction on the fluctuation of small populations. This is a discrete-time simulation model that uses the age structure, mortality rates, repro-ductive rate, and density-dependent relationships from empirical studies. Age of breeding in the real population was positively related to population density. The probability of persistence of simulated populations was affected by both breeding population ceiling and age of first breeding. Our simulations were compared to the historical evolution of the Don\u02dc ana population, assuming an age of first reproduction of three years. Density-dependent variation in age of first breeding increased the mean time of persistence, allowing the population to stay at carrying capacity longer. This buffer mechanism could be crucial for the persistence of small populations", "author" : [ { "dropping-particle" : "", "family" : "Ferrer", "given" : "Miguel", "non-dropping-particle" : "", "parse-names" : false, "suffix" : "" }, { "dropping-particle" : "", "family" : "Otarola", "given" : "Fermin", "non-dropping-particle" : "", "parse-names" : false, "suffix" : "" }, { "dropping-particle" : "", "family" : "Garc\u00eda-Ruiz", "given" : "Juan M.", "non-dropping-particle" : "", "parse-names" : false, "suffix" : "" } ], "container-title" : "Ecological Applications", "id" : "ITEM-2", "issue" : "2", "issued" : { "date-parts" : [ [ "2004" ] ] }, "page" : "616-624", "title" : "Density-dependent age of first reproduction as a buffer affecting persistence of small populations", "type" : "article-journal", "volume" : "14" }, "uris" : [ "http://www.mendeley.com/documents/?uuid=8d8cb20f-3e0f-4238-84b9-72935ced778a" ] }, { "id" : "ITEM-3", "itemData" : { "DOI" : "10.1016/j.biocon.2005.11.014", "ISSN" : "00063207", "author" : [ { "dropping-particle" : "", "family" : "Gonz\u00e1lez", "given" : "Luis Mariano", "non-dropping-particle" : "", "parse-names" : false, "suffix" : "" }, { "dropping-particle" : "", "family" : "Margalida", "given" : "Antoni", "non-dropping-particle" : "", "parse-names" : false, "suffix" : "" }, { "dropping-particle" : "", "family" : "S\u00e1nchez", "given" : "Roberto", "non-dropping-particle" : "", "parse-names" : false, "suffix" : "" }, { "dropping-particle" : "", "family" : "Oria", "given" : "Javier", "non-dropping-particle" : "", "parse-names" : false, "suffix" : "" } ], "container-title" : "Biological Conservation", "id" : "ITEM-3", "issue" : "4", "issued" : { "date-parts" : [ [ "2006", "5" ] ] }, "page" : "477-486", "title" : "Supplementary feeding as an effective tool for improving breeding success in the Spanish imperial eagle (&lt;i&gt;Aquila adalberti&lt;/i&gt;)", "type" : "article-journal", "volume" : "129" }, "uris" : [ "http://www.mendeley.com/documents/?uuid=60c2c820-fe3a-4b1f-9897-2cd9f8ff316c" ] } ], "mendeley" : { "previouslyFormattedCitation" : "(Ferrer 1993, Ferrer et al. 2004, Gonz\u00e1lez et al. 2006)" }, "properties" : { "noteIndex" : 0 }, "schema" : "https://github.com/citation-style-language/schema/raw/master/csl-citation.json" }</w:instrText>
            </w:r>
            <w:r>
              <w:rPr>
                <w:rFonts w:ascii="Times New Roman" w:eastAsiaTheme="minorEastAsia" w:hAnsi="Times New Roman" w:cs="Times New Roman"/>
                <w:sz w:val="24"/>
                <w:szCs w:val="24"/>
                <w:lang w:val="en-US"/>
              </w:rPr>
              <w:fldChar w:fldCharType="separate"/>
            </w:r>
            <w:r w:rsidRPr="00DE0C48">
              <w:rPr>
                <w:rFonts w:ascii="Times New Roman" w:eastAsiaTheme="minorEastAsia" w:hAnsi="Times New Roman" w:cs="Times New Roman"/>
                <w:noProof/>
                <w:sz w:val="24"/>
                <w:szCs w:val="24"/>
                <w:lang w:val="en-US"/>
              </w:rPr>
              <w:t>(Ferrer 1993, Ferrer et al. 2004, González et al. 2006)</w:t>
            </w:r>
            <w:r>
              <w:rPr>
                <w:rFonts w:ascii="Times New Roman" w:eastAsiaTheme="minorEastAsia" w:hAnsi="Times New Roman" w:cs="Times New Roman"/>
                <w:sz w:val="24"/>
                <w:szCs w:val="24"/>
                <w:lang w:val="en-US"/>
              </w:rPr>
              <w:fldChar w:fldCharType="end"/>
            </w:r>
          </w:p>
        </w:tc>
      </w:tr>
      <w:tr w:rsidR="003B346D" w:rsidRPr="00DE0C48" w:rsidTr="002D351E">
        <w:tc>
          <w:tcPr>
            <w:tcW w:w="2468" w:type="dxa"/>
            <w:vAlign w:val="center"/>
          </w:tcPr>
          <w:p w:rsidR="003B346D" w:rsidRPr="00822144" w:rsidRDefault="003B346D" w:rsidP="002D351E">
            <w:pPr>
              <w:spacing w:line="480" w:lineRule="auto"/>
              <w:ind w:left="360"/>
              <w:jc w:val="center"/>
              <w:rPr>
                <w:rFonts w:ascii="Times New Roman" w:eastAsiaTheme="minorEastAsia" w:hAnsi="Times New Roman" w:cs="Times New Roman"/>
                <w:i/>
                <w:sz w:val="24"/>
                <w:szCs w:val="24"/>
                <w:lang w:val="en-US"/>
              </w:rPr>
            </w:pPr>
            <w:r>
              <w:rPr>
                <w:rFonts w:ascii="Times New Roman" w:eastAsiaTheme="minorEastAsia" w:hAnsi="Times New Roman" w:cs="Times New Roman"/>
                <w:i/>
                <w:sz w:val="24"/>
                <w:szCs w:val="24"/>
                <w:lang w:val="en-US"/>
              </w:rPr>
              <w:t xml:space="preserve">B. </w:t>
            </w:r>
            <w:proofErr w:type="spellStart"/>
            <w:r w:rsidRPr="00822144">
              <w:rPr>
                <w:rFonts w:ascii="Times New Roman" w:eastAsiaTheme="minorEastAsia" w:hAnsi="Times New Roman" w:cs="Times New Roman"/>
                <w:i/>
                <w:sz w:val="24"/>
                <w:szCs w:val="24"/>
                <w:lang w:val="en-US"/>
              </w:rPr>
              <w:t>arachnoides</w:t>
            </w:r>
            <w:proofErr w:type="spellEnd"/>
          </w:p>
        </w:tc>
        <w:tc>
          <w:tcPr>
            <w:tcW w:w="101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0.04</w:t>
            </w:r>
          </w:p>
        </w:tc>
        <w:tc>
          <w:tcPr>
            <w:tcW w:w="97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630</w:t>
            </w:r>
          </w:p>
        </w:tc>
        <w:tc>
          <w:tcPr>
            <w:tcW w:w="1058"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94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630</w:t>
            </w:r>
          </w:p>
        </w:tc>
        <w:tc>
          <w:tcPr>
            <w:tcW w:w="871"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0.0027</w:t>
            </w:r>
          </w:p>
        </w:tc>
        <w:tc>
          <w:tcPr>
            <w:tcW w:w="88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 "citationItems" : [ { "id" : "ITEM-1", "itemData" : { "DOI" : "10.1007/BF02735778", "ISSN" : "0164-0291", "author" : [ { "dropping-particle" : "", "family" : "Strier", "given" : "Karen B.", "non-dropping-particle" : "", "parse-names" : false, "suffix" : "" } ], "container-title" : "International Journal of Primatology", "id" : "ITEM-1", "issue" : "6", "issued" : { "date-parts" : [ [ "1987", "12" ] ] }, "page" : "575-591", "title" : "Ranging behavior of woolly spider monkeys, or muriquis,&lt;i&gt;Brachyteles arachnoides&lt;/i&gt;", "type" : "article-journal", "volume" : "8" }, "uris" : [ "http://www.mendeley.com/documents/?uuid=741eff29-d8a5-40bf-899f-d6455fff10e8" ] }, { "id" : "ITEM-2", "itemData" : { "DOI" : "10.1007/BF02692271", "ISSN" : "0164-0291", "author" : [ { "dropping-particle" : "", "family" : "Milton", "given" : "Katharine", "non-dropping-particle" : "", "parse-names" : false, "suffix" : "" } ], "container-title" : "International Journal of Primatology", "id" : "ITEM-2", "issue" : "5", "issued" : { "date-parts" : [ [ "1984", "10" ] ] }, "page" : "491-514", "title" : "Habitat, diet, and activity patterns of free-ranging woolly spider monkeys (&lt;i&gt;Brachyteles arachnoides&lt;/i&gt; E. Geoffroy 1806)", "type" : "article-journal", "volume" : "5" }, "uris" : [ "http://www.mendeley.com/documents/?uuid=2246c0af-7e25-4840-899a-fd3a7ecbeea7" ] } ], "mendeley" : { "previouslyFormattedCitation" : "(Milton 1984, Strier 1987)" }, "properties" : { "noteIndex" : 0 }, "schema" : "https://github.com/citation-style-language/schema/raw/master/csl-citation.json" }</w:instrText>
            </w:r>
            <w:r>
              <w:rPr>
                <w:rFonts w:ascii="Times New Roman" w:eastAsiaTheme="minorEastAsia" w:hAnsi="Times New Roman" w:cs="Times New Roman"/>
                <w:sz w:val="24"/>
                <w:szCs w:val="24"/>
                <w:lang w:val="en-US"/>
              </w:rPr>
              <w:fldChar w:fldCharType="separate"/>
            </w:r>
            <w:r w:rsidRPr="00DE0C48">
              <w:rPr>
                <w:rFonts w:ascii="Times New Roman" w:eastAsiaTheme="minorEastAsia" w:hAnsi="Times New Roman" w:cs="Times New Roman"/>
                <w:noProof/>
                <w:sz w:val="24"/>
                <w:szCs w:val="24"/>
                <w:lang w:val="en-US"/>
              </w:rPr>
              <w:t>(Milton 1984, Strier 1987)</w:t>
            </w:r>
            <w:r>
              <w:rPr>
                <w:rFonts w:ascii="Times New Roman" w:eastAsiaTheme="minorEastAsia" w:hAnsi="Times New Roman" w:cs="Times New Roman"/>
                <w:sz w:val="24"/>
                <w:szCs w:val="24"/>
                <w:lang w:val="en-US"/>
              </w:rPr>
              <w:fldChar w:fldCharType="end"/>
            </w:r>
          </w:p>
        </w:tc>
      </w:tr>
      <w:tr w:rsidR="003B346D" w:rsidRPr="00DE0C48" w:rsidTr="002D351E">
        <w:tc>
          <w:tcPr>
            <w:tcW w:w="2468" w:type="dxa"/>
            <w:vAlign w:val="center"/>
          </w:tcPr>
          <w:p w:rsidR="003B346D" w:rsidRPr="00822144" w:rsidRDefault="003B346D" w:rsidP="002D351E">
            <w:pPr>
              <w:spacing w:line="480" w:lineRule="auto"/>
              <w:jc w:val="center"/>
              <w:rPr>
                <w:rFonts w:ascii="Times New Roman" w:eastAsiaTheme="minorEastAsia" w:hAnsi="Times New Roman" w:cs="Times New Roman"/>
                <w:i/>
                <w:sz w:val="24"/>
                <w:szCs w:val="24"/>
                <w:lang w:val="en-US"/>
              </w:rPr>
            </w:pPr>
            <w:r>
              <w:rPr>
                <w:rFonts w:ascii="Times New Roman" w:eastAsiaTheme="minorEastAsia" w:hAnsi="Times New Roman" w:cs="Times New Roman"/>
                <w:i/>
                <w:sz w:val="24"/>
                <w:szCs w:val="24"/>
                <w:lang w:val="en-US"/>
              </w:rPr>
              <w:t xml:space="preserve">E. </w:t>
            </w:r>
            <w:proofErr w:type="spellStart"/>
            <w:r>
              <w:rPr>
                <w:rFonts w:ascii="Times New Roman" w:eastAsiaTheme="minorEastAsia" w:hAnsi="Times New Roman" w:cs="Times New Roman"/>
                <w:i/>
                <w:sz w:val="24"/>
                <w:szCs w:val="24"/>
                <w:lang w:val="en-US"/>
              </w:rPr>
              <w:t>flavifrons</w:t>
            </w:r>
            <w:proofErr w:type="spellEnd"/>
          </w:p>
        </w:tc>
        <w:tc>
          <w:tcPr>
            <w:tcW w:w="101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0.05</w:t>
            </w:r>
          </w:p>
        </w:tc>
        <w:tc>
          <w:tcPr>
            <w:tcW w:w="97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645</w:t>
            </w:r>
          </w:p>
        </w:tc>
        <w:tc>
          <w:tcPr>
            <w:tcW w:w="1058"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94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645</w:t>
            </w:r>
          </w:p>
        </w:tc>
        <w:tc>
          <w:tcPr>
            <w:tcW w:w="871"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0.0034</w:t>
            </w:r>
          </w:p>
        </w:tc>
        <w:tc>
          <w:tcPr>
            <w:tcW w:w="88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 "citationItems" : [ { "id" : "ITEM-1", "itemData" : { "DOI" : "10.1016/j.mambio.2010.04.005", "ISSN" : "16165047", "author" : [ { "dropping-particle" : "", "family" : "Volampeno", "given" : "M. Sylviane N.", "non-dropping-particle" : "", "parse-names" : false, "suffix" : "" }, { "dropping-particle" : "", "family" : "Masters", "given" : "Judith C.", "non-dropping-particle" : "", "parse-names" : false, "suffix" : "" }, { "dropping-particle" : "", "family" : "Downs", "given" : "Colleen T.", "non-dropping-particle" : "", "parse-names" : false, "suffix" : "" } ], "container-title" : "Mammalian Biology - Zeitschrift f\u00fcr S\u00e4ugetierkunde", "id" : "ITEM-1", "issue" : "2", "issued" : { "date-parts" : [ [ "2011", "3" ] ] }, "page" : "157-164", "title" : "Home range size in the blue-eyed black lemur (&lt;i&gt;Eulemur flavifrons&lt;/i&gt;): A comparison between dry and wet seasons", "type" : "article-journal", "volume" : "76" }, "uris" : [ "http://www.mendeley.com/documents/?uuid=7e2a5380-25a9-435b-b89e-390a705f2bfc" ] }, { "id" : "ITEM-2", "itemData" : { "DOI" : "http://dx.doi.org/10.1896/052.022.0106", "author" : [ { "dropping-particle" : "", "family" : "Schwitzer", "given" : "Nora", "non-dropping-particle" : "", "parse-names" : false, "suffix" : "" }, { "dropping-particle" : "", "family" : "Randriatahina", "given" : "Guy H", "non-dropping-particle" : "", "parse-names" : false, "suffix" : "" }, { "dropping-particle" : "", "family" : "Kaumanns", "given" : "Werner", "non-dropping-particle" : "", "parse-names" : false, "suffix" : "" }, { "dropping-particle" : "", "family" : "Hoffmeister", "given" : "Dirk", "non-dropping-particle" : "", "parse-names" : false, "suffix" : "" }, { "dropping-particle" : "", "family" : "Schwitzer", "given" : "Nora", "non-dropping-particle" : "", "parse-names" : false, "suffix" : "" }, { "dropping-particle" : "", "family" : "Randriatahina", "given" : "Guy H", "non-dropping-particle" : "", "parse-names" : false, "suffix" : "" }, { "dropping-particle" : "", "family" : "Kaumanns", "given" : "Werner", "non-dropping-particle" : "", "parse-names" : false, "suffix" : "" }, { "dropping-particle" : "", "family" : "Hoffmeister", "given" : "Dirk", "non-dropping-particle" : "", "parse-names" : false, "suffix" : "" } ], "container-title" : "Primate Conservation", "id" : "ITEM-2", "issue" : "1", "issued" : { "date-parts" : [ [ "2007" ] ] }, "page" : "79-87", "title" : "Habitat utilization of Blue-eyed black lemurs , (&lt;i&gt;Eulemur macaco flavifrons&lt;/i&gt; ( Gray , 1867 ), in primary and altered forest fragments", "type" : "article-journal", "volume" : "22" }, "uris" : [ "http://www.mendeley.com/documents/?uuid=c8fc8567-9407-44e7-9f46-df32583bd08d" ] } ], "mendeley" : { "previouslyFormattedCitation" : "(Schwitzer et al. 2007, Volampeno et al. 2011)" }, "properties" : { "noteIndex" : 0 }, "schema" : "https://github.com/citation-style-language/schema/raw/master/csl-citation.json" }</w:instrText>
            </w:r>
            <w:r>
              <w:rPr>
                <w:rFonts w:ascii="Times New Roman" w:eastAsiaTheme="minorEastAsia" w:hAnsi="Times New Roman" w:cs="Times New Roman"/>
                <w:sz w:val="24"/>
                <w:szCs w:val="24"/>
                <w:lang w:val="en-US"/>
              </w:rPr>
              <w:fldChar w:fldCharType="separate"/>
            </w:r>
            <w:r w:rsidRPr="00DE0C48">
              <w:rPr>
                <w:rFonts w:ascii="Times New Roman" w:eastAsiaTheme="minorEastAsia" w:hAnsi="Times New Roman" w:cs="Times New Roman"/>
                <w:noProof/>
                <w:sz w:val="24"/>
                <w:szCs w:val="24"/>
                <w:lang w:val="en-US"/>
              </w:rPr>
              <w:t>(Schwitzer et al. 2007, Volampeno et al. 2011)</w:t>
            </w:r>
            <w:r>
              <w:rPr>
                <w:rFonts w:ascii="Times New Roman" w:eastAsiaTheme="minorEastAsia" w:hAnsi="Times New Roman" w:cs="Times New Roman"/>
                <w:sz w:val="24"/>
                <w:szCs w:val="24"/>
                <w:lang w:val="en-US"/>
              </w:rPr>
              <w:fldChar w:fldCharType="end"/>
            </w:r>
          </w:p>
        </w:tc>
      </w:tr>
      <w:tr w:rsidR="003B346D" w:rsidRPr="00DE0C48" w:rsidTr="002D351E">
        <w:tc>
          <w:tcPr>
            <w:tcW w:w="2468" w:type="dxa"/>
            <w:vAlign w:val="center"/>
          </w:tcPr>
          <w:p w:rsidR="003B346D" w:rsidRPr="00822144" w:rsidRDefault="003B346D" w:rsidP="002D351E">
            <w:pPr>
              <w:spacing w:line="480" w:lineRule="auto"/>
              <w:jc w:val="center"/>
              <w:rPr>
                <w:rFonts w:ascii="Times New Roman" w:eastAsiaTheme="minorEastAsia" w:hAnsi="Times New Roman" w:cs="Times New Roman"/>
                <w:i/>
                <w:sz w:val="24"/>
                <w:szCs w:val="24"/>
                <w:lang w:val="en-US"/>
              </w:rPr>
            </w:pPr>
            <w:r>
              <w:rPr>
                <w:rFonts w:ascii="Times New Roman" w:eastAsiaTheme="minorEastAsia" w:hAnsi="Times New Roman" w:cs="Times New Roman"/>
                <w:i/>
                <w:sz w:val="24"/>
                <w:szCs w:val="24"/>
                <w:lang w:val="en-US"/>
              </w:rPr>
              <w:lastRenderedPageBreak/>
              <w:t xml:space="preserve">H. </w:t>
            </w:r>
            <w:proofErr w:type="spellStart"/>
            <w:r>
              <w:rPr>
                <w:rFonts w:ascii="Times New Roman" w:eastAsiaTheme="minorEastAsia" w:hAnsi="Times New Roman" w:cs="Times New Roman"/>
                <w:i/>
                <w:sz w:val="24"/>
                <w:szCs w:val="24"/>
                <w:lang w:val="en-US"/>
              </w:rPr>
              <w:t>suspectum</w:t>
            </w:r>
            <w:proofErr w:type="spellEnd"/>
          </w:p>
        </w:tc>
        <w:tc>
          <w:tcPr>
            <w:tcW w:w="101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0.06</w:t>
            </w:r>
          </w:p>
        </w:tc>
        <w:tc>
          <w:tcPr>
            <w:tcW w:w="97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210</w:t>
            </w:r>
          </w:p>
        </w:tc>
        <w:tc>
          <w:tcPr>
            <w:tcW w:w="1058"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0.03</w:t>
            </w:r>
          </w:p>
        </w:tc>
        <w:tc>
          <w:tcPr>
            <w:tcW w:w="94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213</w:t>
            </w:r>
          </w:p>
        </w:tc>
        <w:tc>
          <w:tcPr>
            <w:tcW w:w="871"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0.0389</w:t>
            </w:r>
          </w:p>
        </w:tc>
        <w:tc>
          <w:tcPr>
            <w:tcW w:w="88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 "citationItems" : [ { "id" : "ITEM-1", "itemData" : { "abstract" : "-Activity patterns, behavior, food habits, and thermal biology were investigated by radio- telemetry in a population of banded Gila monsters in southwestern Utah. Twenty-seven Gila monsters were observed within a 2 km2 area. They fed on eggs and young mammals taken from nests. Quantities as large as 210 g, eaten in a single meal, did not appear to be envenomated. Activity peaked between late April and mid June, from 0800 to 1200 h. Distances traveled during activity bouts averaged 210 m (ap- proximately 50 min), although individuals occasionally traveled over 1 km. Lizards were active on less than 10 days/month during their 90-day activity season, spending over 95% of their time below ground in shelters. This low energetic investment to activity is contrary to traditional descriptions of activity of lizards that forage on patchy prey. Gila monsters had a relatively low activity temperature (x = 29.4 C) and at rest spent over 83% of the year at body temperatures of 25 C or below. Lizards occasionally basked near shelters in the spring. Several shelters were reused, some by more than one lizard, occasionally concurrently. Intraspecific interactions, including male combat, observed near shelters suggest that these helodermatids have a structured social system. Analysis of a 3-h fight between two large males revealed similarities with varanid lizard and crotaline snake combat, as well as similarities to combat in captive helodermatids", "author" : [ { "dropping-particle" : "", "family" : "Beck", "given" : "D.D.", "non-dropping-particle" : "", "parse-names" : false, "suffix" : "" } ], "container-title" : "Journal of Herpetology", "id" : "ITEM-1", "issue" : "1", "issued" : { "date-parts" : [ [ "1990" ] ] }, "page" : "54-68", "title" : "Ecology and Behavior of the &lt;i&gt;Gila Monster&lt;/i&gt; in Southwestern Utah", "type" : "article-journal", "volume" : "24" }, "uris" : [ "http://www.mendeley.com/documents/?uuid=ef6796f9-25c7-460b-ba84-842197d02ae1" ] }, { "id" : "ITEM-2", "itemData" : { "author" : [ { "dropping-particle" : "", "family" : "Jones", "given" : "K. B.", "non-dropping-particle" : "", "parse-names" : false, "suffix" : "" } ], "container-title" : "Herpetologica", "id" : "ITEM-2", "issue" : "3", "issued" : { "date-parts" : [ [ "1983" ] ] }, "page" : "247-253", "title" : "Movement Patterns and Foraging Ecology of Gila Monsters (Heloderma suspectum, Cope) in Northwestern Arizona", "type" : "article-journal", "volume" : "39" }, "uris" : [ "http://www.mendeley.com/documents/?uuid=90eac3ec-622f-4af9-a4b9-3c1f9f22f8da" ] } ], "mendeley" : { "previouslyFormattedCitation" : "(Jones 1983, Beck 1990)" }, "properties" : { "noteIndex" : 0 }, "schema" : "https://github.com/citation-style-language/schema/raw/master/csl-citation.json" }</w:instrText>
            </w:r>
            <w:r>
              <w:rPr>
                <w:rFonts w:ascii="Times New Roman" w:eastAsiaTheme="minorEastAsia" w:hAnsi="Times New Roman" w:cs="Times New Roman"/>
                <w:sz w:val="24"/>
                <w:szCs w:val="24"/>
                <w:lang w:val="en-US"/>
              </w:rPr>
              <w:fldChar w:fldCharType="separate"/>
            </w:r>
            <w:r w:rsidRPr="00533E9D">
              <w:rPr>
                <w:rFonts w:ascii="Times New Roman" w:eastAsiaTheme="minorEastAsia" w:hAnsi="Times New Roman" w:cs="Times New Roman"/>
                <w:noProof/>
                <w:sz w:val="24"/>
                <w:szCs w:val="24"/>
                <w:lang w:val="en-US"/>
              </w:rPr>
              <w:t>(Jones 1983, Beck 1990)</w:t>
            </w:r>
            <w:r>
              <w:rPr>
                <w:rFonts w:ascii="Times New Roman" w:eastAsiaTheme="minorEastAsia" w:hAnsi="Times New Roman" w:cs="Times New Roman"/>
                <w:sz w:val="24"/>
                <w:szCs w:val="24"/>
                <w:lang w:val="en-US"/>
              </w:rPr>
              <w:fldChar w:fldCharType="end"/>
            </w:r>
          </w:p>
        </w:tc>
      </w:tr>
      <w:tr w:rsidR="003B346D" w:rsidRPr="00DE0C48" w:rsidTr="002D351E">
        <w:tc>
          <w:tcPr>
            <w:tcW w:w="2468" w:type="dxa"/>
            <w:vAlign w:val="center"/>
          </w:tcPr>
          <w:p w:rsidR="003B346D" w:rsidRPr="00822144" w:rsidRDefault="003B346D" w:rsidP="002D351E">
            <w:pPr>
              <w:spacing w:line="480" w:lineRule="auto"/>
              <w:jc w:val="center"/>
              <w:rPr>
                <w:rFonts w:ascii="Times New Roman" w:eastAsiaTheme="minorEastAsia" w:hAnsi="Times New Roman" w:cs="Times New Roman"/>
                <w:i/>
                <w:sz w:val="24"/>
                <w:szCs w:val="24"/>
                <w:lang w:val="en-US"/>
              </w:rPr>
            </w:pPr>
            <w:r>
              <w:rPr>
                <w:rFonts w:ascii="Times New Roman" w:eastAsiaTheme="minorEastAsia" w:hAnsi="Times New Roman" w:cs="Times New Roman"/>
                <w:i/>
                <w:sz w:val="24"/>
                <w:szCs w:val="24"/>
                <w:lang w:val="en-US"/>
              </w:rPr>
              <w:t xml:space="preserve">S. </w:t>
            </w:r>
            <w:proofErr w:type="spellStart"/>
            <w:r>
              <w:rPr>
                <w:rFonts w:ascii="Times New Roman" w:eastAsiaTheme="minorEastAsia" w:hAnsi="Times New Roman" w:cs="Times New Roman"/>
                <w:i/>
                <w:sz w:val="24"/>
                <w:szCs w:val="24"/>
                <w:lang w:val="en-US"/>
              </w:rPr>
              <w:t>harrisii</w:t>
            </w:r>
            <w:proofErr w:type="spellEnd"/>
          </w:p>
        </w:tc>
        <w:tc>
          <w:tcPr>
            <w:tcW w:w="101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13.30</w:t>
            </w:r>
          </w:p>
        </w:tc>
        <w:tc>
          <w:tcPr>
            <w:tcW w:w="970"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8600</w:t>
            </w:r>
          </w:p>
        </w:tc>
        <w:tc>
          <w:tcPr>
            <w:tcW w:w="1058"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943"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8600</w:t>
            </w:r>
          </w:p>
        </w:tc>
        <w:tc>
          <w:tcPr>
            <w:tcW w:w="871" w:type="dxa"/>
            <w:vAlign w:val="center"/>
          </w:tcPr>
          <w:p w:rsidR="003B346D" w:rsidRDefault="003B346D" w:rsidP="002D351E">
            <w:pPr>
              <w:spacing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0.0010</w:t>
            </w:r>
          </w:p>
        </w:tc>
        <w:tc>
          <w:tcPr>
            <w:tcW w:w="883" w:type="dxa"/>
            <w:vAlign w:val="center"/>
          </w:tcPr>
          <w:p w:rsidR="003B346D" w:rsidRDefault="003B346D" w:rsidP="002D351E">
            <w:pPr>
              <w:spacing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 "citationItems" : [ { "id" : "ITEM-1", "itemData" : { "abstract" : "Two geographically separate populations of S. harrisii were studied. There is evidence that long-term population cycles exist in this species. Devils are non-terri- torial and have a home range which may be shared by several animals. Sclerophyll forest and coastal scrub are their favoured habitats. Individuals in the two populations showed different movements, probably related to food availability; those in areas of abundant food moved about 2 miles and had small home ranges whereas those in areas with less food moved over at least 10 miles per night. The density of population was high in one area, reaching over 30 per square mile, but this is abnormal. Devils have a wide food spectrum and use introduced species as well as native, but in each area their food was based upon one to three species. Man is the principal predator on adult devils. Females were more numerous in all populations but a heavier mortality of this sex occurs in late life. This differential mortality took place at immaturity in one population. Juvenile recruitment was greater in areas with less food than in areas of abun- dant food, due to the absence of overcrowding", "author" : [ { "dropping-particle" : "", "family" : "Guiler", "given" : "E. R.", "non-dropping-particle" : "", "parse-names" : false, "suffix" : "" } ], "container-title" : "Australian Journal of Zoology", "id" : "ITEM-1", "issued" : { "date-parts" : [ [ "1970" ] ] }, "page" : "49-62", "title" : "Observations on the Tasmanian devil, &lt;i&gt;Sarcophilus harrisii&lt;/i&gt; (Marsupialia:Dasyuridae)", "type" : "article-journal", "volume" : "18" }, "uris" : [ "http://www.mendeley.com/documents/?uuid=60170801-4544-4533-acfe-e539d04e8ce9" ] }, { "id" : "ITEM-2", "itemData" : { "author" : [ { "dropping-particle" : "", "family" : "Pemberton", "given" : "David", "non-dropping-particle" : "", "parse-names" : false, "suffix" : "" } ], "id" : "ITEM-2", "issued" : { "date-parts" : [ [ "1990" ] ] }, "page" : "272", "publisher" : "University of Tasmania", "title" : "Social organization and behaviour of the Tasmanian devil, &lt;i&gt;Sarcophilus harisii&lt;/i&gt;", "type" : "thesis" }, "uris" : [ "http://www.mendeley.com/documents/?uuid=4528384e-3bd1-41dc-a86f-aff404025212" ] } ], "mendeley" : { "previouslyFormattedCitation" : "(Guiler 1970, Pemberton 1990)" }, "properties" : { "noteIndex" : 0 }, "schema" : "https://github.com/citation-style-language/schema/raw/master/csl-citation.json" }</w:instrText>
            </w:r>
            <w:r>
              <w:rPr>
                <w:rFonts w:ascii="Times New Roman" w:eastAsiaTheme="minorEastAsia" w:hAnsi="Times New Roman" w:cs="Times New Roman"/>
                <w:sz w:val="24"/>
                <w:szCs w:val="24"/>
                <w:lang w:val="en-US"/>
              </w:rPr>
              <w:fldChar w:fldCharType="separate"/>
            </w:r>
            <w:r w:rsidRPr="00533E9D">
              <w:rPr>
                <w:rFonts w:ascii="Times New Roman" w:eastAsiaTheme="minorEastAsia" w:hAnsi="Times New Roman" w:cs="Times New Roman"/>
                <w:noProof/>
                <w:sz w:val="24"/>
                <w:szCs w:val="24"/>
                <w:lang w:val="en-US"/>
              </w:rPr>
              <w:t>(Guiler 1970, Pemberton 1990)</w:t>
            </w:r>
            <w:r>
              <w:rPr>
                <w:rFonts w:ascii="Times New Roman" w:eastAsiaTheme="minorEastAsia" w:hAnsi="Times New Roman" w:cs="Times New Roman"/>
                <w:sz w:val="24"/>
                <w:szCs w:val="24"/>
                <w:lang w:val="en-US"/>
              </w:rPr>
              <w:fldChar w:fldCharType="end"/>
            </w:r>
          </w:p>
        </w:tc>
      </w:tr>
    </w:tbl>
    <w:p w:rsidR="00B57D2D" w:rsidRDefault="00B57D2D"/>
    <w:p w:rsidR="00B57D2D" w:rsidRDefault="00B57D2D">
      <w:r>
        <w:br w:type="page"/>
      </w:r>
    </w:p>
    <w:p w:rsidR="00B57D2D" w:rsidRPr="006721E2" w:rsidRDefault="00B57D2D" w:rsidP="00B57D2D">
      <w:pPr>
        <w:spacing w:after="0" w:line="480" w:lineRule="auto"/>
        <w:jc w:val="both"/>
        <w:rPr>
          <w:rFonts w:ascii="Times New Roman" w:eastAsiaTheme="minorEastAsia" w:hAnsi="Times New Roman" w:cs="Times New Roman"/>
          <w:sz w:val="24"/>
          <w:szCs w:val="24"/>
          <w:lang w:val="en-US"/>
        </w:rPr>
      </w:pP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noProof/>
          <w:sz w:val="24"/>
          <w:szCs w:val="24"/>
          <w:lang w:val="en-CA" w:eastAsia="en-CA"/>
        </w:rPr>
        <w:drawing>
          <wp:inline distT="0" distB="0" distL="0" distR="0" wp14:anchorId="2B9B12E7" wp14:editId="77310128">
            <wp:extent cx="5147579" cy="4343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ia_fragmentos_figura_artigo.tif"/>
                    <pic:cNvPicPr/>
                  </pic:nvPicPr>
                  <pic:blipFill rotWithShape="1">
                    <a:blip r:embed="rId4" cstate="print">
                      <a:extLst>
                        <a:ext uri="{28A0092B-C50C-407E-A947-70E740481C1C}">
                          <a14:useLocalDpi xmlns:a14="http://schemas.microsoft.com/office/drawing/2010/main" val="0"/>
                        </a:ext>
                      </a:extLst>
                    </a:blip>
                    <a:srcRect l="3723" t="20140" r="6382" b="21250"/>
                    <a:stretch/>
                  </pic:blipFill>
                  <pic:spPr bwMode="auto">
                    <a:xfrm>
                      <a:off x="0" y="0"/>
                      <a:ext cx="5152262" cy="4347351"/>
                    </a:xfrm>
                    <a:prstGeom prst="rect">
                      <a:avLst/>
                    </a:prstGeom>
                    <a:ln>
                      <a:noFill/>
                    </a:ln>
                    <a:extLst>
                      <a:ext uri="{53640926-AAD7-44D8-BBD7-CCE9431645EC}">
                        <a14:shadowObscured xmlns:a14="http://schemas.microsoft.com/office/drawing/2010/main"/>
                      </a:ext>
                    </a:extLst>
                  </pic:spPr>
                </pic:pic>
              </a:graphicData>
            </a:graphic>
          </wp:inline>
        </w:drawing>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sz w:val="24"/>
          <w:szCs w:val="24"/>
          <w:lang w:val="en-US"/>
        </w:rPr>
        <w:t>Figu</w:t>
      </w:r>
      <w:r>
        <w:rPr>
          <w:rFonts w:ascii="Times New Roman" w:hAnsi="Times New Roman" w:cs="Times New Roman"/>
          <w:sz w:val="24"/>
          <w:szCs w:val="24"/>
          <w:lang w:val="en-US"/>
        </w:rPr>
        <w:t>re S1</w:t>
      </w:r>
      <w:r w:rsidRPr="006721E2">
        <w:rPr>
          <w:rFonts w:ascii="Times New Roman" w:hAnsi="Times New Roman" w:cs="Times New Roman"/>
          <w:sz w:val="24"/>
          <w:szCs w:val="24"/>
          <w:lang w:val="en-US"/>
        </w:rPr>
        <w:t xml:space="preserve">: </w:t>
      </w:r>
      <w:r w:rsidRPr="006721E2">
        <w:rPr>
          <w:rFonts w:ascii="Times New Roman" w:hAnsi="Times New Roman" w:cs="Times New Roman"/>
          <w:i/>
          <w:sz w:val="24"/>
          <w:szCs w:val="24"/>
          <w:lang w:val="en-US"/>
        </w:rPr>
        <w:t xml:space="preserve">A. </w:t>
      </w:r>
      <w:proofErr w:type="spellStart"/>
      <w:r w:rsidRPr="006721E2">
        <w:rPr>
          <w:rFonts w:ascii="Times New Roman" w:hAnsi="Times New Roman" w:cs="Times New Roman"/>
          <w:i/>
          <w:sz w:val="24"/>
          <w:szCs w:val="24"/>
          <w:lang w:val="en-US"/>
        </w:rPr>
        <w:t>adalberti</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landscape showing habitat patches at minimum carrying capacity (lime green) determined by </w:t>
      </w:r>
      <w:r w:rsidRPr="006721E2">
        <w:rPr>
          <w:rFonts w:ascii="Times New Roman" w:hAnsi="Times New Roman" w:cs="Times New Roman"/>
          <w:i/>
          <w:sz w:val="24"/>
          <w:szCs w:val="24"/>
          <w:lang w:val="en-US"/>
        </w:rPr>
        <w:t>Ecologically Scaled Landscape Index</w:t>
      </w:r>
      <w:r w:rsidRPr="006721E2">
        <w:rPr>
          <w:rFonts w:ascii="Times New Roman" w:hAnsi="Times New Roman" w:cs="Times New Roman"/>
          <w:sz w:val="24"/>
          <w:szCs w:val="24"/>
          <w:lang w:val="en-US"/>
        </w:rPr>
        <w:t xml:space="preserve"> for carrying capacity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k</w:t>
      </w:r>
      <w:proofErr w:type="spellEnd"/>
      <w:r w:rsidRPr="006721E2">
        <w:rPr>
          <w:rFonts w:ascii="Times New Roman" w:hAnsi="Times New Roman" w:cs="Times New Roman"/>
          <w:i/>
          <w:sz w:val="24"/>
          <w:szCs w:val="24"/>
          <w:lang w:val="en-US"/>
        </w:rPr>
        <w:t>)</w:t>
      </w:r>
      <w:r w:rsidRPr="006721E2">
        <w:rPr>
          <w:rFonts w:ascii="Times New Roman" w:hAnsi="Times New Roman" w:cs="Times New Roman"/>
          <w:sz w:val="24"/>
          <w:szCs w:val="24"/>
          <w:lang w:val="en-US"/>
        </w:rPr>
        <w:t xml:space="preserve">. The patches in gray have no minimum area and are isolated according </w:t>
      </w:r>
      <w:r w:rsidRPr="006721E2">
        <w:rPr>
          <w:rFonts w:ascii="Times New Roman" w:hAnsi="Times New Roman" w:cs="Times New Roman"/>
          <w:i/>
          <w:sz w:val="24"/>
          <w:szCs w:val="24"/>
          <w:lang w:val="en-US"/>
        </w:rPr>
        <w:t xml:space="preserve">A. </w:t>
      </w:r>
      <w:proofErr w:type="spellStart"/>
      <w:r w:rsidRPr="006721E2">
        <w:rPr>
          <w:rFonts w:ascii="Times New Roman" w:hAnsi="Times New Roman" w:cs="Times New Roman"/>
          <w:i/>
          <w:sz w:val="24"/>
          <w:szCs w:val="24"/>
          <w:lang w:val="en-US"/>
        </w:rPr>
        <w:t>adalberti</w:t>
      </w:r>
      <w:proofErr w:type="spellEnd"/>
      <w:r w:rsidRPr="006721E2">
        <w:rPr>
          <w:rFonts w:ascii="Times New Roman" w:hAnsi="Times New Roman" w:cs="Times New Roman"/>
          <w:i/>
          <w:sz w:val="24"/>
          <w:szCs w:val="24"/>
          <w:lang w:val="en-US"/>
        </w:rPr>
        <w:t xml:space="preserve"> Ecologically Scaled Landscape Index </w:t>
      </w:r>
      <w:r w:rsidRPr="006721E2">
        <w:rPr>
          <w:rFonts w:ascii="Times New Roman" w:hAnsi="Times New Roman" w:cs="Times New Roman"/>
          <w:sz w:val="24"/>
          <w:szCs w:val="24"/>
          <w:lang w:val="en-US"/>
        </w:rPr>
        <w:t xml:space="preserve">for functional connectivity. The landscape was drown through deductive habitat suitability model on geographical range available at IUCN web site </w:t>
      </w:r>
      <w:r w:rsidRPr="006721E2">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"URL" : "http://www.iucnredlist.org/", "author" : [ { "dropping-particle" : "", "family" : "IUCN", "given" : "", "non-dropping-particle" : "", "parse-names" : false, "suffix" : "" } ], "id" : "ITEM-1", "issued" : { "date-parts" : [ [ "2012" ] ] }, "number" : "3.1", "publisher" : "IUCN Species Survival Commission", "publisher-place" : "Switzerland and Cambridge, United Kingdom", "title" : "&lt;i&gt;IUCN Red List of Threatened Species&lt;/i&gt;. See http://www.iucnredlist.org (acessed in 16 February 2013)", "type" : "webpage" }, "uris" : [ "http://www.mendeley.com/documents/?uuid=0b5e582e-e094-4526-b679-b3a9e92c57a9" ] } ], "mendeley" : { "previouslyFormattedCitation" : "(IUCN 2012)" }, "properties" : { "noteIndex" : 0 }, "schema" : "https://github.com/citation-style-language/schema/raw/master/csl-citation.json" }</w:instrText>
      </w:r>
      <w:r w:rsidRPr="006721E2">
        <w:rPr>
          <w:rFonts w:ascii="Times New Roman" w:hAnsi="Times New Roman" w:cs="Times New Roman"/>
          <w:sz w:val="24"/>
          <w:szCs w:val="24"/>
          <w:lang w:val="en-US"/>
        </w:rPr>
        <w:fldChar w:fldCharType="separate"/>
      </w:r>
      <w:r w:rsidRPr="00DE0C48">
        <w:rPr>
          <w:rFonts w:ascii="Times New Roman" w:hAnsi="Times New Roman" w:cs="Times New Roman"/>
          <w:noProof/>
          <w:sz w:val="24"/>
          <w:szCs w:val="24"/>
          <w:lang w:val="en-US"/>
        </w:rPr>
        <w:t>(IUCN 2012)</w:t>
      </w:r>
      <w:r w:rsidRPr="006721E2">
        <w:rPr>
          <w:rFonts w:ascii="Times New Roman" w:hAnsi="Times New Roman" w:cs="Times New Roman"/>
          <w:sz w:val="24"/>
          <w:szCs w:val="24"/>
          <w:lang w:val="en-US"/>
        </w:rPr>
        <w:fldChar w:fldCharType="end"/>
      </w:r>
      <w:r w:rsidRPr="006721E2">
        <w:rPr>
          <w:rFonts w:ascii="Times New Roman" w:hAnsi="Times New Roman" w:cs="Times New Roman"/>
          <w:sz w:val="24"/>
          <w:szCs w:val="24"/>
          <w:lang w:val="en-US"/>
        </w:rPr>
        <w:t>.</w:t>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sz w:val="24"/>
          <w:szCs w:val="24"/>
          <w:lang w:val="en-US"/>
        </w:rPr>
        <w:br w:type="page"/>
      </w:r>
    </w:p>
    <w:p w:rsidR="00B57D2D" w:rsidRPr="006721E2" w:rsidRDefault="00B57D2D" w:rsidP="00B57D2D">
      <w:pPr>
        <w:spacing w:line="480" w:lineRule="auto"/>
        <w:rPr>
          <w:rFonts w:ascii="Times New Roman" w:hAnsi="Times New Roman" w:cs="Times New Roman"/>
          <w:sz w:val="24"/>
          <w:szCs w:val="24"/>
        </w:rPr>
      </w:pPr>
      <w:r w:rsidRPr="006721E2">
        <w:rPr>
          <w:rFonts w:ascii="Times New Roman" w:hAnsi="Times New Roman" w:cs="Times New Roman"/>
          <w:noProof/>
          <w:sz w:val="24"/>
          <w:szCs w:val="24"/>
          <w:lang w:val="en-CA" w:eastAsia="en-CA"/>
        </w:rPr>
        <w:lastRenderedPageBreak/>
        <w:drawing>
          <wp:inline distT="0" distB="0" distL="0" distR="0" wp14:anchorId="2E06422F" wp14:editId="4125D938">
            <wp:extent cx="5127273" cy="4353560"/>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iqui_fragmentos_figura_artigo.tif"/>
                    <pic:cNvPicPr/>
                  </pic:nvPicPr>
                  <pic:blipFill rotWithShape="1">
                    <a:blip r:embed="rId5" cstate="print">
                      <a:extLst>
                        <a:ext uri="{28A0092B-C50C-407E-A947-70E740481C1C}">
                          <a14:useLocalDpi xmlns:a14="http://schemas.microsoft.com/office/drawing/2010/main" val="0"/>
                        </a:ext>
                      </a:extLst>
                    </a:blip>
                    <a:srcRect l="4166" t="20140" r="6295" b="21113"/>
                    <a:stretch/>
                  </pic:blipFill>
                  <pic:spPr bwMode="auto">
                    <a:xfrm>
                      <a:off x="0" y="0"/>
                      <a:ext cx="5131937" cy="4357521"/>
                    </a:xfrm>
                    <a:prstGeom prst="rect">
                      <a:avLst/>
                    </a:prstGeom>
                    <a:ln>
                      <a:noFill/>
                    </a:ln>
                    <a:extLst>
                      <a:ext uri="{53640926-AAD7-44D8-BBD7-CCE9431645EC}">
                        <a14:shadowObscured xmlns:a14="http://schemas.microsoft.com/office/drawing/2010/main"/>
                      </a:ext>
                    </a:extLst>
                  </pic:spPr>
                </pic:pic>
              </a:graphicData>
            </a:graphic>
          </wp:inline>
        </w:drawing>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sz w:val="24"/>
          <w:szCs w:val="24"/>
          <w:lang w:val="en-US"/>
        </w:rPr>
        <w:t>Figure S</w:t>
      </w:r>
      <w:r>
        <w:rPr>
          <w:rFonts w:ascii="Times New Roman" w:hAnsi="Times New Roman" w:cs="Times New Roman"/>
          <w:sz w:val="24"/>
          <w:szCs w:val="24"/>
          <w:lang w:val="en-US"/>
        </w:rPr>
        <w:t>2</w:t>
      </w:r>
      <w:r w:rsidRPr="006721E2">
        <w:rPr>
          <w:rFonts w:ascii="Times New Roman" w:hAnsi="Times New Roman" w:cs="Times New Roman"/>
          <w:sz w:val="24"/>
          <w:szCs w:val="24"/>
          <w:lang w:val="en-US"/>
        </w:rPr>
        <w:t xml:space="preserve">: </w:t>
      </w:r>
      <w:r w:rsidRPr="006721E2">
        <w:rPr>
          <w:rFonts w:ascii="Times New Roman" w:hAnsi="Times New Roman" w:cs="Times New Roman"/>
          <w:i/>
          <w:sz w:val="24"/>
          <w:szCs w:val="24"/>
          <w:lang w:val="en-US"/>
        </w:rPr>
        <w:t xml:space="preserve">B. </w:t>
      </w:r>
      <w:proofErr w:type="spellStart"/>
      <w:r w:rsidRPr="006721E2">
        <w:rPr>
          <w:rFonts w:ascii="Times New Roman" w:hAnsi="Times New Roman" w:cs="Times New Roman"/>
          <w:i/>
          <w:sz w:val="24"/>
          <w:szCs w:val="24"/>
          <w:lang w:val="en-US"/>
        </w:rPr>
        <w:t>arachnoides</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landscape showing habitat patches at minimum carrying capacity (lime green) determined by </w:t>
      </w:r>
      <w:r w:rsidRPr="006721E2">
        <w:rPr>
          <w:rFonts w:ascii="Times New Roman" w:hAnsi="Times New Roman" w:cs="Times New Roman"/>
          <w:i/>
          <w:sz w:val="24"/>
          <w:szCs w:val="24"/>
          <w:lang w:val="en-US"/>
        </w:rPr>
        <w:t>Ecologically Scaled Landscape Index</w:t>
      </w:r>
      <w:r w:rsidRPr="006721E2">
        <w:rPr>
          <w:rFonts w:ascii="Times New Roman" w:hAnsi="Times New Roman" w:cs="Times New Roman"/>
          <w:sz w:val="24"/>
          <w:szCs w:val="24"/>
          <w:lang w:val="en-US"/>
        </w:rPr>
        <w:t xml:space="preserve"> for carrying capacity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k</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and habitat patches at minimum carrying capacity and functionally connected (fir green) determined by </w:t>
      </w:r>
      <w:r w:rsidRPr="006721E2">
        <w:rPr>
          <w:rFonts w:ascii="Times New Roman" w:hAnsi="Times New Roman" w:cs="Times New Roman"/>
          <w:i/>
          <w:sz w:val="24"/>
          <w:szCs w:val="24"/>
          <w:lang w:val="en-US"/>
        </w:rPr>
        <w:t xml:space="preserve">Ecologically Scaled Landscape Index </w:t>
      </w:r>
      <w:r w:rsidRPr="006721E2">
        <w:rPr>
          <w:rFonts w:ascii="Times New Roman" w:hAnsi="Times New Roman" w:cs="Times New Roman"/>
          <w:sz w:val="24"/>
          <w:szCs w:val="24"/>
          <w:lang w:val="en-US"/>
        </w:rPr>
        <w:t>for functional connectivity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c</w:t>
      </w:r>
      <w:proofErr w:type="spellEnd"/>
      <w:r w:rsidRPr="006721E2">
        <w:rPr>
          <w:rFonts w:ascii="Times New Roman" w:hAnsi="Times New Roman" w:cs="Times New Roman"/>
          <w:sz w:val="24"/>
          <w:szCs w:val="24"/>
          <w:lang w:val="en-US"/>
        </w:rPr>
        <w:t xml:space="preserve">). There is no patch under minimum area according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k</w:t>
      </w:r>
      <w:proofErr w:type="spellEnd"/>
      <w:r w:rsidRPr="006721E2">
        <w:rPr>
          <w:rFonts w:ascii="Times New Roman" w:hAnsi="Times New Roman" w:cs="Times New Roman"/>
          <w:sz w:val="24"/>
          <w:szCs w:val="24"/>
          <w:lang w:val="en-US"/>
        </w:rPr>
        <w:t xml:space="preserve">. The landscape was drown through deductive habitat suitability model on geographical range available at IUCN web site </w:t>
      </w:r>
      <w:r w:rsidRPr="006721E2">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"URL" : "http://www.iucnredlist.org/", "author" : [ { "dropping-particle" : "", "family" : "IUCN", "given" : "", "non-dropping-particle" : "", "parse-names" : false, "suffix" : "" } ], "id" : "ITEM-1", "issued" : { "date-parts" : [ [ "2012" ] ] }, "number" : "3.1", "publisher" : "IUCN Species Survival Commission", "publisher-place" : "Switzerland and Cambridge, United Kingdom", "title" : "&lt;i&gt;IUCN Red List of Threatened Species&lt;/i&gt;. See http://www.iucnredlist.org (acessed in 16 February 2013)", "type" : "webpage" }, "uris" : [ "http://www.mendeley.com/documents/?uuid=0b5e582e-e094-4526-b679-b3a9e92c57a9" ] } ], "mendeley" : { "previouslyFormattedCitation" : "(IUCN 2012)" }, "properties" : { "noteIndex" : 0 }, "schema" : "https://github.com/citation-style-language/schema/raw/master/csl-citation.json" }</w:instrText>
      </w:r>
      <w:r w:rsidRPr="006721E2">
        <w:rPr>
          <w:rFonts w:ascii="Times New Roman" w:hAnsi="Times New Roman" w:cs="Times New Roman"/>
          <w:sz w:val="24"/>
          <w:szCs w:val="24"/>
          <w:lang w:val="en-US"/>
        </w:rPr>
        <w:fldChar w:fldCharType="separate"/>
      </w:r>
      <w:r w:rsidRPr="00DE0C48">
        <w:rPr>
          <w:rFonts w:ascii="Times New Roman" w:hAnsi="Times New Roman" w:cs="Times New Roman"/>
          <w:noProof/>
          <w:sz w:val="24"/>
          <w:szCs w:val="24"/>
          <w:lang w:val="en-US"/>
        </w:rPr>
        <w:t>(IUCN 2012)</w:t>
      </w:r>
      <w:r w:rsidRPr="006721E2">
        <w:rPr>
          <w:rFonts w:ascii="Times New Roman" w:hAnsi="Times New Roman" w:cs="Times New Roman"/>
          <w:sz w:val="24"/>
          <w:szCs w:val="24"/>
          <w:lang w:val="en-US"/>
        </w:rPr>
        <w:fldChar w:fldCharType="end"/>
      </w:r>
      <w:r w:rsidRPr="006721E2">
        <w:rPr>
          <w:rFonts w:ascii="Times New Roman" w:hAnsi="Times New Roman" w:cs="Times New Roman"/>
          <w:sz w:val="24"/>
          <w:szCs w:val="24"/>
          <w:lang w:val="en-US"/>
        </w:rPr>
        <w:t>.</w:t>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sz w:val="24"/>
          <w:szCs w:val="24"/>
          <w:lang w:val="en-US"/>
        </w:rPr>
        <w:br w:type="page"/>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noProof/>
          <w:sz w:val="24"/>
          <w:szCs w:val="24"/>
          <w:lang w:val="en-CA" w:eastAsia="en-CA"/>
        </w:rPr>
        <w:lastRenderedPageBreak/>
        <w:drawing>
          <wp:inline distT="0" distB="0" distL="0" distR="0" wp14:anchorId="640B1282" wp14:editId="17D1E4EA">
            <wp:extent cx="5292000" cy="4133930"/>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ure_fragmentos_figura_artigo.tif"/>
                    <pic:cNvPicPr/>
                  </pic:nvPicPr>
                  <pic:blipFill rotWithShape="1">
                    <a:blip r:embed="rId6" cstate="print">
                      <a:extLst>
                        <a:ext uri="{28A0092B-C50C-407E-A947-70E740481C1C}">
                          <a14:useLocalDpi xmlns:a14="http://schemas.microsoft.com/office/drawing/2010/main" val="0"/>
                        </a:ext>
                      </a:extLst>
                    </a:blip>
                    <a:srcRect l="1152" t="21852" r="1" b="18482"/>
                    <a:stretch/>
                  </pic:blipFill>
                  <pic:spPr bwMode="auto">
                    <a:xfrm>
                      <a:off x="0" y="0"/>
                      <a:ext cx="5292000" cy="4133930"/>
                    </a:xfrm>
                    <a:prstGeom prst="rect">
                      <a:avLst/>
                    </a:prstGeom>
                    <a:ln>
                      <a:noFill/>
                    </a:ln>
                    <a:extLst>
                      <a:ext uri="{53640926-AAD7-44D8-BBD7-CCE9431645EC}">
                        <a14:shadowObscured xmlns:a14="http://schemas.microsoft.com/office/drawing/2010/main"/>
                      </a:ext>
                    </a:extLst>
                  </pic:spPr>
                </pic:pic>
              </a:graphicData>
            </a:graphic>
          </wp:inline>
        </w:drawing>
      </w:r>
      <w:r w:rsidRPr="006721E2">
        <w:rPr>
          <w:rFonts w:ascii="Times New Roman" w:hAnsi="Times New Roman" w:cs="Times New Roman"/>
          <w:sz w:val="24"/>
          <w:szCs w:val="24"/>
          <w:lang w:val="en-US"/>
        </w:rPr>
        <w:t xml:space="preserve"> </w:t>
      </w:r>
    </w:p>
    <w:p w:rsidR="00B57D2D" w:rsidRPr="006721E2" w:rsidRDefault="00B57D2D" w:rsidP="00B57D2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S3</w:t>
      </w:r>
      <w:r w:rsidRPr="006721E2">
        <w:rPr>
          <w:rFonts w:ascii="Times New Roman" w:hAnsi="Times New Roman" w:cs="Times New Roman"/>
          <w:sz w:val="24"/>
          <w:szCs w:val="24"/>
          <w:lang w:val="en-US"/>
        </w:rPr>
        <w:t xml:space="preserve">: </w:t>
      </w:r>
      <w:r w:rsidRPr="006721E2">
        <w:rPr>
          <w:rFonts w:ascii="Times New Roman" w:hAnsi="Times New Roman" w:cs="Times New Roman"/>
          <w:i/>
          <w:sz w:val="24"/>
          <w:szCs w:val="24"/>
          <w:lang w:val="en-US"/>
        </w:rPr>
        <w:t xml:space="preserve">E. </w:t>
      </w:r>
      <w:proofErr w:type="spellStart"/>
      <w:r w:rsidRPr="006721E2">
        <w:rPr>
          <w:rFonts w:ascii="Times New Roman" w:hAnsi="Times New Roman" w:cs="Times New Roman"/>
          <w:i/>
          <w:sz w:val="24"/>
          <w:szCs w:val="24"/>
          <w:lang w:val="en-US"/>
        </w:rPr>
        <w:t>flavifrons</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landscape showing habitat patches at minimum carrying capacity (lime green) determined by </w:t>
      </w:r>
      <w:r w:rsidRPr="006721E2">
        <w:rPr>
          <w:rFonts w:ascii="Times New Roman" w:hAnsi="Times New Roman" w:cs="Times New Roman"/>
          <w:i/>
          <w:sz w:val="24"/>
          <w:szCs w:val="24"/>
          <w:lang w:val="en-US"/>
        </w:rPr>
        <w:t>Ecologically Scaled Landscape Index</w:t>
      </w:r>
      <w:r w:rsidRPr="006721E2">
        <w:rPr>
          <w:rFonts w:ascii="Times New Roman" w:hAnsi="Times New Roman" w:cs="Times New Roman"/>
          <w:sz w:val="24"/>
          <w:szCs w:val="24"/>
          <w:lang w:val="en-US"/>
        </w:rPr>
        <w:t xml:space="preserve"> for carrying capacity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k</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and habitat patches at minimum carrying capacity and functionally connected (fir green) determined by </w:t>
      </w:r>
      <w:r w:rsidRPr="006721E2">
        <w:rPr>
          <w:rFonts w:ascii="Times New Roman" w:hAnsi="Times New Roman" w:cs="Times New Roman"/>
          <w:i/>
          <w:sz w:val="24"/>
          <w:szCs w:val="24"/>
          <w:lang w:val="en-US"/>
        </w:rPr>
        <w:t xml:space="preserve">Ecologically Scaled Landscape Index </w:t>
      </w:r>
      <w:r w:rsidRPr="006721E2">
        <w:rPr>
          <w:rFonts w:ascii="Times New Roman" w:hAnsi="Times New Roman" w:cs="Times New Roman"/>
          <w:sz w:val="24"/>
          <w:szCs w:val="24"/>
          <w:lang w:val="en-US"/>
        </w:rPr>
        <w:t>for functional connectivity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c</w:t>
      </w:r>
      <w:proofErr w:type="spellEnd"/>
      <w:r w:rsidRPr="006721E2">
        <w:rPr>
          <w:rFonts w:ascii="Times New Roman" w:hAnsi="Times New Roman" w:cs="Times New Roman"/>
          <w:sz w:val="24"/>
          <w:szCs w:val="24"/>
          <w:lang w:val="en-US"/>
        </w:rPr>
        <w:t xml:space="preserve">). There is no patch under minimum area according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k</w:t>
      </w:r>
      <w:proofErr w:type="spellEnd"/>
      <w:r w:rsidRPr="006721E2">
        <w:rPr>
          <w:rFonts w:ascii="Times New Roman" w:hAnsi="Times New Roman" w:cs="Times New Roman"/>
          <w:sz w:val="24"/>
          <w:szCs w:val="24"/>
          <w:lang w:val="en-US"/>
        </w:rPr>
        <w:t xml:space="preserve">. The landscape was drown through deductive habitat suitability model on geographical range available at IUCN web site </w:t>
      </w:r>
      <w:r w:rsidRPr="006721E2">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"URL" : "http://www.iucnredlist.org/", "author" : [ { "dropping-particle" : "", "family" : "IUCN", "given" : "", "non-dropping-particle" : "", "parse-names" : false, "suffix" : "" } ], "id" : "ITEM-1", "issued" : { "date-parts" : [ [ "2012" ] ] }, "number" : "3.1", "publisher" : "IUCN Species Survival Commission", "publisher-place" : "Switzerland and Cambridge, United Kingdom", "title" : "&lt;i&gt;IUCN Red List of Threatened Species&lt;/i&gt;. See http://www.iucnredlist.org (acessed in 16 February 2013)", "type" : "webpage" }, "uris" : [ "http://www.mendeley.com/documents/?uuid=0b5e582e-e094-4526-b679-b3a9e92c57a9" ] } ], "mendeley" : { "previouslyFormattedCitation" : "(IUCN 2012)" }, "properties" : { "noteIndex" : 0 }, "schema" : "https://github.com/citation-style-language/schema/raw/master/csl-citation.json" }</w:instrText>
      </w:r>
      <w:r w:rsidRPr="006721E2">
        <w:rPr>
          <w:rFonts w:ascii="Times New Roman" w:hAnsi="Times New Roman" w:cs="Times New Roman"/>
          <w:sz w:val="24"/>
          <w:szCs w:val="24"/>
          <w:lang w:val="en-US"/>
        </w:rPr>
        <w:fldChar w:fldCharType="separate"/>
      </w:r>
      <w:r w:rsidRPr="00DE0C48">
        <w:rPr>
          <w:rFonts w:ascii="Times New Roman" w:hAnsi="Times New Roman" w:cs="Times New Roman"/>
          <w:noProof/>
          <w:sz w:val="24"/>
          <w:szCs w:val="24"/>
          <w:lang w:val="en-US"/>
        </w:rPr>
        <w:t>(IUCN 2012)</w:t>
      </w:r>
      <w:r w:rsidRPr="006721E2">
        <w:rPr>
          <w:rFonts w:ascii="Times New Roman" w:hAnsi="Times New Roman" w:cs="Times New Roman"/>
          <w:sz w:val="24"/>
          <w:szCs w:val="24"/>
          <w:lang w:val="en-US"/>
        </w:rPr>
        <w:fldChar w:fldCharType="end"/>
      </w:r>
      <w:r w:rsidRPr="006721E2">
        <w:rPr>
          <w:rFonts w:ascii="Times New Roman" w:hAnsi="Times New Roman" w:cs="Times New Roman"/>
          <w:sz w:val="24"/>
          <w:szCs w:val="24"/>
          <w:lang w:val="en-US"/>
        </w:rPr>
        <w:t>.</w:t>
      </w:r>
    </w:p>
    <w:p w:rsidR="00B57D2D" w:rsidRPr="006721E2" w:rsidRDefault="00B57D2D" w:rsidP="00B57D2D">
      <w:pPr>
        <w:spacing w:line="480" w:lineRule="auto"/>
        <w:rPr>
          <w:rFonts w:ascii="Times New Roman" w:hAnsi="Times New Roman" w:cs="Times New Roman"/>
          <w:sz w:val="24"/>
          <w:szCs w:val="24"/>
          <w:lang w:val="en-US"/>
        </w:rPr>
      </w:pP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sz w:val="24"/>
          <w:szCs w:val="24"/>
          <w:lang w:val="en-US"/>
        </w:rPr>
        <w:br w:type="page"/>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noProof/>
          <w:sz w:val="24"/>
          <w:szCs w:val="24"/>
          <w:lang w:val="en-CA" w:eastAsia="en-CA"/>
        </w:rPr>
        <w:lastRenderedPageBreak/>
        <w:drawing>
          <wp:inline distT="0" distB="0" distL="0" distR="0" wp14:anchorId="6A4796C2" wp14:editId="576F81B1">
            <wp:extent cx="5176520" cy="4394200"/>
            <wp:effectExtent l="0" t="0" r="508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a_fragmentos_figura_artigo.tif"/>
                    <pic:cNvPicPr/>
                  </pic:nvPicPr>
                  <pic:blipFill rotWithShape="1">
                    <a:blip r:embed="rId7" cstate="print">
                      <a:extLst>
                        <a:ext uri="{28A0092B-C50C-407E-A947-70E740481C1C}">
                          <a14:useLocalDpi xmlns:a14="http://schemas.microsoft.com/office/drawing/2010/main" val="0"/>
                        </a:ext>
                      </a:extLst>
                    </a:blip>
                    <a:srcRect l="3546" t="19660" r="6117" b="21085"/>
                    <a:stretch/>
                  </pic:blipFill>
                  <pic:spPr bwMode="auto">
                    <a:xfrm>
                      <a:off x="0" y="0"/>
                      <a:ext cx="5177667" cy="4395174"/>
                    </a:xfrm>
                    <a:prstGeom prst="rect">
                      <a:avLst/>
                    </a:prstGeom>
                    <a:ln>
                      <a:noFill/>
                    </a:ln>
                    <a:extLst>
                      <a:ext uri="{53640926-AAD7-44D8-BBD7-CCE9431645EC}">
                        <a14:shadowObscured xmlns:a14="http://schemas.microsoft.com/office/drawing/2010/main"/>
                      </a:ext>
                    </a:extLst>
                  </pic:spPr>
                </pic:pic>
              </a:graphicData>
            </a:graphic>
          </wp:inline>
        </w:drawing>
      </w:r>
      <w:r w:rsidRPr="006721E2">
        <w:rPr>
          <w:rFonts w:ascii="Times New Roman" w:hAnsi="Times New Roman" w:cs="Times New Roman"/>
          <w:sz w:val="24"/>
          <w:szCs w:val="24"/>
          <w:lang w:val="en-US"/>
        </w:rPr>
        <w:t xml:space="preserve"> </w:t>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sz w:val="24"/>
          <w:szCs w:val="24"/>
          <w:lang w:val="en-US"/>
        </w:rPr>
        <w:t xml:space="preserve">Figure </w:t>
      </w:r>
      <w:r>
        <w:rPr>
          <w:rFonts w:ascii="Times New Roman" w:hAnsi="Times New Roman" w:cs="Times New Roman"/>
          <w:sz w:val="24"/>
          <w:szCs w:val="24"/>
          <w:lang w:val="en-US"/>
        </w:rPr>
        <w:t>S4</w:t>
      </w:r>
      <w:r w:rsidRPr="006721E2">
        <w:rPr>
          <w:rFonts w:ascii="Times New Roman" w:hAnsi="Times New Roman" w:cs="Times New Roman"/>
          <w:sz w:val="24"/>
          <w:szCs w:val="24"/>
          <w:lang w:val="en-US"/>
        </w:rPr>
        <w:t xml:space="preserve">: </w:t>
      </w:r>
      <w:r w:rsidRPr="006721E2">
        <w:rPr>
          <w:rFonts w:ascii="Times New Roman" w:hAnsi="Times New Roman" w:cs="Times New Roman"/>
          <w:i/>
          <w:sz w:val="24"/>
          <w:szCs w:val="24"/>
          <w:lang w:val="en-US"/>
        </w:rPr>
        <w:t xml:space="preserve">H. </w:t>
      </w:r>
      <w:proofErr w:type="spellStart"/>
      <w:r w:rsidRPr="006721E2">
        <w:rPr>
          <w:rFonts w:ascii="Times New Roman" w:hAnsi="Times New Roman" w:cs="Times New Roman"/>
          <w:i/>
          <w:sz w:val="24"/>
          <w:szCs w:val="24"/>
          <w:lang w:val="en-US"/>
        </w:rPr>
        <w:t>suspectum</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landscape showing habitat patches at minimum carrying capacity determined by </w:t>
      </w:r>
      <w:r w:rsidRPr="006721E2">
        <w:rPr>
          <w:rFonts w:ascii="Times New Roman" w:hAnsi="Times New Roman" w:cs="Times New Roman"/>
          <w:i/>
          <w:sz w:val="24"/>
          <w:szCs w:val="24"/>
          <w:lang w:val="en-US"/>
        </w:rPr>
        <w:t>Ecologically Scaled Landscape Index</w:t>
      </w:r>
      <w:r w:rsidRPr="006721E2">
        <w:rPr>
          <w:rFonts w:ascii="Times New Roman" w:hAnsi="Times New Roman" w:cs="Times New Roman"/>
          <w:sz w:val="24"/>
          <w:szCs w:val="24"/>
          <w:lang w:val="en-US"/>
        </w:rPr>
        <w:t xml:space="preserve"> for carrying capacity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k</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and functionally connected (fir green) determined by </w:t>
      </w:r>
      <w:r w:rsidRPr="006721E2">
        <w:rPr>
          <w:rFonts w:ascii="Times New Roman" w:hAnsi="Times New Roman" w:cs="Times New Roman"/>
          <w:i/>
          <w:sz w:val="24"/>
          <w:szCs w:val="24"/>
          <w:lang w:val="en-US"/>
        </w:rPr>
        <w:t xml:space="preserve">Ecologically Scaled Landscape Index </w:t>
      </w:r>
      <w:r w:rsidRPr="006721E2">
        <w:rPr>
          <w:rFonts w:ascii="Times New Roman" w:hAnsi="Times New Roman" w:cs="Times New Roman"/>
          <w:sz w:val="24"/>
          <w:szCs w:val="24"/>
          <w:lang w:val="en-US"/>
        </w:rPr>
        <w:t>for functional connectivity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c</w:t>
      </w:r>
      <w:proofErr w:type="spellEnd"/>
      <w:r w:rsidRPr="006721E2">
        <w:rPr>
          <w:rFonts w:ascii="Times New Roman" w:hAnsi="Times New Roman" w:cs="Times New Roman"/>
          <w:sz w:val="24"/>
          <w:szCs w:val="24"/>
          <w:lang w:val="en-US"/>
        </w:rPr>
        <w:t xml:space="preserve">). There is no patch under minimum area according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k</w:t>
      </w:r>
      <w:proofErr w:type="spellEnd"/>
      <w:r w:rsidRPr="006721E2">
        <w:rPr>
          <w:rFonts w:ascii="Times New Roman" w:hAnsi="Times New Roman" w:cs="Times New Roman"/>
          <w:sz w:val="24"/>
          <w:szCs w:val="24"/>
          <w:lang w:val="en-US"/>
        </w:rPr>
        <w:t xml:space="preserve"> neither under minimum functional distance according to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c</w:t>
      </w:r>
      <w:proofErr w:type="spellEnd"/>
      <w:r w:rsidRPr="006721E2">
        <w:rPr>
          <w:rFonts w:ascii="Times New Roman" w:hAnsi="Times New Roman" w:cs="Times New Roman"/>
          <w:i/>
          <w:sz w:val="24"/>
          <w:szCs w:val="24"/>
          <w:lang w:val="en-US"/>
        </w:rPr>
        <w:t>.</w:t>
      </w:r>
      <w:r w:rsidRPr="006721E2">
        <w:rPr>
          <w:rFonts w:ascii="Times New Roman" w:hAnsi="Times New Roman" w:cs="Times New Roman"/>
          <w:sz w:val="24"/>
          <w:szCs w:val="24"/>
          <w:lang w:val="en-US"/>
        </w:rPr>
        <w:t xml:space="preserve"> The landscape was drown through deductive habitat suitability model on geographical range available at IUCN web site </w:t>
      </w:r>
      <w:r w:rsidRPr="006721E2">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"URL" : "http://www.iucnredlist.org/", "author" : [ { "dropping-particle" : "", "family" : "IUCN", "given" : "", "non-dropping-particle" : "", "parse-names" : false, "suffix" : "" } ], "id" : "ITEM-1", "issued" : { "date-parts" : [ [ "2012" ] ] }, "number" : "3.1", "publisher" : "IUCN Species Survival Commission", "publisher-place" : "Switzerland and Cambridge, United Kingdom", "title" : "&lt;i&gt;IUCN Red List of Threatened Species&lt;/i&gt;. See http://www.iucnredlist.org (acessed in 16 February 2013)", "type" : "webpage" }, "uris" : [ "http://www.mendeley.com/documents/?uuid=0b5e582e-e094-4526-b679-b3a9e92c57a9" ] } ], "mendeley" : { "previouslyFormattedCitation" : "(IUCN 2012)" }, "properties" : { "noteIndex" : 0 }, "schema" : "https://github.com/citation-style-language/schema/raw/master/csl-citation.json" }</w:instrText>
      </w:r>
      <w:r w:rsidRPr="006721E2">
        <w:rPr>
          <w:rFonts w:ascii="Times New Roman" w:hAnsi="Times New Roman" w:cs="Times New Roman"/>
          <w:sz w:val="24"/>
          <w:szCs w:val="24"/>
          <w:lang w:val="en-US"/>
        </w:rPr>
        <w:fldChar w:fldCharType="separate"/>
      </w:r>
      <w:r w:rsidRPr="00DE0C48">
        <w:rPr>
          <w:rFonts w:ascii="Times New Roman" w:hAnsi="Times New Roman" w:cs="Times New Roman"/>
          <w:noProof/>
          <w:sz w:val="24"/>
          <w:szCs w:val="24"/>
          <w:lang w:val="en-US"/>
        </w:rPr>
        <w:t>(IUCN 2012)</w:t>
      </w:r>
      <w:r w:rsidRPr="006721E2">
        <w:rPr>
          <w:rFonts w:ascii="Times New Roman" w:hAnsi="Times New Roman" w:cs="Times New Roman"/>
          <w:sz w:val="24"/>
          <w:szCs w:val="24"/>
          <w:lang w:val="en-US"/>
        </w:rPr>
        <w:fldChar w:fldCharType="end"/>
      </w:r>
      <w:r w:rsidRPr="006721E2">
        <w:rPr>
          <w:rFonts w:ascii="Times New Roman" w:hAnsi="Times New Roman" w:cs="Times New Roman"/>
          <w:sz w:val="24"/>
          <w:szCs w:val="24"/>
          <w:lang w:val="en-US"/>
        </w:rPr>
        <w:t>.</w:t>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noProof/>
          <w:sz w:val="24"/>
          <w:szCs w:val="24"/>
          <w:lang w:val="en-CA" w:eastAsia="en-CA"/>
        </w:rPr>
        <w:lastRenderedPageBreak/>
        <w:drawing>
          <wp:inline distT="0" distB="0" distL="0" distR="0" wp14:anchorId="6BCF4EBF" wp14:editId="0B0CE15D">
            <wp:extent cx="5125720" cy="4368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fragmentos_figura_artigo.tif"/>
                    <pic:cNvPicPr/>
                  </pic:nvPicPr>
                  <pic:blipFill rotWithShape="1">
                    <a:blip r:embed="rId8" cstate="print">
                      <a:extLst>
                        <a:ext uri="{28A0092B-C50C-407E-A947-70E740481C1C}">
                          <a14:useLocalDpi xmlns:a14="http://schemas.microsoft.com/office/drawing/2010/main" val="0"/>
                        </a:ext>
                      </a:extLst>
                    </a:blip>
                    <a:srcRect l="3635" t="19934" r="6914" b="21154"/>
                    <a:stretch/>
                  </pic:blipFill>
                  <pic:spPr bwMode="auto">
                    <a:xfrm>
                      <a:off x="0" y="0"/>
                      <a:ext cx="5126856" cy="4369768"/>
                    </a:xfrm>
                    <a:prstGeom prst="rect">
                      <a:avLst/>
                    </a:prstGeom>
                    <a:ln>
                      <a:noFill/>
                    </a:ln>
                    <a:extLst>
                      <a:ext uri="{53640926-AAD7-44D8-BBD7-CCE9431645EC}">
                        <a14:shadowObscured xmlns:a14="http://schemas.microsoft.com/office/drawing/2010/main"/>
                      </a:ext>
                    </a:extLst>
                  </pic:spPr>
                </pic:pic>
              </a:graphicData>
            </a:graphic>
          </wp:inline>
        </w:drawing>
      </w:r>
      <w:r w:rsidRPr="006721E2">
        <w:rPr>
          <w:rFonts w:ascii="Times New Roman" w:hAnsi="Times New Roman" w:cs="Times New Roman"/>
          <w:sz w:val="24"/>
          <w:szCs w:val="24"/>
          <w:lang w:val="en-US"/>
        </w:rPr>
        <w:t xml:space="preserve"> </w:t>
      </w:r>
    </w:p>
    <w:p w:rsidR="00B57D2D" w:rsidRPr="006721E2" w:rsidRDefault="00B57D2D" w:rsidP="00B57D2D">
      <w:pPr>
        <w:spacing w:line="480" w:lineRule="auto"/>
        <w:rPr>
          <w:rFonts w:ascii="Times New Roman" w:hAnsi="Times New Roman" w:cs="Times New Roman"/>
          <w:sz w:val="24"/>
          <w:szCs w:val="24"/>
          <w:lang w:val="en-US"/>
        </w:rPr>
      </w:pPr>
      <w:r w:rsidRPr="006721E2">
        <w:rPr>
          <w:rFonts w:ascii="Times New Roman" w:hAnsi="Times New Roman" w:cs="Times New Roman"/>
          <w:sz w:val="24"/>
          <w:szCs w:val="24"/>
          <w:lang w:val="en-US"/>
        </w:rPr>
        <w:t xml:space="preserve">Figure </w:t>
      </w:r>
      <w:r>
        <w:rPr>
          <w:rFonts w:ascii="Times New Roman" w:hAnsi="Times New Roman" w:cs="Times New Roman"/>
          <w:sz w:val="24"/>
          <w:szCs w:val="24"/>
          <w:lang w:val="en-US"/>
        </w:rPr>
        <w:t>S5</w:t>
      </w:r>
      <w:r w:rsidRPr="006721E2">
        <w:rPr>
          <w:rFonts w:ascii="Times New Roman" w:hAnsi="Times New Roman" w:cs="Times New Roman"/>
          <w:sz w:val="24"/>
          <w:szCs w:val="24"/>
          <w:lang w:val="en-US"/>
        </w:rPr>
        <w:t xml:space="preserve">: </w:t>
      </w:r>
      <w:r w:rsidRPr="006721E2">
        <w:rPr>
          <w:rFonts w:ascii="Times New Roman" w:hAnsi="Times New Roman" w:cs="Times New Roman"/>
          <w:i/>
          <w:sz w:val="24"/>
          <w:szCs w:val="24"/>
          <w:lang w:val="en-US"/>
        </w:rPr>
        <w:t xml:space="preserve">S. </w:t>
      </w:r>
      <w:proofErr w:type="spellStart"/>
      <w:r w:rsidRPr="006721E2">
        <w:rPr>
          <w:rFonts w:ascii="Times New Roman" w:hAnsi="Times New Roman" w:cs="Times New Roman"/>
          <w:i/>
          <w:sz w:val="24"/>
          <w:szCs w:val="24"/>
          <w:lang w:val="en-US"/>
        </w:rPr>
        <w:t>harrisii</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landscape showing habitat patches at </w:t>
      </w:r>
      <w:r>
        <w:rPr>
          <w:rFonts w:ascii="Times New Roman" w:hAnsi="Times New Roman" w:cs="Times New Roman"/>
          <w:sz w:val="24"/>
          <w:szCs w:val="24"/>
          <w:lang w:val="en-US"/>
        </w:rPr>
        <w:t>functional distance</w:t>
      </w:r>
      <w:r w:rsidRPr="006721E2">
        <w:rPr>
          <w:rFonts w:ascii="Times New Roman" w:hAnsi="Times New Roman" w:cs="Times New Roman"/>
          <w:sz w:val="24"/>
          <w:szCs w:val="24"/>
          <w:lang w:val="en-US"/>
        </w:rPr>
        <w:t xml:space="preserve"> (lime green) determined by </w:t>
      </w:r>
      <w:r w:rsidRPr="006721E2">
        <w:rPr>
          <w:rFonts w:ascii="Times New Roman" w:hAnsi="Times New Roman" w:cs="Times New Roman"/>
          <w:i/>
          <w:sz w:val="24"/>
          <w:szCs w:val="24"/>
          <w:lang w:val="en-US"/>
        </w:rPr>
        <w:t>Ecologically Scaled Landscape Index</w:t>
      </w:r>
      <w:r w:rsidRPr="006721E2">
        <w:rPr>
          <w:rFonts w:ascii="Times New Roman" w:hAnsi="Times New Roman" w:cs="Times New Roman"/>
          <w:sz w:val="24"/>
          <w:szCs w:val="24"/>
          <w:lang w:val="en-US"/>
        </w:rPr>
        <w:t xml:space="preserve"> for carrying capacity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k</w:t>
      </w:r>
      <w:proofErr w:type="spellEnd"/>
      <w:r w:rsidRPr="006721E2">
        <w:rPr>
          <w:rFonts w:ascii="Times New Roman" w:hAnsi="Times New Roman" w:cs="Times New Roman"/>
          <w:i/>
          <w:sz w:val="24"/>
          <w:szCs w:val="24"/>
          <w:lang w:val="en-US"/>
        </w:rPr>
        <w:t xml:space="preserve">) </w:t>
      </w:r>
      <w:r w:rsidRPr="006721E2">
        <w:rPr>
          <w:rFonts w:ascii="Times New Roman" w:hAnsi="Times New Roman" w:cs="Times New Roman"/>
          <w:sz w:val="24"/>
          <w:szCs w:val="24"/>
          <w:lang w:val="en-US"/>
        </w:rPr>
        <w:t xml:space="preserve">and habitat patches at minimum carrying capacity and functionally connected (fir green) determined by </w:t>
      </w:r>
      <w:r w:rsidRPr="006721E2">
        <w:rPr>
          <w:rFonts w:ascii="Times New Roman" w:hAnsi="Times New Roman" w:cs="Times New Roman"/>
          <w:i/>
          <w:sz w:val="24"/>
          <w:szCs w:val="24"/>
          <w:lang w:val="en-US"/>
        </w:rPr>
        <w:t xml:space="preserve">Ecologically Scaled Landscape Index </w:t>
      </w:r>
      <w:r w:rsidRPr="006721E2">
        <w:rPr>
          <w:rFonts w:ascii="Times New Roman" w:hAnsi="Times New Roman" w:cs="Times New Roman"/>
          <w:sz w:val="24"/>
          <w:szCs w:val="24"/>
          <w:lang w:val="en-US"/>
        </w:rPr>
        <w:t>for functional connectivity (</w:t>
      </w:r>
      <w:proofErr w:type="spellStart"/>
      <w:r w:rsidRPr="006721E2">
        <w:rPr>
          <w:rFonts w:ascii="Times New Roman" w:hAnsi="Times New Roman" w:cs="Times New Roman"/>
          <w:i/>
          <w:sz w:val="24"/>
          <w:szCs w:val="24"/>
          <w:lang w:val="en-US"/>
        </w:rPr>
        <w:t>ESLI</w:t>
      </w:r>
      <w:r w:rsidRPr="006721E2">
        <w:rPr>
          <w:rFonts w:ascii="Times New Roman" w:hAnsi="Times New Roman" w:cs="Times New Roman"/>
          <w:i/>
          <w:sz w:val="24"/>
          <w:szCs w:val="24"/>
          <w:vertAlign w:val="subscript"/>
          <w:lang w:val="en-US"/>
        </w:rPr>
        <w:t>c</w:t>
      </w:r>
      <w:proofErr w:type="spellEnd"/>
      <w:r w:rsidRPr="006721E2">
        <w:rPr>
          <w:rFonts w:ascii="Times New Roman" w:hAnsi="Times New Roman" w:cs="Times New Roman"/>
          <w:sz w:val="24"/>
          <w:szCs w:val="24"/>
          <w:lang w:val="en-US"/>
        </w:rPr>
        <w:t xml:space="preserve">). There is no patch under minimum </w:t>
      </w:r>
      <w:r>
        <w:rPr>
          <w:rFonts w:ascii="Times New Roman" w:hAnsi="Times New Roman" w:cs="Times New Roman"/>
          <w:sz w:val="24"/>
          <w:szCs w:val="24"/>
          <w:lang w:val="en-US"/>
        </w:rPr>
        <w:t>functional distance</w:t>
      </w:r>
      <w:r w:rsidRPr="006721E2">
        <w:rPr>
          <w:rFonts w:ascii="Times New Roman" w:hAnsi="Times New Roman" w:cs="Times New Roman"/>
          <w:sz w:val="24"/>
          <w:szCs w:val="24"/>
          <w:lang w:val="en-US"/>
        </w:rPr>
        <w:t xml:space="preserve"> according </w:t>
      </w:r>
      <w:proofErr w:type="spellStart"/>
      <w:r w:rsidRPr="006721E2">
        <w:rPr>
          <w:rFonts w:ascii="Times New Roman" w:hAnsi="Times New Roman" w:cs="Times New Roman"/>
          <w:i/>
          <w:sz w:val="24"/>
          <w:szCs w:val="24"/>
          <w:lang w:val="en-US"/>
        </w:rPr>
        <w:t>ESLI</w:t>
      </w:r>
      <w:r w:rsidRPr="000538D0">
        <w:rPr>
          <w:rFonts w:ascii="Times New Roman" w:hAnsi="Times New Roman" w:cs="Times New Roman"/>
          <w:i/>
          <w:sz w:val="24"/>
          <w:szCs w:val="24"/>
          <w:vertAlign w:val="subscript"/>
          <w:lang w:val="en-US"/>
        </w:rPr>
        <w:t>c</w:t>
      </w:r>
      <w:proofErr w:type="spellEnd"/>
      <w:r w:rsidRPr="006721E2">
        <w:rPr>
          <w:rFonts w:ascii="Times New Roman" w:hAnsi="Times New Roman" w:cs="Times New Roman"/>
          <w:sz w:val="24"/>
          <w:szCs w:val="24"/>
          <w:lang w:val="en-US"/>
        </w:rPr>
        <w:t xml:space="preserve">. The landscape was drown through deductive habitat suitability model on geographical range available at IUCN web site </w:t>
      </w:r>
      <w:r w:rsidRPr="006721E2">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"URL" : "http://www.iucnredlist.org/", "author" : [ { "dropping-particle" : "", "family" : "IUCN", "given" : "", "non-dropping-particle" : "", "parse-names" : false, "suffix" : "" } ], "id" : "ITEM-1", "issued" : { "date-parts" : [ [ "2012" ] ] }, "number" : "3.1", "publisher" : "IUCN Species Survival Commission", "publisher-place" : "Switzerland and Cambridge, United Kingdom", "title" : "&lt;i&gt;IUCN Red List of Threatened Species&lt;/i&gt;. See http://www.iucnredlist.org (acessed in 16 February 2013)", "type" : "webpage" }, "uris" : [ "http://www.mendeley.com/documents/?uuid=0b5e582e-e094-4526-b679-b3a9e92c57a9" ] } ], "mendeley" : { "previouslyFormattedCitation" : "(IUCN 2012)" }, "properties" : { "noteIndex" : 0 }, "schema" : "https://github.com/citation-style-language/schema/raw/master/csl-citation.json" }</w:instrText>
      </w:r>
      <w:r w:rsidRPr="006721E2">
        <w:rPr>
          <w:rFonts w:ascii="Times New Roman" w:hAnsi="Times New Roman" w:cs="Times New Roman"/>
          <w:sz w:val="24"/>
          <w:szCs w:val="24"/>
          <w:lang w:val="en-US"/>
        </w:rPr>
        <w:fldChar w:fldCharType="separate"/>
      </w:r>
      <w:r w:rsidRPr="00DE0C48">
        <w:rPr>
          <w:rFonts w:ascii="Times New Roman" w:hAnsi="Times New Roman" w:cs="Times New Roman"/>
          <w:noProof/>
          <w:sz w:val="24"/>
          <w:szCs w:val="24"/>
          <w:lang w:val="en-US"/>
        </w:rPr>
        <w:t>(IUCN 2012)</w:t>
      </w:r>
      <w:r w:rsidRPr="006721E2">
        <w:rPr>
          <w:rFonts w:ascii="Times New Roman" w:hAnsi="Times New Roman" w:cs="Times New Roman"/>
          <w:sz w:val="24"/>
          <w:szCs w:val="24"/>
          <w:lang w:val="en-US"/>
        </w:rPr>
        <w:fldChar w:fldCharType="end"/>
      </w:r>
      <w:r w:rsidRPr="006721E2">
        <w:rPr>
          <w:rFonts w:ascii="Times New Roman" w:hAnsi="Times New Roman" w:cs="Times New Roman"/>
          <w:sz w:val="24"/>
          <w:szCs w:val="24"/>
          <w:lang w:val="en-US"/>
        </w:rPr>
        <w:t>.</w:t>
      </w:r>
    </w:p>
    <w:p w:rsidR="00B57D2D" w:rsidRPr="006721E2" w:rsidRDefault="00B57D2D" w:rsidP="00B57D2D">
      <w:pPr>
        <w:spacing w:line="480" w:lineRule="auto"/>
        <w:rPr>
          <w:rFonts w:ascii="Times New Roman" w:hAnsi="Times New Roman" w:cs="Times New Roman"/>
          <w:sz w:val="24"/>
          <w:szCs w:val="24"/>
          <w:lang w:val="en-US"/>
        </w:rPr>
      </w:pPr>
    </w:p>
    <w:p w:rsidR="00817A4D" w:rsidRPr="00B57D2D" w:rsidRDefault="00817A4D">
      <w:pPr>
        <w:rPr>
          <w:lang w:val="en-US"/>
        </w:rPr>
      </w:pPr>
    </w:p>
    <w:sectPr w:rsidR="00817A4D" w:rsidRPr="00B57D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346D"/>
    <w:rsid w:val="000538D0"/>
    <w:rsid w:val="003B346D"/>
    <w:rsid w:val="00531F09"/>
    <w:rsid w:val="00817A4D"/>
    <w:rsid w:val="00B57D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DB23C"/>
  <w15:docId w15:val="{7ED1B18D-8899-4725-BDA3-8D771CC0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346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SombreamentoClaro">
    <w:name w:val="Light Shading"/>
    <w:basedOn w:val="Tabelanormal"/>
    <w:uiPriority w:val="60"/>
    <w:rsid w:val="003B34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3B3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 = '1.0' encoding = 'UTF-8' standalone = 'yes'?>
<Relationships xmlns="http://schemas.openxmlformats.org/package/2006/relationships">
   <Relationship Id="rId1" Type="http://schemas.openxmlformats.org/officeDocument/2006/relationships/styles" Target="styles.xml"/>
   <Relationship Id="rId10"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image" Target="media/image1.tiff"/>
   <Relationship Id="rId5" Type="http://schemas.openxmlformats.org/officeDocument/2006/relationships/image" Target="media/image2.tiff"/>
   <Relationship Id="rId6" Type="http://schemas.openxmlformats.org/officeDocument/2006/relationships/image" Target="media/image3.tiff"/>
   <Relationship Id="rId7" Type="http://schemas.openxmlformats.org/officeDocument/2006/relationships/image" Target="media/image4.tiff"/>
   <Relationship Id="rId8" Type="http://schemas.openxmlformats.org/officeDocument/2006/relationships/image" Target="media/image5.tiff"/>
   <Relationship Id="rId9" Type="http://schemas.openxmlformats.org/officeDocument/2006/relationships/fontTable" Target="fontTable.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8</TotalTime>
  <Pages>8</Pages>
  <Words>3717</Words>
  <Characters>20073</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23743</CharactersWithSpaces>
  <SharedDoc>false</SharedDoc>
  <HyperlinksChanged>false</HyperlinksChanged>
  <AppVersion>16.0000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file>