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86" w:rsidRDefault="00127A86" w:rsidP="00127A86">
      <w:pPr>
        <w:widowControl w:val="0"/>
        <w:tabs>
          <w:tab w:val="left" w:pos="6955"/>
        </w:tabs>
        <w:autoSpaceDE w:val="0"/>
        <w:autoSpaceDN w:val="0"/>
        <w:adjustRightInd w:val="0"/>
        <w:spacing w:after="120"/>
        <w:rPr>
          <w:rFonts w:ascii="TimesNewRomanPSMT" w:hAnsi="TimesNewRomanPSMT"/>
          <w:color w:val="000000"/>
          <w:sz w:val="24"/>
          <w:szCs w:val="24"/>
        </w:rPr>
      </w:pPr>
      <w:bookmarkStart w:id="0" w:name="_Hlk3895141"/>
      <w:r>
        <w:rPr>
          <w:rFonts w:ascii="Times New Roman" w:hAnsi="Times New Roman" w:cs="Times New Roman"/>
          <w:sz w:val="24"/>
          <w:szCs w:val="24"/>
        </w:rPr>
        <w:t>Table S1</w:t>
      </w:r>
      <w:r w:rsidRPr="00E053DD">
        <w:rPr>
          <w:rFonts w:ascii="TimesNewRomanPSMT" w:hAnsi="TimesNewRomanPSMT"/>
          <w:color w:val="000000"/>
          <w:sz w:val="24"/>
          <w:szCs w:val="24"/>
        </w:rPr>
        <w:t xml:space="preserve"> – </w:t>
      </w:r>
      <w:r w:rsidRPr="00B21CC7">
        <w:rPr>
          <w:rFonts w:ascii="TimesNewRomanPSMT" w:hAnsi="TimesNewRomanPSMT"/>
          <w:color w:val="000000"/>
          <w:sz w:val="24"/>
          <w:szCs w:val="24"/>
        </w:rPr>
        <w:t xml:space="preserve">Results of </w:t>
      </w:r>
      <w:r>
        <w:rPr>
          <w:rFonts w:ascii="TimesNewRomanPSMT" w:hAnsi="TimesNewRomanPSMT"/>
          <w:color w:val="000000"/>
          <w:sz w:val="24"/>
          <w:szCs w:val="24"/>
        </w:rPr>
        <w:t>analyses of variance</w:t>
      </w:r>
      <w:r w:rsidRPr="00B21CC7">
        <w:rPr>
          <w:rFonts w:ascii="TimesNewRomanPSMT" w:hAnsi="TimesNewRomanPSMT"/>
          <w:color w:val="000000"/>
          <w:sz w:val="24"/>
          <w:szCs w:val="24"/>
        </w:rPr>
        <w:t xml:space="preserve"> examining the effect of </w:t>
      </w:r>
      <w:r>
        <w:rPr>
          <w:rFonts w:ascii="TimesNewRomanPSMT" w:hAnsi="TimesNewRomanPSMT"/>
          <w:color w:val="000000"/>
          <w:sz w:val="24"/>
          <w:szCs w:val="24"/>
        </w:rPr>
        <w:t>soil type</w:t>
      </w:r>
      <w:r w:rsidRPr="00B21CC7">
        <w:rPr>
          <w:rFonts w:ascii="TimesNewRomanPSMT" w:hAnsi="TimesNewRomanPSMT"/>
          <w:color w:val="000000"/>
          <w:sz w:val="24"/>
          <w:szCs w:val="24"/>
        </w:rPr>
        <w:t xml:space="preserve"> on the mean value of the vegetation indices NDVI and EVI and their coefficient of variation during the rainy</w:t>
      </w:r>
      <w:r>
        <w:rPr>
          <w:rFonts w:ascii="TimesNewRomanPSMT" w:hAnsi="TimesNewRomanPSMT"/>
          <w:color w:val="000000"/>
          <w:sz w:val="24"/>
          <w:szCs w:val="24"/>
        </w:rPr>
        <w:t xml:space="preserve"> season</w:t>
      </w:r>
      <w:r w:rsidRPr="00B21CC7"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>of 2011-2016.</w:t>
      </w:r>
    </w:p>
    <w:tbl>
      <w:tblPr>
        <w:tblStyle w:val="Tabelacomgrade"/>
        <w:tblW w:w="312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1"/>
        <w:gridCol w:w="1495"/>
        <w:gridCol w:w="1829"/>
      </w:tblGrid>
      <w:tr w:rsidR="00127A86" w:rsidRPr="00113255" w:rsidTr="004F747F">
        <w:trPr>
          <w:jc w:val="center"/>
        </w:trPr>
        <w:tc>
          <w:tcPr>
            <w:tcW w:w="2056" w:type="pct"/>
            <w:vMerge w:val="restart"/>
            <w:tcBorders>
              <w:top w:val="single" w:sz="4" w:space="0" w:color="auto"/>
            </w:tcBorders>
          </w:tcPr>
          <w:p w:rsidR="00127A86" w:rsidRDefault="00127A86" w:rsidP="004F74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7A86" w:rsidRPr="000A3052" w:rsidRDefault="00127A86" w:rsidP="004F74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Response variable</w:t>
            </w:r>
          </w:p>
        </w:tc>
        <w:tc>
          <w:tcPr>
            <w:tcW w:w="29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7A86" w:rsidRDefault="00127A86" w:rsidP="004F747F">
            <w:pPr>
              <w:ind w:left="-193" w:firstLine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Rainy season</w:t>
            </w:r>
          </w:p>
        </w:tc>
      </w:tr>
      <w:tr w:rsidR="00127A86" w:rsidRPr="00113255" w:rsidTr="004F747F">
        <w:trPr>
          <w:trHeight w:val="161"/>
          <w:jc w:val="center"/>
        </w:trPr>
        <w:tc>
          <w:tcPr>
            <w:tcW w:w="2056" w:type="pct"/>
            <w:vMerge/>
            <w:tcBorders>
              <w:bottom w:val="single" w:sz="4" w:space="0" w:color="auto"/>
            </w:tcBorders>
          </w:tcPr>
          <w:p w:rsidR="00127A86" w:rsidRPr="000A3052" w:rsidRDefault="00127A86" w:rsidP="004F74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:rsidR="00127A86" w:rsidRPr="000E6117" w:rsidRDefault="00127A86" w:rsidP="004F74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8D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1620" w:type="pct"/>
            <w:tcBorders>
              <w:top w:val="single" w:sz="4" w:space="0" w:color="auto"/>
              <w:bottom w:val="single" w:sz="4" w:space="0" w:color="auto"/>
            </w:tcBorders>
          </w:tcPr>
          <w:p w:rsidR="00127A86" w:rsidRPr="008C2B8D" w:rsidRDefault="00127A86" w:rsidP="004F74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2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</w:p>
        </w:tc>
      </w:tr>
      <w:tr w:rsidR="00127A86" w:rsidRPr="00113255" w:rsidTr="004F747F">
        <w:trPr>
          <w:trHeight w:val="535"/>
          <w:jc w:val="center"/>
        </w:trPr>
        <w:tc>
          <w:tcPr>
            <w:tcW w:w="2056" w:type="pct"/>
            <w:tcBorders>
              <w:top w:val="single" w:sz="4" w:space="0" w:color="auto"/>
            </w:tcBorders>
          </w:tcPr>
          <w:p w:rsidR="00127A86" w:rsidRPr="000A3052" w:rsidRDefault="00127A86" w:rsidP="004F7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52">
              <w:rPr>
                <w:rFonts w:ascii="Times New Roman" w:hAnsi="Times New Roman" w:cs="Times New Roman"/>
                <w:sz w:val="20"/>
                <w:szCs w:val="20"/>
              </w:rPr>
              <w:t>Landscape NDVI</w:t>
            </w:r>
          </w:p>
        </w:tc>
        <w:tc>
          <w:tcPr>
            <w:tcW w:w="1324" w:type="pct"/>
            <w:tcBorders>
              <w:top w:val="single" w:sz="4" w:space="0" w:color="auto"/>
            </w:tcBorders>
          </w:tcPr>
          <w:p w:rsidR="00127A86" w:rsidRPr="00113255" w:rsidRDefault="00127A86" w:rsidP="004F7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1620" w:type="pct"/>
            <w:tcBorders>
              <w:top w:val="single" w:sz="4" w:space="0" w:color="auto"/>
            </w:tcBorders>
          </w:tcPr>
          <w:p w:rsidR="00127A86" w:rsidRPr="00113255" w:rsidRDefault="00127A86" w:rsidP="004F7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</w:tr>
      <w:tr w:rsidR="00127A86" w:rsidRPr="00113255" w:rsidTr="004F747F">
        <w:trPr>
          <w:jc w:val="center"/>
        </w:trPr>
        <w:tc>
          <w:tcPr>
            <w:tcW w:w="2056" w:type="pct"/>
          </w:tcPr>
          <w:p w:rsidR="00127A86" w:rsidRPr="000A3052" w:rsidRDefault="00127A86" w:rsidP="004F74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Landscape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F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EVI</w:t>
            </w:r>
          </w:p>
        </w:tc>
        <w:tc>
          <w:tcPr>
            <w:tcW w:w="1324" w:type="pct"/>
          </w:tcPr>
          <w:p w:rsidR="00127A86" w:rsidRPr="00113255" w:rsidRDefault="00127A86" w:rsidP="004F7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620" w:type="pct"/>
          </w:tcPr>
          <w:p w:rsidR="00127A86" w:rsidRPr="00113255" w:rsidRDefault="00127A86" w:rsidP="004F7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</w:tr>
      <w:tr w:rsidR="00127A86" w:rsidRPr="00113255" w:rsidTr="004F747F">
        <w:trPr>
          <w:jc w:val="center"/>
        </w:trPr>
        <w:tc>
          <w:tcPr>
            <w:tcW w:w="2056" w:type="pct"/>
          </w:tcPr>
          <w:p w:rsidR="00127A86" w:rsidRPr="000A3052" w:rsidRDefault="00127A86" w:rsidP="004F74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Forest NDVI</w:t>
            </w:r>
          </w:p>
        </w:tc>
        <w:tc>
          <w:tcPr>
            <w:tcW w:w="1324" w:type="pct"/>
          </w:tcPr>
          <w:p w:rsidR="00127A86" w:rsidRPr="00113255" w:rsidRDefault="00127A86" w:rsidP="004F7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620" w:type="pct"/>
          </w:tcPr>
          <w:p w:rsidR="00127A86" w:rsidRPr="00113255" w:rsidRDefault="00127A86" w:rsidP="004F7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</w:tr>
      <w:tr w:rsidR="00127A86" w:rsidRPr="00113255" w:rsidTr="004F747F">
        <w:trPr>
          <w:jc w:val="center"/>
        </w:trPr>
        <w:tc>
          <w:tcPr>
            <w:tcW w:w="2056" w:type="pct"/>
          </w:tcPr>
          <w:p w:rsidR="00127A86" w:rsidRPr="000A3052" w:rsidRDefault="00127A86" w:rsidP="004F74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Forest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</w:t>
            </w:r>
            <w:r w:rsidRPr="00FF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</w:t>
            </w:r>
          </w:p>
        </w:tc>
        <w:tc>
          <w:tcPr>
            <w:tcW w:w="1324" w:type="pct"/>
          </w:tcPr>
          <w:p w:rsidR="00127A86" w:rsidRPr="00113255" w:rsidRDefault="00127A86" w:rsidP="004F7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620" w:type="pct"/>
          </w:tcPr>
          <w:p w:rsidR="00127A86" w:rsidRPr="00113255" w:rsidRDefault="00127A86" w:rsidP="004F7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</w:tr>
      <w:tr w:rsidR="00127A86" w:rsidRPr="00113255" w:rsidTr="004F747F">
        <w:trPr>
          <w:jc w:val="center"/>
        </w:trPr>
        <w:tc>
          <w:tcPr>
            <w:tcW w:w="2056" w:type="pct"/>
          </w:tcPr>
          <w:p w:rsidR="00127A86" w:rsidRPr="00113255" w:rsidRDefault="00127A86" w:rsidP="004F7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Cropland NDV</w:t>
            </w:r>
            <w:r w:rsidRPr="00FF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324" w:type="pct"/>
          </w:tcPr>
          <w:p w:rsidR="00127A86" w:rsidRPr="00113255" w:rsidRDefault="00127A86" w:rsidP="004F7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1620" w:type="pct"/>
          </w:tcPr>
          <w:p w:rsidR="00127A86" w:rsidRPr="00113255" w:rsidRDefault="00127A86" w:rsidP="004F7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</w:tr>
      <w:tr w:rsidR="00127A86" w:rsidRPr="00113255" w:rsidTr="004F747F">
        <w:trPr>
          <w:jc w:val="center"/>
        </w:trPr>
        <w:tc>
          <w:tcPr>
            <w:tcW w:w="2056" w:type="pct"/>
          </w:tcPr>
          <w:p w:rsidR="00127A86" w:rsidRPr="00113255" w:rsidRDefault="00127A86" w:rsidP="004F7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Cropland EV</w:t>
            </w:r>
            <w:r w:rsidRPr="00FF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324" w:type="pct"/>
          </w:tcPr>
          <w:p w:rsidR="00127A86" w:rsidRPr="00113255" w:rsidRDefault="00127A86" w:rsidP="004F7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620" w:type="pct"/>
          </w:tcPr>
          <w:p w:rsidR="00127A86" w:rsidRPr="00EF60D8" w:rsidRDefault="00127A86" w:rsidP="004F7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D8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127A86" w:rsidRPr="00113255" w:rsidTr="004F747F">
        <w:trPr>
          <w:jc w:val="center"/>
        </w:trPr>
        <w:tc>
          <w:tcPr>
            <w:tcW w:w="2056" w:type="pct"/>
          </w:tcPr>
          <w:p w:rsidR="00127A86" w:rsidRPr="00113255" w:rsidRDefault="00127A86" w:rsidP="004F7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Forest CV NDVI</w:t>
            </w:r>
          </w:p>
        </w:tc>
        <w:tc>
          <w:tcPr>
            <w:tcW w:w="1324" w:type="pct"/>
          </w:tcPr>
          <w:p w:rsidR="00127A86" w:rsidRPr="00113255" w:rsidRDefault="00127A86" w:rsidP="004F7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620" w:type="pct"/>
          </w:tcPr>
          <w:p w:rsidR="00127A86" w:rsidRPr="00EF60D8" w:rsidRDefault="00127A86" w:rsidP="004F7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D8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</w:tr>
      <w:tr w:rsidR="00127A86" w:rsidRPr="00113255" w:rsidTr="004F747F">
        <w:trPr>
          <w:jc w:val="center"/>
        </w:trPr>
        <w:tc>
          <w:tcPr>
            <w:tcW w:w="2056" w:type="pct"/>
          </w:tcPr>
          <w:p w:rsidR="00127A86" w:rsidRPr="00113255" w:rsidRDefault="00127A86" w:rsidP="004F7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Forest CV EVI</w:t>
            </w:r>
          </w:p>
        </w:tc>
        <w:tc>
          <w:tcPr>
            <w:tcW w:w="1324" w:type="pct"/>
          </w:tcPr>
          <w:p w:rsidR="00127A86" w:rsidRPr="00113255" w:rsidRDefault="00127A86" w:rsidP="004F7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1.68</w:t>
            </w:r>
          </w:p>
        </w:tc>
        <w:tc>
          <w:tcPr>
            <w:tcW w:w="1620" w:type="pct"/>
          </w:tcPr>
          <w:p w:rsidR="00127A86" w:rsidRPr="00EF60D8" w:rsidRDefault="00127A86" w:rsidP="004F7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D8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</w:tr>
      <w:tr w:rsidR="00127A86" w:rsidRPr="00113255" w:rsidTr="004F747F">
        <w:trPr>
          <w:jc w:val="center"/>
        </w:trPr>
        <w:tc>
          <w:tcPr>
            <w:tcW w:w="2056" w:type="pct"/>
          </w:tcPr>
          <w:p w:rsidR="00127A86" w:rsidRPr="00113255" w:rsidRDefault="00127A86" w:rsidP="004F7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Cropland CV NDVI</w:t>
            </w:r>
          </w:p>
        </w:tc>
        <w:tc>
          <w:tcPr>
            <w:tcW w:w="1324" w:type="pct"/>
          </w:tcPr>
          <w:p w:rsidR="00127A86" w:rsidRPr="00113255" w:rsidRDefault="00127A86" w:rsidP="004F7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4.29</w:t>
            </w:r>
          </w:p>
        </w:tc>
        <w:tc>
          <w:tcPr>
            <w:tcW w:w="1620" w:type="pct"/>
          </w:tcPr>
          <w:p w:rsidR="00127A86" w:rsidRPr="00EF60D8" w:rsidRDefault="00127A86" w:rsidP="004F7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D8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</w:tr>
      <w:tr w:rsidR="00127A86" w:rsidRPr="00113255" w:rsidTr="004F747F">
        <w:trPr>
          <w:jc w:val="center"/>
        </w:trPr>
        <w:tc>
          <w:tcPr>
            <w:tcW w:w="2056" w:type="pct"/>
            <w:tcBorders>
              <w:bottom w:val="single" w:sz="4" w:space="0" w:color="auto"/>
            </w:tcBorders>
          </w:tcPr>
          <w:p w:rsidR="00127A86" w:rsidRPr="00113255" w:rsidRDefault="00127A86" w:rsidP="004F7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Cropland CV EVI</w:t>
            </w:r>
          </w:p>
        </w:tc>
        <w:tc>
          <w:tcPr>
            <w:tcW w:w="1324" w:type="pct"/>
            <w:tcBorders>
              <w:bottom w:val="single" w:sz="4" w:space="0" w:color="auto"/>
            </w:tcBorders>
          </w:tcPr>
          <w:p w:rsidR="00127A86" w:rsidRPr="00113255" w:rsidRDefault="00127A86" w:rsidP="004F7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1620" w:type="pct"/>
            <w:tcBorders>
              <w:bottom w:val="single" w:sz="4" w:space="0" w:color="auto"/>
            </w:tcBorders>
          </w:tcPr>
          <w:p w:rsidR="00127A86" w:rsidRPr="00113255" w:rsidRDefault="00127A86" w:rsidP="004F7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</w:tr>
    </w:tbl>
    <w:p w:rsidR="00127A86" w:rsidRDefault="00127A86" w:rsidP="00127A86">
      <w:pPr>
        <w:shd w:val="clear" w:color="auto" w:fill="FFFFFF"/>
        <w:ind w:firstLine="709"/>
        <w:jc w:val="left"/>
        <w:rPr>
          <w:rFonts w:ascii="TimesNewRomanPSMT" w:hAnsi="TimesNewRomanPSMT"/>
          <w:color w:val="000000"/>
          <w:sz w:val="24"/>
          <w:szCs w:val="24"/>
        </w:rPr>
      </w:pPr>
    </w:p>
    <w:p w:rsidR="00A544FF" w:rsidRPr="00127A86" w:rsidRDefault="00A544FF" w:rsidP="00127A86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sectPr w:rsidR="00A544FF" w:rsidRPr="00127A86" w:rsidSect="009C17DA">
      <w:headerReference w:type="even" r:id="rId4"/>
      <w:footerReference w:type="even" r:id="rId5"/>
      <w:footerReference w:type="default" r:id="rId6"/>
      <w:pgSz w:w="11906" w:h="16838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4E" w:rsidRDefault="00127A86">
    <w:pPr>
      <w:pStyle w:val="Rodap"/>
    </w:pPr>
  </w:p>
  <w:p w:rsidR="0031744E" w:rsidRDefault="00127A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030144"/>
      <w:docPartObj>
        <w:docPartGallery w:val="Page Numbers (Bottom of Page)"/>
        <w:docPartUnique/>
      </w:docPartObj>
    </w:sdtPr>
    <w:sdtEndPr/>
    <w:sdtContent>
      <w:p w:rsidR="0031744E" w:rsidRDefault="00127A86" w:rsidP="002A776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27A86">
          <w:rPr>
            <w:noProof/>
            <w:lang w:val="pt-BR"/>
          </w:rPr>
          <w:t>1</w:t>
        </w:r>
        <w:r>
          <w:rPr>
            <w:noProof/>
            <w:lang w:val="pt-BR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4E" w:rsidRDefault="00127A86">
    <w:pPr>
      <w:pStyle w:val="Cabealho"/>
    </w:pPr>
  </w:p>
  <w:p w:rsidR="0031744E" w:rsidRDefault="00127A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86"/>
    <w:rsid w:val="00127A86"/>
    <w:rsid w:val="00A5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966C"/>
  <w15:chartTrackingRefBased/>
  <w15:docId w15:val="{7F0CA5CE-6ABD-4A20-9B3E-55B71519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A86"/>
    <w:pPr>
      <w:spacing w:line="480" w:lineRule="auto"/>
      <w:jc w:val="both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27A8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27A8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A86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127A8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A86"/>
    <w:rPr>
      <w:lang w:val="en-US"/>
    </w:rPr>
  </w:style>
  <w:style w:type="character" w:styleId="Nmerodelinha">
    <w:name w:val="line number"/>
    <w:basedOn w:val="Fontepargpadro"/>
    <w:uiPriority w:val="99"/>
    <w:semiHidden/>
    <w:unhideWhenUsed/>
    <w:rsid w:val="00127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2" Type="http://schemas.openxmlformats.org/officeDocument/2006/relationships/settings" Target="settings.xml"/>
   <Relationship Id="rId3" Type="http://schemas.openxmlformats.org/officeDocument/2006/relationships/webSettings" Target="webSettings.xml"/>
   <Relationship Id="rId4" Type="http://schemas.openxmlformats.org/officeDocument/2006/relationships/header" Target="header1.xml"/>
   <Relationship Id="rId5" Type="http://schemas.openxmlformats.org/officeDocument/2006/relationships/footer" Target="footer1.xml"/>
   <Relationship Id="rId6" Type="http://schemas.openxmlformats.org/officeDocument/2006/relationships/footer" Target="footer2.xml"/>
   <Relationship Id="rId7" Type="http://schemas.openxmlformats.org/officeDocument/2006/relationships/fontTable" Target="fontTable.xml"/>
   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