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868B6" w14:textId="548A9BB7" w:rsidR="00ED7CA0" w:rsidRPr="00C26B05" w:rsidRDefault="00ED7CA0" w:rsidP="004564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9E5">
        <w:rPr>
          <w:rFonts w:ascii="Times New Roman" w:hAnsi="Times New Roman" w:cs="Times New Roman"/>
          <w:b/>
          <w:sz w:val="24"/>
          <w:szCs w:val="24"/>
          <w:lang w:val="en-US"/>
        </w:rPr>
        <w:t>Appendix S</w:t>
      </w:r>
      <w:r w:rsidR="0026297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851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759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456454" w:rsidRPr="004564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Species richness patterns for avifauna associated to “northern” Neotropical seasonally dry forests (</w:t>
      </w:r>
      <w:proofErr w:type="spellStart"/>
      <w:r w:rsidR="00456454" w:rsidRPr="004564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NSDF</w:t>
      </w:r>
      <w:proofErr w:type="spellEnd"/>
      <w:r w:rsidR="00456454" w:rsidRPr="0045645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projected under two representative concentration pathways of greenhouse gas concentration (RCP 4.5 and 8.5) for years 2050 and 2070, and considering a not-dispersal ability of species. </w:t>
      </w:r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Inserted histograms in maps represent the number of species and their proportional change (i.e., 0-25%, 25-50%, and &gt;50%) losing (gray) in the distributional areas between current climatic conditions and future scenarios. Acronyms and colors in the graphs corr</w:t>
      </w:r>
      <w:bookmarkStart w:id="0" w:name="_GoBack"/>
      <w:bookmarkEnd w:id="0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espond to the names for the six main </w:t>
      </w:r>
      <w:proofErr w:type="spellStart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NSDF</w:t>
      </w:r>
      <w:proofErr w:type="spellEnd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-regions analyzed herein: Caribbean islands (CA), northwestern Mexico (</w:t>
      </w:r>
      <w:proofErr w:type="spellStart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NMx</w:t>
      </w:r>
      <w:proofErr w:type="spellEnd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), Yucatan Peninsula (</w:t>
      </w:r>
      <w:proofErr w:type="spellStart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YP</w:t>
      </w:r>
      <w:proofErr w:type="spellEnd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), Central America, (</w:t>
      </w:r>
      <w:proofErr w:type="spellStart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CAm</w:t>
      </w:r>
      <w:proofErr w:type="spellEnd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) Caribbean coast of Colombia-Venezuela (CCV), and the northern Inter-Andean valleys in Colombia (</w:t>
      </w:r>
      <w:proofErr w:type="spellStart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NIAv</w:t>
      </w:r>
      <w:proofErr w:type="spellEnd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). Graphic correspond to means (black circles) and standard deviations (horizontal bars) values for the proportional richness, mean proportional range size and covariance for avifauna associated to Neotropical seasonally dry forests (</w:t>
      </w:r>
      <w:proofErr w:type="spellStart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NSDF</w:t>
      </w:r>
      <w:proofErr w:type="spellEnd"/>
      <w:r w:rsidR="00456454" w:rsidRPr="00456454">
        <w:rPr>
          <w:rFonts w:ascii="Times New Roman" w:eastAsia="Calibri" w:hAnsi="Times New Roman" w:cs="Times New Roman"/>
          <w:sz w:val="24"/>
          <w:szCs w:val="24"/>
          <w:lang w:val="en-US"/>
        </w:rPr>
        <w:t>) regions under current climatic conditions and different climate change scenarios considering the not-dispersal ability of species.</w:t>
      </w:r>
    </w:p>
    <w:p w14:paraId="1FA5D7D9" w14:textId="6484A414" w:rsidR="00DE593A" w:rsidRDefault="00456454">
      <w:pPr>
        <w:rPr>
          <w:lang w:val="en-US"/>
        </w:rPr>
      </w:pPr>
      <w:r w:rsidRPr="00ED7CA0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344920B" wp14:editId="0288D0B9">
            <wp:simplePos x="0" y="0"/>
            <wp:positionH relativeFrom="margin">
              <wp:posOffset>165735</wp:posOffset>
            </wp:positionH>
            <wp:positionV relativeFrom="paragraph">
              <wp:posOffset>3810</wp:posOffset>
            </wp:positionV>
            <wp:extent cx="5818505" cy="3569970"/>
            <wp:effectExtent l="0" t="0" r="0" b="0"/>
            <wp:wrapNone/>
            <wp:docPr id="1" name="Imagen 1" descr="C:\Users\D&amp;D\Dropbox\Prieto et al. NSDF avifauna and climate change\archivos_finales\Appendix S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&amp;D\Dropbox\Prieto et al. NSDF avifauna and climate change\archivos_finales\Appendix S6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66F7B" w14:textId="77777777" w:rsidR="00ED7CA0" w:rsidRDefault="00ED7CA0">
      <w:pPr>
        <w:rPr>
          <w:lang w:val="en-US"/>
        </w:rPr>
      </w:pPr>
    </w:p>
    <w:p w14:paraId="66FF9EBE" w14:textId="77777777" w:rsidR="00126998" w:rsidRDefault="00126998">
      <w:pPr>
        <w:rPr>
          <w:lang w:val="en-US"/>
        </w:rPr>
      </w:pPr>
    </w:p>
    <w:p w14:paraId="7779CFCA" w14:textId="77777777" w:rsidR="00126998" w:rsidRDefault="00126998">
      <w:pPr>
        <w:rPr>
          <w:lang w:val="en-US"/>
        </w:rPr>
      </w:pPr>
    </w:p>
    <w:p w14:paraId="17256063" w14:textId="77777777" w:rsidR="00126998" w:rsidRDefault="00126998">
      <w:pPr>
        <w:rPr>
          <w:lang w:val="en-US"/>
        </w:rPr>
      </w:pPr>
    </w:p>
    <w:p w14:paraId="0FEF6DF1" w14:textId="77777777" w:rsidR="00126998" w:rsidRDefault="00126998">
      <w:pPr>
        <w:rPr>
          <w:lang w:val="en-US"/>
        </w:rPr>
      </w:pPr>
    </w:p>
    <w:p w14:paraId="6F595DF6" w14:textId="77777777" w:rsidR="00126998" w:rsidRDefault="00126998">
      <w:pPr>
        <w:rPr>
          <w:lang w:val="en-US"/>
        </w:rPr>
      </w:pPr>
    </w:p>
    <w:p w14:paraId="52769509" w14:textId="77777777" w:rsidR="00126998" w:rsidRDefault="00126998">
      <w:pPr>
        <w:rPr>
          <w:lang w:val="en-US"/>
        </w:rPr>
      </w:pPr>
    </w:p>
    <w:p w14:paraId="2A405F0D" w14:textId="77777777" w:rsidR="00126998" w:rsidRDefault="00126998">
      <w:pPr>
        <w:rPr>
          <w:lang w:val="en-US"/>
        </w:rPr>
      </w:pPr>
    </w:p>
    <w:p w14:paraId="028B34F7" w14:textId="77777777" w:rsidR="00126998" w:rsidRDefault="00126998">
      <w:pPr>
        <w:rPr>
          <w:lang w:val="en-US"/>
        </w:rPr>
      </w:pPr>
    </w:p>
    <w:p w14:paraId="317BA6E5" w14:textId="77777777" w:rsidR="00126998" w:rsidRDefault="00126998">
      <w:pPr>
        <w:rPr>
          <w:lang w:val="en-US"/>
        </w:rPr>
      </w:pPr>
    </w:p>
    <w:p w14:paraId="6FBE7DC0" w14:textId="4461B2C5" w:rsidR="00126998" w:rsidRDefault="00D66CDB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6A201EA" wp14:editId="452052E0">
            <wp:simplePos x="0" y="0"/>
            <wp:positionH relativeFrom="margin">
              <wp:posOffset>80010</wp:posOffset>
            </wp:positionH>
            <wp:positionV relativeFrom="paragraph">
              <wp:posOffset>249365</wp:posOffset>
            </wp:positionV>
            <wp:extent cx="5731510" cy="3596640"/>
            <wp:effectExtent l="0" t="0" r="254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B286E" w14:textId="7201A69C" w:rsidR="00126998" w:rsidRPr="0037354E" w:rsidRDefault="00126998">
      <w:pPr>
        <w:rPr>
          <w:lang w:val="en-US"/>
        </w:rPr>
      </w:pPr>
    </w:p>
    <w:p w14:paraId="4D7B0390" w14:textId="440B8A74" w:rsidR="00126998" w:rsidRDefault="00126998">
      <w:pPr>
        <w:rPr>
          <w:lang w:val="en-US"/>
        </w:rPr>
      </w:pPr>
    </w:p>
    <w:p w14:paraId="09CB6015" w14:textId="4E6F9BD5" w:rsidR="00D66CDB" w:rsidRDefault="00D66CDB">
      <w:pPr>
        <w:rPr>
          <w:lang w:val="en-US"/>
        </w:rPr>
      </w:pPr>
    </w:p>
    <w:p w14:paraId="2ABA0A08" w14:textId="12364193" w:rsidR="00D66CDB" w:rsidRDefault="00D66CDB">
      <w:pPr>
        <w:rPr>
          <w:lang w:val="en-US"/>
        </w:rPr>
      </w:pPr>
    </w:p>
    <w:p w14:paraId="467E6CB5" w14:textId="521D9E56" w:rsidR="00D66CDB" w:rsidRDefault="00D66CDB">
      <w:pPr>
        <w:rPr>
          <w:lang w:val="en-US"/>
        </w:rPr>
      </w:pPr>
    </w:p>
    <w:p w14:paraId="5550281A" w14:textId="525C3E0C" w:rsidR="00D66CDB" w:rsidRDefault="00D66CDB">
      <w:pPr>
        <w:rPr>
          <w:lang w:val="en-US"/>
        </w:rPr>
      </w:pPr>
    </w:p>
    <w:p w14:paraId="37C53989" w14:textId="201FD991" w:rsidR="00D66CDB" w:rsidRDefault="00D66CDB">
      <w:pPr>
        <w:rPr>
          <w:lang w:val="en-US"/>
        </w:rPr>
      </w:pPr>
    </w:p>
    <w:p w14:paraId="00EA64BA" w14:textId="16AD7BB5" w:rsidR="00D66CDB" w:rsidRDefault="00D66CDB">
      <w:pPr>
        <w:rPr>
          <w:lang w:val="en-US"/>
        </w:rPr>
      </w:pPr>
    </w:p>
    <w:p w14:paraId="186F8142" w14:textId="322373D8" w:rsidR="00D66CDB" w:rsidRDefault="00D66CDB">
      <w:pPr>
        <w:rPr>
          <w:lang w:val="en-US"/>
        </w:rPr>
      </w:pPr>
    </w:p>
    <w:p w14:paraId="151FEE01" w14:textId="2DE4F5C1" w:rsidR="00D66CDB" w:rsidRDefault="00D66CDB">
      <w:pPr>
        <w:rPr>
          <w:lang w:val="en-US"/>
        </w:rPr>
      </w:pPr>
    </w:p>
    <w:p w14:paraId="43B4C348" w14:textId="77777777" w:rsidR="00D66CDB" w:rsidRPr="00ED7CA0" w:rsidRDefault="00D66CDB">
      <w:pPr>
        <w:rPr>
          <w:lang w:val="en-US"/>
        </w:rPr>
      </w:pPr>
    </w:p>
    <w:sectPr w:rsidR="00D66CDB" w:rsidRPr="00ED7CA0" w:rsidSect="00456454">
      <w:pgSz w:w="11906" w:h="16838"/>
      <w:pgMar w:top="568" w:right="849" w:bottom="426" w:left="993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6A64E" w14:textId="77777777" w:rsidR="00FF3AA5" w:rsidRDefault="00FF3AA5" w:rsidP="00ED7CA0">
      <w:pPr>
        <w:spacing w:after="0" w:line="240" w:lineRule="auto"/>
      </w:pPr>
      <w:r>
        <w:separator/>
      </w:r>
    </w:p>
  </w:endnote>
  <w:endnote w:type="continuationSeparator" w:id="0">
    <w:p w14:paraId="148AFEE6" w14:textId="77777777" w:rsidR="00FF3AA5" w:rsidRDefault="00FF3AA5" w:rsidP="00ED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7AB9B" w14:textId="77777777" w:rsidR="00FF3AA5" w:rsidRDefault="00FF3AA5" w:rsidP="00ED7CA0">
      <w:pPr>
        <w:spacing w:after="0" w:line="240" w:lineRule="auto"/>
      </w:pPr>
      <w:r>
        <w:separator/>
      </w:r>
    </w:p>
  </w:footnote>
  <w:footnote w:type="continuationSeparator" w:id="0">
    <w:p w14:paraId="3C394988" w14:textId="77777777" w:rsidR="00FF3AA5" w:rsidRDefault="00FF3AA5" w:rsidP="00ED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A0"/>
    <w:rsid w:val="00126998"/>
    <w:rsid w:val="00262976"/>
    <w:rsid w:val="0037354E"/>
    <w:rsid w:val="00456454"/>
    <w:rsid w:val="008A187B"/>
    <w:rsid w:val="009018F2"/>
    <w:rsid w:val="00937203"/>
    <w:rsid w:val="00D66CDB"/>
    <w:rsid w:val="00DE593A"/>
    <w:rsid w:val="00EB7EBA"/>
    <w:rsid w:val="00ED7CA0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719C"/>
  <w15:chartTrackingRefBased/>
  <w15:docId w15:val="{356F3475-BC98-4F83-9DB8-385050F1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A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CA0"/>
    <w:rPr>
      <w:lang w:val="es-MX"/>
    </w:rPr>
  </w:style>
  <w:style w:type="character" w:styleId="Nmerodelnea">
    <w:name w:val="line number"/>
    <w:basedOn w:val="Fuentedeprrafopredeter"/>
    <w:uiPriority w:val="99"/>
    <w:semiHidden/>
    <w:unhideWhenUsed/>
    <w:rsid w:val="00ED7CA0"/>
  </w:style>
  <w:style w:type="paragraph" w:styleId="Piedepgina">
    <w:name w:val="footer"/>
    <w:basedOn w:val="Normal"/>
    <w:link w:val="PiedepginaCar"/>
    <w:uiPriority w:val="99"/>
    <w:unhideWhenUsed/>
    <w:rsid w:val="00ED7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CA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AdolfoPCB</cp:lastModifiedBy>
  <cp:revision>7</cp:revision>
  <dcterms:created xsi:type="dcterms:W3CDTF">2019-09-03T17:40:00Z</dcterms:created>
  <dcterms:modified xsi:type="dcterms:W3CDTF">2020-01-14T21:40:00Z</dcterms:modified>
</cp:coreProperties>
</file>