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FB8D68" w14:textId="0F877B28" w:rsidR="00960D1E" w:rsidRPr="009B45C1" w:rsidRDefault="00960D1E" w:rsidP="00960D1E">
      <w:pPr>
        <w:pStyle w:val="BodyText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ind w:left="0"/>
        <w:rPr>
          <w:rStyle w:val="PageNumber"/>
          <w:b/>
          <w:bCs/>
        </w:rPr>
      </w:pPr>
      <w:bookmarkStart w:id="0" w:name="_GoBack"/>
      <w:bookmarkEnd w:id="0"/>
      <w:r w:rsidRPr="009B45C1">
        <w:rPr>
          <w:rStyle w:val="PageNumber"/>
          <w:b/>
          <w:bCs/>
        </w:rPr>
        <w:t>Appendix S1</w:t>
      </w:r>
    </w:p>
    <w:p w14:paraId="216CAAA5" w14:textId="36BC248A" w:rsidR="00960D1E" w:rsidRDefault="00960D1E" w:rsidP="00960D1E">
      <w:pPr>
        <w:pStyle w:val="BodyText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ind w:left="0"/>
        <w:rPr>
          <w:rStyle w:val="PageNumber"/>
        </w:rPr>
      </w:pPr>
      <w:r w:rsidRPr="00D5641E">
        <w:rPr>
          <w:rStyle w:val="PageNumber"/>
        </w:rPr>
        <w:t xml:space="preserve">Table </w:t>
      </w:r>
      <w:r>
        <w:rPr>
          <w:rStyle w:val="PageNumber"/>
        </w:rPr>
        <w:t>S</w:t>
      </w:r>
      <w:r w:rsidRPr="00D5641E">
        <w:rPr>
          <w:rStyle w:val="PageNumber"/>
        </w:rPr>
        <w:t xml:space="preserve">1. </w:t>
      </w:r>
      <w:r>
        <w:rPr>
          <w:rStyle w:val="PageNumber"/>
        </w:rPr>
        <w:t>Principal components analysis. Loadings of</w:t>
      </w:r>
      <w:r w:rsidRPr="00D5641E">
        <w:rPr>
          <w:rStyle w:val="PageNumber"/>
        </w:rPr>
        <w:t xml:space="preserve"> the first and second principal components of seven </w:t>
      </w:r>
      <w:r w:rsidR="00215BAA">
        <w:rPr>
          <w:rStyle w:val="PageNumber"/>
        </w:rPr>
        <w:t xml:space="preserve">structural </w:t>
      </w:r>
      <w:r w:rsidRPr="00D5641E">
        <w:rPr>
          <w:rStyle w:val="PageNumber"/>
        </w:rPr>
        <w:t>characteristics measured at each experimental plot pair</w:t>
      </w:r>
      <w:r>
        <w:rPr>
          <w:rStyle w:val="PageNumbe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1597"/>
        <w:gridCol w:w="1657"/>
      </w:tblGrid>
      <w:tr w:rsidR="00960D1E" w:rsidRPr="00160B90" w14:paraId="2038A879" w14:textId="77777777" w:rsidTr="00713DCE">
        <w:trPr>
          <w:trHeight w:val="330"/>
        </w:trPr>
        <w:tc>
          <w:tcPr>
            <w:tcW w:w="0" w:type="auto"/>
            <w:shd w:val="clear" w:color="auto" w:fill="auto"/>
          </w:tcPr>
          <w:p w14:paraId="60DB49F1" w14:textId="6AD2A3D6" w:rsidR="00960D1E" w:rsidRPr="00160B90" w:rsidRDefault="00215BAA"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Pr>
                <w:rStyle w:val="PageNumber"/>
                <w:lang w:eastAsia="en-US"/>
              </w:rPr>
              <w:t>Structural</w:t>
            </w:r>
            <w:r w:rsidRPr="00160B90">
              <w:rPr>
                <w:rStyle w:val="PageNumber"/>
                <w:lang w:eastAsia="en-US"/>
              </w:rPr>
              <w:t xml:space="preserve"> </w:t>
            </w:r>
            <w:r w:rsidR="00960D1E" w:rsidRPr="00160B90">
              <w:rPr>
                <w:rStyle w:val="PageNumber"/>
                <w:lang w:eastAsia="en-US"/>
              </w:rPr>
              <w:t>characteristic</w:t>
            </w:r>
          </w:p>
        </w:tc>
        <w:tc>
          <w:tcPr>
            <w:tcW w:w="0" w:type="auto"/>
            <w:shd w:val="clear" w:color="auto" w:fill="auto"/>
          </w:tcPr>
          <w:p w14:paraId="57B07FC3"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PCAF1 (56%)</w:t>
            </w:r>
          </w:p>
        </w:tc>
        <w:tc>
          <w:tcPr>
            <w:tcW w:w="0" w:type="auto"/>
            <w:shd w:val="clear" w:color="auto" w:fill="auto"/>
          </w:tcPr>
          <w:p w14:paraId="2922342F"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 xml:space="preserve"> PCAF2 (27%)</w:t>
            </w:r>
          </w:p>
        </w:tc>
      </w:tr>
      <w:tr w:rsidR="00960D1E" w:rsidRPr="00160B90" w14:paraId="13BA34F8" w14:textId="77777777" w:rsidTr="00713DCE">
        <w:trPr>
          <w:trHeight w:val="330"/>
        </w:trPr>
        <w:tc>
          <w:tcPr>
            <w:tcW w:w="0" w:type="auto"/>
            <w:shd w:val="clear" w:color="auto" w:fill="auto"/>
          </w:tcPr>
          <w:p w14:paraId="38A3E2AE"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Canopy cover</w:t>
            </w:r>
          </w:p>
        </w:tc>
        <w:tc>
          <w:tcPr>
            <w:tcW w:w="0" w:type="auto"/>
            <w:shd w:val="clear" w:color="auto" w:fill="auto"/>
          </w:tcPr>
          <w:p w14:paraId="023BF3F3"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0.705</w:t>
            </w:r>
          </w:p>
        </w:tc>
        <w:tc>
          <w:tcPr>
            <w:tcW w:w="0" w:type="auto"/>
            <w:shd w:val="clear" w:color="auto" w:fill="auto"/>
          </w:tcPr>
          <w:p w14:paraId="510A505F"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-0.599</w:t>
            </w:r>
          </w:p>
        </w:tc>
      </w:tr>
      <w:tr w:rsidR="00960D1E" w:rsidRPr="00160B90" w14:paraId="0A040F62" w14:textId="77777777" w:rsidTr="00713DCE">
        <w:trPr>
          <w:trHeight w:val="330"/>
        </w:trPr>
        <w:tc>
          <w:tcPr>
            <w:tcW w:w="0" w:type="auto"/>
            <w:shd w:val="clear" w:color="auto" w:fill="auto"/>
          </w:tcPr>
          <w:p w14:paraId="698EBA26"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Litter depth</w:t>
            </w:r>
          </w:p>
        </w:tc>
        <w:tc>
          <w:tcPr>
            <w:tcW w:w="0" w:type="auto"/>
            <w:shd w:val="clear" w:color="auto" w:fill="auto"/>
          </w:tcPr>
          <w:p w14:paraId="23883C84"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-0.040</w:t>
            </w:r>
          </w:p>
        </w:tc>
        <w:tc>
          <w:tcPr>
            <w:tcW w:w="0" w:type="auto"/>
            <w:shd w:val="clear" w:color="auto" w:fill="auto"/>
          </w:tcPr>
          <w:p w14:paraId="3C865F55"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0.017</w:t>
            </w:r>
          </w:p>
        </w:tc>
      </w:tr>
      <w:tr w:rsidR="00960D1E" w:rsidRPr="00160B90" w14:paraId="34523CFF" w14:textId="77777777" w:rsidTr="00713DCE">
        <w:trPr>
          <w:trHeight w:val="330"/>
        </w:trPr>
        <w:tc>
          <w:tcPr>
            <w:tcW w:w="0" w:type="auto"/>
            <w:shd w:val="clear" w:color="auto" w:fill="auto"/>
          </w:tcPr>
          <w:p w14:paraId="58CECB5D"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Bamboo density</w:t>
            </w:r>
          </w:p>
        </w:tc>
        <w:tc>
          <w:tcPr>
            <w:tcW w:w="0" w:type="auto"/>
            <w:shd w:val="clear" w:color="auto" w:fill="auto"/>
          </w:tcPr>
          <w:p w14:paraId="105C816F"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-0.066</w:t>
            </w:r>
          </w:p>
        </w:tc>
        <w:tc>
          <w:tcPr>
            <w:tcW w:w="0" w:type="auto"/>
            <w:shd w:val="clear" w:color="auto" w:fill="auto"/>
          </w:tcPr>
          <w:p w14:paraId="47DE4036"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-0.004</w:t>
            </w:r>
          </w:p>
        </w:tc>
      </w:tr>
      <w:tr w:rsidR="00960D1E" w:rsidRPr="00160B90" w14:paraId="4736510B" w14:textId="77777777" w:rsidTr="00713DCE">
        <w:trPr>
          <w:trHeight w:val="330"/>
        </w:trPr>
        <w:tc>
          <w:tcPr>
            <w:tcW w:w="0" w:type="auto"/>
            <w:shd w:val="clear" w:color="auto" w:fill="auto"/>
          </w:tcPr>
          <w:p w14:paraId="51FAD342" w14:textId="77777777" w:rsidR="00960D1E" w:rsidRPr="00713DCE"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rPr>
                <w:lang w:val="en-GB"/>
              </w:rPr>
            </w:pPr>
            <w:r w:rsidRPr="00160B90">
              <w:rPr>
                <w:rStyle w:val="PageNumber"/>
                <w:lang w:eastAsia="en-US"/>
              </w:rPr>
              <w:t xml:space="preserve">Number of trees ≥ 30 cm perimeter </w:t>
            </w:r>
          </w:p>
        </w:tc>
        <w:tc>
          <w:tcPr>
            <w:tcW w:w="0" w:type="auto"/>
            <w:shd w:val="clear" w:color="auto" w:fill="auto"/>
          </w:tcPr>
          <w:p w14:paraId="1E8775E7"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0.692</w:t>
            </w:r>
          </w:p>
        </w:tc>
        <w:tc>
          <w:tcPr>
            <w:tcW w:w="0" w:type="auto"/>
            <w:shd w:val="clear" w:color="auto" w:fill="auto"/>
          </w:tcPr>
          <w:p w14:paraId="4DC2DA1C"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-0.484</w:t>
            </w:r>
          </w:p>
        </w:tc>
      </w:tr>
      <w:tr w:rsidR="00960D1E" w:rsidRPr="00160B90" w14:paraId="3405D3DF" w14:textId="77777777" w:rsidTr="00713DCE">
        <w:trPr>
          <w:trHeight w:val="330"/>
        </w:trPr>
        <w:tc>
          <w:tcPr>
            <w:tcW w:w="0" w:type="auto"/>
            <w:shd w:val="clear" w:color="auto" w:fill="auto"/>
          </w:tcPr>
          <w:p w14:paraId="09CFE9EB" w14:textId="77777777" w:rsidR="00960D1E" w:rsidRPr="00713DCE"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rPr>
                <w:lang w:val="en-GB"/>
              </w:rPr>
            </w:pPr>
            <w:r w:rsidRPr="00160B90">
              <w:rPr>
                <w:rStyle w:val="PageNumber"/>
                <w:lang w:eastAsia="en-US"/>
              </w:rPr>
              <w:t>Diversity of trees ≥ 30 cm perimeter</w:t>
            </w:r>
          </w:p>
        </w:tc>
        <w:tc>
          <w:tcPr>
            <w:tcW w:w="0" w:type="auto"/>
            <w:shd w:val="clear" w:color="auto" w:fill="auto"/>
          </w:tcPr>
          <w:p w14:paraId="084D8476"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0.006</w:t>
            </w:r>
          </w:p>
        </w:tc>
        <w:tc>
          <w:tcPr>
            <w:tcW w:w="0" w:type="auto"/>
            <w:shd w:val="clear" w:color="auto" w:fill="auto"/>
          </w:tcPr>
          <w:p w14:paraId="20DF5D2A"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-0.003</w:t>
            </w:r>
          </w:p>
        </w:tc>
      </w:tr>
      <w:tr w:rsidR="00960D1E" w:rsidRPr="00160B90" w14:paraId="13B14D1D" w14:textId="77777777" w:rsidTr="00713DCE">
        <w:trPr>
          <w:trHeight w:val="330"/>
        </w:trPr>
        <w:tc>
          <w:tcPr>
            <w:tcW w:w="0" w:type="auto"/>
            <w:shd w:val="clear" w:color="auto" w:fill="auto"/>
          </w:tcPr>
          <w:p w14:paraId="5E9DF404" w14:textId="77777777" w:rsidR="00960D1E" w:rsidRPr="00713DCE"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rPr>
                <w:lang w:val="en-GB"/>
              </w:rPr>
            </w:pPr>
            <w:r w:rsidRPr="00160B90">
              <w:rPr>
                <w:rStyle w:val="PageNumber"/>
                <w:lang w:eastAsia="en-US"/>
              </w:rPr>
              <w:t xml:space="preserve">Number of </w:t>
            </w:r>
            <w:r w:rsidRPr="00713DCE">
              <w:rPr>
                <w:rStyle w:val="PageNumber"/>
                <w:i/>
                <w:iCs/>
                <w:lang w:eastAsia="en-US"/>
              </w:rPr>
              <w:t>Euterpe edulis</w:t>
            </w:r>
            <w:r w:rsidRPr="00160B90">
              <w:rPr>
                <w:rStyle w:val="PageNumber"/>
                <w:lang w:eastAsia="en-US"/>
              </w:rPr>
              <w:t xml:space="preserve"> ≥ 30 cm perimeter</w:t>
            </w:r>
          </w:p>
        </w:tc>
        <w:tc>
          <w:tcPr>
            <w:tcW w:w="0" w:type="auto"/>
            <w:shd w:val="clear" w:color="auto" w:fill="auto"/>
          </w:tcPr>
          <w:p w14:paraId="6CA72DC5"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-0.136</w:t>
            </w:r>
          </w:p>
        </w:tc>
        <w:tc>
          <w:tcPr>
            <w:tcW w:w="0" w:type="auto"/>
            <w:shd w:val="clear" w:color="auto" w:fill="auto"/>
          </w:tcPr>
          <w:p w14:paraId="6493C31E" w14:textId="77777777" w:rsidR="00960D1E" w:rsidRPr="00160B90" w:rsidRDefault="00960D1E" w:rsidP="00713DCE">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pPr>
            <w:r w:rsidRPr="00160B90">
              <w:rPr>
                <w:rStyle w:val="PageNumber"/>
                <w:lang w:eastAsia="en-US"/>
              </w:rPr>
              <w:t>0.638</w:t>
            </w:r>
          </w:p>
        </w:tc>
      </w:tr>
    </w:tbl>
    <w:p w14:paraId="13E804A4" w14:textId="77777777" w:rsidR="00960D1E" w:rsidRDefault="00960D1E" w:rsidP="00960D1E">
      <w:pPr>
        <w:spacing w:line="360" w:lineRule="auto"/>
        <w:rPr>
          <w:lang w:val="en-GB"/>
        </w:rPr>
      </w:pPr>
    </w:p>
    <w:p w14:paraId="4706B669" w14:textId="77777777" w:rsidR="00CB27B4" w:rsidRDefault="00CB27B4" w:rsidP="00960D1E">
      <w:pPr>
        <w:spacing w:line="480" w:lineRule="auto"/>
        <w:ind w:left="720" w:hanging="720"/>
        <w:jc w:val="both"/>
      </w:pPr>
    </w:p>
    <w:p w14:paraId="6790A1C6" w14:textId="77777777" w:rsidR="00CB27B4" w:rsidRDefault="00CB27B4" w:rsidP="00CB27B4">
      <w:pPr>
        <w:spacing w:line="480" w:lineRule="auto"/>
        <w:ind w:left="720" w:hanging="720"/>
        <w:jc w:val="both"/>
        <w:rPr>
          <w:rStyle w:val="PageNumber"/>
          <w:b/>
          <w:lang w:val="en-GB"/>
        </w:rPr>
        <w:sectPr w:rsidR="00CB27B4" w:rsidSect="00EB5AF9">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lnNumType w:countBy="1" w:restart="continuous"/>
          <w:cols w:space="708"/>
          <w:docGrid w:linePitch="360"/>
        </w:sectPr>
      </w:pPr>
    </w:p>
    <w:p w14:paraId="329B1BA5" w14:textId="77777777" w:rsidR="00CB27B4" w:rsidRPr="00855CB5" w:rsidRDefault="00CB27B4" w:rsidP="00CB27B4">
      <w:pPr>
        <w:spacing w:line="480" w:lineRule="auto"/>
        <w:ind w:left="720" w:hanging="720"/>
        <w:jc w:val="both"/>
        <w:rPr>
          <w:rStyle w:val="PageNumber"/>
          <w:b/>
          <w:lang w:val="en-GB"/>
        </w:rPr>
      </w:pPr>
      <w:r w:rsidRPr="00855CB5">
        <w:rPr>
          <w:rStyle w:val="PageNumber"/>
          <w:b/>
          <w:lang w:val="en-GB"/>
        </w:rPr>
        <w:lastRenderedPageBreak/>
        <w:t>Literature cited</w:t>
      </w:r>
    </w:p>
    <w:p w14:paraId="73246C47" w14:textId="1998BB3C" w:rsidR="00413419" w:rsidRPr="00413419" w:rsidRDefault="00413419" w:rsidP="00413419">
      <w:pPr>
        <w:widowControl w:val="0"/>
        <w:autoSpaceDE w:val="0"/>
        <w:autoSpaceDN w:val="0"/>
        <w:adjustRightInd w:val="0"/>
        <w:spacing w:line="480" w:lineRule="auto"/>
        <w:ind w:left="480" w:hanging="480"/>
        <w:rPr>
          <w:noProof/>
        </w:rPr>
      </w:pPr>
      <w:r>
        <w:fldChar w:fldCharType="begin" w:fldLock="1"/>
      </w:r>
      <w:r w:rsidRPr="00F76F2B">
        <w:rPr>
          <w:lang w:val="en-US"/>
        </w:rPr>
        <w:instrText xml:space="preserve">ADDIN Mendeley Bibliography CSL_BIBLIOGRAPHY </w:instrText>
      </w:r>
      <w:r>
        <w:fldChar w:fldCharType="separate"/>
      </w:r>
      <w:r w:rsidRPr="00F76F2B">
        <w:rPr>
          <w:noProof/>
          <w:lang w:val="en-US"/>
        </w:rPr>
        <w:t xml:space="preserve">Akkawi, P., Villar, N., Mendes, C.P., Galetti, M., 2020. Dominance hierarchy on palm resource partitioning among Neotropical frugivorous mammals. </w:t>
      </w:r>
      <w:r w:rsidRPr="00413419">
        <w:rPr>
          <w:noProof/>
        </w:rPr>
        <w:t>J. Mammal. 101, 697–709. https://doi.org/10.1093/jmammal/gyaa052</w:t>
      </w:r>
    </w:p>
    <w:p w14:paraId="575AC4F2"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413419">
        <w:rPr>
          <w:noProof/>
        </w:rPr>
        <w:t xml:space="preserve">Almeida-Neto, M., Campassi, F., Galetti, M., Jordano, P., Oliveira-Filho, A., 2008. </w:t>
      </w:r>
      <w:r w:rsidRPr="00F76F2B">
        <w:rPr>
          <w:noProof/>
          <w:lang w:val="en-US"/>
        </w:rPr>
        <w:t>Vertebrate dispersal syndromes along the Atlantic forest: broad-scale patterns and macroecological correlates. Glob. Ecol. Biogeogr. 17, 503–513.</w:t>
      </w:r>
    </w:p>
    <w:p w14:paraId="50425A25"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Augustine, D.J., McNaughton, S.J., 1998. Ungulate effects on the functional species composition of plant communities: herbivore selectivity and plant tolerance. J. Wildl. Manage. 62, 1165. https://doi.org/10.2307/3801981</w:t>
      </w:r>
    </w:p>
    <w:p w14:paraId="1C891C4E"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Bakker, E.S., Ritchie, M.E., Olff, H., Milchunas, D.G., Knops, J.M.H., 2006. Herbivore impact on grassland plant diversity depends on habitat productivity and herbivore size. Ecol. Lett. 9, 780–788. https://doi.org/10.1111/j.1461-0248.2006.00925.x</w:t>
      </w:r>
    </w:p>
    <w:p w14:paraId="530F8E2A"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Barton, K., 2015. MuMIn: Multi-Model Inference.</w:t>
      </w:r>
    </w:p>
    <w:p w14:paraId="16CDB315"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Bates, D., Maechler, M., Bolker, B.M., Walker, S., 2015. Fitting Linear Mixed-Effects Models using lme4. J. Stat. Softw. 67, 1–48.</w:t>
      </w:r>
    </w:p>
    <w:p w14:paraId="6C5BED97"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Beck, H., 2006. A review of peccary-palm interactions and their ecological ramifications across the Neotropics. J. Mammal. 87, 519–530. https://doi.org/10.1644/05-MAMM-A-174R1.1</w:t>
      </w:r>
    </w:p>
    <w:p w14:paraId="1DB6A634"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Beck, H., 2005. Seed predation and dispersal by peccaries throughout the Neotropics and its consequences: a review and synthesis, in: Forget, P.M., Lambert, J.E., Hulme, P., Vander Wall, S.B. (Eds.), Seed Fate: Predation, Dispersal and Seedling Establishment. CABI Publishing, Wallingford, UK, pp. 77–115.</w:t>
      </w:r>
    </w:p>
    <w:p w14:paraId="0312E58C"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 xml:space="preserve">Bello, C., Galetti, M., Pizo, M.A., Magnago, L.F.S., Rocha, M.F., Lima, R.A.F., Peres, C.A., Ovaskainen, O., Jordano, P., 2015. Defaunation affects carbon storage in </w:t>
      </w:r>
      <w:r w:rsidRPr="00F76F2B">
        <w:rPr>
          <w:noProof/>
          <w:lang w:val="en-US"/>
        </w:rPr>
        <w:lastRenderedPageBreak/>
        <w:t>tropical forests. Sci. Adv. 1. https://doi.org/10.1126/sciadv.1501105</w:t>
      </w:r>
    </w:p>
    <w:p w14:paraId="06FCD85F"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Bodmer, R.E., 1990. Fruit patch size and frugivory in the lowland tapir (Tapirus terrestris). J. Zool. 222, 121–128.</w:t>
      </w:r>
    </w:p>
    <w:p w14:paraId="2D0563F2"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Borer, E.T., Seabloom, E.W., Gruner, D.S., Harpole, W.S., Hillebrand, H., Lind, E.M., Adler, P.B., Alberti, J., Anderson, T.M., Bakker, J.D., Biederman, L., Blumenthal, D., Brown, C.S., Brudvig, L.A., Buckley, Y.M., Cadotte, M., Chu, C., Cleland, E.E., Crawley, M.J., Daleo, P., Damschen, E.I., Davies, K.F., DeCrappeo, N.M., Du, G., Firn, J., Hautier, Y., Heckman, R.W., Hector, A., HilleRisLambers, J., Iribarne, O., Klein, J.A., Knops, J.M.H., La Pierre, K.J., Leakey, A.D.B., Li, W., MacDougall, A.S., McCulley, R.L., Melbourne, B.A., Mitchell, C.E., Moore, J.L., Mortensen, B., O’Halloran, L.R., Orrock, J.L., Pascual, J., Prober, S.M., Pyke, D.A., Risch, A.C., Schuetz, M., Smith, M.D., Stevens, C.J., Sullivan, L.L., Williams, R.J., Wragg, P.D., Wright, J.P., Yang, L.H., 2014. Herbivores and nutrients control grassland plant diversity via light limitation. Nature 508, 517–520.</w:t>
      </w:r>
    </w:p>
    <w:p w14:paraId="42D8048F"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Bovendorp, R.S., Brum, F.T., McCleery, R.A., Baiser, B., Loyola, R., Cianciaruso, M. V., Galetti, M., 2019. Defaunation and fragmentation erode small mammal diversity dimensions in tropical forests. Ecography (Cop.). 42, 23–35. https://doi.org/10.1111/ecog.03504</w:t>
      </w:r>
    </w:p>
    <w:p w14:paraId="7433C1BE"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Brocardo, C.R., Zipparro, V.B., de Lima, R.A.F., Guevara, R., Galetti, M., 2013. No changes in seedling recruitment when terrestrial mammals are excluded in a partially defaunated Atlantic rainforest. Biol. Conserv. 163, 107–114.</w:t>
      </w:r>
    </w:p>
    <w:p w14:paraId="009C8BD1" w14:textId="77777777" w:rsidR="00413419" w:rsidRPr="00413419" w:rsidRDefault="00413419" w:rsidP="00413419">
      <w:pPr>
        <w:widowControl w:val="0"/>
        <w:autoSpaceDE w:val="0"/>
        <w:autoSpaceDN w:val="0"/>
        <w:adjustRightInd w:val="0"/>
        <w:spacing w:line="480" w:lineRule="auto"/>
        <w:ind w:left="480" w:hanging="480"/>
        <w:rPr>
          <w:noProof/>
        </w:rPr>
      </w:pPr>
      <w:r w:rsidRPr="00F76F2B">
        <w:rPr>
          <w:noProof/>
          <w:lang w:val="en-US"/>
        </w:rPr>
        <w:t xml:space="preserve">Brodie, J.F., Helmy, O.E., Brockelman, W.Y., Maron, J.L., 2009. Functional differences within a guild of tropical mammalian frugivores. </w:t>
      </w:r>
      <w:r w:rsidRPr="00413419">
        <w:rPr>
          <w:noProof/>
        </w:rPr>
        <w:t>Ecology 90, 688–698. https://doi.org/10.1890/08-0111.1</w:t>
      </w:r>
    </w:p>
    <w:p w14:paraId="10AC72B9"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413419">
        <w:rPr>
          <w:noProof/>
        </w:rPr>
        <w:lastRenderedPageBreak/>
        <w:t xml:space="preserve">Bueno, R.S., Guevara, R., Ribeiro, M.C., Culot, L., Bufalo, F.S., Galetti, M., 2013. </w:t>
      </w:r>
      <w:r w:rsidRPr="00F76F2B">
        <w:rPr>
          <w:noProof/>
          <w:lang w:val="en-US"/>
        </w:rPr>
        <w:t>Functional redundancy and complementarities of seed dispersal by the last Neotropical megafrugivores. PLoS One 8, e56252.</w:t>
      </w:r>
    </w:p>
    <w:p w14:paraId="42B9D39D"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Burkepile, D.E., Hay, M.E., 2008. Herbivore species richness and feeding complementarity affect community structure and function on a coral reef. Proc. Natl. Acad. Sci. 105, 16201–16206. https://doi.org/10.1073/pnas.0801946105</w:t>
      </w:r>
    </w:p>
    <w:p w14:paraId="6DF7FA0C"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Burnham, K.P., Anderson, D.R., 2002. Model selection and multi-model inference: a practical information-theoretic approach, 2nd ed. Springer-Verlag, New York.</w:t>
      </w:r>
    </w:p>
    <w:p w14:paraId="5D4095F2"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Chao, A., Chiu, C.-H., Jost, L., 2014. Unifying species diversity, phylogenetic diversity, functional diversity, and related rimilarity and differentiation measures through Hill Numbers. Annu. Rev. Ecol. Evol. Syst. 45, 297–324. https://doi.org/10.1146/annurev-ecolsys-120213-091540</w:t>
      </w:r>
    </w:p>
    <w:p w14:paraId="11C53ADC"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Clark, D.B., Clark, D.A., 1991. The impact of physical damage on canopy tree regeneration in tropical rain forest. J. Ecol. 79, 447–457. https://doi.org/10.2307/2260725</w:t>
      </w:r>
    </w:p>
    <w:p w14:paraId="566FCA82"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Comita, L.S., Queenborough, S.A., Murphy, S.J., Eck, J.L., Xu, K., Krishnadas, M., Beckman, N., Zhu, Y., 2014. Testing predictions of the Janzen–Connell hypothesis: a meta-analysis of experimental evidence for distance- and density-dependent seed and seedling survival. J. Ecol. 102, 845–856.</w:t>
      </w:r>
    </w:p>
    <w:p w14:paraId="19B8CD19"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Connell, J.H., 1971. On the role of natural enemies in preventing competitive exclusion in some marine animals and rain forest trees, in: den Boer, P.J., Gradwell, G.R. (Eds.), Dynamics of Population. PUDOC, Wageningen, pp. 298–312.</w:t>
      </w:r>
    </w:p>
    <w:p w14:paraId="61A0F2D3"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Crête, M., 1999. The distribution of deer biomass in North America supports the hypothesis of exploitation ecosystems. Ecol. Lett. 2, 223–227. https://doi.org/10.1046/j.1461-0248.1999.00076.x</w:t>
      </w:r>
    </w:p>
    <w:p w14:paraId="76907213" w14:textId="77777777" w:rsidR="00413419" w:rsidRPr="00413419" w:rsidRDefault="00413419" w:rsidP="00413419">
      <w:pPr>
        <w:widowControl w:val="0"/>
        <w:autoSpaceDE w:val="0"/>
        <w:autoSpaceDN w:val="0"/>
        <w:adjustRightInd w:val="0"/>
        <w:spacing w:line="480" w:lineRule="auto"/>
        <w:ind w:left="480" w:hanging="480"/>
        <w:rPr>
          <w:noProof/>
        </w:rPr>
      </w:pPr>
      <w:r w:rsidRPr="00F76F2B">
        <w:rPr>
          <w:noProof/>
          <w:lang w:val="en-US"/>
        </w:rPr>
        <w:lastRenderedPageBreak/>
        <w:t xml:space="preserve">Daskin, J.H., Pringle, R.M., 2016. Does primary productivity modulate the indirect effects of large herbivores? </w:t>
      </w:r>
      <w:r w:rsidRPr="00413419">
        <w:rPr>
          <w:noProof/>
        </w:rPr>
        <w:t>A global meta-analysis. J. Anim. Ecol. n/a-n/a.</w:t>
      </w:r>
    </w:p>
    <w:p w14:paraId="1E75328C"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Dirzo, R., Young, H.S., Galetti, M., Ceballos, G., Isaac, N.J.B., Collen, B., 2014. Defaunation in the Anthropocene. Science (80-. ). 345, 401–406. https://doi.org/10.1126/science.1251817</w:t>
      </w:r>
    </w:p>
    <w:p w14:paraId="1120F137"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Ellison, A.M., Bank, M.S., Clinton, B.D., Colburn, E.A., Elliott, K., Ford, C.R., Foster, D.R., Kloeppel, B.D., Knoepp, J.D., Lovett, G.M., Mohan, J., Orwig, D.A., Rodenhouse, N.L., Sobczak, W. V., Stinson, K.A., Stone, J.K., Swan, C.M., Thompson, J., Von Holle, B., Webster, J.R., 2005. Loss of foundation species: consequences for the structure and dynamics of forested ecosystems. Front. Ecol. Environ. https://doi.org/10.1890/1540-9295(2005)003[0479:LOFSCF]2.0.CO;2</w:t>
      </w:r>
    </w:p>
    <w:p w14:paraId="37D281FB"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Estes, James A, Terborgh, J., Brashares, J.S., Power, M.E., Berger, J., Bond, W.J., Carpenter, S.R., Essington, T.E., Holt, R.D., Jackson, J.B.C., Marquis, R.J., Oksanen, L., Oksanen, T., Paine, R.T., Pikitch, E.K., Ripple, W.J., Sandin, S.A., Scheffer, M., Schoener, T.W., Shurin, J.B., Sinclair, A.R.E., Soulé, M.E., Virtanen, R., Wardle, D.A., 2011. Trophic downgrading of planet Earth. Science (80-. ). 333, 301–306. https://doi.org/10.1126/science.1205106</w:t>
      </w:r>
    </w:p>
    <w:p w14:paraId="21D13A19" w14:textId="77777777" w:rsidR="00413419" w:rsidRPr="00F76F2B" w:rsidRDefault="00413419" w:rsidP="00413419">
      <w:pPr>
        <w:widowControl w:val="0"/>
        <w:autoSpaceDE w:val="0"/>
        <w:autoSpaceDN w:val="0"/>
        <w:adjustRightInd w:val="0"/>
        <w:spacing w:line="480" w:lineRule="auto"/>
        <w:ind w:left="480" w:hanging="480"/>
        <w:rPr>
          <w:noProof/>
          <w:lang w:val="en-US"/>
        </w:rPr>
      </w:pPr>
      <w:r w:rsidRPr="00F76F2B">
        <w:rPr>
          <w:noProof/>
          <w:lang w:val="en-US"/>
        </w:rPr>
        <w:t>Estes, James A., Terborgh, J., Brashares, J.S., Power, M.E., Berger, J., Bond, W.J., Carpenter, S.R., Essington, T.E., Holt, R.D., Jackson, J.B.C., Marquis, R.J., Oksanen, L., Oksanen, T., Paine, R.T., Pikitch, E.K., Ripple, W.J., Sandin, S.A., Scheffer, M., Schoener, T.W., Shurin, J.B., Sinclair, A.R.E., Soulé, M.E., Virtanen, R., Wardle, D.A., 2011. Trophic downgrading of planet earth. Science (80-. ). 333, 301–306. https://doi.org/10.1126/science.1205106</w:t>
      </w:r>
    </w:p>
    <w:p w14:paraId="72AEA898" w14:textId="77777777" w:rsidR="00413419" w:rsidRPr="00413419" w:rsidRDefault="00413419" w:rsidP="00413419">
      <w:pPr>
        <w:widowControl w:val="0"/>
        <w:autoSpaceDE w:val="0"/>
        <w:autoSpaceDN w:val="0"/>
        <w:adjustRightInd w:val="0"/>
        <w:spacing w:line="480" w:lineRule="auto"/>
        <w:ind w:left="480" w:hanging="480"/>
        <w:rPr>
          <w:noProof/>
        </w:rPr>
      </w:pPr>
      <w:r w:rsidRPr="00F76F2B">
        <w:rPr>
          <w:noProof/>
          <w:lang w:val="en-US"/>
        </w:rPr>
        <w:t xml:space="preserve">Fragoso, J.M.V., 1997. Tapir-generated seed shadows: scale-dependent patchiness in the Amazon Rain Forest. </w:t>
      </w:r>
      <w:r w:rsidRPr="00413419">
        <w:rPr>
          <w:noProof/>
        </w:rPr>
        <w:t>J. Ecol. 85, 519–529.</w:t>
      </w:r>
    </w:p>
    <w:p w14:paraId="3186D56B" w14:textId="77777777" w:rsidR="00413419" w:rsidRPr="00413419" w:rsidRDefault="00413419" w:rsidP="00413419">
      <w:pPr>
        <w:widowControl w:val="0"/>
        <w:autoSpaceDE w:val="0"/>
        <w:autoSpaceDN w:val="0"/>
        <w:adjustRightInd w:val="0"/>
        <w:spacing w:line="480" w:lineRule="auto"/>
        <w:ind w:left="480" w:hanging="480"/>
        <w:rPr>
          <w:noProof/>
        </w:rPr>
      </w:pPr>
      <w:r w:rsidRPr="00413419">
        <w:rPr>
          <w:noProof/>
        </w:rPr>
        <w:lastRenderedPageBreak/>
        <w:t xml:space="preserve">Fragoso, J.M.V., Silvius, K.M., Correa, J.A., 2003. </w:t>
      </w:r>
      <w:r w:rsidRPr="00F76F2B">
        <w:rPr>
          <w:noProof/>
          <w:lang w:val="en-US"/>
        </w:rPr>
        <w:t xml:space="preserve">Long-distance seed dispersal by tapirs increases seed survival and aggregates tropical trees. </w:t>
      </w:r>
      <w:r w:rsidRPr="00413419">
        <w:rPr>
          <w:noProof/>
        </w:rPr>
        <w:t>Ecology 84, 1998–2006. https://doi.org/10.1890/01-0621</w:t>
      </w:r>
    </w:p>
    <w:p w14:paraId="1CB629A3"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413419">
        <w:rPr>
          <w:noProof/>
        </w:rPr>
        <w:t xml:space="preserve">Frank, D.A., Kuns, M.M., Guido, D.R., 2002. </w:t>
      </w:r>
      <w:r w:rsidRPr="009327D0">
        <w:rPr>
          <w:noProof/>
          <w:lang w:val="en-US"/>
        </w:rPr>
        <w:t>Consumer control of grassland plant production. Ecology 83, 602–606.</w:t>
      </w:r>
    </w:p>
    <w:p w14:paraId="13681BCC"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Frank, D.A., McNaughton, S.J., Tracy, B.F., 1998. The ecology of the Earth’s grazing ecosystems: profound functional similarities exist between the Serengeti and Yellowstone. Bioscience 48, 513–521. https://doi.org/10.2307/1313313</w:t>
      </w:r>
    </w:p>
    <w:p w14:paraId="1BFF22D3" w14:textId="77777777" w:rsidR="00413419" w:rsidRPr="00413419" w:rsidRDefault="00413419" w:rsidP="00413419">
      <w:pPr>
        <w:widowControl w:val="0"/>
        <w:autoSpaceDE w:val="0"/>
        <w:autoSpaceDN w:val="0"/>
        <w:adjustRightInd w:val="0"/>
        <w:spacing w:line="480" w:lineRule="auto"/>
        <w:ind w:left="480" w:hanging="480"/>
        <w:rPr>
          <w:noProof/>
        </w:rPr>
      </w:pPr>
      <w:r w:rsidRPr="009327D0">
        <w:rPr>
          <w:noProof/>
          <w:lang w:val="en-US"/>
        </w:rPr>
        <w:t xml:space="preserve">Galetti, M., Brocardo, C.R., Begotti, R.A., Hortenci, L., Rocha-Mendes, F., Bernardo, C.S.S., Bueno, R.S., Nobre, R., Bovendorp, R.S., Marques, R.M., Meirelles, F., Gobbo, S.K., Beca, G., Schmaedecke, G., Siqueira, T., 2017. Defaunation and biomass collapse of mammals in the largest Atlantic forest remnant. </w:t>
      </w:r>
      <w:r w:rsidRPr="00413419">
        <w:rPr>
          <w:noProof/>
        </w:rPr>
        <w:t>Anim. Conserv. 20, 270–281. https://doi.org/10.1111/acv.12311</w:t>
      </w:r>
    </w:p>
    <w:p w14:paraId="25E7B798"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413419">
        <w:rPr>
          <w:noProof/>
        </w:rPr>
        <w:t xml:space="preserve">Galetti, M., Dirzo, R., 2013. </w:t>
      </w:r>
      <w:r w:rsidRPr="009327D0">
        <w:rPr>
          <w:noProof/>
          <w:lang w:val="en-US"/>
        </w:rPr>
        <w:t>Ecological and evolutionary consequences of living in a defaunated world. Biol. Conserv. 163, 1–6.</w:t>
      </w:r>
    </w:p>
    <w:p w14:paraId="457B0BE0"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Galetti, M., Fernandez, J.C., 1998. Palm heart harvesting in the Brazilian Atlantic forest: changes in industry structure and the illegal trade. J. Appl. Ecol. 35, 294–301.</w:t>
      </w:r>
    </w:p>
    <w:p w14:paraId="1C83590F"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Galetti, M., Guevara, R., Neves, C.L., Rodarte, R.R., Bovendorp, R.S., Moreira, M., Hopkins Iii, J.B., Yeakel, J.D., 2015. Defaunation affects the populations and diets of rodents in Neotropical rainforests. Biol. Conserv. 190, 2–7.</w:t>
      </w:r>
    </w:p>
    <w:p w14:paraId="75FC4F44"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Galetti, M., Zipparro, V.B., Morellato, P.C., 1999. Fruiting phenology and frugivory on the Palm Euterpe edulis in a Lowland Atlantic Forest of Brazil. Ecotropica 5, 115–122.</w:t>
      </w:r>
    </w:p>
    <w:p w14:paraId="6B79D418"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 xml:space="preserve">García, D., Martínez, D., 2012. Species richness matters for the quality of ecosystem </w:t>
      </w:r>
      <w:r w:rsidRPr="009327D0">
        <w:rPr>
          <w:noProof/>
          <w:lang w:val="en-US"/>
        </w:rPr>
        <w:lastRenderedPageBreak/>
        <w:t>services: A test using seed dispersal by frugivorous birds. Proc. R. Soc. B Biol. Sci. 279, 3106–3113. https://doi.org/10.1098/rspb.2012.0175</w:t>
      </w:r>
    </w:p>
    <w:p w14:paraId="3BCA883E"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Green, P.T., Juniper, P.A., 2004. Seed-seedling allometry in tropical rain forest trees: seed mass-related patterns of resource allocation and the “reserve effect.” J. Ecol. 92, 397–408. https://doi.org/10.1111/j.0022-0477.2004.00889.x</w:t>
      </w:r>
    </w:p>
    <w:p w14:paraId="63D97F2C"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Harrison, R.D., Tan, S., Plotkin, J.B., Slik, F., Detto, M., Brenes, T., Itoh, A., Davies, S.J., 2013. Consequences of defaunation for a tropical tree community. Ecol. Lett. 16, 687–694.</w:t>
      </w:r>
    </w:p>
    <w:p w14:paraId="29F0B438"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Holling, C.S., 1965. The functional response of predators to prey density and its role in mimicry and population regulation. Mem. Entomol. Soc. Can. 45, 3–60.</w:t>
      </w:r>
    </w:p>
    <w:p w14:paraId="123E9E24"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Ichie, T., Ninomiya, I., Ogino, K., 2001. Utilization of seed reserves during germination and early seedling growth by Dryobalanops lanceolata (Dipterocarpaceae). J. Trop. Ecol. 17, 371–378.</w:t>
      </w:r>
    </w:p>
    <w:p w14:paraId="07457DBC"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Janzen, D.H., 1970. Herbivores and the number of tree species in tropical forests. Am. Nat. 104, 501–528.</w:t>
      </w:r>
    </w:p>
    <w:p w14:paraId="0FF540AF"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Jordano, P., 2000. Fruits and frugivory, in: Fenner, M. (Ed.), Seeds: The Ecology of Regeneration in Plant Communities. CABI Publishers, Wallingford, UK, pp. 125–166. https://doi.org/10.1079/9780851994321.0125</w:t>
      </w:r>
    </w:p>
    <w:p w14:paraId="4EBF3391"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Jorge, M.L.S.P., Galetti, M., Ribeiro, M.C., Ferraz, K.M.P.M.B., 2013. Mammal defaunation as surrogate of trophic cascades in a biodiversity hotspot. Biol. Conserv. 163, 49–57. https://doi.org/10.1016/j.biocon.2013.04.018</w:t>
      </w:r>
    </w:p>
    <w:p w14:paraId="182A3225"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Keuroghlian, A., Eaton, D.P., 2009. Removal of palm fruits and ecosystem engineering in palm stands by white-lipped peccaries (Tayassu pecari) and other frugivores in an isolated Atlantic Forest fragment. Biodivers. Conserv. 18, 1733–1750. https://doi.org/10.1007/s10531-008-9554-6</w:t>
      </w:r>
    </w:p>
    <w:p w14:paraId="25D28192"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lastRenderedPageBreak/>
        <w:t>Koerner, S.E., Smith, M.D., Burkepile, D.E., Hanan, N.P., Avolio, M.L., Collins, S.L., Knapp, A.K., Lemoine, N.P., Forrestel, E.J., Eby, S., Thompson, D.I., Aguado-Santacruz, G.A., Anderson, J.P., Anderson, T.M., Angassa, A., Bagchi, S., Bakker, E.S., Bastin, G., Baur, L.E., Beard, K.H., Beever, E.A., Bohlen, P.J., Boughton, E.H., Canestro, D., Cesa, A., Chaneton, E., Cheng, J., D’Antonio, C.M., Deleglise, C., Dembélé, F., Dorrough, J., Eldridge, D.J., Fernandez-Going, B., Fernández-Lugo, S., Fraser, L.H., Freedman, B., García-Salgado, G., Goheen, J.R., Guo, L., Husheer, S., Karembé, M., Knops, J.M.H., Kraaij, T., Kulmatiski, A., Kytöviita, M.M., Lezama, F., Loucougaray, G., Loydi, A., Milchunas, D.G., Milton, S.J., Morgan, J.W., Moxham, C., Nehring, K.C., Olff, H., Palmer, T.M., Rebollo, S., Riginos, C., Risch, A.C., Rueda, M., Sankaran, M., Sasaki, T., Schoenecker, K.A., Schultz, N.L., Schütz, M., Schwabe, A., Siebert, F., Smit, C., Stahlheber, K.A., Storm, C., Strong, D.J., Su, J., Tiruvaimozhi, Y. V., Tyler, C., Val, J., Vandegehuchte, M.L., Veblen, K.E., Vermeire, L.T., Ward, D., Wu, J., Young, T.P., Yu, Q., Zelikova, T.J., 2018. Change in dominance determines herbivore effects on plant biodiversity. Nat. Ecol. Evol. 2, 1925–1932. https://doi.org/10.1038/s41559-018-0696-y</w:t>
      </w:r>
    </w:p>
    <w:p w14:paraId="17C1867F"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Kurten, E.L., 2013. Cascading effects of contemporaneous defaunation on tropical forest communities. Biol. Conserv. 163, 22–32.</w:t>
      </w:r>
    </w:p>
    <w:p w14:paraId="76518269"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Kurten, Erin L., Carson, W.P., 2015. Do Ground-Dwelling Vertebrates Promote Diversity in a Neotropical Forest? Results from a Long-Term Exclosure Experiment. Bioscience 65, 862–870. https://doi.org/10.1093/biosci/biv110</w:t>
      </w:r>
    </w:p>
    <w:p w14:paraId="3004F2E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Kurten, Erin L, Carson, W.P., 2015. Do ground-dwelling vertebrates promote diversity in a Neotropical forest? Results from a long-term exclosure experiment. Bioscience 65, 862–870. https://doi.org/10.1093/biosci/biv110</w:t>
      </w:r>
    </w:p>
    <w:p w14:paraId="48E74C0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lastRenderedPageBreak/>
        <w:t>McLaren, B.E., Peterson, R.O., 1994. Wolves, moose, and ree rings on Isle Royale. Science (80-. ). 266, 1555–1558. https://doi.org/10.1126/science.266.5190.1555</w:t>
      </w:r>
    </w:p>
    <w:p w14:paraId="6C5C86A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McNaughton, S.J., 1985. Ecology of a grazing ecosystem: the Serengeti. Ecol. Monogr. 55, 259–294.</w:t>
      </w:r>
    </w:p>
    <w:p w14:paraId="34A693E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McNaughton, S.J., 1979. Grazing as an Optimization Process: Grass-Ungulate Relationships in the Serengeti. Am. Nat. 113.</w:t>
      </w:r>
    </w:p>
    <w:p w14:paraId="7584D9A9" w14:textId="77777777" w:rsidR="00413419" w:rsidRPr="00413419" w:rsidRDefault="00413419" w:rsidP="00413419">
      <w:pPr>
        <w:widowControl w:val="0"/>
        <w:autoSpaceDE w:val="0"/>
        <w:autoSpaceDN w:val="0"/>
        <w:adjustRightInd w:val="0"/>
        <w:spacing w:line="480" w:lineRule="auto"/>
        <w:ind w:left="480" w:hanging="480"/>
        <w:rPr>
          <w:noProof/>
        </w:rPr>
      </w:pPr>
      <w:r w:rsidRPr="009327D0">
        <w:rPr>
          <w:noProof/>
          <w:lang w:val="en-US"/>
        </w:rPr>
        <w:t xml:space="preserve">McNaughton, S.J., Banyikwa, F.F., McNaughton, M.M., 1997. Promotion of the cycling of diet-enhancing nutrients by African grazers. </w:t>
      </w:r>
      <w:r w:rsidRPr="00413419">
        <w:rPr>
          <w:noProof/>
        </w:rPr>
        <w:t>Science (80-. ). 278, 1798–1800.</w:t>
      </w:r>
    </w:p>
    <w:p w14:paraId="049F12F2"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413419">
        <w:rPr>
          <w:noProof/>
        </w:rPr>
        <w:t xml:space="preserve">Mendes, R.S., Evangelista, L.R., Thomaz, S.M., Agostinho, A.A., Gomes, L.C., 2008. </w:t>
      </w:r>
      <w:r w:rsidRPr="009327D0">
        <w:rPr>
          <w:noProof/>
          <w:lang w:val="en-US"/>
        </w:rPr>
        <w:t>A unified index to measure ecological diversity and species rarity. Ecography (Cop.). 31, 450–456.</w:t>
      </w:r>
    </w:p>
    <w:p w14:paraId="65A68CC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Mortensen, B., Danielson, B., Harpole, W.S., Alberti, J., Arnillas, C.A., Biederman, L., Borer, E.T., Cadotte, M.W., Dwyer, J.M., Hagenah, N., Hautier, Y., Peri, P.L., Seabloom, E.W., 2017. Herbivores safeguard plant diversity by reducing variability in dominance. J. Ecol. 106, 101–112.</w:t>
      </w:r>
    </w:p>
    <w:p w14:paraId="41739758"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O’Farrill, G., Galetti, M., Campos-Arceiz, A., 2013. Frugivory and seed dispersal by tapirs: an insight on their ecological role. Integr. Zool. 8, 4–17. https://doi.org/10.1111/j.1749-4877.2012.00316.x</w:t>
      </w:r>
    </w:p>
    <w:p w14:paraId="0A81D7C6"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Oksanen, J., Guillaume Blanchet, F., Kindt, R., Legendre, P., Minchin, P.R., O’Hara, R.B., Simpson, G.L., Solymos, P., Stevens, M.H.H., Wagner, H., 2017. vegan: Community Ecology Package. R Packag. version 2.4-3. https//CRAN.R-project.org/package=vegan.</w:t>
      </w:r>
    </w:p>
    <w:p w14:paraId="323F8160"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Paine, C.E.T., Beck, H., Terborgh, J., 2016. How mammalian predation contributes to tropical tree community structure. Ecology 97, 3326–3336. https://doi.org/10.1002/ecy.1586</w:t>
      </w:r>
    </w:p>
    <w:p w14:paraId="49530D6D"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lastRenderedPageBreak/>
        <w:t>Pastor, J., Dewey, B., Naiman, R.J., McInnes, P.F., Cohen, Y., 1993. Moose browsing and soil fertility in the boreal horests of Isle Royale National Park. Ecology 74, 467–480.</w:t>
      </w:r>
    </w:p>
    <w:p w14:paraId="1236E85D"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Pinheiro, J.C., Bates, D., DebRoy, S., Sarkar, D., R Core Team, 2019. nlme: Linear and Nonlinear Mixed Effects Models. R Packag. version 3.1-142.</w:t>
      </w:r>
    </w:p>
    <w:p w14:paraId="5F7D027D"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Pinheiro, J.C., Bates, D.M., 2002. Mixed effects models in S and S-Plus, Statistics and Computing. Springer-Verlag, New York.</w:t>
      </w:r>
    </w:p>
    <w:p w14:paraId="59D552EB"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Pires, M.M., Guimarães, P.R., Galetti, M., Jordano, P., 2018. Pleistocene megafaunal extinctions and the functional loss of long-distance seed-dispersal services. Ecography (Cop.). 41, 153–163.</w:t>
      </w:r>
    </w:p>
    <w:p w14:paraId="67DAF595"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Pringle, R.M., Young, T.P., Rubenstein, D.I., McCauley, D.J., 2007. Herbivore-initiated interaction cascades and their modulation by productivity in an African savanna. Proc. Natl. Acad. Sci. 104, 193–197. https://doi.org/10.1073/pnas.0609840104</w:t>
      </w:r>
    </w:p>
    <w:p w14:paraId="560C4AC4"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R Core Team, 2020. R: a language and environment for statistical computing. R Found. Stat. Comput. http//www.R-project.org.</w:t>
      </w:r>
    </w:p>
    <w:p w14:paraId="309D21C9"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Reyna-Hurtado, R., Rojas-Flores, E., Tanner, G.W., 2009. Home range and habitat preferences of white-lipped peccaries ( Tayassu pecari ) in Calakmul, Campeche, Mexico. J. Mammal. 90, 1199–1209. https://doi.org/10.1644/08-MAMM-A-246.1</w:t>
      </w:r>
    </w:p>
    <w:p w14:paraId="1725FB08"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Ribeiro, M.C., Metzger, J.P., Martensen, A.C., Ponzoni, F.J., Hirota, M.M., 2009. The Brazilian Atlantic Forest: How much is left, and how is the remaining forest distributed? Implications for conservation. Biol. Conserv. 142, 1141–1153. https://doi.org/10.1016/j.biocon.2009.02.021</w:t>
      </w:r>
    </w:p>
    <w:p w14:paraId="271C21AC"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 xml:space="preserve">Ripple, W.J., Newsome, T.M., Wolf, C., Dirzo, R., Everatt, K.T., Galetti, M., Hayward, M.W., Kerley, G.I.H., Levi, T., Lindsey, P.A., Macdonald, D.W., Malhi, Y., Painter, L.E., Sandom, C.J., Terborgh, J., Van Valkenburgh, B., 2015. Collapse of </w:t>
      </w:r>
      <w:r w:rsidRPr="009327D0">
        <w:rPr>
          <w:noProof/>
          <w:lang w:val="en-US"/>
        </w:rPr>
        <w:lastRenderedPageBreak/>
        <w:t>the world’s largest herbivores. Sci. Adv. 1. https://doi.org/10.1126/sciadv.1400103</w:t>
      </w:r>
    </w:p>
    <w:p w14:paraId="7D448D0F" w14:textId="77777777" w:rsidR="00413419" w:rsidRPr="00413419" w:rsidRDefault="00413419" w:rsidP="00413419">
      <w:pPr>
        <w:widowControl w:val="0"/>
        <w:autoSpaceDE w:val="0"/>
        <w:autoSpaceDN w:val="0"/>
        <w:adjustRightInd w:val="0"/>
        <w:spacing w:line="480" w:lineRule="auto"/>
        <w:ind w:left="480" w:hanging="480"/>
        <w:rPr>
          <w:noProof/>
        </w:rPr>
      </w:pPr>
      <w:r w:rsidRPr="009327D0">
        <w:rPr>
          <w:noProof/>
          <w:lang w:val="en-US"/>
        </w:rPr>
        <w:t xml:space="preserve">Ritchie, M.E., Tilman, D., Knops, J.M.H., 1998. Herbivore effects on plant and nitrogen dynamics in oak savanna. </w:t>
      </w:r>
      <w:r w:rsidRPr="00413419">
        <w:rPr>
          <w:noProof/>
        </w:rPr>
        <w:t>Ecology 79, 165–177.</w:t>
      </w:r>
    </w:p>
    <w:p w14:paraId="49E486E3"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413419">
        <w:rPr>
          <w:noProof/>
        </w:rPr>
        <w:t xml:space="preserve">Rocha-Mendes, F., Neves, C.L., Nobre, R. de A., Marques, R.M., Bianconi, G.V., Galetti, M., 2015. Non-volant mammals from Núcleo Santa Virgínia, Serra do Mar State Park, São Paulo, Brazil. </w:t>
      </w:r>
      <w:r w:rsidRPr="009327D0">
        <w:rPr>
          <w:noProof/>
          <w:lang w:val="en-US"/>
        </w:rPr>
        <w:t>Biota Neotrop. 15.</w:t>
      </w:r>
    </w:p>
    <w:p w14:paraId="5F1797D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Roldán, A.I., Simonetti, J.A., 2001. Plant-mammal Interactions in tropical Bolivian forests with different hunting pressures. Conserv. Biol. 15, 617–623.</w:t>
      </w:r>
    </w:p>
    <w:p w14:paraId="27290A18"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Rother, D.C., Pizo, M.A., Siqueira, T., Rodrigues, R.R., Jordano, P., 2015. Community-wide spatial and temporal discordances of seed-seedling shadows in a tropical rainforest. PLoS One 10, e0123346.</w:t>
      </w:r>
    </w:p>
    <w:p w14:paraId="6C74FF47"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Santiago, L.S., Goldstein, G., Meinzer, F.C., Fisher, J.B., Machado, K., Woodruff, D., Jones, T., 2004. Leaf photosynthetic traits scale with hydraulic conductivity and wood density in Panamanian forest canopy trees. Oecologia 140, 543–550. https://doi.org/10.1007/s00442-004-1624-1</w:t>
      </w:r>
    </w:p>
    <w:p w14:paraId="5F722859"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Schrama, M., Veen, G.F. (Ciska), Bakker, E.S. (Liesbeth), Ruifrok, J.L., Bakker, J.P., Olff, H., 2013. An integrated perspective to explain nitrogen mineralization in grazed ecosystems. Perspect. Plant Ecol. Evol. Syst. 15, 32–44. https://doi.org/10.1016/J.PPEES.2012.12.001</w:t>
      </w:r>
    </w:p>
    <w:p w14:paraId="3982CB5A"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Silman, M.R., Terborgh, J.W., Kiltie, R.A., 2008. Population regulation of a dominant rain forest tree by a major seed predator. Ecology 84, 431–438.</w:t>
      </w:r>
    </w:p>
    <w:p w14:paraId="69C0208C"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Sinclair, A.R.E., 2003. Mammal population regulation, keystone processes and ecosystem dynamics. Philos. Trans. R. Soc. London Ser. B-Biological Sci. 358, 1729–1740.</w:t>
      </w:r>
    </w:p>
    <w:p w14:paraId="0AAD876F"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 xml:space="preserve">Stoner, K.E., Vulinec, K., Wright, S.J., Peres, C.A., 2007. Hunting and plant </w:t>
      </w:r>
      <w:r w:rsidRPr="009327D0">
        <w:rPr>
          <w:noProof/>
          <w:lang w:val="en-US"/>
        </w:rPr>
        <w:lastRenderedPageBreak/>
        <w:t>community dynamics in tropical forests: a synthesis and future directions. Biotropica 39, 385–392.</w:t>
      </w:r>
    </w:p>
    <w:p w14:paraId="3E31685E"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Svenning, J.-C., 2002. Crown illumination limits the population growth rate of a neotropical understorey palm (Geonoma macrostachys, Arecaceae). Plant Ecol. 159, 185–199. https://doi.org/10.1023/a:1015520116260</w:t>
      </w:r>
    </w:p>
    <w:p w14:paraId="087DBD16"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Tang, H., Dubayah, R., 2017. Light-driven growth in Amazon evergreen forests explained by seasonal variations of vertical canopy structure. Proc. Natl. Acad. Sci. 114, 2640–2644. https://doi.org/10.1073/pnas.1616943114</w:t>
      </w:r>
    </w:p>
    <w:p w14:paraId="5ACBADC9"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Terborgh, J., 2012. Enemies maintain hyperdiverse tropical forests. Am. Nat. 179, 303–314. https://doi.org/10.1086/664183</w:t>
      </w:r>
    </w:p>
    <w:p w14:paraId="52D6EC15" w14:textId="77777777" w:rsidR="00413419" w:rsidRPr="00413419" w:rsidRDefault="00413419" w:rsidP="00413419">
      <w:pPr>
        <w:widowControl w:val="0"/>
        <w:autoSpaceDE w:val="0"/>
        <w:autoSpaceDN w:val="0"/>
        <w:adjustRightInd w:val="0"/>
        <w:spacing w:line="480" w:lineRule="auto"/>
        <w:ind w:left="480" w:hanging="480"/>
        <w:rPr>
          <w:noProof/>
        </w:rPr>
      </w:pPr>
      <w:r w:rsidRPr="009327D0">
        <w:rPr>
          <w:noProof/>
          <w:lang w:val="en-US"/>
        </w:rPr>
        <w:t xml:space="preserve">Villar, N., Cornulier, T., Evans, D., Pakeman, R., Redpath, S., Lambin, X., 2014. Experimental evidence that livestock grazing intensity affects cyclic vole population regulation processes. </w:t>
      </w:r>
      <w:r w:rsidRPr="00413419">
        <w:rPr>
          <w:noProof/>
        </w:rPr>
        <w:t>Popul. Ecol. 56, 55–61. https://doi.org/10.1007/s10144-013-0398-x</w:t>
      </w:r>
    </w:p>
    <w:p w14:paraId="1A2BC955"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413419">
        <w:rPr>
          <w:noProof/>
        </w:rPr>
        <w:t xml:space="preserve">Villar, N., Paz, C., Zipparro, V., Nazareth, S., Bulascoschi, L., Bakker, E.S., Galetti, M., 2021. </w:t>
      </w:r>
      <w:r w:rsidRPr="009327D0">
        <w:rPr>
          <w:noProof/>
          <w:lang w:val="en-US"/>
        </w:rPr>
        <w:t>Frugivory underpins the nitrogen cycle. Funct. Ecol. 35, 357–368. https://doi.org/10.1111/1365-2435.13707</w:t>
      </w:r>
    </w:p>
    <w:p w14:paraId="1CD78458" w14:textId="77777777" w:rsidR="00413419" w:rsidRPr="009327D0" w:rsidRDefault="00413419" w:rsidP="00413419">
      <w:pPr>
        <w:widowControl w:val="0"/>
        <w:autoSpaceDE w:val="0"/>
        <w:autoSpaceDN w:val="0"/>
        <w:adjustRightInd w:val="0"/>
        <w:spacing w:line="480" w:lineRule="auto"/>
        <w:ind w:left="480" w:hanging="480"/>
        <w:rPr>
          <w:noProof/>
          <w:lang w:val="es-ES_tradnl"/>
        </w:rPr>
      </w:pPr>
      <w:r w:rsidRPr="009327D0">
        <w:rPr>
          <w:noProof/>
          <w:lang w:val="en-US"/>
        </w:rPr>
        <w:t xml:space="preserve">Villar, N., Siqueira, T., Zipparro, V., Farah, F., Schmaedecke, G., Hortenci, L., Brocardo, C.R., Jordano, P., Galetti, M., 2020. The cryptic regulation of diversity by functionally complementary large tropical forest herbivores. </w:t>
      </w:r>
      <w:r w:rsidRPr="009327D0">
        <w:rPr>
          <w:noProof/>
          <w:lang w:val="es-ES_tradnl"/>
        </w:rPr>
        <w:t>J. Ecol. 108, 279–290. https://doi.org/10.1111/1365-2745.13257</w:t>
      </w:r>
    </w:p>
    <w:p w14:paraId="12FCDBDE"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s-ES_tradnl"/>
        </w:rPr>
        <w:t xml:space="preserve">Wright, S.J., Carel, P. van S., 1994. </w:t>
      </w:r>
      <w:r w:rsidRPr="009327D0">
        <w:rPr>
          <w:noProof/>
          <w:lang w:val="en-US"/>
        </w:rPr>
        <w:t>Light and the phenology of tropical trees. Am. Nat. 143, 192–199. https://doi.org/10.1086/285600</w:t>
      </w:r>
    </w:p>
    <w:p w14:paraId="098B9A76"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 xml:space="preserve">Young, H.S., McCauley, D.J., Dirzo, R., Goheen, J.R., Agwanda, B., Brook, C., Otárola-Castillo, E., Ferguson, A.W., Kinyua, S.N., McDonough, M.M., Palmer, </w:t>
      </w:r>
      <w:r w:rsidRPr="009327D0">
        <w:rPr>
          <w:noProof/>
          <w:lang w:val="en-US"/>
        </w:rPr>
        <w:lastRenderedPageBreak/>
        <w:t>T.M., Pringle, R.M., Young, T.P., Helgen, K.M., 2015. Context-dependent effects of large-wildlife declines on small-mammal communities in central Kenya. Ecol. Appl. 25, 348–360.</w:t>
      </w:r>
    </w:p>
    <w:p w14:paraId="4BB146EE"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Young, Hillary S, McCauley, D.J., Helgen, K.M., Goheen, J.R., Otárola-Castillo, E., Palmer, T.M., Pringle, R.M., Young, T.P., Dirzo, R., 2013. Effects of mammalian herbivore declines on plant communities: observations and experiments in an African savanna. J. Ecol. 101, 1030–1041.</w:t>
      </w:r>
    </w:p>
    <w:p w14:paraId="6AFAFCCA" w14:textId="77777777" w:rsidR="00413419" w:rsidRPr="009327D0" w:rsidRDefault="00413419" w:rsidP="00413419">
      <w:pPr>
        <w:widowControl w:val="0"/>
        <w:autoSpaceDE w:val="0"/>
        <w:autoSpaceDN w:val="0"/>
        <w:adjustRightInd w:val="0"/>
        <w:spacing w:line="480" w:lineRule="auto"/>
        <w:ind w:left="480" w:hanging="480"/>
        <w:rPr>
          <w:noProof/>
          <w:lang w:val="en-US"/>
        </w:rPr>
      </w:pPr>
      <w:r w:rsidRPr="009327D0">
        <w:rPr>
          <w:noProof/>
          <w:lang w:val="en-US"/>
        </w:rPr>
        <w:t>Young, Hillary S., McCauley, D.J., Helgen, K.M., Goheen, J.R., Otárola-Castillo, E., Palmer, T.M., Pringle, R.M., Young, T.P., Dirzo, R., 2013. Effects of mammalian herbivore declines on plant communities: observations and experiments in an African savanna. J. Ecol. 101, 1030–1041. https://doi.org/10.1111/1365-2745.12096</w:t>
      </w:r>
    </w:p>
    <w:p w14:paraId="39C0B38A" w14:textId="77777777" w:rsidR="00413419" w:rsidRPr="00413419" w:rsidRDefault="00413419" w:rsidP="00413419">
      <w:pPr>
        <w:widowControl w:val="0"/>
        <w:autoSpaceDE w:val="0"/>
        <w:autoSpaceDN w:val="0"/>
        <w:adjustRightInd w:val="0"/>
        <w:spacing w:line="480" w:lineRule="auto"/>
        <w:ind w:left="480" w:hanging="480"/>
        <w:rPr>
          <w:noProof/>
        </w:rPr>
      </w:pPr>
      <w:r w:rsidRPr="009327D0">
        <w:rPr>
          <w:noProof/>
          <w:lang w:val="en-US"/>
        </w:rPr>
        <w:t xml:space="preserve">Zuur, A.F., Ieno, E.N., Walker, N., Saveliev, A.A., Smith, G.M., 2009. Mixed effects models and extensions in ecology with R, 1st Editio. ed, Statistics for biology and health. </w:t>
      </w:r>
      <w:r w:rsidRPr="00413419">
        <w:rPr>
          <w:noProof/>
        </w:rPr>
        <w:t>Springer, New York, NY.</w:t>
      </w:r>
    </w:p>
    <w:p w14:paraId="22326E03" w14:textId="61D2D9FF" w:rsidR="000D5ED3" w:rsidRDefault="00413419" w:rsidP="001A11B3">
      <w:pPr>
        <w:spacing w:line="480" w:lineRule="auto"/>
        <w:ind w:left="720" w:hanging="720"/>
        <w:jc w:val="both"/>
      </w:pPr>
      <w:r>
        <w:fldChar w:fldCharType="end"/>
      </w:r>
    </w:p>
    <w:sectPr w:rsidR="000D5ED3" w:rsidSect="00EB5AF9">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968F" w14:textId="77777777" w:rsidR="00174422" w:rsidRDefault="00174422">
      <w:r>
        <w:separator/>
      </w:r>
    </w:p>
  </w:endnote>
  <w:endnote w:type="continuationSeparator" w:id="0">
    <w:p w14:paraId="0F54F5C4" w14:textId="77777777" w:rsidR="00174422" w:rsidRDefault="0017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roman"/>
    <w:notTrueType/>
    <w:pitch w:val="default"/>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Liberation Mono">
    <w:altName w:val="Cambria"/>
    <w:panose1 w:val="00000000000000000000"/>
    <w:charset w:val="00"/>
    <w:family w:val="roman"/>
    <w:notTrueType/>
    <w:pitch w:val="default"/>
  </w:font>
  <w:font w:name="NSimSun">
    <w:charset w:val="86"/>
    <w:family w:val="modern"/>
    <w:pitch w:val="fixed"/>
    <w:sig w:usb0="00000283" w:usb1="288F0000" w:usb2="00000016" w:usb3="00000000" w:csb0="00040001" w:csb1="00000000"/>
  </w:font>
  <w:font w:name="新細明體">
    <w:panose1 w:val="00000000000000000000"/>
    <w:charset w:val="88"/>
    <w:family w:val="auto"/>
    <w:notTrueType/>
    <w:pitch w:val="variable"/>
    <w:sig w:usb0="00000001" w:usb1="08080000" w:usb2="00000010" w:usb3="00000000" w:csb0="00100000"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120E" w14:textId="77777777" w:rsidR="00525A9A" w:rsidRDefault="00525A9A" w:rsidP="00313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97549" w14:textId="77777777" w:rsidR="00525A9A" w:rsidRDefault="00525A9A" w:rsidP="0031361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6B1B" w14:textId="77777777" w:rsidR="00525A9A" w:rsidRDefault="00525A9A" w:rsidP="00313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E83">
      <w:rPr>
        <w:rStyle w:val="PageNumber"/>
        <w:noProof/>
      </w:rPr>
      <w:t>2</w:t>
    </w:r>
    <w:r>
      <w:rPr>
        <w:rStyle w:val="PageNumber"/>
      </w:rPr>
      <w:fldChar w:fldCharType="end"/>
    </w:r>
  </w:p>
  <w:p w14:paraId="7B04DF8B" w14:textId="77777777" w:rsidR="00525A9A" w:rsidRDefault="00525A9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1395" w14:textId="77777777" w:rsidR="00525A9A" w:rsidRDefault="00525A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39B1" w14:textId="77777777" w:rsidR="00174422" w:rsidRDefault="00174422">
      <w:r>
        <w:separator/>
      </w:r>
    </w:p>
  </w:footnote>
  <w:footnote w:type="continuationSeparator" w:id="0">
    <w:p w14:paraId="2A076DE3" w14:textId="77777777" w:rsidR="00174422" w:rsidRDefault="00174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17EE" w14:textId="77777777" w:rsidR="00525A9A" w:rsidRDefault="00525A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0009" w14:textId="77777777" w:rsidR="00525A9A" w:rsidRDefault="00525A9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4ECD49C5"/>
    <w:multiLevelType w:val="hybridMultilevel"/>
    <w:tmpl w:val="7FE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C1957"/>
    <w:multiLevelType w:val="hybridMultilevel"/>
    <w:tmpl w:val="CAA6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F78C9"/>
    <w:multiLevelType w:val="hybridMultilevel"/>
    <w:tmpl w:val="FBE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Ecoevo-Saved.enl&lt;/item&gt;&lt;/Libraries&gt;&lt;/ENLibraries&gt;"/>
  </w:docVars>
  <w:rsids>
    <w:rsidRoot w:val="005B118E"/>
    <w:rsid w:val="00002D68"/>
    <w:rsid w:val="0001332F"/>
    <w:rsid w:val="000142D0"/>
    <w:rsid w:val="00020008"/>
    <w:rsid w:val="00023512"/>
    <w:rsid w:val="000239F3"/>
    <w:rsid w:val="0004292E"/>
    <w:rsid w:val="0004522B"/>
    <w:rsid w:val="00072BA2"/>
    <w:rsid w:val="000745D3"/>
    <w:rsid w:val="00080800"/>
    <w:rsid w:val="000A7639"/>
    <w:rsid w:val="000C0392"/>
    <w:rsid w:val="000C1F65"/>
    <w:rsid w:val="000D1FF5"/>
    <w:rsid w:val="000D5ED3"/>
    <w:rsid w:val="000E3252"/>
    <w:rsid w:val="000E6CAF"/>
    <w:rsid w:val="000F0F3E"/>
    <w:rsid w:val="000F241C"/>
    <w:rsid w:val="000F4D9C"/>
    <w:rsid w:val="0010749E"/>
    <w:rsid w:val="00113F86"/>
    <w:rsid w:val="00114DFB"/>
    <w:rsid w:val="00131EC4"/>
    <w:rsid w:val="00135C14"/>
    <w:rsid w:val="001530C1"/>
    <w:rsid w:val="001542F5"/>
    <w:rsid w:val="00156E62"/>
    <w:rsid w:val="00163002"/>
    <w:rsid w:val="00170A71"/>
    <w:rsid w:val="00174422"/>
    <w:rsid w:val="00182E6F"/>
    <w:rsid w:val="00191284"/>
    <w:rsid w:val="001940DE"/>
    <w:rsid w:val="00197687"/>
    <w:rsid w:val="001A11B3"/>
    <w:rsid w:val="001B163B"/>
    <w:rsid w:val="001B1731"/>
    <w:rsid w:val="001B2B98"/>
    <w:rsid w:val="001C36E3"/>
    <w:rsid w:val="001C3FE8"/>
    <w:rsid w:val="001D1421"/>
    <w:rsid w:val="001E0172"/>
    <w:rsid w:val="001E02A4"/>
    <w:rsid w:val="001E0587"/>
    <w:rsid w:val="001F0C48"/>
    <w:rsid w:val="001F6D08"/>
    <w:rsid w:val="001F73FE"/>
    <w:rsid w:val="00215BAA"/>
    <w:rsid w:val="00236AD5"/>
    <w:rsid w:val="002411F5"/>
    <w:rsid w:val="00242076"/>
    <w:rsid w:val="00246CC9"/>
    <w:rsid w:val="0024793A"/>
    <w:rsid w:val="00251FF0"/>
    <w:rsid w:val="00255E7D"/>
    <w:rsid w:val="00261955"/>
    <w:rsid w:val="00282483"/>
    <w:rsid w:val="00290BB0"/>
    <w:rsid w:val="00293345"/>
    <w:rsid w:val="00293B61"/>
    <w:rsid w:val="002A2C8A"/>
    <w:rsid w:val="002C007A"/>
    <w:rsid w:val="002C25B1"/>
    <w:rsid w:val="002C7374"/>
    <w:rsid w:val="002D3536"/>
    <w:rsid w:val="002D3F8B"/>
    <w:rsid w:val="002E1435"/>
    <w:rsid w:val="002E293F"/>
    <w:rsid w:val="002F6230"/>
    <w:rsid w:val="00300934"/>
    <w:rsid w:val="00301A72"/>
    <w:rsid w:val="00304CD6"/>
    <w:rsid w:val="00313614"/>
    <w:rsid w:val="003158CE"/>
    <w:rsid w:val="003230C9"/>
    <w:rsid w:val="00327ACA"/>
    <w:rsid w:val="00341E0C"/>
    <w:rsid w:val="0034656C"/>
    <w:rsid w:val="00347E9F"/>
    <w:rsid w:val="00353D0D"/>
    <w:rsid w:val="00355CAA"/>
    <w:rsid w:val="00372DF9"/>
    <w:rsid w:val="00377696"/>
    <w:rsid w:val="00377B7A"/>
    <w:rsid w:val="00381E5F"/>
    <w:rsid w:val="003A3764"/>
    <w:rsid w:val="003A39F1"/>
    <w:rsid w:val="003A3FB4"/>
    <w:rsid w:val="003B68D3"/>
    <w:rsid w:val="003B6E99"/>
    <w:rsid w:val="003C2B67"/>
    <w:rsid w:val="003C5EE4"/>
    <w:rsid w:val="003C77CE"/>
    <w:rsid w:val="003D628B"/>
    <w:rsid w:val="003E393E"/>
    <w:rsid w:val="003F027A"/>
    <w:rsid w:val="003F3218"/>
    <w:rsid w:val="003F50D3"/>
    <w:rsid w:val="003F79CB"/>
    <w:rsid w:val="00401AE0"/>
    <w:rsid w:val="00403B0C"/>
    <w:rsid w:val="00406EA8"/>
    <w:rsid w:val="00413419"/>
    <w:rsid w:val="00426D5B"/>
    <w:rsid w:val="00443FE6"/>
    <w:rsid w:val="00445364"/>
    <w:rsid w:val="004533BD"/>
    <w:rsid w:val="00453DAF"/>
    <w:rsid w:val="00464749"/>
    <w:rsid w:val="0048312C"/>
    <w:rsid w:val="00484767"/>
    <w:rsid w:val="004869B7"/>
    <w:rsid w:val="004905F6"/>
    <w:rsid w:val="00490601"/>
    <w:rsid w:val="00491E0E"/>
    <w:rsid w:val="004A0D08"/>
    <w:rsid w:val="004A494B"/>
    <w:rsid w:val="004B1D22"/>
    <w:rsid w:val="004B4F32"/>
    <w:rsid w:val="004C1B2B"/>
    <w:rsid w:val="004C2239"/>
    <w:rsid w:val="004E030E"/>
    <w:rsid w:val="004E3EDA"/>
    <w:rsid w:val="004E5062"/>
    <w:rsid w:val="004F0010"/>
    <w:rsid w:val="00501B4A"/>
    <w:rsid w:val="0050481D"/>
    <w:rsid w:val="00510DA4"/>
    <w:rsid w:val="00511111"/>
    <w:rsid w:val="00520712"/>
    <w:rsid w:val="00521A32"/>
    <w:rsid w:val="00525A9A"/>
    <w:rsid w:val="0053353C"/>
    <w:rsid w:val="005372FB"/>
    <w:rsid w:val="00542E83"/>
    <w:rsid w:val="0055378C"/>
    <w:rsid w:val="00554731"/>
    <w:rsid w:val="0055601B"/>
    <w:rsid w:val="0057341D"/>
    <w:rsid w:val="00577DFA"/>
    <w:rsid w:val="00581A59"/>
    <w:rsid w:val="00592CE3"/>
    <w:rsid w:val="00597AD7"/>
    <w:rsid w:val="005B118E"/>
    <w:rsid w:val="005C0E79"/>
    <w:rsid w:val="005C1D4E"/>
    <w:rsid w:val="005C6AD0"/>
    <w:rsid w:val="005D1567"/>
    <w:rsid w:val="005D6734"/>
    <w:rsid w:val="005E7041"/>
    <w:rsid w:val="005E79FA"/>
    <w:rsid w:val="005E7F36"/>
    <w:rsid w:val="005F5448"/>
    <w:rsid w:val="00616E1E"/>
    <w:rsid w:val="006502B5"/>
    <w:rsid w:val="00653439"/>
    <w:rsid w:val="00673698"/>
    <w:rsid w:val="00675B72"/>
    <w:rsid w:val="0069017F"/>
    <w:rsid w:val="00693B65"/>
    <w:rsid w:val="006971B1"/>
    <w:rsid w:val="006B560E"/>
    <w:rsid w:val="006B6B2D"/>
    <w:rsid w:val="006B745A"/>
    <w:rsid w:val="006C445C"/>
    <w:rsid w:val="006C615B"/>
    <w:rsid w:val="006D0996"/>
    <w:rsid w:val="006D124B"/>
    <w:rsid w:val="006D3D92"/>
    <w:rsid w:val="006F3402"/>
    <w:rsid w:val="0070535B"/>
    <w:rsid w:val="00712B85"/>
    <w:rsid w:val="00713C98"/>
    <w:rsid w:val="00713DCE"/>
    <w:rsid w:val="0071400E"/>
    <w:rsid w:val="0071551A"/>
    <w:rsid w:val="007164DE"/>
    <w:rsid w:val="007176CB"/>
    <w:rsid w:val="007179D5"/>
    <w:rsid w:val="00720EEF"/>
    <w:rsid w:val="00724771"/>
    <w:rsid w:val="00727A4C"/>
    <w:rsid w:val="00731291"/>
    <w:rsid w:val="0073733D"/>
    <w:rsid w:val="007503B7"/>
    <w:rsid w:val="007609C5"/>
    <w:rsid w:val="007628A9"/>
    <w:rsid w:val="00763900"/>
    <w:rsid w:val="0077540C"/>
    <w:rsid w:val="00791356"/>
    <w:rsid w:val="007A5C97"/>
    <w:rsid w:val="007A7993"/>
    <w:rsid w:val="007D7B3E"/>
    <w:rsid w:val="007F2A69"/>
    <w:rsid w:val="007F3A95"/>
    <w:rsid w:val="007F592F"/>
    <w:rsid w:val="007F7AD5"/>
    <w:rsid w:val="00810159"/>
    <w:rsid w:val="008234A2"/>
    <w:rsid w:val="00842698"/>
    <w:rsid w:val="0084363F"/>
    <w:rsid w:val="0084692D"/>
    <w:rsid w:val="00855CB5"/>
    <w:rsid w:val="00860ADC"/>
    <w:rsid w:val="00860FA9"/>
    <w:rsid w:val="00870E5F"/>
    <w:rsid w:val="00874632"/>
    <w:rsid w:val="00876F68"/>
    <w:rsid w:val="00880E9D"/>
    <w:rsid w:val="00881D72"/>
    <w:rsid w:val="00883513"/>
    <w:rsid w:val="00885800"/>
    <w:rsid w:val="00886E04"/>
    <w:rsid w:val="008950D2"/>
    <w:rsid w:val="008A39AE"/>
    <w:rsid w:val="008B1527"/>
    <w:rsid w:val="008B2892"/>
    <w:rsid w:val="008B474E"/>
    <w:rsid w:val="008B7F6A"/>
    <w:rsid w:val="008C6D9A"/>
    <w:rsid w:val="008D48A5"/>
    <w:rsid w:val="008D6A30"/>
    <w:rsid w:val="008F0C57"/>
    <w:rsid w:val="008F54ED"/>
    <w:rsid w:val="009002E9"/>
    <w:rsid w:val="00904A24"/>
    <w:rsid w:val="00906FB6"/>
    <w:rsid w:val="00914686"/>
    <w:rsid w:val="00920756"/>
    <w:rsid w:val="00921D9B"/>
    <w:rsid w:val="00922853"/>
    <w:rsid w:val="009327D0"/>
    <w:rsid w:val="009361B9"/>
    <w:rsid w:val="0094247C"/>
    <w:rsid w:val="00951D4A"/>
    <w:rsid w:val="00953E45"/>
    <w:rsid w:val="00955FDF"/>
    <w:rsid w:val="00960D1E"/>
    <w:rsid w:val="0096392E"/>
    <w:rsid w:val="00974E95"/>
    <w:rsid w:val="0098009F"/>
    <w:rsid w:val="009825E2"/>
    <w:rsid w:val="00982B50"/>
    <w:rsid w:val="00985D8C"/>
    <w:rsid w:val="00990CDF"/>
    <w:rsid w:val="00991B70"/>
    <w:rsid w:val="0099217C"/>
    <w:rsid w:val="009961CD"/>
    <w:rsid w:val="009966E7"/>
    <w:rsid w:val="009A1460"/>
    <w:rsid w:val="009B21CB"/>
    <w:rsid w:val="009B26CF"/>
    <w:rsid w:val="009B3255"/>
    <w:rsid w:val="009B4CC0"/>
    <w:rsid w:val="009C49EE"/>
    <w:rsid w:val="009D7915"/>
    <w:rsid w:val="009E417C"/>
    <w:rsid w:val="009E78FF"/>
    <w:rsid w:val="009F5128"/>
    <w:rsid w:val="009F66C4"/>
    <w:rsid w:val="00A046D7"/>
    <w:rsid w:val="00A06829"/>
    <w:rsid w:val="00A10140"/>
    <w:rsid w:val="00A21773"/>
    <w:rsid w:val="00A22075"/>
    <w:rsid w:val="00A326FE"/>
    <w:rsid w:val="00A3555E"/>
    <w:rsid w:val="00A425BA"/>
    <w:rsid w:val="00A4297C"/>
    <w:rsid w:val="00A509B1"/>
    <w:rsid w:val="00A53FBF"/>
    <w:rsid w:val="00A5408C"/>
    <w:rsid w:val="00A62DB9"/>
    <w:rsid w:val="00A70E4A"/>
    <w:rsid w:val="00A710EB"/>
    <w:rsid w:val="00A75ACB"/>
    <w:rsid w:val="00A86847"/>
    <w:rsid w:val="00A92AEF"/>
    <w:rsid w:val="00A94177"/>
    <w:rsid w:val="00A9648E"/>
    <w:rsid w:val="00AA61AE"/>
    <w:rsid w:val="00AA7ABA"/>
    <w:rsid w:val="00AC0213"/>
    <w:rsid w:val="00AC1A39"/>
    <w:rsid w:val="00AD0719"/>
    <w:rsid w:val="00AE5605"/>
    <w:rsid w:val="00AE757F"/>
    <w:rsid w:val="00B17425"/>
    <w:rsid w:val="00B26789"/>
    <w:rsid w:val="00B30766"/>
    <w:rsid w:val="00B50995"/>
    <w:rsid w:val="00B54B6C"/>
    <w:rsid w:val="00B7069A"/>
    <w:rsid w:val="00B93F24"/>
    <w:rsid w:val="00BA56E2"/>
    <w:rsid w:val="00BA60A3"/>
    <w:rsid w:val="00BC4774"/>
    <w:rsid w:val="00BC67FB"/>
    <w:rsid w:val="00BD1D71"/>
    <w:rsid w:val="00BE1132"/>
    <w:rsid w:val="00BE3AC5"/>
    <w:rsid w:val="00C06014"/>
    <w:rsid w:val="00C2186D"/>
    <w:rsid w:val="00C35CCF"/>
    <w:rsid w:val="00C406B6"/>
    <w:rsid w:val="00C41B7F"/>
    <w:rsid w:val="00C6600E"/>
    <w:rsid w:val="00C775D1"/>
    <w:rsid w:val="00CA50EC"/>
    <w:rsid w:val="00CB27B4"/>
    <w:rsid w:val="00CB7682"/>
    <w:rsid w:val="00CC0485"/>
    <w:rsid w:val="00CC1E1E"/>
    <w:rsid w:val="00CC470B"/>
    <w:rsid w:val="00CD05D4"/>
    <w:rsid w:val="00CD2688"/>
    <w:rsid w:val="00CD481D"/>
    <w:rsid w:val="00CE2594"/>
    <w:rsid w:val="00CF3E32"/>
    <w:rsid w:val="00D02F19"/>
    <w:rsid w:val="00D04C6C"/>
    <w:rsid w:val="00D13707"/>
    <w:rsid w:val="00D22737"/>
    <w:rsid w:val="00D25D24"/>
    <w:rsid w:val="00D54EF2"/>
    <w:rsid w:val="00D74914"/>
    <w:rsid w:val="00D75E12"/>
    <w:rsid w:val="00D767FC"/>
    <w:rsid w:val="00D76987"/>
    <w:rsid w:val="00D80D23"/>
    <w:rsid w:val="00D81064"/>
    <w:rsid w:val="00D85A2C"/>
    <w:rsid w:val="00D94A27"/>
    <w:rsid w:val="00D97A1A"/>
    <w:rsid w:val="00DA27DA"/>
    <w:rsid w:val="00DA3695"/>
    <w:rsid w:val="00DA3753"/>
    <w:rsid w:val="00DB2E36"/>
    <w:rsid w:val="00DD0A57"/>
    <w:rsid w:val="00DE0157"/>
    <w:rsid w:val="00DE3EE4"/>
    <w:rsid w:val="00DE7651"/>
    <w:rsid w:val="00DF0778"/>
    <w:rsid w:val="00E00758"/>
    <w:rsid w:val="00E00838"/>
    <w:rsid w:val="00E047DA"/>
    <w:rsid w:val="00E0595C"/>
    <w:rsid w:val="00E06CB8"/>
    <w:rsid w:val="00E07C2F"/>
    <w:rsid w:val="00E10E49"/>
    <w:rsid w:val="00E10F49"/>
    <w:rsid w:val="00E13B24"/>
    <w:rsid w:val="00E2336C"/>
    <w:rsid w:val="00E23EEF"/>
    <w:rsid w:val="00E31199"/>
    <w:rsid w:val="00E4053A"/>
    <w:rsid w:val="00E406C1"/>
    <w:rsid w:val="00E40CF3"/>
    <w:rsid w:val="00E5383B"/>
    <w:rsid w:val="00E56136"/>
    <w:rsid w:val="00E668B5"/>
    <w:rsid w:val="00E66943"/>
    <w:rsid w:val="00E712C4"/>
    <w:rsid w:val="00E738D5"/>
    <w:rsid w:val="00E73ACA"/>
    <w:rsid w:val="00EA58EE"/>
    <w:rsid w:val="00EB0375"/>
    <w:rsid w:val="00EB338E"/>
    <w:rsid w:val="00EB5AF9"/>
    <w:rsid w:val="00EB775A"/>
    <w:rsid w:val="00EC1403"/>
    <w:rsid w:val="00EE70CE"/>
    <w:rsid w:val="00EF3389"/>
    <w:rsid w:val="00EF6044"/>
    <w:rsid w:val="00EF71CF"/>
    <w:rsid w:val="00F32325"/>
    <w:rsid w:val="00F3341D"/>
    <w:rsid w:val="00F36B1D"/>
    <w:rsid w:val="00F45626"/>
    <w:rsid w:val="00F532C2"/>
    <w:rsid w:val="00F55259"/>
    <w:rsid w:val="00F56B3C"/>
    <w:rsid w:val="00F61AC0"/>
    <w:rsid w:val="00F747C6"/>
    <w:rsid w:val="00F76F2B"/>
    <w:rsid w:val="00F8593A"/>
    <w:rsid w:val="00F86608"/>
    <w:rsid w:val="00F96718"/>
    <w:rsid w:val="00FA6656"/>
    <w:rsid w:val="00FA66C7"/>
    <w:rsid w:val="00FB4081"/>
    <w:rsid w:val="00FB6F31"/>
    <w:rsid w:val="00FD214A"/>
    <w:rsid w:val="00FD44B1"/>
    <w:rsid w:val="00FE6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31686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pPr>
      <w:suppressAutoHyphens/>
    </w:pPr>
    <w:rPr>
      <w:rFonts w:eastAsia="PMingLiU"/>
      <w:sz w:val="24"/>
      <w:szCs w:val="24"/>
      <w:lang w:val="pt-BR"/>
    </w:rPr>
  </w:style>
  <w:style w:type="paragraph" w:styleId="Heading1">
    <w:name w:val="heading 1"/>
    <w:basedOn w:val="Normal"/>
    <w:next w:val="BodyText"/>
    <w:qFormat/>
    <w:pPr>
      <w:numPr>
        <w:numId w:val="1"/>
      </w:numPr>
      <w:spacing w:before="280" w:after="280"/>
      <w:outlineLvl w:val="0"/>
    </w:pPr>
    <w:rPr>
      <w:b/>
      <w:bCs/>
      <w:kern w:val="1"/>
      <w:sz w:val="48"/>
      <w:szCs w:val="4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uentedeprrafopredeter1">
    <w:name w:val="Fuente de párrafo predeter.1"/>
  </w:style>
  <w:style w:type="character" w:styleId="PageNumber">
    <w:name w:val="page number"/>
    <w:rPr>
      <w:rFonts w:cs="Times New Roman"/>
      <w:lang w:val="en-US"/>
    </w:rPr>
  </w:style>
  <w:style w:type="character" w:styleId="LineNumber">
    <w:name w:val="line number"/>
    <w:basedOn w:val="Fuentedeprrafopredeter1"/>
  </w:style>
  <w:style w:type="character" w:customStyle="1" w:styleId="Hyperlink0">
    <w:name w:val="Hyperlink.0"/>
    <w:rPr>
      <w:rFonts w:cs="Times New Roman"/>
      <w:lang w:val="en-US"/>
    </w:rPr>
  </w:style>
  <w:style w:type="character" w:customStyle="1" w:styleId="Refdecomentario1">
    <w:name w:val="Ref. de comentario1"/>
    <w:rPr>
      <w:sz w:val="16"/>
      <w:szCs w:val="16"/>
    </w:rPr>
  </w:style>
  <w:style w:type="character" w:customStyle="1" w:styleId="CarCar1">
    <w:name w:val="Car Car1"/>
    <w:rPr>
      <w:rFonts w:ascii="Calibri" w:eastAsia="Calibri" w:hAnsi="Calibri" w:cs="Calibri"/>
      <w:lang w:val="pt-BR" w:bidi="ar-SA"/>
    </w:rPr>
  </w:style>
  <w:style w:type="character" w:customStyle="1" w:styleId="fn">
    <w:name w:val="fn"/>
    <w:basedOn w:val="Fuentedeprrafopredeter1"/>
  </w:style>
  <w:style w:type="character" w:customStyle="1" w:styleId="Title1">
    <w:name w:val="Title1"/>
    <w:basedOn w:val="Fuentedeprrafopredeter1"/>
  </w:style>
  <w:style w:type="character" w:customStyle="1" w:styleId="source-title">
    <w:name w:val="source-title"/>
    <w:basedOn w:val="Fuentedeprrafopredeter1"/>
  </w:style>
  <w:style w:type="character" w:customStyle="1" w:styleId="volume">
    <w:name w:val="volume"/>
    <w:basedOn w:val="Fuentedeprrafopredeter1"/>
  </w:style>
  <w:style w:type="character" w:customStyle="1" w:styleId="start-page">
    <w:name w:val="start-page"/>
    <w:basedOn w:val="Fuentedeprrafopredeter1"/>
  </w:style>
  <w:style w:type="character" w:customStyle="1" w:styleId="end-page">
    <w:name w:val="end-page"/>
    <w:basedOn w:val="Fuentedeprrafopredeter1"/>
  </w:style>
  <w:style w:type="character" w:customStyle="1" w:styleId="year">
    <w:name w:val="year"/>
    <w:basedOn w:val="Fuentedeprrafopredeter1"/>
  </w:style>
  <w:style w:type="character" w:customStyle="1" w:styleId="maintitle">
    <w:name w:val="maintitle"/>
    <w:basedOn w:val="Fuentedeprrafopredeter1"/>
  </w:style>
  <w:style w:type="character" w:styleId="Hyperlink">
    <w:name w:val="Hyperlink"/>
    <w:rPr>
      <w:color w:val="0000FF"/>
      <w:u w:val="single"/>
    </w:rPr>
  </w:style>
  <w:style w:type="character" w:customStyle="1" w:styleId="CarCar">
    <w:name w:val="Car Car"/>
    <w:rPr>
      <w:sz w:val="24"/>
      <w:szCs w:val="24"/>
      <w:lang w:val="pt-BR" w:eastAsia="zh-TW"/>
    </w:rPr>
  </w:style>
  <w:style w:type="character" w:customStyle="1" w:styleId="None">
    <w:name w:val="None"/>
  </w:style>
  <w:style w:type="character" w:customStyle="1" w:styleId="Hyperlink1">
    <w:name w:val="Hyperlink.1"/>
    <w:rPr>
      <w:rFonts w:cs="Times New Roman"/>
      <w:color w:val="0000FF"/>
      <w:u w:val="single" w:color="000000"/>
      <w:lang w:val="en-US"/>
    </w:rPr>
  </w:style>
  <w:style w:type="character" w:customStyle="1" w:styleId="CommentTextChar">
    <w:name w:val="Comment Text Char"/>
    <w:rPr>
      <w:rFonts w:cs="Arial Unicode MS"/>
      <w:color w:val="000000"/>
      <w:lang w:val="pt-PT"/>
    </w:rPr>
  </w:style>
  <w:style w:type="paragraph" w:customStyle="1" w:styleId="Ttulo1">
    <w:name w:val="Título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Textocomentario1">
    <w:name w:val="Texto comentario1"/>
    <w:basedOn w:val="Normal"/>
    <w:pPr>
      <w:spacing w:after="200" w:line="276" w:lineRule="auto"/>
    </w:pPr>
    <w:rPr>
      <w:rFonts w:ascii="Calibri" w:eastAsia="Calibri" w:hAnsi="Calibri" w:cs="Calibri"/>
      <w:sz w:val="20"/>
      <w:szCs w:val="20"/>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lang w:eastAsia="zh-CN"/>
    </w:rPr>
  </w:style>
  <w:style w:type="paragraph" w:styleId="BalloonText">
    <w:name w:val="Balloon Text"/>
    <w:basedOn w:val="Normal"/>
    <w:rPr>
      <w:rFonts w:ascii="Tahoma" w:hAnsi="Tahoma" w:cs="Tahoma"/>
      <w:sz w:val="16"/>
      <w:szCs w:val="16"/>
    </w:rPr>
  </w:style>
  <w:style w:type="paragraph" w:styleId="CommentSubject">
    <w:name w:val="annotation subject"/>
    <w:basedOn w:val="Textocomentario1"/>
    <w:next w:val="Textocomentario1"/>
    <w:pPr>
      <w:spacing w:after="0" w:line="240" w:lineRule="auto"/>
    </w:pPr>
    <w:rPr>
      <w:rFonts w:ascii="Times New Roman" w:eastAsia="PMingLiU" w:hAnsi="Times New Roman" w:cs="Times New Roman"/>
      <w:b/>
      <w:bCs/>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eastAsia="zh-CN"/>
    </w:rPr>
  </w:style>
  <w:style w:type="paragraph" w:styleId="BodyTextIndent">
    <w:name w:val="Body Text Indent"/>
    <w:basedOn w:val="Normal"/>
    <w:pPr>
      <w:spacing w:after="120"/>
      <w:ind w:left="283"/>
    </w:pPr>
  </w:style>
  <w:style w:type="paragraph" w:styleId="Footer">
    <w:name w:val="footer"/>
    <w:basedOn w:val="Normal"/>
    <w:pPr>
      <w:tabs>
        <w:tab w:val="center" w:pos="4320"/>
        <w:tab w:val="right" w:pos="8640"/>
      </w:tabs>
    </w:p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w:eastAsia="Arial Unicode MS" w:hAnsi="Helvetica" w:cs="Arial Unicode MS"/>
      <w:color w:val="000000"/>
      <w:sz w:val="24"/>
      <w:szCs w:val="24"/>
      <w:lang w:val="es-ES_tradnl"/>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val="es-ES_tradnl"/>
    </w:rPr>
  </w:style>
  <w:style w:type="paragraph" w:styleId="Header">
    <w:name w:val="head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prformatado">
    <w:name w:val="Texto préformatado"/>
    <w:basedOn w:val="Normal"/>
    <w:rPr>
      <w:rFonts w:ascii="Liberation Mono" w:eastAsia="NSimSun" w:hAnsi="Liberation Mono" w:cs="Liberation Mono"/>
      <w:sz w:val="20"/>
      <w:szCs w:val="20"/>
    </w:rPr>
  </w:style>
  <w:style w:type="character" w:styleId="CommentReference">
    <w:name w:val="annotation reference"/>
    <w:semiHidden/>
    <w:rsid w:val="00A5408C"/>
    <w:rPr>
      <w:sz w:val="16"/>
      <w:szCs w:val="16"/>
    </w:rPr>
  </w:style>
  <w:style w:type="paragraph" w:styleId="CommentText">
    <w:name w:val="annotation text"/>
    <w:basedOn w:val="Normal"/>
    <w:semiHidden/>
    <w:rsid w:val="00A5408C"/>
    <w:rPr>
      <w:sz w:val="20"/>
      <w:szCs w:val="20"/>
    </w:rPr>
  </w:style>
  <w:style w:type="table" w:styleId="TableGrid">
    <w:name w:val="Table Grid"/>
    <w:basedOn w:val="TableNormal"/>
    <w:rsid w:val="00FD214A"/>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32325"/>
    <w:rPr>
      <w:b/>
      <w:bCs/>
    </w:rPr>
  </w:style>
  <w:style w:type="paragraph" w:styleId="ListParagraph">
    <w:name w:val="List Paragraph"/>
    <w:basedOn w:val="Normal"/>
    <w:uiPriority w:val="72"/>
    <w:qFormat/>
    <w:rsid w:val="009327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pPr>
      <w:suppressAutoHyphens/>
    </w:pPr>
    <w:rPr>
      <w:rFonts w:eastAsia="PMingLiU"/>
      <w:sz w:val="24"/>
      <w:szCs w:val="24"/>
      <w:lang w:val="pt-BR"/>
    </w:rPr>
  </w:style>
  <w:style w:type="paragraph" w:styleId="Heading1">
    <w:name w:val="heading 1"/>
    <w:basedOn w:val="Normal"/>
    <w:next w:val="BodyText"/>
    <w:qFormat/>
    <w:pPr>
      <w:numPr>
        <w:numId w:val="1"/>
      </w:numPr>
      <w:spacing w:before="280" w:after="280"/>
      <w:outlineLvl w:val="0"/>
    </w:pPr>
    <w:rPr>
      <w:b/>
      <w:bCs/>
      <w:kern w:val="1"/>
      <w:sz w:val="48"/>
      <w:szCs w:val="4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uentedeprrafopredeter1">
    <w:name w:val="Fuente de párrafo predeter.1"/>
  </w:style>
  <w:style w:type="character" w:styleId="PageNumber">
    <w:name w:val="page number"/>
    <w:rPr>
      <w:rFonts w:cs="Times New Roman"/>
      <w:lang w:val="en-US"/>
    </w:rPr>
  </w:style>
  <w:style w:type="character" w:styleId="LineNumber">
    <w:name w:val="line number"/>
    <w:basedOn w:val="Fuentedeprrafopredeter1"/>
  </w:style>
  <w:style w:type="character" w:customStyle="1" w:styleId="Hyperlink0">
    <w:name w:val="Hyperlink.0"/>
    <w:rPr>
      <w:rFonts w:cs="Times New Roman"/>
      <w:lang w:val="en-US"/>
    </w:rPr>
  </w:style>
  <w:style w:type="character" w:customStyle="1" w:styleId="Refdecomentario1">
    <w:name w:val="Ref. de comentario1"/>
    <w:rPr>
      <w:sz w:val="16"/>
      <w:szCs w:val="16"/>
    </w:rPr>
  </w:style>
  <w:style w:type="character" w:customStyle="1" w:styleId="CarCar1">
    <w:name w:val="Car Car1"/>
    <w:rPr>
      <w:rFonts w:ascii="Calibri" w:eastAsia="Calibri" w:hAnsi="Calibri" w:cs="Calibri"/>
      <w:lang w:val="pt-BR" w:bidi="ar-SA"/>
    </w:rPr>
  </w:style>
  <w:style w:type="character" w:customStyle="1" w:styleId="fn">
    <w:name w:val="fn"/>
    <w:basedOn w:val="Fuentedeprrafopredeter1"/>
  </w:style>
  <w:style w:type="character" w:customStyle="1" w:styleId="Title1">
    <w:name w:val="Title1"/>
    <w:basedOn w:val="Fuentedeprrafopredeter1"/>
  </w:style>
  <w:style w:type="character" w:customStyle="1" w:styleId="source-title">
    <w:name w:val="source-title"/>
    <w:basedOn w:val="Fuentedeprrafopredeter1"/>
  </w:style>
  <w:style w:type="character" w:customStyle="1" w:styleId="volume">
    <w:name w:val="volume"/>
    <w:basedOn w:val="Fuentedeprrafopredeter1"/>
  </w:style>
  <w:style w:type="character" w:customStyle="1" w:styleId="start-page">
    <w:name w:val="start-page"/>
    <w:basedOn w:val="Fuentedeprrafopredeter1"/>
  </w:style>
  <w:style w:type="character" w:customStyle="1" w:styleId="end-page">
    <w:name w:val="end-page"/>
    <w:basedOn w:val="Fuentedeprrafopredeter1"/>
  </w:style>
  <w:style w:type="character" w:customStyle="1" w:styleId="year">
    <w:name w:val="year"/>
    <w:basedOn w:val="Fuentedeprrafopredeter1"/>
  </w:style>
  <w:style w:type="character" w:customStyle="1" w:styleId="maintitle">
    <w:name w:val="maintitle"/>
    <w:basedOn w:val="Fuentedeprrafopredeter1"/>
  </w:style>
  <w:style w:type="character" w:styleId="Hyperlink">
    <w:name w:val="Hyperlink"/>
    <w:rPr>
      <w:color w:val="0000FF"/>
      <w:u w:val="single"/>
    </w:rPr>
  </w:style>
  <w:style w:type="character" w:customStyle="1" w:styleId="CarCar">
    <w:name w:val="Car Car"/>
    <w:rPr>
      <w:sz w:val="24"/>
      <w:szCs w:val="24"/>
      <w:lang w:val="pt-BR" w:eastAsia="zh-TW"/>
    </w:rPr>
  </w:style>
  <w:style w:type="character" w:customStyle="1" w:styleId="None">
    <w:name w:val="None"/>
  </w:style>
  <w:style w:type="character" w:customStyle="1" w:styleId="Hyperlink1">
    <w:name w:val="Hyperlink.1"/>
    <w:rPr>
      <w:rFonts w:cs="Times New Roman"/>
      <w:color w:val="0000FF"/>
      <w:u w:val="single" w:color="000000"/>
      <w:lang w:val="en-US"/>
    </w:rPr>
  </w:style>
  <w:style w:type="character" w:customStyle="1" w:styleId="CommentTextChar">
    <w:name w:val="Comment Text Char"/>
    <w:rPr>
      <w:rFonts w:cs="Arial Unicode MS"/>
      <w:color w:val="000000"/>
      <w:lang w:val="pt-PT"/>
    </w:rPr>
  </w:style>
  <w:style w:type="paragraph" w:customStyle="1" w:styleId="Ttulo1">
    <w:name w:val="Título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Textocomentario1">
    <w:name w:val="Texto comentario1"/>
    <w:basedOn w:val="Normal"/>
    <w:pPr>
      <w:spacing w:after="200" w:line="276" w:lineRule="auto"/>
    </w:pPr>
    <w:rPr>
      <w:rFonts w:ascii="Calibri" w:eastAsia="Calibri" w:hAnsi="Calibri" w:cs="Calibri"/>
      <w:sz w:val="20"/>
      <w:szCs w:val="20"/>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lang w:eastAsia="zh-CN"/>
    </w:rPr>
  </w:style>
  <w:style w:type="paragraph" w:styleId="BalloonText">
    <w:name w:val="Balloon Text"/>
    <w:basedOn w:val="Normal"/>
    <w:rPr>
      <w:rFonts w:ascii="Tahoma" w:hAnsi="Tahoma" w:cs="Tahoma"/>
      <w:sz w:val="16"/>
      <w:szCs w:val="16"/>
    </w:rPr>
  </w:style>
  <w:style w:type="paragraph" w:styleId="CommentSubject">
    <w:name w:val="annotation subject"/>
    <w:basedOn w:val="Textocomentario1"/>
    <w:next w:val="Textocomentario1"/>
    <w:pPr>
      <w:spacing w:after="0" w:line="240" w:lineRule="auto"/>
    </w:pPr>
    <w:rPr>
      <w:rFonts w:ascii="Times New Roman" w:eastAsia="PMingLiU" w:hAnsi="Times New Roman" w:cs="Times New Roman"/>
      <w:b/>
      <w:bCs/>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eastAsia="zh-CN"/>
    </w:rPr>
  </w:style>
  <w:style w:type="paragraph" w:styleId="BodyTextIndent">
    <w:name w:val="Body Text Indent"/>
    <w:basedOn w:val="Normal"/>
    <w:pPr>
      <w:spacing w:after="120"/>
      <w:ind w:left="283"/>
    </w:pPr>
  </w:style>
  <w:style w:type="paragraph" w:styleId="Footer">
    <w:name w:val="footer"/>
    <w:basedOn w:val="Normal"/>
    <w:pPr>
      <w:tabs>
        <w:tab w:val="center" w:pos="4320"/>
        <w:tab w:val="right" w:pos="8640"/>
      </w:tabs>
    </w:p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w:eastAsia="Arial Unicode MS" w:hAnsi="Helvetica" w:cs="Arial Unicode MS"/>
      <w:color w:val="000000"/>
      <w:sz w:val="24"/>
      <w:szCs w:val="24"/>
      <w:lang w:val="es-ES_tradnl"/>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val="es-ES_tradnl"/>
    </w:rPr>
  </w:style>
  <w:style w:type="paragraph" w:styleId="Header">
    <w:name w:val="head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prformatado">
    <w:name w:val="Texto préformatado"/>
    <w:basedOn w:val="Normal"/>
    <w:rPr>
      <w:rFonts w:ascii="Liberation Mono" w:eastAsia="NSimSun" w:hAnsi="Liberation Mono" w:cs="Liberation Mono"/>
      <w:sz w:val="20"/>
      <w:szCs w:val="20"/>
    </w:rPr>
  </w:style>
  <w:style w:type="character" w:styleId="CommentReference">
    <w:name w:val="annotation reference"/>
    <w:semiHidden/>
    <w:rsid w:val="00A5408C"/>
    <w:rPr>
      <w:sz w:val="16"/>
      <w:szCs w:val="16"/>
    </w:rPr>
  </w:style>
  <w:style w:type="paragraph" w:styleId="CommentText">
    <w:name w:val="annotation text"/>
    <w:basedOn w:val="Normal"/>
    <w:semiHidden/>
    <w:rsid w:val="00A5408C"/>
    <w:rPr>
      <w:sz w:val="20"/>
      <w:szCs w:val="20"/>
    </w:rPr>
  </w:style>
  <w:style w:type="table" w:styleId="TableGrid">
    <w:name w:val="Table Grid"/>
    <w:basedOn w:val="TableNormal"/>
    <w:rsid w:val="00FD214A"/>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32325"/>
    <w:rPr>
      <w:b/>
      <w:bCs/>
    </w:rPr>
  </w:style>
  <w:style w:type="paragraph" w:styleId="ListParagraph">
    <w:name w:val="List Paragraph"/>
    <w:basedOn w:val="Normal"/>
    <w:uiPriority w:val="72"/>
    <w:qFormat/>
    <w:rsid w:val="0093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CB6E-FECC-B64D-BA10-0F629719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3106</Words>
  <Characters>17710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 pages</vt:lpstr>
    </vt:vector>
  </TitlesOfParts>
  <Company/>
  <LinksUpToDate>false</LinksUpToDate>
  <CharactersWithSpaces>20775</CharactersWithSpaces>
  <SharedDoc>false</SharedDoc>
  <HLinks>
    <vt:vector size="30" baseType="variant">
      <vt:variant>
        <vt:i4>6226010</vt:i4>
      </vt:variant>
      <vt:variant>
        <vt:i4>224</vt:i4>
      </vt:variant>
      <vt:variant>
        <vt:i4>0</vt:i4>
      </vt:variant>
      <vt:variant>
        <vt:i4>5</vt:i4>
      </vt:variant>
      <vt:variant>
        <vt:lpwstr>http://www.r-project.org/</vt:lpwstr>
      </vt:variant>
      <vt:variant>
        <vt:lpwstr/>
      </vt:variant>
      <vt:variant>
        <vt:i4>8061045</vt:i4>
      </vt:variant>
      <vt:variant>
        <vt:i4>221</vt:i4>
      </vt:variant>
      <vt:variant>
        <vt:i4>0</vt:i4>
      </vt:variant>
      <vt:variant>
        <vt:i4>5</vt:i4>
      </vt:variant>
      <vt:variant>
        <vt:lpwstr>http://cran.r-project.org/package=nlme</vt:lpwstr>
      </vt:variant>
      <vt:variant>
        <vt:lpwstr/>
      </vt:variant>
      <vt:variant>
        <vt:i4>2228333</vt:i4>
      </vt:variant>
      <vt:variant>
        <vt:i4>218</vt:i4>
      </vt:variant>
      <vt:variant>
        <vt:i4>0</vt:i4>
      </vt:variant>
      <vt:variant>
        <vt:i4>5</vt:i4>
      </vt:variant>
      <vt:variant>
        <vt:lpwstr>http://www.iucnredlist.org/</vt:lpwstr>
      </vt:variant>
      <vt:variant>
        <vt:lpwstr/>
      </vt:variant>
      <vt:variant>
        <vt:i4>2818175</vt:i4>
      </vt:variant>
      <vt:variant>
        <vt:i4>215</vt:i4>
      </vt:variant>
      <vt:variant>
        <vt:i4>0</vt:i4>
      </vt:variant>
      <vt:variant>
        <vt:i4>5</vt:i4>
      </vt:variant>
      <vt:variant>
        <vt:lpwstr>http://cran.r-project.org/package=lme4</vt:lpwstr>
      </vt:variant>
      <vt:variant>
        <vt:lpwstr/>
      </vt:variant>
      <vt:variant>
        <vt:i4>7209078</vt:i4>
      </vt:variant>
      <vt:variant>
        <vt:i4>212</vt:i4>
      </vt:variant>
      <vt:variant>
        <vt:i4>0</vt:i4>
      </vt:variant>
      <vt:variant>
        <vt:i4>5</vt:i4>
      </vt:variant>
      <vt:variant>
        <vt:lpwstr>http://cran.r-project.org/package=MuMIn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pages</dc:title>
  <dc:subject/>
  <dc:creator>Nacho Villar</dc:creator>
  <cp:keywords/>
  <cp:lastModifiedBy>Dipam Thapa</cp:lastModifiedBy>
  <cp:revision>3</cp:revision>
  <cp:lastPrinted>2018-02-02T15:38:00Z</cp:lastPrinted>
  <dcterms:created xsi:type="dcterms:W3CDTF">2021-09-24T11:45:00Z</dcterms:created>
  <dcterms:modified xsi:type="dcterms:W3CDTF">2021-10-19T04:13:00Z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EN.InstantFormat</vt:lpwstr>
  </property>
  <property fmtid="{D5CDD505-2E9C-101B-9397-08002B2CF9AE}" pid="3" name="EN.Layout">
    <vt:lpwstr>EN.Layout</vt:lpwstr>
  </property>
  <property fmtid="{D5CDD505-2E9C-101B-9397-08002B2CF9AE}" pid="4" name="EN.Libraries">
    <vt:lpwstr>EN.Libraries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http://www.zotero.org/styles/frontiers-in-ecology-and-the-environment</vt:lpwstr>
  </property>
  <property fmtid="{D5CDD505-2E9C-101B-9397-08002B2CF9AE}" pid="10" name="Mendeley Recent Style Name 2_1">
    <vt:lpwstr>Frontiers in Ecology and the Environment</vt:lpwstr>
  </property>
  <property fmtid="{D5CDD505-2E9C-101B-9397-08002B2CF9AE}" pid="11" name="Mendeley Recent Style Id 3_1">
    <vt:lpwstr>http://www.zotero.org/styles/functional-ecology</vt:lpwstr>
  </property>
  <property fmtid="{D5CDD505-2E9C-101B-9397-08002B2CF9AE}" pid="12" name="Mendeley Recent Style Name 3_1">
    <vt:lpwstr>Functional Ecology</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http://www.zotero.org/styles/perspectives-in-ecology-and-conservation</vt:lpwstr>
  </property>
  <property fmtid="{D5CDD505-2E9C-101B-9397-08002B2CF9AE}" pid="18" name="Mendeley Recent Style Name 6_1">
    <vt:lpwstr>Perspectives in Ecology and Conservation</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http://www.zotero.org/styles/trends-in-ecology-and-evolution</vt:lpwstr>
  </property>
  <property fmtid="{D5CDD505-2E9C-101B-9397-08002B2CF9AE}" pid="24" name="Mendeley Recent Style Name 9_1">
    <vt:lpwstr>Trends in Ecology &amp; Evolution</vt:lpwstr>
  </property>
  <property fmtid="{D5CDD505-2E9C-101B-9397-08002B2CF9AE}" pid="25" name="Mendeley Document_1">
    <vt:lpwstr>True</vt:lpwstr>
  </property>
  <property fmtid="{D5CDD505-2E9C-101B-9397-08002B2CF9AE}" pid="26" name="Mendeley Citation Style_1">
    <vt:lpwstr>http://www.zotero.org/styles/perspectives-in-ecology-and-conservation</vt:lpwstr>
  </property>
  <property fmtid="{D5CDD505-2E9C-101B-9397-08002B2CF9AE}" pid="27" name="Mendeley Unique User Id_1">
    <vt:lpwstr>ed15814f-aefd-3d96-9942-b2bbb03315ed</vt:lpwstr>
  </property>
</Properties>
</file>