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94" w:rsidRPr="009B1194" w:rsidRDefault="009B1194" w:rsidP="009B11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1194">
        <w:rPr>
          <w:rFonts w:ascii="Times New Roman" w:hAnsi="Times New Roman" w:cs="Times New Roman"/>
          <w:sz w:val="24"/>
          <w:szCs w:val="24"/>
          <w:lang w:val="en-US"/>
        </w:rPr>
        <w:t>Supplementary Material</w:t>
      </w:r>
    </w:p>
    <w:p w:rsidR="009B1194" w:rsidRDefault="009B1194" w:rsidP="009B11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1194">
        <w:rPr>
          <w:rFonts w:ascii="Times New Roman" w:hAnsi="Times New Roman" w:cs="Times New Roman"/>
          <w:sz w:val="24"/>
          <w:szCs w:val="24"/>
          <w:lang w:val="en-US"/>
        </w:rPr>
        <w:t>(Perspectives in Ecology and Conservation)</w:t>
      </w:r>
    </w:p>
    <w:p w:rsidR="009B1194" w:rsidRDefault="009B1194" w:rsidP="009B11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021D0" w:rsidRPr="00162D9A" w:rsidRDefault="003021D0" w:rsidP="003021D0">
      <w:pPr>
        <w:pStyle w:val="Ttulo1"/>
        <w:rPr>
          <w:sz w:val="24"/>
          <w:szCs w:val="24"/>
          <w:lang w:val="en-US"/>
        </w:rPr>
      </w:pPr>
      <w:r w:rsidRPr="00162D9A">
        <w:rPr>
          <w:sz w:val="24"/>
          <w:szCs w:val="24"/>
          <w:lang w:val="en-US"/>
        </w:rPr>
        <w:t>Strengthen</w:t>
      </w:r>
      <w:r>
        <w:rPr>
          <w:sz w:val="24"/>
          <w:szCs w:val="24"/>
          <w:lang w:val="en-US"/>
        </w:rPr>
        <w:t>ing</w:t>
      </w:r>
      <w:r w:rsidRPr="00162D9A">
        <w:rPr>
          <w:sz w:val="24"/>
          <w:szCs w:val="24"/>
          <w:lang w:val="en-US"/>
        </w:rPr>
        <w:t xml:space="preserve"> top-down strategies are also required </w:t>
      </w:r>
      <w:r>
        <w:rPr>
          <w:sz w:val="24"/>
          <w:szCs w:val="24"/>
          <w:lang w:val="en-US"/>
        </w:rPr>
        <w:t>for</w:t>
      </w:r>
      <w:r w:rsidRPr="00162D9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conservation of the </w:t>
      </w:r>
      <w:r w:rsidRPr="00162D9A">
        <w:rPr>
          <w:sz w:val="24"/>
          <w:szCs w:val="24"/>
          <w:lang w:val="en-US"/>
        </w:rPr>
        <w:t>Araucaria Forest</w:t>
      </w:r>
    </w:p>
    <w:p w:rsidR="009B1194" w:rsidRPr="009B1194" w:rsidRDefault="009B1194" w:rsidP="009B1194">
      <w:pPr>
        <w:pStyle w:val="Ttulo1"/>
        <w:jc w:val="both"/>
        <w:rPr>
          <w:sz w:val="24"/>
          <w:szCs w:val="24"/>
          <w:lang w:val="en-US"/>
        </w:rPr>
      </w:pPr>
    </w:p>
    <w:p w:rsidR="009B1194" w:rsidRPr="009B1194" w:rsidRDefault="009B1194" w:rsidP="009B1194">
      <w:pPr>
        <w:pStyle w:val="Ttulo1"/>
        <w:jc w:val="both"/>
        <w:rPr>
          <w:b w:val="0"/>
          <w:sz w:val="24"/>
          <w:szCs w:val="24"/>
          <w:lang w:val="en-US"/>
        </w:rPr>
      </w:pPr>
    </w:p>
    <w:p w:rsidR="009B1194" w:rsidRPr="00D014AE" w:rsidRDefault="009B1194" w:rsidP="009B1194">
      <w:pPr>
        <w:pStyle w:val="Ttulo1"/>
        <w:jc w:val="both"/>
        <w:rPr>
          <w:b w:val="0"/>
          <w:sz w:val="24"/>
          <w:szCs w:val="24"/>
          <w:vertAlign w:val="superscript"/>
        </w:rPr>
      </w:pPr>
      <w:r w:rsidRPr="00E6554A">
        <w:rPr>
          <w:b w:val="0"/>
          <w:sz w:val="24"/>
          <w:szCs w:val="24"/>
        </w:rPr>
        <w:t>Carlos R. Brocardo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vertAlign w:val="superscript"/>
        </w:rPr>
        <w:t xml:space="preserve">a, b, </w:t>
      </w:r>
      <w:r>
        <w:rPr>
          <w:b w:val="0"/>
          <w:sz w:val="24"/>
          <w:szCs w:val="24"/>
        </w:rPr>
        <w:t>*</w:t>
      </w:r>
      <w:r w:rsidRPr="00E6554A">
        <w:rPr>
          <w:b w:val="0"/>
          <w:sz w:val="24"/>
          <w:szCs w:val="24"/>
        </w:rPr>
        <w:t xml:space="preserve">, </w:t>
      </w:r>
      <w:proofErr w:type="spellStart"/>
      <w:r w:rsidRPr="00E6554A">
        <w:rPr>
          <w:b w:val="0"/>
          <w:sz w:val="24"/>
          <w:szCs w:val="24"/>
        </w:rPr>
        <w:t>Neucir</w:t>
      </w:r>
      <w:proofErr w:type="spellEnd"/>
      <w:r w:rsidRPr="00E6554A">
        <w:rPr>
          <w:b w:val="0"/>
          <w:sz w:val="24"/>
          <w:szCs w:val="24"/>
        </w:rPr>
        <w:t xml:space="preserve"> </w:t>
      </w:r>
      <w:proofErr w:type="spellStart"/>
      <w:r w:rsidRPr="00E6554A">
        <w:rPr>
          <w:b w:val="0"/>
          <w:sz w:val="24"/>
          <w:szCs w:val="24"/>
        </w:rPr>
        <w:t>Szinwelski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vertAlign w:val="superscript"/>
        </w:rPr>
        <w:t>c, d</w:t>
      </w:r>
      <w:r w:rsidRPr="00E6554A">
        <w:rPr>
          <w:b w:val="0"/>
          <w:sz w:val="24"/>
          <w:szCs w:val="24"/>
        </w:rPr>
        <w:t>, José Flávio Cândido-Jr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vertAlign w:val="superscript"/>
        </w:rPr>
        <w:t>e</w:t>
      </w:r>
      <w:r>
        <w:rPr>
          <w:b w:val="0"/>
          <w:sz w:val="24"/>
          <w:szCs w:val="24"/>
        </w:rPr>
        <w:t>,</w:t>
      </w:r>
      <w:r w:rsidRPr="00E6554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Larissa I. </w:t>
      </w:r>
      <w:proofErr w:type="spellStart"/>
      <w:r>
        <w:rPr>
          <w:b w:val="0"/>
          <w:sz w:val="24"/>
          <w:szCs w:val="24"/>
        </w:rPr>
        <w:t>Squinzani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vertAlign w:val="superscript"/>
        </w:rPr>
        <w:t>d</w:t>
      </w:r>
      <w:r>
        <w:rPr>
          <w:b w:val="0"/>
          <w:sz w:val="24"/>
          <w:szCs w:val="24"/>
        </w:rPr>
        <w:t xml:space="preserve">, </w:t>
      </w:r>
      <w:r w:rsidRPr="00E6554A">
        <w:rPr>
          <w:b w:val="0"/>
          <w:sz w:val="24"/>
          <w:szCs w:val="24"/>
        </w:rPr>
        <w:t xml:space="preserve">Victor M. </w:t>
      </w:r>
      <w:proofErr w:type="spellStart"/>
      <w:r w:rsidRPr="00E6554A">
        <w:rPr>
          <w:b w:val="0"/>
          <w:sz w:val="24"/>
          <w:szCs w:val="24"/>
        </w:rPr>
        <w:t>Prasniewski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vertAlign w:val="superscript"/>
        </w:rPr>
        <w:t>f</w:t>
      </w:r>
      <w:r w:rsidRPr="00E6554A">
        <w:rPr>
          <w:b w:val="0"/>
          <w:sz w:val="24"/>
          <w:szCs w:val="24"/>
        </w:rPr>
        <w:t xml:space="preserve">, Marcelo </w:t>
      </w:r>
      <w:proofErr w:type="spellStart"/>
      <w:r w:rsidRPr="00E6554A">
        <w:rPr>
          <w:b w:val="0"/>
          <w:sz w:val="24"/>
          <w:szCs w:val="24"/>
        </w:rPr>
        <w:t>Limont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vertAlign w:val="superscript"/>
        </w:rPr>
        <w:t>g</w:t>
      </w:r>
      <w:r w:rsidRPr="00E6554A">
        <w:rPr>
          <w:b w:val="0"/>
          <w:sz w:val="24"/>
          <w:szCs w:val="24"/>
        </w:rPr>
        <w:t xml:space="preserve"> </w:t>
      </w:r>
      <w:proofErr w:type="spellStart"/>
      <w:r w:rsidRPr="00E6554A">
        <w:rPr>
          <w:b w:val="0"/>
          <w:sz w:val="24"/>
          <w:szCs w:val="24"/>
        </w:rPr>
        <w:t>and</w:t>
      </w:r>
      <w:proofErr w:type="spellEnd"/>
      <w:r w:rsidRPr="00E6554A">
        <w:rPr>
          <w:b w:val="0"/>
          <w:sz w:val="24"/>
          <w:szCs w:val="24"/>
        </w:rPr>
        <w:t xml:space="preserve"> Rodrigo </w:t>
      </w:r>
      <w:proofErr w:type="spellStart"/>
      <w:r w:rsidRPr="00E6554A">
        <w:rPr>
          <w:b w:val="0"/>
          <w:sz w:val="24"/>
          <w:szCs w:val="24"/>
        </w:rPr>
        <w:t>Fadini</w:t>
      </w:r>
      <w:proofErr w:type="spell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  <w:vertAlign w:val="superscript"/>
        </w:rPr>
        <w:t>h</w:t>
      </w:r>
      <w:proofErr w:type="gramEnd"/>
    </w:p>
    <w:p w:rsidR="009B1194" w:rsidRDefault="009B1194" w:rsidP="009B1194">
      <w:pPr>
        <w:pStyle w:val="Ttulo1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vertAlign w:val="superscript"/>
        </w:rPr>
        <w:t>a</w:t>
      </w:r>
      <w:proofErr w:type="gramEnd"/>
      <w:r>
        <w:rPr>
          <w:b w:val="0"/>
          <w:sz w:val="24"/>
          <w:szCs w:val="24"/>
        </w:rPr>
        <w:t xml:space="preserve"> Programa de Pós-Graduação em Biodiversidade, Universidade Federal do Oeste do Pará, Rua Vera Paz, Santarém, Pará, </w:t>
      </w:r>
      <w:proofErr w:type="spellStart"/>
      <w:r>
        <w:rPr>
          <w:b w:val="0"/>
          <w:sz w:val="24"/>
          <w:szCs w:val="24"/>
        </w:rPr>
        <w:t>Brazil</w:t>
      </w:r>
      <w:proofErr w:type="spellEnd"/>
      <w:r>
        <w:rPr>
          <w:b w:val="0"/>
          <w:sz w:val="24"/>
          <w:szCs w:val="24"/>
        </w:rPr>
        <w:t xml:space="preserve">. </w:t>
      </w:r>
    </w:p>
    <w:p w:rsidR="009B1194" w:rsidRDefault="009B1194" w:rsidP="009B119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>b</w:t>
      </w:r>
      <w:r>
        <w:rPr>
          <w:b w:val="0"/>
          <w:sz w:val="24"/>
          <w:szCs w:val="24"/>
        </w:rPr>
        <w:t xml:space="preserve"> Instituto Neotropical: Pesquisa e Conservação, Curitiba, Paraná, </w:t>
      </w:r>
      <w:proofErr w:type="spellStart"/>
      <w:proofErr w:type="gramStart"/>
      <w:r>
        <w:rPr>
          <w:b w:val="0"/>
          <w:sz w:val="24"/>
          <w:szCs w:val="24"/>
        </w:rPr>
        <w:t>Brazil</w:t>
      </w:r>
      <w:proofErr w:type="spellEnd"/>
      <w:proofErr w:type="gramEnd"/>
    </w:p>
    <w:p w:rsidR="009B1194" w:rsidRDefault="009B1194" w:rsidP="009B119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>c</w:t>
      </w:r>
      <w:proofErr w:type="gramStart"/>
      <w:r>
        <w:rPr>
          <w:b w:val="0"/>
          <w:sz w:val="24"/>
          <w:szCs w:val="24"/>
          <w:vertAlign w:val="superscript"/>
        </w:rPr>
        <w:t xml:space="preserve"> </w:t>
      </w:r>
      <w:r>
        <w:rPr>
          <w:b w:val="0"/>
          <w:sz w:val="24"/>
          <w:szCs w:val="24"/>
        </w:rPr>
        <w:t xml:space="preserve"> </w:t>
      </w:r>
      <w:proofErr w:type="gramEnd"/>
      <w:r>
        <w:rPr>
          <w:b w:val="0"/>
          <w:sz w:val="24"/>
          <w:szCs w:val="24"/>
        </w:rPr>
        <w:t xml:space="preserve">Programa de Pós-Graduação em Biodiversidade Neotropical, Universidade Federal da Integração Latino Americana, Foz do Iguaçu, Paraná, </w:t>
      </w:r>
      <w:proofErr w:type="spellStart"/>
      <w:r>
        <w:rPr>
          <w:b w:val="0"/>
          <w:sz w:val="24"/>
          <w:szCs w:val="24"/>
        </w:rPr>
        <w:t>Brazil</w:t>
      </w:r>
      <w:proofErr w:type="spellEnd"/>
      <w:r>
        <w:rPr>
          <w:b w:val="0"/>
          <w:sz w:val="24"/>
          <w:szCs w:val="24"/>
        </w:rPr>
        <w:t xml:space="preserve">. ORCID: </w:t>
      </w:r>
    </w:p>
    <w:p w:rsidR="009B1194" w:rsidRDefault="009B1194" w:rsidP="009B119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>d</w:t>
      </w:r>
      <w:r>
        <w:rPr>
          <w:b w:val="0"/>
          <w:sz w:val="24"/>
          <w:szCs w:val="24"/>
        </w:rPr>
        <w:t xml:space="preserve"> Programa de Pós-Graduação em Conservação e Manejo de Recursos Naturais, Universidade Estadual do Oeste do Paraná, Cascavel, Paraná, </w:t>
      </w:r>
      <w:proofErr w:type="spellStart"/>
      <w:r>
        <w:rPr>
          <w:b w:val="0"/>
          <w:sz w:val="24"/>
          <w:szCs w:val="24"/>
        </w:rPr>
        <w:t>Brazil</w:t>
      </w:r>
      <w:proofErr w:type="spellEnd"/>
      <w:r>
        <w:rPr>
          <w:b w:val="0"/>
          <w:sz w:val="24"/>
          <w:szCs w:val="24"/>
        </w:rPr>
        <w:t>.</w:t>
      </w:r>
    </w:p>
    <w:p w:rsidR="009B1194" w:rsidRDefault="009B1194" w:rsidP="009B1194">
      <w:pPr>
        <w:pStyle w:val="Ttulo1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  <w:vertAlign w:val="superscript"/>
        </w:rPr>
        <w:t>e</w:t>
      </w:r>
      <w:proofErr w:type="gramEnd"/>
      <w:r>
        <w:rPr>
          <w:b w:val="0"/>
          <w:sz w:val="24"/>
          <w:szCs w:val="24"/>
          <w:vertAlign w:val="superscript"/>
        </w:rPr>
        <w:t xml:space="preserve"> </w:t>
      </w:r>
      <w:r>
        <w:rPr>
          <w:b w:val="0"/>
          <w:sz w:val="24"/>
          <w:szCs w:val="24"/>
        </w:rPr>
        <w:t xml:space="preserve"> Centro de Ciências Biológicas e da Saúde, Universidade Estadual do Oeste do Paraná, Rua Universitária 2069, CEP 85.890-110, Cascavel, Paraná, </w:t>
      </w:r>
      <w:proofErr w:type="spellStart"/>
      <w:r>
        <w:rPr>
          <w:b w:val="0"/>
          <w:sz w:val="24"/>
          <w:szCs w:val="24"/>
        </w:rPr>
        <w:t>Brazil</w:t>
      </w:r>
      <w:proofErr w:type="spellEnd"/>
      <w:r>
        <w:rPr>
          <w:b w:val="0"/>
          <w:sz w:val="24"/>
          <w:szCs w:val="24"/>
        </w:rPr>
        <w:t>. ORCID: 0000-0002-1324-9003</w:t>
      </w:r>
    </w:p>
    <w:p w:rsidR="009B1194" w:rsidRDefault="009B1194" w:rsidP="009B119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>f</w:t>
      </w:r>
      <w:r>
        <w:rPr>
          <w:b w:val="0"/>
          <w:sz w:val="24"/>
          <w:szCs w:val="24"/>
        </w:rPr>
        <w:t xml:space="preserve"> </w:t>
      </w:r>
      <w:r w:rsidRPr="00684CCA">
        <w:rPr>
          <w:b w:val="0"/>
          <w:sz w:val="24"/>
          <w:szCs w:val="24"/>
        </w:rPr>
        <w:t>Programa de Pós-Graduação em Ecologia e Conservação da Biodiversidade,</w:t>
      </w:r>
      <w:proofErr w:type="gramStart"/>
      <w:r w:rsidRPr="00684CCA">
        <w:rPr>
          <w:b w:val="0"/>
          <w:sz w:val="24"/>
          <w:szCs w:val="24"/>
        </w:rPr>
        <w:t xml:space="preserve">  </w:t>
      </w:r>
      <w:proofErr w:type="gramEnd"/>
      <w:r w:rsidRPr="00684CCA">
        <w:rPr>
          <w:b w:val="0"/>
          <w:sz w:val="24"/>
          <w:szCs w:val="24"/>
        </w:rPr>
        <w:t xml:space="preserve">Universidade Federal do Mato Grosso,   R. Quarenta e Nove, Cuiabá, Mato Grosso, </w:t>
      </w:r>
      <w:proofErr w:type="spellStart"/>
      <w:r w:rsidRPr="00684CCA">
        <w:rPr>
          <w:b w:val="0"/>
          <w:sz w:val="24"/>
          <w:szCs w:val="24"/>
        </w:rPr>
        <w:t>Bra</w:t>
      </w:r>
      <w:r>
        <w:rPr>
          <w:b w:val="0"/>
          <w:sz w:val="24"/>
          <w:szCs w:val="24"/>
        </w:rPr>
        <w:t>zil</w:t>
      </w:r>
      <w:proofErr w:type="spellEnd"/>
      <w:r w:rsidRPr="00684CCA">
        <w:rPr>
          <w:b w:val="0"/>
          <w:sz w:val="24"/>
          <w:szCs w:val="24"/>
        </w:rPr>
        <w:t>.</w:t>
      </w:r>
    </w:p>
    <w:p w:rsidR="009B1194" w:rsidRPr="00934B54" w:rsidRDefault="009B1194" w:rsidP="009B119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>g</w:t>
      </w:r>
      <w:r>
        <w:rPr>
          <w:b w:val="0"/>
          <w:sz w:val="24"/>
          <w:szCs w:val="24"/>
        </w:rPr>
        <w:t xml:space="preserve"> Universidade Positivo, Rua Pedro Viriato </w:t>
      </w:r>
      <w:proofErr w:type="spellStart"/>
      <w:r>
        <w:rPr>
          <w:b w:val="0"/>
          <w:sz w:val="24"/>
          <w:szCs w:val="24"/>
        </w:rPr>
        <w:t>Parigot</w:t>
      </w:r>
      <w:proofErr w:type="spellEnd"/>
      <w:r>
        <w:rPr>
          <w:b w:val="0"/>
          <w:sz w:val="24"/>
          <w:szCs w:val="24"/>
        </w:rPr>
        <w:t xml:space="preserve"> de Souza 5300, Curitiba, Paraná, </w:t>
      </w:r>
      <w:proofErr w:type="spellStart"/>
      <w:r>
        <w:rPr>
          <w:b w:val="0"/>
          <w:sz w:val="24"/>
          <w:szCs w:val="24"/>
        </w:rPr>
        <w:t>Brazil</w:t>
      </w:r>
      <w:proofErr w:type="spellEnd"/>
      <w:r>
        <w:rPr>
          <w:b w:val="0"/>
          <w:sz w:val="24"/>
          <w:szCs w:val="24"/>
        </w:rPr>
        <w:t xml:space="preserve">. </w:t>
      </w:r>
    </w:p>
    <w:p w:rsidR="009B1194" w:rsidRPr="00A86F7D" w:rsidRDefault="009B1194" w:rsidP="009B1194">
      <w:pPr>
        <w:pStyle w:val="Ttu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vertAlign w:val="superscript"/>
        </w:rPr>
        <w:t>h</w:t>
      </w:r>
      <w:r>
        <w:rPr>
          <w:b w:val="0"/>
          <w:sz w:val="24"/>
          <w:szCs w:val="24"/>
        </w:rPr>
        <w:t xml:space="preserve"> Laboratório de Ecologia e Conservação, Instituto de Biodiversidade e Florestas, Universidade Federal do Oeste do Pará, </w:t>
      </w:r>
      <w:proofErr w:type="spellStart"/>
      <w:r>
        <w:rPr>
          <w:b w:val="0"/>
          <w:sz w:val="24"/>
          <w:szCs w:val="24"/>
        </w:rPr>
        <w:t>Brazil</w:t>
      </w:r>
      <w:proofErr w:type="spellEnd"/>
      <w:r>
        <w:rPr>
          <w:b w:val="0"/>
          <w:sz w:val="24"/>
          <w:szCs w:val="24"/>
        </w:rPr>
        <w:t xml:space="preserve">. </w:t>
      </w:r>
    </w:p>
    <w:p w:rsidR="009B1194" w:rsidRPr="000A1C84" w:rsidRDefault="009B1194" w:rsidP="009B1194">
      <w:pPr>
        <w:pStyle w:val="Ttulo1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*</w:t>
      </w:r>
      <w:r w:rsidRPr="000A1C84">
        <w:rPr>
          <w:b w:val="0"/>
          <w:sz w:val="24"/>
          <w:szCs w:val="24"/>
          <w:lang w:val="en-US"/>
        </w:rPr>
        <w:t>Corresponding author.</w:t>
      </w:r>
      <w:r>
        <w:rPr>
          <w:b w:val="0"/>
          <w:sz w:val="24"/>
          <w:szCs w:val="24"/>
          <w:lang w:val="en-US"/>
        </w:rPr>
        <w:t xml:space="preserve"> E</w:t>
      </w:r>
      <w:r w:rsidRPr="000A1C84">
        <w:rPr>
          <w:b w:val="0"/>
          <w:sz w:val="24"/>
          <w:szCs w:val="24"/>
          <w:lang w:val="en-US"/>
        </w:rPr>
        <w:t>mail ad</w:t>
      </w:r>
      <w:r w:rsidR="004E2FA1">
        <w:rPr>
          <w:b w:val="0"/>
          <w:sz w:val="24"/>
          <w:szCs w:val="24"/>
          <w:lang w:val="en-US"/>
        </w:rPr>
        <w:t>d</w:t>
      </w:r>
      <w:r w:rsidRPr="000A1C84">
        <w:rPr>
          <w:b w:val="0"/>
          <w:sz w:val="24"/>
          <w:szCs w:val="24"/>
          <w:lang w:val="en-US"/>
        </w:rPr>
        <w:t>ress: carlosbrocardo@hotmail.com</w:t>
      </w:r>
    </w:p>
    <w:p w:rsidR="009B1194" w:rsidRPr="00071BB9" w:rsidRDefault="009B1194" w:rsidP="009B11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7795C" w:rsidRDefault="0057795C" w:rsidP="005779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1194" w:rsidRDefault="009B1194" w:rsidP="005779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1194" w:rsidRDefault="009B1194" w:rsidP="0057795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553E" w:rsidRPr="009B1194" w:rsidRDefault="004E2FA1" w:rsidP="00850BC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Calculating the</w:t>
      </w:r>
      <w:r w:rsidR="009B11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protection in </w:t>
      </w:r>
      <w:r w:rsidR="00EB553E" w:rsidRPr="009B1194">
        <w:rPr>
          <w:rFonts w:ascii="Times New Roman" w:hAnsi="Times New Roman" w:cs="Times New Roman"/>
          <w:b/>
          <w:sz w:val="24"/>
          <w:szCs w:val="24"/>
          <w:lang w:val="en-US"/>
        </w:rPr>
        <w:t>Araucaria Forest domain</w:t>
      </w:r>
    </w:p>
    <w:p w:rsidR="000E70EE" w:rsidRDefault="004E2FA1" w:rsidP="00850B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order to build</w:t>
      </w:r>
      <w:r w:rsidR="009B1194">
        <w:rPr>
          <w:rFonts w:ascii="Times New Roman" w:hAnsi="Times New Roman" w:cs="Times New Roman"/>
          <w:sz w:val="24"/>
          <w:szCs w:val="24"/>
          <w:lang w:val="en-US"/>
        </w:rPr>
        <w:t xml:space="preserve"> the Araucaria Forest domain,</w:t>
      </w:r>
      <w:r w:rsidR="009B1194" w:rsidRPr="009B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firstly</w:t>
      </w:r>
      <w:r w:rsidR="009B1194">
        <w:rPr>
          <w:rFonts w:ascii="Times New Roman" w:hAnsi="Times New Roman" w:cs="Times New Roman"/>
          <w:sz w:val="24"/>
          <w:szCs w:val="24"/>
          <w:lang w:val="en-US"/>
        </w:rPr>
        <w:t xml:space="preserve"> we used the boundaries of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 Atlantic Forest Biome</w:t>
      </w:r>
      <w:r w:rsidR="009B1194" w:rsidRPr="009B11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1194">
        <w:rPr>
          <w:rFonts w:ascii="Times New Roman" w:hAnsi="Times New Roman" w:cs="Times New Roman"/>
          <w:sz w:val="24"/>
          <w:szCs w:val="24"/>
          <w:lang w:val="en-US"/>
        </w:rPr>
        <w:t>as a basis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1194">
        <w:rPr>
          <w:rFonts w:ascii="Times New Roman" w:hAnsi="Times New Roman" w:cs="Times New Roman"/>
          <w:sz w:val="24"/>
          <w:szCs w:val="24"/>
          <w:lang w:val="en-US"/>
        </w:rPr>
        <w:t xml:space="preserve">since the Araucaria Forest is embedded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B1194">
        <w:rPr>
          <w:rFonts w:ascii="Times New Roman" w:hAnsi="Times New Roman" w:cs="Times New Roman"/>
          <w:sz w:val="24"/>
          <w:szCs w:val="24"/>
          <w:lang w:val="en-US"/>
        </w:rPr>
        <w:t xml:space="preserve">it. 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730EA4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cho</w:t>
      </w:r>
      <w:r w:rsidR="00D744FD">
        <w:rPr>
          <w:rFonts w:ascii="Times New Roman" w:hAnsi="Times New Roman" w:cs="Times New Roman"/>
          <w:sz w:val="24"/>
          <w:szCs w:val="24"/>
          <w:lang w:val="en-US"/>
        </w:rPr>
        <w:t xml:space="preserve">se the </w:t>
      </w:r>
      <w:r w:rsidR="00E10824">
        <w:rPr>
          <w:rFonts w:ascii="Times New Roman" w:hAnsi="Times New Roman" w:cs="Times New Roman"/>
          <w:sz w:val="24"/>
          <w:szCs w:val="24"/>
          <w:lang w:val="en-US"/>
        </w:rPr>
        <w:t xml:space="preserve">“integrative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boundary</w:t>
      </w:r>
      <w:r w:rsidR="00E10824">
        <w:rPr>
          <w:rFonts w:ascii="Times New Roman" w:hAnsi="Times New Roman" w:cs="Times New Roman"/>
          <w:sz w:val="24"/>
          <w:szCs w:val="24"/>
          <w:lang w:val="en-US"/>
        </w:rPr>
        <w:t>” proposed by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1BB9">
        <w:rPr>
          <w:rFonts w:ascii="Times New Roman" w:hAnsi="Times New Roman" w:cs="Times New Roman"/>
          <w:sz w:val="24"/>
          <w:szCs w:val="24"/>
          <w:lang w:val="en-US"/>
        </w:rPr>
        <w:t>Muylaert</w:t>
      </w:r>
      <w:proofErr w:type="spellEnd"/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{"citationItems":[{"id":"ITEM-1","itemData":{"author":[{"dropping-particle":"","family":"Muylaert","given":"Renata Lara","non-dropping-particle":"","parse-names":false,"suffix":""},{"dropping-particle":"","family":"Vancine","given":"Maurício Humberto","non-dropping-particle":"","parse-names":false,"suffix":""},{"dropping-particle":"","family":"Bernardo","given":"Rodrigo","non-dropping-particle":"","parse-names":false,"suffix":""},{"dropping-particle":"","family":"Oshima","given":"Júlia Emi Faria","non-dropping-particle":"","parse-names":false,"suffix":""},{"dropping-particle":"","family":"Sobral-Souza","given":"Thadeu","non-dropping-particle":"","parse-names":false,"suffix":""},{"dropping-particle":"","family":"Tonetti","given":"Vinicius Rodrigues","non-dropping-particle":"","parse-names":false,"suffix":""},{"dropping-particle":"","family":"Niebuhr","given":"Bernardo Brandão","non-dropping-particle":"","parse-names":false,"suffix":""},{"dropping-particle":"","family":"Ribeiro","given":"Milton Cezar","non-dropping-particle":"","parse-names":false,"suffix":""}],"container-title":"Oecologia Australis","id":"ITEM-1","issue":"3","issued":{"date-parts":[["2018"]]},"page":"302-311","title":"Uma nota sobre os limites territoriais da Mata Atlântica","type":"article-journal","volume":"22"},"suppress-author":1,"uris":["http://www.mendeley.com/documents/?uuid=46b82a7e-ae00-4406-8215-392af556b69d"]}],"mendeley":{"formattedCitation":"(2018)","plainTextFormattedCitation":"(2018)","previouslyFormattedCitation":"(2018)"},"properties":{"noteIndex":0},"schema":"https://github.com/citation-style-language/schema/raw/master/csl-citation.json"}</w:instrTex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(2018)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A013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86C77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5A0138">
        <w:rPr>
          <w:rFonts w:ascii="Times New Roman" w:hAnsi="Times New Roman" w:cs="Times New Roman"/>
          <w:sz w:val="24"/>
          <w:szCs w:val="24"/>
          <w:lang w:val="en-US"/>
        </w:rPr>
        <w:t xml:space="preserve"> it includes</w:t>
      </w:r>
      <w:r w:rsidR="00E10824">
        <w:rPr>
          <w:rFonts w:ascii="Times New Roman" w:hAnsi="Times New Roman" w:cs="Times New Roman"/>
          <w:sz w:val="24"/>
          <w:szCs w:val="24"/>
          <w:lang w:val="en-US"/>
        </w:rPr>
        <w:t xml:space="preserve"> portions of </w:t>
      </w:r>
      <w:proofErr w:type="spellStart"/>
      <w:r w:rsidR="00E10824">
        <w:rPr>
          <w:rFonts w:ascii="Times New Roman" w:hAnsi="Times New Roman" w:cs="Times New Roman"/>
          <w:sz w:val="24"/>
          <w:szCs w:val="24"/>
          <w:lang w:val="en-US"/>
        </w:rPr>
        <w:t>Cerrado</w:t>
      </w:r>
      <w:proofErr w:type="spellEnd"/>
      <w:r w:rsidR="00E10824">
        <w:rPr>
          <w:rFonts w:ascii="Times New Roman" w:hAnsi="Times New Roman" w:cs="Times New Roman"/>
          <w:sz w:val="24"/>
          <w:szCs w:val="24"/>
          <w:lang w:val="en-US"/>
        </w:rPr>
        <w:t xml:space="preserve"> and southern grassland where Araucaria Forest occurs as “</w:t>
      </w:r>
      <w:proofErr w:type="spellStart"/>
      <w:r w:rsidR="00E10824">
        <w:rPr>
          <w:rFonts w:ascii="Times New Roman" w:hAnsi="Times New Roman" w:cs="Times New Roman"/>
          <w:sz w:val="24"/>
          <w:szCs w:val="24"/>
          <w:lang w:val="en-US"/>
        </w:rPr>
        <w:t>capões</w:t>
      </w:r>
      <w:proofErr w:type="spellEnd"/>
      <w:r w:rsidR="00E1082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91F29">
        <w:rPr>
          <w:rFonts w:ascii="Times New Roman" w:hAnsi="Times New Roman" w:cs="Times New Roman"/>
          <w:sz w:val="24"/>
          <w:szCs w:val="24"/>
          <w:lang w:val="en-US"/>
        </w:rPr>
        <w:t xml:space="preserve"> (forest patches)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10824">
        <w:rPr>
          <w:rFonts w:ascii="Times New Roman" w:hAnsi="Times New Roman" w:cs="Times New Roman"/>
          <w:sz w:val="24"/>
          <w:szCs w:val="24"/>
          <w:lang w:val="en-US"/>
        </w:rPr>
        <w:t>in gallery forest</w:t>
      </w:r>
      <w:r w:rsidR="00730EA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 and Paraná pine</w:t>
      </w:r>
      <w:r w:rsidR="009645C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9645C9">
        <w:rPr>
          <w:rFonts w:ascii="Times New Roman" w:hAnsi="Times New Roman" w:cs="Times New Roman"/>
          <w:sz w:val="24"/>
          <w:szCs w:val="24"/>
          <w:lang w:val="en-US"/>
        </w:rPr>
        <w:t xml:space="preserve"> be found isolated</w:t>
      </w:r>
      <w:r w:rsidR="00071BB9">
        <w:rPr>
          <w:rFonts w:ascii="Times New Roman" w:hAnsi="Times New Roman" w:cs="Times New Roman"/>
          <w:sz w:val="24"/>
          <w:szCs w:val="24"/>
          <w:lang w:val="en-US"/>
        </w:rPr>
        <w:t xml:space="preserve"> in open fields</w:t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author":[{"dropping-particle":"","family":"Maack","given":"Reinhard","non-dropping-particle":"","parse-names":false,"suffix":""}],"edition":"4ª","id":"ITEM-1","issued":{"date-parts":[["2012"]]},"number-of-pages":"526","publisher":"UEPG","publisher-place":"Ponta Grossa","title":"Geografia física do Estado do Paraná","type":"book"},"uris":["http://www.mendeley.com/documents/?uuid=4e352f6b-71b4-44cf-bcc1-b3a8fd15b818"]},{"id":"ITEM-2","itemData":{"DOI":"10.11606/issn.2318-5988.v10i1p5-24","ISSN":"2318-5988","abstract":"The author tries to eliminate certain errors existing in the area maps of Araucaria angustifolia. Nowhere does this especies, as a spontaneous forest forming tree, reach the ocean; its southern border does not penetrate the State of Uruguay and nowhere does it pass in the west beyond the river Paraguay. A new map showing a more detailed distribution is given. Furthermore, the ecological conditions of the Araucaria regions are described. In its natural habitat the Araucaria should not be considered as a relic in the process of degradation. It is rather a species encroaching everywhere in the campos vegetation and in the savannas. The great number of species of the Antarctic flora in the Araucaria forests is noteworthy.","author":[{"dropping-particle":"","family":"Hueck","given":"Kurt","non-dropping-particle":"","parse-names":false,"suffix":""}],"container-title":"Boletim da Faculdade de Filosofia, Ciências e Letras, Universidade de São Paulo.","id":"ITEM-2","issued":{"date-parts":[["1953"]]},"page":"5-24","publisher":"Department of Botany at Universidade de São Paulo","title":"Distribuição e habitat natural do Pinheiro do Paraná (Araucaria angustifolia)","type":"article-journal","volume":"10"},"uris":["http://www.mendeley.com/documents/?uuid=f3b0e219-5efa-35dd-a7da-079651b90a6c"]},{"id":"ITEM-3","itemData":{"author":[{"dropping-particle":"","family":"Mattos","given":"JR","non-dropping-particle":"","parse-names":false,"suffix":""}],"container-title":"Editora da UFSC","edition":"2nd","id":"ITEM-3","issued":{"date-parts":[["2011"]]},"number-of-pages":"698","publisher-place":"Florianópolis","title":"O pinheiro brasileiro","type":"book"},"uris":["http://www.mendeley.com/documents/?uuid=d9832c7b-d218-3c81-9b2e-45f8af38393e"]}],"mendeley":{"formattedCitation":"(Hueck, 1953; Maack, 2012; Mattos, 2011)","plainTextFormattedCitation":"(Hueck, 1953; Maack, 2012; Mattos, 2011)"},"properties":{"noteIndex":0},"schema":"https://github.com/citation-style-language/schema/raw/master/csl-citation.json"}</w:instrText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846AB" w:rsidRPr="007846AB">
        <w:rPr>
          <w:rFonts w:ascii="Times New Roman" w:hAnsi="Times New Roman" w:cs="Times New Roman"/>
          <w:noProof/>
          <w:sz w:val="24"/>
          <w:szCs w:val="24"/>
          <w:lang w:val="en-US"/>
        </w:rPr>
        <w:t>(Hueck, 1953; Maack, 2012; Mattos, 2011)</w:t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108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7795C" w:rsidRDefault="004E2FA1" w:rsidP="00850B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Following,</w:t>
      </w:r>
      <w:r w:rsidR="00D60B80">
        <w:rPr>
          <w:rFonts w:ascii="Times New Roman" w:hAnsi="Times New Roman" w:cs="Times New Roman"/>
          <w:sz w:val="24"/>
          <w:szCs w:val="24"/>
          <w:lang w:val="en-US"/>
        </w:rPr>
        <w:t xml:space="preserve"> we used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RadamBrasil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project </w:t>
      </w:r>
      <w:r w:rsidR="00391F29">
        <w:rPr>
          <w:rFonts w:ascii="Times New Roman" w:hAnsi="Times New Roman" w:cs="Times New Roman"/>
          <w:sz w:val="24"/>
          <w:szCs w:val="24"/>
          <w:lang w:val="en-US"/>
        </w:rPr>
        <w:t xml:space="preserve">vegetation </w:t>
      </w:r>
      <w:proofErr w:type="spellStart"/>
      <w:r w:rsidR="00391F29">
        <w:rPr>
          <w:rFonts w:ascii="Times New Roman" w:hAnsi="Times New Roman" w:cs="Times New Roman"/>
          <w:sz w:val="24"/>
          <w:szCs w:val="24"/>
          <w:lang w:val="en-US"/>
        </w:rPr>
        <w:t>shapefile</w:t>
      </w:r>
      <w:proofErr w:type="spellEnd"/>
      <w:r w:rsidR="00391F29">
        <w:rPr>
          <w:rFonts w:ascii="Times New Roman" w:hAnsi="Times New Roman" w:cs="Times New Roman"/>
          <w:sz w:val="24"/>
          <w:szCs w:val="24"/>
          <w:lang w:val="en-US"/>
        </w:rPr>
        <w:t xml:space="preserve"> from to limit Araucaria Forest</w:t>
      </w:r>
      <w:r w:rsidR="007C2DD6">
        <w:rPr>
          <w:rFonts w:ascii="Times New Roman" w:hAnsi="Times New Roman" w:cs="Times New Roman"/>
          <w:sz w:val="24"/>
          <w:szCs w:val="24"/>
          <w:lang w:val="en-US"/>
        </w:rPr>
        <w:t xml:space="preserve"> in Brazil</w:t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t xml:space="preserve">(https://www.inde.gov.br), </w:t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t xml:space="preserve"> for Argentina we used</w:t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8FF" w:rsidRPr="00251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 xml:space="preserve">WWF </w:t>
      </w:r>
      <w:proofErr w:type="spellStart"/>
      <w:r w:rsidR="004A12E2">
        <w:rPr>
          <w:rFonts w:ascii="Times New Roman" w:hAnsi="Times New Roman" w:cs="Times New Roman"/>
          <w:sz w:val="24"/>
          <w:szCs w:val="24"/>
          <w:lang w:val="en-US"/>
        </w:rPr>
        <w:t>ecoregion</w:t>
      </w:r>
      <w:proofErr w:type="spellEnd"/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78F1">
        <w:rPr>
          <w:rFonts w:ascii="Times New Roman" w:hAnsi="Times New Roman" w:cs="Times New Roman"/>
          <w:sz w:val="24"/>
          <w:szCs w:val="24"/>
          <w:lang w:val="en-US"/>
        </w:rPr>
        <w:t>shapefile</w:t>
      </w:r>
      <w:proofErr w:type="spellEnd"/>
      <w:r w:rsidR="004A12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{"citationItems":[{"id":"ITEM-1","itemData":{"ISSN":"0006-3568","author":[{"dropping-particle":"","family":"Olson","given":"David M","non-dropping-particle":"","parse-names":false,"suffix":""},{"dropping-particle":"","family":"Dinerstein","given":"Eric","non-dropping-particle":"","parse-names":false,"suffix":""},{"dropping-particle":"","family":"Wikramanayake","given":"Eric D","non-dropping-particle":"","parse-names":false,"suffix":""},{"dropping-particle":"","family":"Burgess","given":"Neil D","non-dropping-particle":"","parse-names":false,"suffix":""},{"dropping-particle":"","family":"Powell","given":"George V N","non-dropping-particle":"","parse-names":false,"suffix":""},{"dropping-particle":"","family":"Underwood","given":"Emma C","non-dropping-particle":"","parse-names":false,"suffix":""},{"dropping-particle":"","family":"D'amico","given":"Jennifer A","non-dropping-particle":"","parse-names":false,"suffix":""},{"dropping-particle":"","family":"Itoua","given":"Illanga","non-dropping-particle":"","parse-names":false,"suffix":""},{"dropping-particle":"","family":"Strand","given":"Holly E","non-dropping-particle":"","parse-names":false,"suffix":""},{"dropping-particle":"","family":"Morrison","given":"John C","non-dropping-particle":"","parse-names":false,"suffix":""}],"container-title":"BioScience","id":"ITEM-1","issue":"11","issued":{"date-parts":[["2001"]]},"page":"933-938","publisher":"Oxford University Press","title":"Terrestrial Ecoregions of the World: A New Map of Life on EarthA new global map of terrestrial ecoregions provides an innovative tool for conserving biodiversity","type":"article-journal","volume":"51"},"uris":["http://www.mendeley.com/documents/?uuid=18477c13-9b7d-4582-a4c0-b0947999f1a0"]}],"mendeley":{"formattedCitation":"(Olson et al., 2001)","plainTextFormattedCitation":"(Olson et al., 2001)","previouslyFormattedCitation":"(Olson et al., 2001)"},"properties":{"noteIndex":0},"schema":"https://github.com/citation-style-language/schema/raw/master/csl-citation.json"}</w:instrTex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(Olson et al., 2001)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4C86">
        <w:rPr>
          <w:rFonts w:ascii="Times New Roman" w:hAnsi="Times New Roman" w:cs="Times New Roman"/>
          <w:sz w:val="24"/>
          <w:szCs w:val="24"/>
          <w:lang w:val="en-US"/>
        </w:rPr>
        <w:t>RadamBrasil</w:t>
      </w:r>
      <w:proofErr w:type="spellEnd"/>
      <w:r w:rsidR="00FE4C86">
        <w:rPr>
          <w:rFonts w:ascii="Times New Roman" w:hAnsi="Times New Roman" w:cs="Times New Roman"/>
          <w:sz w:val="24"/>
          <w:szCs w:val="24"/>
          <w:lang w:val="en-US"/>
        </w:rPr>
        <w:t xml:space="preserve"> project w</w:t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0E2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>as part of</w:t>
      </w:r>
      <w:r w:rsidR="000E2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E2388">
        <w:rPr>
          <w:rFonts w:ascii="Times New Roman" w:hAnsi="Times New Roman" w:cs="Times New Roman"/>
          <w:sz w:val="24"/>
          <w:szCs w:val="24"/>
          <w:lang w:val="en-US"/>
        </w:rPr>
        <w:t xml:space="preserve">Araucaria Forest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>domain</w:t>
      </w:r>
      <w:r w:rsidR="00AE0DF4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DF4">
        <w:rPr>
          <w:rFonts w:ascii="Times New Roman" w:hAnsi="Times New Roman" w:cs="Times New Roman"/>
          <w:sz w:val="24"/>
          <w:szCs w:val="24"/>
          <w:lang w:val="en-US"/>
        </w:rPr>
        <w:t xml:space="preserve">polygons indicated as “Mixed </w:t>
      </w:r>
      <w:proofErr w:type="spellStart"/>
      <w:r w:rsidR="00AE0DF4">
        <w:rPr>
          <w:rFonts w:ascii="Times New Roman" w:hAnsi="Times New Roman" w:cs="Times New Roman"/>
          <w:sz w:val="24"/>
          <w:szCs w:val="24"/>
          <w:lang w:val="en-US"/>
        </w:rPr>
        <w:t>Ombrophilous</w:t>
      </w:r>
      <w:proofErr w:type="spellEnd"/>
      <w:r w:rsidR="00AE0DF4">
        <w:rPr>
          <w:rFonts w:ascii="Times New Roman" w:hAnsi="Times New Roman" w:cs="Times New Roman"/>
          <w:sz w:val="24"/>
          <w:szCs w:val="24"/>
          <w:lang w:val="en-US"/>
        </w:rPr>
        <w:t xml:space="preserve"> Forest”,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51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>grasslands</w:t>
      </w:r>
      <w:r w:rsidR="00FE4C86">
        <w:rPr>
          <w:rFonts w:ascii="Times New Roman" w:hAnsi="Times New Roman" w:cs="Times New Roman"/>
          <w:sz w:val="24"/>
          <w:szCs w:val="24"/>
          <w:lang w:val="en-US"/>
        </w:rPr>
        <w:t xml:space="preserve"> associated to Araucaria Forest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and the transitional 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>zones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 with broadleaf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forest</w:t>
      </w:r>
      <w:r w:rsidR="00D9162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C0F89">
        <w:rPr>
          <w:rFonts w:ascii="Times New Roman" w:hAnsi="Times New Roman" w:cs="Times New Roman"/>
          <w:sz w:val="24"/>
          <w:szCs w:val="24"/>
          <w:lang w:val="en-US"/>
        </w:rPr>
        <w:t>Semideciduous</w:t>
      </w:r>
      <w:proofErr w:type="spellEnd"/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Forest and Rainforest Atlantic Forest), 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>considering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485" w:rsidRPr="00804485">
        <w:rPr>
          <w:rFonts w:ascii="Times New Roman" w:hAnsi="Times New Roman" w:cs="Times New Roman"/>
          <w:sz w:val="24"/>
          <w:szCs w:val="24"/>
          <w:lang w:val="en-US"/>
        </w:rPr>
        <w:t xml:space="preserve">ecological 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dynamic </w:t>
      </w:r>
      <w:r w:rsidR="00804485" w:rsidRPr="00804485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04485" w:rsidRPr="00804485">
        <w:rPr>
          <w:rFonts w:ascii="Times New Roman" w:hAnsi="Times New Roman" w:cs="Times New Roman"/>
          <w:sz w:val="24"/>
          <w:szCs w:val="24"/>
          <w:lang w:val="en-US"/>
        </w:rPr>
        <w:t xml:space="preserve">social 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>aspect</w:t>
      </w:r>
      <w:r w:rsidR="00804485" w:rsidRPr="008044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4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04485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>its ecological dynamic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Araucaria Forest expands </w:t>
      </w:r>
      <w:r w:rsidR="005A0138">
        <w:rPr>
          <w:rFonts w:ascii="Times New Roman" w:hAnsi="Times New Roman" w:cs="Times New Roman"/>
          <w:sz w:val="24"/>
          <w:szCs w:val="24"/>
          <w:lang w:val="en-US"/>
        </w:rPr>
        <w:t xml:space="preserve">over grassland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while undergoing</w:t>
      </w:r>
      <w:r w:rsidR="005A0138" w:rsidRPr="005A0138">
        <w:rPr>
          <w:rFonts w:ascii="Times New Roman" w:hAnsi="Times New Roman" w:cs="Times New Roman"/>
          <w:sz w:val="24"/>
          <w:szCs w:val="24"/>
          <w:lang w:val="en-US"/>
        </w:rPr>
        <w:t xml:space="preserve"> retraction </w:t>
      </w:r>
      <w:r w:rsidR="002F1048">
        <w:rPr>
          <w:rFonts w:ascii="Times New Roman" w:hAnsi="Times New Roman" w:cs="Times New Roman"/>
          <w:sz w:val="24"/>
          <w:szCs w:val="24"/>
          <w:lang w:val="en-US"/>
        </w:rPr>
        <w:t>with the advance of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 broadleaf</w:t>
      </w:r>
      <w:r w:rsidR="005A0138" w:rsidRPr="005A0138">
        <w:rPr>
          <w:rFonts w:ascii="Times New Roman" w:hAnsi="Times New Roman" w:cs="Times New Roman"/>
          <w:sz w:val="24"/>
          <w:szCs w:val="24"/>
          <w:lang w:val="en-US"/>
        </w:rPr>
        <w:t xml:space="preserve"> forests</w:t>
      </w:r>
      <w:r w:rsidR="005A01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author":[{"dropping-particle":"","family":"Ledru","given":"Marie-Pierre","non-dropping-particle":"","parse-names":false,"suffix":""},{"dropping-particle":"","family":"Stevenson","given":"Janelle","non-dropping-particle":"","parse-names":false,"suffix":""}],"container-title":"Peopled Landscapes: Archaeological and Biogeographic Approaches to Landscapes, Terra Australis","id":"ITEM-1","issued":{"date-parts":[["2012"]]},"page":"241-254","publisher":"ANU ePress Canberra, Australia","title":"The rise and fall of the genus Araucaria: a southern hemisphere climatic connection","type":"article-journal","volume":"34"},"uris":["http://www.mendeley.com/documents/?uuid=bbb601c1-7948-4f34-9951-88cb5cd7c79d"]},{"id":"ITEM-2","itemData":{"ISSN":"1435-0629","author":[{"dropping-particle":"","family":"Silva","given":"Lucas C R","non-dropping-particle":"","parse-names":false,"suffix":""},{"dropping-particle":"","family":"Anand","given":"Madhur","non-dropping-particle":"","parse-names":false,"suffix":""}],"container-title":"Ecosystems","id":"ITEM-2","issue":"8","issued":{"date-parts":[["2011"]]},"page":"1354-1371","publisher":"Springer","title":"Mechanisms of Araucaria (Atlantic) forest expansion into southern Brazilian grasslands","type":"article-journal","volume":"14"},"uris":["http://www.mendeley.com/documents/?uuid=bb88aa6d-f46c-4815-8b9c-5fc58714dffe"]},{"id":"ITEM-3","itemData":{"author":[{"dropping-particle":"","family":"Klein","given":"Roberto Miguel","non-dropping-particle":"","parse-names":false,"suffix":""}],"container-title":"Sellowia","id":"ITEM-3","issue":"12","issued":{"date-parts":[["1960"]]},"page":"17-44","publisher":"Itajaí","title":"O aspecto dinâmico do pinheiro brasileiro","type":"article-journal","volume":"12"},"uris":["http://www.mendeley.com/documents/?uuid=23581ca8-d38a-43ec-9335-85976d07c411"]}],"mendeley":{"formattedCitation":"(Klein, 1960; Ledru and Stevenson, 2012; Silva and Anand, 2011)","plainTextFormattedCitation":"(Klein, 1960; Ledru and Stevenson, 2012; Silva and Anand, 2011)","previouslyFormattedCitation":"(Klein, 1960; Ledru and Stevenson, 2012; Silva and Anand, 2011)"},"properties":{"noteIndex":0},"schema":"https://github.com/citation-style-language/schema/raw/master/csl-citation.json"}</w:instrTex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(Klein, 1960; Ledru and Stevenson, 2012; Silva and Anand, 2011)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A01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Regarding the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>aspect</w:t>
      </w:r>
      <w:r w:rsidR="00FE4C8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the transition zones 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Araucaria Forest and </w:t>
      </w:r>
      <w:proofErr w:type="spellStart"/>
      <w:r w:rsidR="00986C77">
        <w:rPr>
          <w:rFonts w:ascii="Times New Roman" w:hAnsi="Times New Roman" w:cs="Times New Roman"/>
          <w:sz w:val="24"/>
          <w:szCs w:val="24"/>
          <w:lang w:val="en-US"/>
        </w:rPr>
        <w:t>Semid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>eciduous</w:t>
      </w:r>
      <w:proofErr w:type="spellEnd"/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Forest in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F1048">
        <w:rPr>
          <w:rFonts w:ascii="Times New Roman" w:hAnsi="Times New Roman" w:cs="Times New Roman"/>
          <w:sz w:val="24"/>
          <w:szCs w:val="24"/>
          <w:lang w:val="en-US"/>
        </w:rPr>
        <w:t xml:space="preserve">outhern 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Minas </w:t>
      </w:r>
      <w:proofErr w:type="spellStart"/>
      <w:r w:rsidR="00D66781">
        <w:rPr>
          <w:rFonts w:ascii="Times New Roman" w:hAnsi="Times New Roman" w:cs="Times New Roman"/>
          <w:sz w:val="24"/>
          <w:szCs w:val="24"/>
          <w:lang w:val="en-US"/>
        </w:rPr>
        <w:t>Gerais</w:t>
      </w:r>
      <w:proofErr w:type="spellEnd"/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constitute </w:t>
      </w:r>
      <w:r w:rsidR="00D916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great producer of  </w:t>
      </w:r>
      <w:proofErr w:type="spellStart"/>
      <w:r w:rsidR="00D66781" w:rsidRPr="00D66781">
        <w:rPr>
          <w:rFonts w:ascii="Times New Roman" w:hAnsi="Times New Roman" w:cs="Times New Roman"/>
          <w:i/>
          <w:sz w:val="24"/>
          <w:szCs w:val="24"/>
          <w:lang w:val="en-US"/>
        </w:rPr>
        <w:t>pinhões</w:t>
      </w:r>
      <w:proofErr w:type="spellEnd"/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representing</w:t>
      </w:r>
      <w:r w:rsidR="00710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752" w:rsidRPr="00252752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D66781" w:rsidRPr="00252752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Brazilian production </w:t>
      </w:r>
      <w:r w:rsidR="00252752">
        <w:rPr>
          <w:rFonts w:ascii="Times New Roman" w:hAnsi="Times New Roman" w:cs="Times New Roman"/>
          <w:sz w:val="24"/>
          <w:szCs w:val="24"/>
          <w:lang w:val="en-US"/>
        </w:rPr>
        <w:t xml:space="preserve">in 2019 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{"citationItems":[{"id":"ITEM-1","itemData":{"author":[{"dropping-particle":"","family":"IBGE","given":"","non-dropping-particle":"","parse-names":false,"suffix":""}],"id":"ITEM-1","issued":{"date-parts":[["2020"]]},"number-of-pages":"1-16","publisher-place":"Rio de Janeiro","title":"Produção da Extração Vegetal e da Silvicultura - vol 34 - 2019","type":"report"},"uris":["http://www.mendeley.com/documents/?uuid=d2773c3d-ea15-4e74-bba6-29dcc609e5ee"]}],"mendeley":{"formattedCitation":"(IBGE, 2020)","plainTextFormattedCitation":"(IBGE, 2020)","previouslyFormattedCitation":"(IBGE, 2020)"},"properties":{"noteIndex":0},"schema":"https://github.com/citation-style-language/schema/raw/master/csl-citation.json"}</w:instrTex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(IBGE, 2020)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6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6781" w:rsidRDefault="004E2FA1" w:rsidP="00850B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Our analysis indicated</w:t>
      </w:r>
      <w:r w:rsidR="00C863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>258,855 km²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of Araucaria Forest domain 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>(forest =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>192,347 km², grassland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 xml:space="preserve">= 65,678 km², </w:t>
      </w:r>
      <w:proofErr w:type="spellStart"/>
      <w:r w:rsidR="00A2769A">
        <w:rPr>
          <w:rFonts w:ascii="Times New Roman" w:hAnsi="Times New Roman" w:cs="Times New Roman"/>
          <w:sz w:val="24"/>
          <w:szCs w:val="24"/>
          <w:lang w:val="en-US"/>
        </w:rPr>
        <w:t>waterbody</w:t>
      </w:r>
      <w:proofErr w:type="spellEnd"/>
      <w:r w:rsidR="00EB553E">
        <w:rPr>
          <w:rFonts w:ascii="Times New Roman" w:hAnsi="Times New Roman" w:cs="Times New Roman"/>
          <w:sz w:val="24"/>
          <w:szCs w:val="24"/>
          <w:lang w:val="en-US"/>
        </w:rPr>
        <w:t xml:space="preserve"> = 829 km²)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distributed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across the states of</w:t>
      </w:r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Rio Grande do </w:t>
      </w:r>
      <w:proofErr w:type="spellStart"/>
      <w:r w:rsidR="007C0F89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, Santa </w:t>
      </w:r>
      <w:proofErr w:type="spellStart"/>
      <w:r w:rsidR="007C0F89">
        <w:rPr>
          <w:rFonts w:ascii="Times New Roman" w:hAnsi="Times New Roman" w:cs="Times New Roman"/>
          <w:sz w:val="24"/>
          <w:szCs w:val="24"/>
          <w:lang w:val="en-US"/>
        </w:rPr>
        <w:t>Catarina</w:t>
      </w:r>
      <w:proofErr w:type="spellEnd"/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, Paraná, São Paulo, Minas </w:t>
      </w:r>
      <w:proofErr w:type="spellStart"/>
      <w:r w:rsidR="007C0F89">
        <w:rPr>
          <w:rFonts w:ascii="Times New Roman" w:hAnsi="Times New Roman" w:cs="Times New Roman"/>
          <w:sz w:val="24"/>
          <w:szCs w:val="24"/>
          <w:lang w:val="en-US"/>
        </w:rPr>
        <w:t>Gerais</w:t>
      </w:r>
      <w:proofErr w:type="spellEnd"/>
      <w:r w:rsidR="007C0F89">
        <w:rPr>
          <w:rFonts w:ascii="Times New Roman" w:hAnsi="Times New Roman" w:cs="Times New Roman"/>
          <w:sz w:val="24"/>
          <w:szCs w:val="24"/>
          <w:lang w:val="en-US"/>
        </w:rPr>
        <w:t xml:space="preserve"> and Rio de Janeiro in Brazil, and Misiones Province in Argentina.</w:t>
      </w:r>
      <w:r w:rsidR="00EB55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B553E" w:rsidRDefault="00EB553E" w:rsidP="00850B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553E" w:rsidRDefault="00EB553E" w:rsidP="00850B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Protected areas in Araucaria Forest domain</w:t>
      </w:r>
    </w:p>
    <w:p w:rsidR="00EB553E" w:rsidRDefault="004E2FA1" w:rsidP="00850B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06B8A">
        <w:rPr>
          <w:rFonts w:ascii="Times New Roman" w:hAnsi="Times New Roman" w:cs="Times New Roman"/>
          <w:sz w:val="24"/>
          <w:szCs w:val="24"/>
          <w:lang w:val="en-US"/>
        </w:rPr>
        <w:t xml:space="preserve">he protection in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06B8A">
        <w:rPr>
          <w:rFonts w:ascii="Times New Roman" w:hAnsi="Times New Roman" w:cs="Times New Roman"/>
          <w:sz w:val="24"/>
          <w:szCs w:val="24"/>
          <w:lang w:val="en-US"/>
        </w:rPr>
        <w:t>Araucaria Forest domain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estimated</w:t>
      </w:r>
      <w:r w:rsidR="00806B8A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="00806B8A">
        <w:rPr>
          <w:rFonts w:ascii="Times New Roman" w:hAnsi="Times New Roman" w:cs="Times New Roman"/>
          <w:sz w:val="24"/>
          <w:szCs w:val="24"/>
          <w:lang w:val="en-US"/>
        </w:rPr>
        <w:t>shapefiles</w:t>
      </w:r>
      <w:proofErr w:type="spellEnd"/>
      <w:r w:rsidR="00806B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4FFA">
        <w:rPr>
          <w:rFonts w:ascii="Times New Roman" w:hAnsi="Times New Roman" w:cs="Times New Roman"/>
          <w:sz w:val="24"/>
          <w:szCs w:val="24"/>
          <w:lang w:val="en-US"/>
        </w:rPr>
        <w:t xml:space="preserve">obtained from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4FFA">
        <w:rPr>
          <w:rFonts w:ascii="Times New Roman" w:hAnsi="Times New Roman" w:cs="Times New Roman"/>
          <w:sz w:val="24"/>
          <w:szCs w:val="24"/>
          <w:lang w:val="en-US"/>
        </w:rPr>
        <w:t xml:space="preserve">websites </w:t>
      </w:r>
      <w:r w:rsidR="00986C7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4FFA">
        <w:rPr>
          <w:rFonts w:ascii="Times New Roman" w:hAnsi="Times New Roman" w:cs="Times New Roman"/>
          <w:sz w:val="24"/>
          <w:szCs w:val="24"/>
          <w:lang w:val="en-US"/>
        </w:rPr>
        <w:t xml:space="preserve">Protected Planet </w:t>
      </w:r>
      <w:r w:rsidR="009662BA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URL":"http://protectedplanet.net/","accessed":{"date-parts":[["2021","8","1"]]},"author":[{"dropping-particle":"","family":"UNEP-WCMC","given":"","non-dropping-particle":"","parse-names":false,"suffix":""},{"dropping-particle":"","family":"IUCN","given":"","non-dropping-particle":"","parse-names":false,"suffix":""}],"container-title":"UNEP-WCMC and IUCN","id":"ITEM-1","issued":{"date-parts":[["2021"]]},"title":"Protected Planet: The World Database on Protected Areas (WDPA) and World Database on Other Effective Area-based Conservation Measures (WD-OECM)","type":"webpage"},"uris":["http://www.mendeley.com/documents/?uuid=b1d0f68e-58eb-43ff-8179-528d96fde2dd"]}],"mendeley":{"formattedCitation":"(UNEP-WCMC and IUCN, 2021)","plainTextFormattedCitation":"(UNEP-WCMC and IUCN, 2021)","previouslyFormattedCitation":"(UNEP-WCMC and IUCN, 2021)"},"properties":{"noteIndex":0},"schema":"https://github.com/citation-style-language/schema/raw/master/csl-citation.json"}</w:instrText>
      </w:r>
      <w:r w:rsidR="009662B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(UNEP-WCMC and IUCN, 2021)</w:t>
      </w:r>
      <w:r w:rsidR="009662B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14FFA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614FFA" w:rsidRPr="00614FFA">
        <w:rPr>
          <w:rFonts w:ascii="Times New Roman" w:hAnsi="Times New Roman" w:cs="Times New Roman"/>
          <w:i/>
          <w:sz w:val="24"/>
          <w:szCs w:val="24"/>
          <w:lang w:val="en-US"/>
        </w:rPr>
        <w:t>Instituto</w:t>
      </w:r>
      <w:proofErr w:type="spellEnd"/>
      <w:r w:rsidR="00614F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4FFA" w:rsidRPr="00614FFA">
        <w:rPr>
          <w:rFonts w:ascii="Times New Roman" w:hAnsi="Times New Roman" w:cs="Times New Roman"/>
          <w:i/>
          <w:sz w:val="24"/>
          <w:szCs w:val="24"/>
          <w:lang w:val="en-US"/>
        </w:rPr>
        <w:t>Socioambiental</w:t>
      </w:r>
      <w:proofErr w:type="spellEnd"/>
      <w:r w:rsidR="00614F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0DF4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{"citationItems":[{"id":"ITEM-1","itemData":{"URL":"https://uc.socioambiental.org/pt-br","accessed":{"date-parts":[["2021","7","1"]]},"author":[{"dropping-particle":"","family":"Instituto Socioambiental","given":"","non-dropping-particle":"","parse-names":false,"suffix":""}],"id":"ITEM-1","issued":{"date-parts":[["2021"]]},"title":"Unidades de Conservação no Brasil","type":"webpage"},"uris":["http://www.mendeley.com/documents/?uuid=0c412f93-fdec-41a7-9e81-cddbb4306c0b"]}],"mendeley":{"formattedCitation":"(Instituto Socioambiental, 2021)","plainTextFormattedCitation":"(Instituto Socioambiental, 2021)","previouslyFormattedCitation":"(Instituto Socioambiental, 2021)"},"properties":{"noteIndex":0},"schema":"https://github.com/citation-style-language/schema/raw/master/csl-citation.json"}</w:instrText>
      </w:r>
      <w:r w:rsidR="00AE0DF4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(Instituto Socioambiental, 2021)</w:t>
      </w:r>
      <w:r w:rsidR="00AE0DF4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614F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t xml:space="preserve">nformation about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protected areas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was also confirmed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D50DFB">
        <w:rPr>
          <w:rFonts w:ascii="Times New Roman" w:hAnsi="Times New Roman" w:cs="Times New Roman"/>
          <w:sz w:val="24"/>
          <w:szCs w:val="24"/>
          <w:lang w:val="en-US"/>
        </w:rPr>
        <w:t xml:space="preserve">websites of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national and subnational agencies to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 some errors and absences.</w:t>
      </w:r>
      <w:r w:rsidR="000F31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5C71" w:rsidRPr="0057795C" w:rsidRDefault="00D0547A" w:rsidP="00850BCB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identified </w:t>
      </w:r>
      <w:r w:rsidR="000E2388">
        <w:rPr>
          <w:rFonts w:ascii="Times New Roman" w:hAnsi="Times New Roman" w:cs="Times New Roman"/>
          <w:sz w:val="24"/>
          <w:szCs w:val="24"/>
          <w:lang w:val="en-US"/>
        </w:rPr>
        <w:t>124 protected areas (national and subnational governance) in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E2388">
        <w:rPr>
          <w:rFonts w:ascii="Times New Roman" w:hAnsi="Times New Roman" w:cs="Times New Roman"/>
          <w:sz w:val="24"/>
          <w:szCs w:val="24"/>
          <w:lang w:val="en-US"/>
        </w:rPr>
        <w:t xml:space="preserve"> Araucaria Forest domain</w:t>
      </w:r>
      <w:r w:rsidR="00986C77">
        <w:rPr>
          <w:rFonts w:ascii="Times New Roman" w:hAnsi="Times New Roman" w:cs="Times New Roman"/>
          <w:sz w:val="24"/>
          <w:szCs w:val="24"/>
          <w:lang w:val="en-US"/>
        </w:rPr>
        <w:t xml:space="preserve"> (Table S1</w:t>
      </w:r>
      <w:r w:rsidR="009B1194">
        <w:rPr>
          <w:rFonts w:ascii="Times New Roman" w:hAnsi="Times New Roman" w:cs="Times New Roman"/>
          <w:sz w:val="24"/>
          <w:szCs w:val="24"/>
          <w:lang w:val="en-US"/>
        </w:rPr>
        <w:t xml:space="preserve"> – separated file</w:t>
      </w:r>
      <w:r w:rsidR="00986C7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9162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E2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2FA1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91625">
        <w:rPr>
          <w:rFonts w:ascii="Times New Roman" w:hAnsi="Times New Roman" w:cs="Times New Roman"/>
          <w:sz w:val="24"/>
          <w:szCs w:val="24"/>
          <w:lang w:val="en-US"/>
        </w:rPr>
        <w:t xml:space="preserve"> listed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two protected areas located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relicts of the </w:t>
      </w:r>
      <w:r>
        <w:rPr>
          <w:rFonts w:ascii="Times New Roman" w:hAnsi="Times New Roman" w:cs="Times New Roman"/>
          <w:sz w:val="24"/>
          <w:szCs w:val="24"/>
          <w:lang w:val="en-US"/>
        </w:rPr>
        <w:t>Araucaria Forest</w:t>
      </w:r>
      <w:r w:rsidR="004E2F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Podocarpus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State Park (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Parque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Estadual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Podocarpus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Kuri’y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National Reserve (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Reserva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Nacional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0EA4">
        <w:rPr>
          <w:rFonts w:ascii="Times New Roman" w:hAnsi="Times New Roman" w:cs="Times New Roman"/>
          <w:sz w:val="24"/>
          <w:szCs w:val="24"/>
          <w:lang w:val="en-US"/>
        </w:rPr>
        <w:t>Kuri’y</w:t>
      </w:r>
      <w:proofErr w:type="spellEnd"/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), although they </w:t>
      </w:r>
      <w:r w:rsidR="0069325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730EA4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4E2FA1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730EA4" w:rsidRPr="00730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2E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30EA4" w:rsidRPr="00730E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2E2">
        <w:rPr>
          <w:rFonts w:ascii="Times New Roman" w:hAnsi="Times New Roman" w:cs="Times New Roman"/>
          <w:sz w:val="24"/>
          <w:szCs w:val="24"/>
          <w:lang w:val="en-US"/>
        </w:rPr>
        <w:t>estimate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 xml:space="preserve"> protection</w:t>
      </w:r>
      <w:r w:rsidR="004A12E2">
        <w:rPr>
          <w:rFonts w:ascii="Times New Roman" w:hAnsi="Times New Roman" w:cs="Times New Roman"/>
          <w:sz w:val="24"/>
          <w:szCs w:val="24"/>
          <w:lang w:val="en-US"/>
        </w:rPr>
        <w:t xml:space="preserve"> percentage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E2FA1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 xml:space="preserve"> original area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E2FA1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 xml:space="preserve"> relicts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2974">
        <w:rPr>
          <w:rFonts w:ascii="Times New Roman" w:hAnsi="Times New Roman" w:cs="Times New Roman"/>
          <w:sz w:val="24"/>
          <w:szCs w:val="24"/>
          <w:lang w:val="en-US"/>
        </w:rPr>
        <w:t>un</w:t>
      </w:r>
      <w:r w:rsidR="00850BCB">
        <w:rPr>
          <w:rFonts w:ascii="Times New Roman" w:hAnsi="Times New Roman" w:cs="Times New Roman"/>
          <w:sz w:val="24"/>
          <w:szCs w:val="24"/>
          <w:lang w:val="en-US"/>
        </w:rPr>
        <w:t>known.</w:t>
      </w:r>
    </w:p>
    <w:p w:rsidR="00D0547A" w:rsidRDefault="00850BCB" w:rsidP="00D054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calculate the protection over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Araucaria Forest domain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the overlap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 xml:space="preserve"> of protected areas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 xml:space="preserve"> was observed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1D2974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1D2974">
        <w:rPr>
          <w:rFonts w:ascii="Times New Roman" w:hAnsi="Times New Roman" w:cs="Times New Roman"/>
          <w:sz w:val="24"/>
          <w:szCs w:val="24"/>
          <w:lang w:val="en-US"/>
        </w:rPr>
        <w:t>occurred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 xml:space="preserve"> over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strictly 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 xml:space="preserve">and sustainable use </w:t>
      </w:r>
      <w:r w:rsidR="000E70EE">
        <w:rPr>
          <w:rFonts w:ascii="Times New Roman" w:hAnsi="Times New Roman" w:cs="Times New Roman"/>
          <w:sz w:val="24"/>
          <w:szCs w:val="24"/>
          <w:lang w:val="en-US"/>
        </w:rPr>
        <w:t xml:space="preserve">protected 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 xml:space="preserve">areas, 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>the former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 xml:space="preserve"> was calculated</w:t>
      </w:r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>, as it is m</w:t>
      </w:r>
      <w:bookmarkStart w:id="0" w:name="_GoBack"/>
      <w:bookmarkEnd w:id="0"/>
      <w:r w:rsidR="000E70EE" w:rsidRPr="00806B8A">
        <w:rPr>
          <w:rFonts w:ascii="Times New Roman" w:hAnsi="Times New Roman" w:cs="Times New Roman"/>
          <w:sz w:val="24"/>
          <w:szCs w:val="24"/>
          <w:lang w:val="en-US"/>
        </w:rPr>
        <w:t>ore restrictive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60B8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result 16,421.4 km² 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of Araucaria Forest domain is under some protection (6.3%), </w:t>
      </w:r>
      <w:r w:rsidR="0060185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 sustainable </w:t>
      </w:r>
      <w:r w:rsidR="00297956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protected areas </w:t>
      </w:r>
      <w:r w:rsidR="00601858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 12,427.4 km² or 4.8%, whil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>e strictly protected areas sum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3,993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>.9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km² or 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>
        <w:rPr>
          <w:rFonts w:ascii="Times New Roman" w:hAnsi="Times New Roman" w:cs="Times New Roman"/>
          <w:sz w:val="24"/>
          <w:szCs w:val="24"/>
          <w:lang w:val="en-US"/>
        </w:rPr>
        <w:t>1.5% of Araucaria</w:t>
      </w:r>
      <w:r w:rsidR="00D86796">
        <w:rPr>
          <w:rFonts w:ascii="Times New Roman" w:hAnsi="Times New Roman" w:cs="Times New Roman"/>
          <w:sz w:val="24"/>
          <w:szCs w:val="24"/>
          <w:lang w:val="en-US"/>
        </w:rPr>
        <w:t xml:space="preserve"> Forest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domain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3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91625">
        <w:rPr>
          <w:rFonts w:ascii="Times New Roman" w:hAnsi="Times New Roman" w:cs="Times New Roman"/>
          <w:sz w:val="24"/>
          <w:szCs w:val="24"/>
          <w:lang w:val="en-US"/>
        </w:rPr>
        <w:t>oreover</w:t>
      </w:r>
      <w:r w:rsidR="00AE78F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6C77">
        <w:rPr>
          <w:rFonts w:ascii="Times New Roman" w:hAnsi="Times New Roman" w:cs="Times New Roman"/>
          <w:sz w:val="24"/>
          <w:szCs w:val="24"/>
          <w:lang w:val="en-US"/>
        </w:rPr>
        <w:t xml:space="preserve"> land tenure regulation is completely </w:t>
      </w:r>
      <w:r w:rsidR="00726447">
        <w:rPr>
          <w:rFonts w:ascii="Times New Roman" w:hAnsi="Times New Roman" w:cs="Times New Roman"/>
          <w:sz w:val="24"/>
          <w:szCs w:val="24"/>
          <w:lang w:val="en-US"/>
        </w:rPr>
        <w:t>settled</w:t>
      </w:r>
      <w:r w:rsidR="00153DA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986C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3347">
        <w:rPr>
          <w:rFonts w:ascii="Times New Roman" w:hAnsi="Times New Roman" w:cs="Times New Roman"/>
          <w:sz w:val="24"/>
          <w:szCs w:val="24"/>
          <w:lang w:val="en-US"/>
        </w:rPr>
        <w:t xml:space="preserve">less than half </w:t>
      </w:r>
      <w:r w:rsidR="00263EF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B3347">
        <w:rPr>
          <w:rFonts w:ascii="Times New Roman" w:hAnsi="Times New Roman" w:cs="Times New Roman"/>
          <w:sz w:val="24"/>
          <w:szCs w:val="24"/>
          <w:lang w:val="en-US"/>
        </w:rPr>
        <w:t xml:space="preserve"> strictly protected areas (Table S1). </w:t>
      </w:r>
    </w:p>
    <w:p w:rsidR="001D2974" w:rsidRDefault="004A12E2" w:rsidP="00D0547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All analyses were performed in Q</w:t>
      </w:r>
      <w:r w:rsidR="00693259">
        <w:rPr>
          <w:rFonts w:ascii="Times New Roman" w:hAnsi="Times New Roman" w:cs="Times New Roman"/>
          <w:sz w:val="24"/>
          <w:szCs w:val="24"/>
          <w:lang w:val="en-US"/>
        </w:rPr>
        <w:t>GIS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  <w:r w:rsidR="00693259">
        <w:rPr>
          <w:rFonts w:ascii="Times New Roman" w:hAnsi="Times New Roman" w:cs="Times New Roman"/>
          <w:sz w:val="24"/>
          <w:szCs w:val="24"/>
          <w:lang w:val="en-US"/>
        </w:rPr>
        <w:t xml:space="preserve"> version 3.4.15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259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="007846AB">
        <w:rPr>
          <w:rFonts w:ascii="Times New Roman" w:hAnsi="Times New Roman" w:cs="Times New Roman"/>
          <w:sz w:val="24"/>
          <w:szCs w:val="24"/>
          <w:lang w:val="en-US"/>
        </w:rPr>
        <w:instrText>ADDIN CSL_CITATION {"citationItems":[{"id":"ITEM-1","itemData":{"author":[{"dropping-particle":"","family":"QGIS.org","given":"","non-dropping-particle":"","parse-names":false,"suffix":""}],"id":"ITEM-1","issued":{"date-parts":[["2021"]]},"publisher":"QGIS Association","title":"QGIS Geographic Information System","type":"article"},"uris":["http://www.mendeley.com/documents/?uuid=6b712fd0-7f8e-4e45-a97c-811d6b415d95"]}],"mendeley":{"formattedCitation":"(QGIS.org, 2021)","plainTextFormattedCitation":"(QGIS.org, 2021)","previouslyFormattedCitation":"(QGIS.org, 2021)"},"properties":{"noteIndex":0},"schema":"https://github.com/citation-style-language/schema/raw/master/csl-citation.json"}</w:instrText>
      </w:r>
      <w:r w:rsidR="00693259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10F34" w:rsidRPr="00710F34">
        <w:rPr>
          <w:rFonts w:ascii="Times New Roman" w:hAnsi="Times New Roman" w:cs="Times New Roman"/>
          <w:noProof/>
          <w:sz w:val="24"/>
          <w:szCs w:val="24"/>
          <w:lang w:val="en-US"/>
        </w:rPr>
        <w:t>(QGIS.org, 2021)</w:t>
      </w:r>
      <w:r w:rsidR="00693259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using conical Albers projection and datum WGS84.</w:t>
      </w:r>
    </w:p>
    <w:p w:rsidR="00915C71" w:rsidRDefault="00915C71">
      <w:pPr>
        <w:rPr>
          <w:lang w:val="en-US"/>
        </w:rPr>
      </w:pPr>
    </w:p>
    <w:p w:rsidR="00C863D5" w:rsidRPr="00263EFC" w:rsidRDefault="00C863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63EFC">
        <w:rPr>
          <w:rFonts w:ascii="Times New Roman" w:hAnsi="Times New Roman" w:cs="Times New Roman"/>
          <w:sz w:val="24"/>
          <w:szCs w:val="24"/>
        </w:rPr>
        <w:t>References</w:t>
      </w:r>
      <w:proofErr w:type="spellEnd"/>
    </w:p>
    <w:p w:rsidR="007846AB" w:rsidRPr="007846AB" w:rsidRDefault="00C863D5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C863D5">
        <w:rPr>
          <w:rFonts w:ascii="Times New Roman" w:hAnsi="Times New Roman" w:cs="Times New Roman"/>
          <w:sz w:val="24"/>
          <w:szCs w:val="24"/>
          <w:lang w:val="en-US"/>
        </w:rPr>
        <w:fldChar w:fldCharType="begin" w:fldLock="1"/>
      </w:r>
      <w:r w:rsidRPr="00263EFC"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 w:rsidRPr="00C863D5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846AB" w:rsidRPr="007846AB">
        <w:rPr>
          <w:rFonts w:ascii="Times New Roman" w:hAnsi="Times New Roman" w:cs="Times New Roman"/>
          <w:noProof/>
          <w:sz w:val="24"/>
          <w:szCs w:val="24"/>
        </w:rPr>
        <w:t>Hueck, K., 1953. Distribuição e habitat natural do Pinheiro do Paraná (Araucaria angustifolia). Bol. da Fac. Filos. Ciências e Let. Univ. São Paulo. 10, 5–24. doi:10.11606/issn.2318-5988.v10i1p5-24</w:t>
      </w:r>
    </w:p>
    <w:p w:rsidR="007846AB" w:rsidRPr="007846AB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7846AB">
        <w:rPr>
          <w:rFonts w:ascii="Times New Roman" w:hAnsi="Times New Roman" w:cs="Times New Roman"/>
          <w:noProof/>
          <w:sz w:val="24"/>
          <w:szCs w:val="24"/>
        </w:rPr>
        <w:t>IBGE, 2020. Produção da Extração Vegetal e da Silvicultura - vol 34 - 2019. Rio de Janeiro.</w:t>
      </w:r>
    </w:p>
    <w:p w:rsidR="007846AB" w:rsidRPr="00D60B80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846AB">
        <w:rPr>
          <w:rFonts w:ascii="Times New Roman" w:hAnsi="Times New Roman" w:cs="Times New Roman"/>
          <w:noProof/>
          <w:sz w:val="24"/>
          <w:szCs w:val="24"/>
        </w:rPr>
        <w:t xml:space="preserve">Instituto Socioambiental, 2021. Unidades de Conservação no Brasil [WWW Document]. </w:t>
      </w: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>URL https://uc.socioambiental.org/pt-br (accessed 7.1.21).</w:t>
      </w:r>
    </w:p>
    <w:p w:rsidR="007846AB" w:rsidRPr="00D60B80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Klein, R.M., 1960. </w:t>
      </w:r>
      <w:r w:rsidRPr="007846AB">
        <w:rPr>
          <w:rFonts w:ascii="Times New Roman" w:hAnsi="Times New Roman" w:cs="Times New Roman"/>
          <w:noProof/>
          <w:sz w:val="24"/>
          <w:szCs w:val="24"/>
        </w:rPr>
        <w:t xml:space="preserve">O aspecto dinâmico do pinheiro brasileiro. </w:t>
      </w: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>Sellowia 12, 17–44.</w:t>
      </w:r>
    </w:p>
    <w:p w:rsidR="007846AB" w:rsidRPr="00D60B80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>Ledru, M.-P., Stevenson, J., 2012. The rise and fall of the genus Araucaria: a southern hemisphere climatic connection. Peopled Landscapes Archaeol. Biogeogr. Approaches to Landscapes, Terra Aust. 34, 241–254.</w:t>
      </w:r>
    </w:p>
    <w:p w:rsidR="007846AB" w:rsidRPr="007846AB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Maack, R., 2012. </w:t>
      </w:r>
      <w:r w:rsidRPr="007846AB">
        <w:rPr>
          <w:rFonts w:ascii="Times New Roman" w:hAnsi="Times New Roman" w:cs="Times New Roman"/>
          <w:noProof/>
          <w:sz w:val="24"/>
          <w:szCs w:val="24"/>
        </w:rPr>
        <w:t>Geografia física do Estado do Paraná, 4</w:t>
      </w:r>
      <w:r w:rsidRPr="007846AB">
        <w:rPr>
          <w:rFonts w:ascii="Times New Roman" w:hAnsi="Times New Roman" w:cs="Times New Roman"/>
          <w:noProof/>
          <w:sz w:val="24"/>
          <w:szCs w:val="24"/>
          <w:vertAlign w:val="superscript"/>
        </w:rPr>
        <w:t>a</w:t>
      </w:r>
      <w:r w:rsidRPr="007846AB">
        <w:rPr>
          <w:rFonts w:ascii="Times New Roman" w:hAnsi="Times New Roman" w:cs="Times New Roman"/>
          <w:noProof/>
          <w:sz w:val="24"/>
          <w:szCs w:val="24"/>
        </w:rPr>
        <w:t>. ed. UEPG, Ponta Grossa.</w:t>
      </w:r>
    </w:p>
    <w:p w:rsidR="007846AB" w:rsidRPr="007846AB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7846AB">
        <w:rPr>
          <w:rFonts w:ascii="Times New Roman" w:hAnsi="Times New Roman" w:cs="Times New Roman"/>
          <w:noProof/>
          <w:sz w:val="24"/>
          <w:szCs w:val="24"/>
        </w:rPr>
        <w:t>Mattos, J., 2011. O pinheiro brasileiro, 2nd ed, Editora da UFSC. Florianópolis.</w:t>
      </w:r>
    </w:p>
    <w:p w:rsidR="007846AB" w:rsidRPr="007846AB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7846AB">
        <w:rPr>
          <w:rFonts w:ascii="Times New Roman" w:hAnsi="Times New Roman" w:cs="Times New Roman"/>
          <w:noProof/>
          <w:sz w:val="24"/>
          <w:szCs w:val="24"/>
        </w:rPr>
        <w:t>Muylaert, R.L., Vancine, M.H., Bernardo, R., Oshima, J.E.F., Sobral-Souza, T., Tonetti, V.R., Niebuhr, B.B., Ribeiro, M.C., 2018. Uma nota sobre os limites territoriais da Mata Atlântica. Oecologia Aust. 22, 302–311.</w:t>
      </w:r>
    </w:p>
    <w:p w:rsidR="007846AB" w:rsidRPr="00D60B80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846AB">
        <w:rPr>
          <w:rFonts w:ascii="Times New Roman" w:hAnsi="Times New Roman" w:cs="Times New Roman"/>
          <w:noProof/>
          <w:sz w:val="24"/>
          <w:szCs w:val="24"/>
        </w:rPr>
        <w:t xml:space="preserve">Olson, D.M., Dinerstein, E., Wikramanayake, E.D., Burgess, N.D., Powell, G.V.N., Underwood, E.C., D’amico, J.A., Itoua, I., Strand, H.E., Morrison, J.C., 2001. </w:t>
      </w: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>Terrestrial Ecoregions of the World: A New Map of Life on EarthA new global map of terrestrial ecoregions provides an innovative tool for conserving biodiversity. Bioscience 51, 933–938.</w:t>
      </w:r>
    </w:p>
    <w:p w:rsidR="007846AB" w:rsidRPr="00D60B80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>QGIS.org, 2021. QGIS Geographic Information System.</w:t>
      </w:r>
    </w:p>
    <w:p w:rsidR="007846AB" w:rsidRPr="00D60B80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>Silva, L.C.R., Anand, M., 2011. Mechanisms of Araucaria (Atlantic) forest expansion into southern Brazilian grasslands. Ecosystems 14, 1354–1371.</w:t>
      </w:r>
    </w:p>
    <w:p w:rsidR="007846AB" w:rsidRPr="007846AB" w:rsidRDefault="007846AB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D60B8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UNEP-WCMC, IUCN, 2021. Protected Planet: The World Database on Protected Areas (WDPA) and World Database on Other Effective Area-based Conservation Measures (WD-OECM) [WWW Document]. </w:t>
      </w:r>
      <w:r w:rsidRPr="007846AB">
        <w:rPr>
          <w:rFonts w:ascii="Times New Roman" w:hAnsi="Times New Roman" w:cs="Times New Roman"/>
          <w:noProof/>
          <w:sz w:val="24"/>
          <w:szCs w:val="24"/>
        </w:rPr>
        <w:t>UNEP-WCMC IUCN. URL http://protectedplanet.net/ (accessed 8.1.21).</w:t>
      </w:r>
    </w:p>
    <w:p w:rsidR="00915C71" w:rsidRPr="0057795C" w:rsidRDefault="00C863D5" w:rsidP="007846AB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lang w:val="en-US"/>
        </w:rPr>
      </w:pPr>
      <w:r w:rsidRPr="00C863D5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sectPr w:rsidR="00915C71" w:rsidRPr="005779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71"/>
    <w:rsid w:val="00071BB9"/>
    <w:rsid w:val="000E2388"/>
    <w:rsid w:val="000E70EE"/>
    <w:rsid w:val="000F3192"/>
    <w:rsid w:val="001055F8"/>
    <w:rsid w:val="0010732F"/>
    <w:rsid w:val="00153DA7"/>
    <w:rsid w:val="00191104"/>
    <w:rsid w:val="001D2974"/>
    <w:rsid w:val="002518FF"/>
    <w:rsid w:val="00252752"/>
    <w:rsid w:val="00263EFC"/>
    <w:rsid w:val="00297956"/>
    <w:rsid w:val="002E7526"/>
    <w:rsid w:val="002F1048"/>
    <w:rsid w:val="003021D0"/>
    <w:rsid w:val="00391F29"/>
    <w:rsid w:val="004A12E2"/>
    <w:rsid w:val="004B6433"/>
    <w:rsid w:val="004E2FA1"/>
    <w:rsid w:val="0057795C"/>
    <w:rsid w:val="005A0138"/>
    <w:rsid w:val="00601858"/>
    <w:rsid w:val="00614FFA"/>
    <w:rsid w:val="00693259"/>
    <w:rsid w:val="006E44B9"/>
    <w:rsid w:val="00710F34"/>
    <w:rsid w:val="00726447"/>
    <w:rsid w:val="00730EA4"/>
    <w:rsid w:val="007846AB"/>
    <w:rsid w:val="007C0F89"/>
    <w:rsid w:val="007C2DD6"/>
    <w:rsid w:val="00804485"/>
    <w:rsid w:val="00806B8A"/>
    <w:rsid w:val="00850BCB"/>
    <w:rsid w:val="00856495"/>
    <w:rsid w:val="00863B3E"/>
    <w:rsid w:val="008D7D31"/>
    <w:rsid w:val="00915C71"/>
    <w:rsid w:val="009645C9"/>
    <w:rsid w:val="009662BA"/>
    <w:rsid w:val="00986C77"/>
    <w:rsid w:val="009B1194"/>
    <w:rsid w:val="009E3FB5"/>
    <w:rsid w:val="00A2769A"/>
    <w:rsid w:val="00AE0DF4"/>
    <w:rsid w:val="00AE78F1"/>
    <w:rsid w:val="00B60752"/>
    <w:rsid w:val="00BB3347"/>
    <w:rsid w:val="00C863D5"/>
    <w:rsid w:val="00D0547A"/>
    <w:rsid w:val="00D50DFB"/>
    <w:rsid w:val="00D60B80"/>
    <w:rsid w:val="00D66781"/>
    <w:rsid w:val="00D744FD"/>
    <w:rsid w:val="00D86796"/>
    <w:rsid w:val="00D91625"/>
    <w:rsid w:val="00E10824"/>
    <w:rsid w:val="00EB553E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1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70E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9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B1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70EE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9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1F82-7BBE-4934-93C4-05E99099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4294967271</TotalTime>
  <Pages>3</Pages>
  <Words>2919</Words>
  <Characters>15768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7</cp:revision>
  <dcterms:created xsi:type="dcterms:W3CDTF">2021-11-09T02:15:00Z</dcterms:created>
  <dcterms:modified xsi:type="dcterms:W3CDTF">2021-11-22T14:53:00Z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4bd8c7bb-fa3c-31ad-bd26-39935fe38ca4</vt:lpwstr>
  </property>
  <property fmtid="{D5CDD505-2E9C-101B-9397-08002B2CF9AE}" pid="4" name="Mendeley Citation Style_1">
    <vt:lpwstr>http://www.zotero.org/styles/perspectives-in-ecology-and-conservation</vt:lpwstr>
  </property>
  <property fmtid="{D5CDD505-2E9C-101B-9397-08002B2CF9AE}" pid="5" name="Mendeley Recent Style Id 0_1">
    <vt:lpwstr>http://www.zotero.org/styles/acta-amazonica</vt:lpwstr>
  </property>
  <property fmtid="{D5CDD505-2E9C-101B-9397-08002B2CF9AE}" pid="6" name="Mendeley Recent Style Name 0_1">
    <vt:lpwstr>Acta Amazonica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(Portuguese - Brazil)</vt:lpwstr>
  </property>
  <property fmtid="{D5CDD505-2E9C-101B-9397-08002B2CF9AE}" pid="13" name="Mendeley Recent Style Id 4_1">
    <vt:lpwstr>http://www.zotero.org/styles/canadian-journal-of-zoology</vt:lpwstr>
  </property>
  <property fmtid="{D5CDD505-2E9C-101B-9397-08002B2CF9AE}" pid="14" name="Mendeley Recent Style Name 4_1">
    <vt:lpwstr>Canadian Journal of Zoology</vt:lpwstr>
  </property>
  <property fmtid="{D5CDD505-2E9C-101B-9397-08002B2CF9AE}" pid="15" name="Mendeley Recent Style Id 5_1">
    <vt:lpwstr>http://www.zotero.org/styles/forest-ecology-and-management</vt:lpwstr>
  </property>
  <property fmtid="{D5CDD505-2E9C-101B-9397-08002B2CF9AE}" pid="16" name="Mendeley Recent Style Name 5_1">
    <vt:lpwstr>Forest Ecology and Management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http://www.zotero.org/styles/oecologia-australis</vt:lpwstr>
  </property>
  <property fmtid="{D5CDD505-2E9C-101B-9397-08002B2CF9AE}" pid="20" name="Mendeley Recent Style Name 7_1">
    <vt:lpwstr>Oecologia Australis</vt:lpwstr>
  </property>
  <property fmtid="{D5CDD505-2E9C-101B-9397-08002B2CF9AE}" pid="21" name="Mendeley Recent Style Id 8_1">
    <vt:lpwstr>http://www.zotero.org/styles/perspectives-in-ecology-and-conservation</vt:lpwstr>
  </property>
  <property fmtid="{D5CDD505-2E9C-101B-9397-08002B2CF9AE}" pid="22" name="Mendeley Recent Style Name 8_1">
    <vt:lpwstr>Perspectives in Ecology and Conservation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