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D92B" w14:textId="6C171795" w:rsidR="00DD342B" w:rsidRDefault="00941BF4" w:rsidP="001E0FF1">
      <w:pPr>
        <w:spacing w:line="240" w:lineRule="auto"/>
        <w:jc w:val="both"/>
        <w:rPr>
          <w:rFonts w:ascii="Times New Roman" w:hAnsi="Times New Roman" w:cs="Times New Roman"/>
          <w:b/>
          <w:sz w:val="24"/>
        </w:rPr>
      </w:pPr>
      <w:r>
        <w:rPr>
          <w:rFonts w:ascii="Times New Roman" w:hAnsi="Times New Roman" w:cs="Times New Roman"/>
          <w:b/>
          <w:sz w:val="24"/>
        </w:rPr>
        <w:t xml:space="preserve">Appendix </w:t>
      </w:r>
      <w:r w:rsidR="00BB4D18">
        <w:rPr>
          <w:rFonts w:ascii="Times New Roman" w:hAnsi="Times New Roman" w:cs="Times New Roman"/>
          <w:b/>
          <w:sz w:val="24"/>
        </w:rPr>
        <w:t>2</w:t>
      </w:r>
      <w:r>
        <w:rPr>
          <w:rFonts w:ascii="Times New Roman" w:hAnsi="Times New Roman" w:cs="Times New Roman"/>
          <w:b/>
          <w:sz w:val="24"/>
        </w:rPr>
        <w:t xml:space="preserve">. </w:t>
      </w:r>
      <w:r w:rsidR="00DD342B" w:rsidRPr="00571CF7">
        <w:rPr>
          <w:rFonts w:ascii="Times New Roman" w:hAnsi="Times New Roman" w:cs="Times New Roman"/>
          <w:sz w:val="24"/>
        </w:rPr>
        <w:t>Supplementary information on the methodological approach</w:t>
      </w:r>
    </w:p>
    <w:p w14:paraId="12E1D949" w14:textId="77777777" w:rsidR="005D4D1D" w:rsidRPr="00601AD1" w:rsidRDefault="00DC62EA" w:rsidP="007D6727">
      <w:pPr>
        <w:jc w:val="both"/>
        <w:rPr>
          <w:rFonts w:ascii="Times New Roman" w:hAnsi="Times New Roman" w:cs="Times New Roman"/>
          <w:b/>
          <w:bCs/>
          <w:sz w:val="24"/>
          <w:szCs w:val="24"/>
        </w:rPr>
      </w:pPr>
      <w:r w:rsidRPr="00601AD1">
        <w:rPr>
          <w:rFonts w:ascii="Times New Roman" w:hAnsi="Times New Roman" w:cs="Times New Roman"/>
          <w:b/>
          <w:bCs/>
          <w:sz w:val="24"/>
          <w:szCs w:val="24"/>
        </w:rPr>
        <w:t>Land cover classification methodology</w:t>
      </w:r>
    </w:p>
    <w:p w14:paraId="12E1D94A" w14:textId="77777777" w:rsidR="00DC62EA" w:rsidRDefault="005060CD" w:rsidP="007D6727">
      <w:pPr>
        <w:jc w:val="both"/>
        <w:rPr>
          <w:rFonts w:ascii="Times New Roman" w:hAnsi="Times New Roman" w:cs="Times New Roman"/>
          <w:sz w:val="24"/>
          <w:szCs w:val="24"/>
        </w:rPr>
      </w:pPr>
      <w:r w:rsidRPr="005060CD">
        <w:rPr>
          <w:rFonts w:ascii="Times New Roman" w:hAnsi="Times New Roman" w:cs="Times New Roman"/>
          <w:sz w:val="24"/>
          <w:szCs w:val="24"/>
        </w:rPr>
        <w:t xml:space="preserve">We performed a supervised classification of Landsat images for </w:t>
      </w:r>
      <w:r w:rsidR="007C7057">
        <w:rPr>
          <w:rFonts w:ascii="Times New Roman" w:hAnsi="Times New Roman" w:cs="Times New Roman"/>
          <w:sz w:val="24"/>
          <w:szCs w:val="24"/>
        </w:rPr>
        <w:t xml:space="preserve">the </w:t>
      </w:r>
      <w:r w:rsidRPr="005060CD">
        <w:rPr>
          <w:rFonts w:ascii="Times New Roman" w:hAnsi="Times New Roman" w:cs="Times New Roman"/>
          <w:sz w:val="24"/>
          <w:szCs w:val="24"/>
        </w:rPr>
        <w:t xml:space="preserve">years 2000 and 2020. We used the Google Earth Engine platform </w:t>
      </w:r>
      <w:r w:rsidR="00B73BB6">
        <w:rPr>
          <w:rFonts w:ascii="Times New Roman" w:hAnsi="Times New Roman" w:cs="Times New Roman"/>
          <w:sz w:val="24"/>
          <w:szCs w:val="24"/>
        </w:rPr>
        <w:fldChar w:fldCharType="begin" w:fldLock="1"/>
      </w:r>
      <w:r w:rsidR="00DC29F5">
        <w:rPr>
          <w:rFonts w:ascii="Times New Roman" w:hAnsi="Times New Roman" w:cs="Times New Roman"/>
          <w:sz w:val="24"/>
          <w:szCs w:val="24"/>
        </w:rPr>
        <w:instrText>ADDIN CSL_CITATION {"citationItems":[{"id":"ITEM-1","itemData":{"DOI":"10.1016/j.rse.2017.06.031","ISSN":"00344257","abstract":"Google Earth Engine is a cloud-based platform for planetary-scale geospatial analysis that brings Google's massive computational capabilities to bear on a variety of high-impact societal issues including deforestation, drought, disaster, disease, food security, water management, climate monitoring and environmental protection. It is unique in the field as an integrated platform designed to empower not only traditional remote sensing scientists, but also a much wider audience that lacks the technical capacity needed to utilize traditional supercomputers or large-scale commodity cloud computing resources.","author":[{"dropping-particle":"","family":"Gorelick","given":"Noel","non-dropping-particle":"","parse-names":false,"suffix":""},{"dropping-particle":"","family":"Hancher","given":"Matt","non-dropping-particle":"","parse-names":false,"suffix":""},{"dropping-particle":"","family":"Dixon","given":"Mike","non-dropping-particle":"","parse-names":false,"suffix":""},{"dropping-particle":"","family":"Ilyushchenko","given":"Simon","non-dropping-particle":"","parse-names":false,"suffix":""},{"dropping-particle":"","family":"Thau","given":"David","non-dropping-particle":"","parse-names":false,"suffix":""},{"dropping-particle":"","family":"Moore","given":"Rebecca","non-dropping-particle":"","parse-names":false,"suffix":""}],"container-title":"Remote Sensing of Environment","id":"ITEM-1","issued":{"date-parts":[["2017"]]},"page":"18-27","publisher":"The Author(s)","title":"Google Earth Engine: Planetary-scale geospatial analysis for everyone","type":"article-journal","volume":"202"},"uris":["http://www.mendeley.com/documents/?uuid=d26699d9-5348-4a3d-8d96-c1f4e6272e75"]}],"mendeley":{"formattedCitation":"(Gorelick et al., 2017)","plainTextFormattedCitation":"(Gorelick et al., 2017)","previouslyFormattedCitation":"(Gorelick et al., 2017)"},"properties":{"noteIndex":0},"schema":"https://github.com/citation-style-language/schema/raw/master/csl-citation.json"}</w:instrText>
      </w:r>
      <w:r w:rsidR="00B73BB6">
        <w:rPr>
          <w:rFonts w:ascii="Times New Roman" w:hAnsi="Times New Roman" w:cs="Times New Roman"/>
          <w:sz w:val="24"/>
          <w:szCs w:val="24"/>
        </w:rPr>
        <w:fldChar w:fldCharType="separate"/>
      </w:r>
      <w:r w:rsidR="00DC29F5" w:rsidRPr="00DC29F5">
        <w:rPr>
          <w:rFonts w:ascii="Times New Roman" w:hAnsi="Times New Roman" w:cs="Times New Roman"/>
          <w:noProof/>
          <w:sz w:val="24"/>
          <w:szCs w:val="24"/>
        </w:rPr>
        <w:t>(Gorelick et al., 2017)</w:t>
      </w:r>
      <w:r w:rsidR="00B73BB6">
        <w:rPr>
          <w:rFonts w:ascii="Times New Roman" w:hAnsi="Times New Roman" w:cs="Times New Roman"/>
          <w:sz w:val="24"/>
          <w:szCs w:val="24"/>
        </w:rPr>
        <w:fldChar w:fldCharType="end"/>
      </w:r>
      <w:r w:rsidR="00DC29F5">
        <w:rPr>
          <w:rFonts w:ascii="Times New Roman" w:hAnsi="Times New Roman" w:cs="Times New Roman"/>
          <w:sz w:val="24"/>
          <w:szCs w:val="24"/>
        </w:rPr>
        <w:t xml:space="preserve"> </w:t>
      </w:r>
      <w:r w:rsidRPr="005060CD">
        <w:rPr>
          <w:rFonts w:ascii="Times New Roman" w:hAnsi="Times New Roman" w:cs="Times New Roman"/>
          <w:sz w:val="24"/>
          <w:szCs w:val="24"/>
        </w:rPr>
        <w:t xml:space="preserve">because is a cloud online platform that </w:t>
      </w:r>
      <w:r>
        <w:rPr>
          <w:rFonts w:ascii="Times New Roman" w:hAnsi="Times New Roman" w:cs="Times New Roman"/>
          <w:sz w:val="24"/>
          <w:szCs w:val="24"/>
        </w:rPr>
        <w:t>allow</w:t>
      </w:r>
      <w:r w:rsidR="00B6705B">
        <w:rPr>
          <w:rFonts w:ascii="Times New Roman" w:hAnsi="Times New Roman" w:cs="Times New Roman"/>
          <w:sz w:val="24"/>
          <w:szCs w:val="24"/>
        </w:rPr>
        <w:t>s</w:t>
      </w:r>
      <w:r>
        <w:rPr>
          <w:rFonts w:ascii="Times New Roman" w:hAnsi="Times New Roman" w:cs="Times New Roman"/>
          <w:sz w:val="24"/>
          <w:szCs w:val="24"/>
        </w:rPr>
        <w:t xml:space="preserve"> </w:t>
      </w:r>
      <w:r w:rsidR="00B6705B">
        <w:rPr>
          <w:rFonts w:ascii="Times New Roman" w:hAnsi="Times New Roman" w:cs="Times New Roman"/>
          <w:sz w:val="24"/>
          <w:szCs w:val="24"/>
        </w:rPr>
        <w:t>processing</w:t>
      </w:r>
      <w:r>
        <w:rPr>
          <w:rFonts w:ascii="Times New Roman" w:hAnsi="Times New Roman" w:cs="Times New Roman"/>
          <w:sz w:val="24"/>
          <w:szCs w:val="24"/>
        </w:rPr>
        <w:t xml:space="preserve"> </w:t>
      </w:r>
      <w:r w:rsidR="003A23EA">
        <w:rPr>
          <w:rFonts w:ascii="Times New Roman" w:hAnsi="Times New Roman" w:cs="Times New Roman"/>
          <w:sz w:val="24"/>
          <w:szCs w:val="24"/>
        </w:rPr>
        <w:t xml:space="preserve">massive remote sensing data </w:t>
      </w:r>
      <w:r w:rsidR="003A23EA" w:rsidRPr="003A23EA">
        <w:rPr>
          <w:rFonts w:ascii="Times New Roman" w:hAnsi="Times New Roman" w:cs="Times New Roman"/>
          <w:sz w:val="24"/>
          <w:szCs w:val="24"/>
        </w:rPr>
        <w:t>effectively</w:t>
      </w:r>
      <w:r w:rsidR="003A23EA">
        <w:rPr>
          <w:rFonts w:ascii="Times New Roman" w:hAnsi="Times New Roman" w:cs="Times New Roman"/>
          <w:sz w:val="24"/>
          <w:szCs w:val="24"/>
        </w:rPr>
        <w:t xml:space="preserve">. </w:t>
      </w:r>
    </w:p>
    <w:p w14:paraId="12E1D94B" w14:textId="2E5A5348" w:rsidR="00C8170B" w:rsidRDefault="00857FC6" w:rsidP="007D6727">
      <w:pPr>
        <w:jc w:val="both"/>
        <w:rPr>
          <w:rFonts w:ascii="Times New Roman" w:hAnsi="Times New Roman" w:cs="Times New Roman"/>
          <w:sz w:val="24"/>
          <w:szCs w:val="24"/>
        </w:rPr>
      </w:pPr>
      <w:r>
        <w:rPr>
          <w:rFonts w:ascii="Times New Roman" w:hAnsi="Times New Roman" w:cs="Times New Roman"/>
          <w:sz w:val="24"/>
          <w:szCs w:val="24"/>
        </w:rPr>
        <w:t xml:space="preserve">We used </w:t>
      </w:r>
      <w:r w:rsidRPr="00857FC6">
        <w:rPr>
          <w:rFonts w:ascii="Times New Roman" w:hAnsi="Times New Roman" w:cs="Times New Roman"/>
          <w:sz w:val="24"/>
          <w:szCs w:val="24"/>
        </w:rPr>
        <w:t>LANDSAT/LT05/C01/T1_SR</w:t>
      </w:r>
      <w:r>
        <w:rPr>
          <w:rFonts w:ascii="Times New Roman" w:hAnsi="Times New Roman" w:cs="Times New Roman"/>
          <w:sz w:val="24"/>
          <w:szCs w:val="24"/>
        </w:rPr>
        <w:t xml:space="preserve"> image collection for </w:t>
      </w:r>
      <w:r w:rsidR="00B406D0">
        <w:rPr>
          <w:rFonts w:ascii="Times New Roman" w:hAnsi="Times New Roman" w:cs="Times New Roman"/>
          <w:sz w:val="24"/>
          <w:szCs w:val="24"/>
        </w:rPr>
        <w:t xml:space="preserve">the </w:t>
      </w:r>
      <w:r>
        <w:rPr>
          <w:rFonts w:ascii="Times New Roman" w:hAnsi="Times New Roman" w:cs="Times New Roman"/>
          <w:sz w:val="24"/>
          <w:szCs w:val="24"/>
        </w:rPr>
        <w:t xml:space="preserve">year 2000 and </w:t>
      </w:r>
      <w:r w:rsidRPr="00857FC6">
        <w:rPr>
          <w:rFonts w:ascii="Times New Roman" w:hAnsi="Times New Roman" w:cs="Times New Roman"/>
          <w:sz w:val="24"/>
          <w:szCs w:val="24"/>
        </w:rPr>
        <w:t>LANDSAT/LC08/C01/T1_SR</w:t>
      </w:r>
      <w:r>
        <w:rPr>
          <w:rFonts w:ascii="Times New Roman" w:hAnsi="Times New Roman" w:cs="Times New Roman"/>
          <w:sz w:val="24"/>
          <w:szCs w:val="24"/>
        </w:rPr>
        <w:t xml:space="preserve"> for </w:t>
      </w:r>
      <w:r w:rsidR="00B406D0">
        <w:rPr>
          <w:rFonts w:ascii="Times New Roman" w:hAnsi="Times New Roman" w:cs="Times New Roman"/>
          <w:sz w:val="24"/>
          <w:szCs w:val="24"/>
        </w:rPr>
        <w:t xml:space="preserve">the </w:t>
      </w:r>
      <w:r>
        <w:rPr>
          <w:rFonts w:ascii="Times New Roman" w:hAnsi="Times New Roman" w:cs="Times New Roman"/>
          <w:sz w:val="24"/>
          <w:szCs w:val="24"/>
        </w:rPr>
        <w:t xml:space="preserve">year 2020. Therefore, our source images consist </w:t>
      </w:r>
      <w:r w:rsidR="00B406D0">
        <w:rPr>
          <w:rFonts w:ascii="Times New Roman" w:hAnsi="Times New Roman" w:cs="Times New Roman"/>
          <w:sz w:val="24"/>
          <w:szCs w:val="24"/>
        </w:rPr>
        <w:t>of</w:t>
      </w:r>
      <w:r>
        <w:rPr>
          <w:rFonts w:ascii="Times New Roman" w:hAnsi="Times New Roman" w:cs="Times New Roman"/>
          <w:sz w:val="24"/>
          <w:szCs w:val="24"/>
        </w:rPr>
        <w:t xml:space="preserve"> surface reflectance satellite images. </w:t>
      </w:r>
      <w:r w:rsidR="007D6727">
        <w:rPr>
          <w:rFonts w:ascii="Times New Roman" w:hAnsi="Times New Roman" w:cs="Times New Roman"/>
          <w:sz w:val="24"/>
          <w:szCs w:val="24"/>
        </w:rPr>
        <w:t>We applied a cloud mask algorithm for image collections using the median value of</w:t>
      </w:r>
      <w:r w:rsidR="00935EA3">
        <w:rPr>
          <w:rFonts w:ascii="Times New Roman" w:hAnsi="Times New Roman" w:cs="Times New Roman"/>
          <w:sz w:val="24"/>
          <w:szCs w:val="24"/>
        </w:rPr>
        <w:t xml:space="preserve"> </w:t>
      </w:r>
      <w:r w:rsidR="007D6727">
        <w:rPr>
          <w:rFonts w:ascii="Times New Roman" w:hAnsi="Times New Roman" w:cs="Times New Roman"/>
          <w:sz w:val="24"/>
          <w:szCs w:val="24"/>
        </w:rPr>
        <w:t>data per pixel</w:t>
      </w:r>
      <w:r w:rsidR="00A5478E">
        <w:rPr>
          <w:rFonts w:ascii="Times New Roman" w:hAnsi="Times New Roman" w:cs="Times New Roman"/>
          <w:sz w:val="24"/>
          <w:szCs w:val="24"/>
        </w:rPr>
        <w:t xml:space="preserve"> using images</w:t>
      </w:r>
      <w:r w:rsidR="00B44250">
        <w:rPr>
          <w:rFonts w:ascii="Times New Roman" w:hAnsi="Times New Roman" w:cs="Times New Roman"/>
          <w:sz w:val="24"/>
          <w:szCs w:val="24"/>
        </w:rPr>
        <w:t xml:space="preserve"> from January to December</w:t>
      </w:r>
      <w:r w:rsidR="007D6727">
        <w:rPr>
          <w:rFonts w:ascii="Times New Roman" w:hAnsi="Times New Roman" w:cs="Times New Roman"/>
          <w:sz w:val="24"/>
          <w:szCs w:val="24"/>
        </w:rPr>
        <w:t>. We filter images from</w:t>
      </w:r>
      <w:r w:rsidR="00B439FF">
        <w:rPr>
          <w:rFonts w:ascii="Times New Roman" w:hAnsi="Times New Roman" w:cs="Times New Roman"/>
          <w:sz w:val="24"/>
          <w:szCs w:val="24"/>
        </w:rPr>
        <w:t xml:space="preserve"> </w:t>
      </w:r>
      <w:r w:rsidR="007D6727">
        <w:rPr>
          <w:rFonts w:ascii="Times New Roman" w:hAnsi="Times New Roman" w:cs="Times New Roman"/>
          <w:sz w:val="24"/>
          <w:szCs w:val="24"/>
        </w:rPr>
        <w:t xml:space="preserve">2000 to 2002 year to compose the image of 2000 and from 2016 to 2020 to compose the image of 2020. </w:t>
      </w:r>
    </w:p>
    <w:p w14:paraId="12E1D94C" w14:textId="36838A1A" w:rsidR="005060CD" w:rsidRDefault="00C8170B" w:rsidP="009F268F">
      <w:pPr>
        <w:jc w:val="both"/>
        <w:rPr>
          <w:rFonts w:ascii="Times New Roman" w:hAnsi="Times New Roman" w:cs="Times New Roman"/>
          <w:sz w:val="24"/>
          <w:szCs w:val="24"/>
        </w:rPr>
      </w:pPr>
      <w:r>
        <w:rPr>
          <w:rFonts w:ascii="Times New Roman" w:hAnsi="Times New Roman" w:cs="Times New Roman"/>
          <w:sz w:val="24"/>
          <w:szCs w:val="24"/>
        </w:rPr>
        <w:t xml:space="preserve">Since we are working with a large region composed </w:t>
      </w:r>
      <w:r w:rsidR="00B406D0">
        <w:rPr>
          <w:rFonts w:ascii="Times New Roman" w:hAnsi="Times New Roman" w:cs="Times New Roman"/>
          <w:sz w:val="24"/>
          <w:szCs w:val="24"/>
        </w:rPr>
        <w:t>of</w:t>
      </w:r>
      <w:r>
        <w:rPr>
          <w:rFonts w:ascii="Times New Roman" w:hAnsi="Times New Roman" w:cs="Times New Roman"/>
          <w:sz w:val="24"/>
          <w:szCs w:val="24"/>
        </w:rPr>
        <w:t xml:space="preserve"> several </w:t>
      </w:r>
      <w:r w:rsidR="009F268F">
        <w:rPr>
          <w:rFonts w:ascii="Times New Roman" w:hAnsi="Times New Roman" w:cs="Times New Roman"/>
          <w:sz w:val="24"/>
          <w:szCs w:val="24"/>
        </w:rPr>
        <w:t>biomes,</w:t>
      </w:r>
      <w:r>
        <w:rPr>
          <w:rFonts w:ascii="Times New Roman" w:hAnsi="Times New Roman" w:cs="Times New Roman"/>
          <w:sz w:val="24"/>
          <w:szCs w:val="24"/>
        </w:rPr>
        <w:t xml:space="preserve"> we decide to </w:t>
      </w:r>
      <w:r w:rsidR="009F268F">
        <w:rPr>
          <w:rFonts w:ascii="Times New Roman" w:hAnsi="Times New Roman" w:cs="Times New Roman"/>
          <w:sz w:val="24"/>
          <w:szCs w:val="24"/>
        </w:rPr>
        <w:t>divide the</w:t>
      </w:r>
      <w:r>
        <w:rPr>
          <w:rFonts w:ascii="Times New Roman" w:hAnsi="Times New Roman" w:cs="Times New Roman"/>
          <w:sz w:val="24"/>
          <w:szCs w:val="24"/>
        </w:rPr>
        <w:t xml:space="preserve"> study region in</w:t>
      </w:r>
      <w:r w:rsidR="00B406D0">
        <w:rPr>
          <w:rFonts w:ascii="Times New Roman" w:hAnsi="Times New Roman" w:cs="Times New Roman"/>
          <w:sz w:val="24"/>
          <w:szCs w:val="24"/>
        </w:rPr>
        <w:t>to</w:t>
      </w:r>
      <w:r>
        <w:rPr>
          <w:rFonts w:ascii="Times New Roman" w:hAnsi="Times New Roman" w:cs="Times New Roman"/>
          <w:sz w:val="24"/>
          <w:szCs w:val="24"/>
        </w:rPr>
        <w:t xml:space="preserve"> five subregions delimited by polygons</w:t>
      </w:r>
      <w:r w:rsidR="00A11350">
        <w:rPr>
          <w:rFonts w:ascii="Times New Roman" w:hAnsi="Times New Roman" w:cs="Times New Roman"/>
          <w:sz w:val="24"/>
          <w:szCs w:val="24"/>
        </w:rPr>
        <w:t xml:space="preserve"> (Fig. S</w:t>
      </w:r>
      <w:r w:rsidR="00711143">
        <w:rPr>
          <w:rFonts w:ascii="Times New Roman" w:hAnsi="Times New Roman" w:cs="Times New Roman"/>
          <w:sz w:val="24"/>
          <w:szCs w:val="24"/>
        </w:rPr>
        <w:t>7</w:t>
      </w:r>
      <w:r w:rsidR="00A11350">
        <w:rPr>
          <w:rFonts w:ascii="Times New Roman" w:hAnsi="Times New Roman" w:cs="Times New Roman"/>
          <w:sz w:val="24"/>
          <w:szCs w:val="24"/>
        </w:rPr>
        <w:t>)</w:t>
      </w:r>
      <w:r w:rsidR="00DB4116">
        <w:rPr>
          <w:rFonts w:ascii="Times New Roman" w:hAnsi="Times New Roman" w:cs="Times New Roman"/>
          <w:sz w:val="24"/>
          <w:szCs w:val="24"/>
        </w:rPr>
        <w:t>.</w:t>
      </w:r>
      <w:r w:rsidR="009F268F">
        <w:rPr>
          <w:rFonts w:ascii="Times New Roman" w:hAnsi="Times New Roman" w:cs="Times New Roman"/>
          <w:sz w:val="24"/>
          <w:szCs w:val="24"/>
        </w:rPr>
        <w:t xml:space="preserve"> </w:t>
      </w:r>
      <w:r w:rsidR="009F268F" w:rsidRPr="009F268F">
        <w:rPr>
          <w:rFonts w:ascii="Times New Roman" w:hAnsi="Times New Roman" w:cs="Times New Roman"/>
          <w:sz w:val="24"/>
          <w:szCs w:val="24"/>
        </w:rPr>
        <w:t xml:space="preserve">The polygons </w:t>
      </w:r>
      <w:proofErr w:type="gramStart"/>
      <w:r w:rsidR="00B93D51" w:rsidRPr="009F268F">
        <w:rPr>
          <w:rFonts w:ascii="Times New Roman" w:hAnsi="Times New Roman" w:cs="Times New Roman"/>
          <w:sz w:val="24"/>
          <w:szCs w:val="24"/>
        </w:rPr>
        <w:t xml:space="preserve">were </w:t>
      </w:r>
      <w:r w:rsidR="00B93D51">
        <w:rPr>
          <w:rFonts w:ascii="Times New Roman" w:hAnsi="Times New Roman" w:cs="Times New Roman"/>
          <w:sz w:val="24"/>
          <w:szCs w:val="24"/>
        </w:rPr>
        <w:t>located in</w:t>
      </w:r>
      <w:proofErr w:type="gramEnd"/>
      <w:r w:rsidR="009F268F" w:rsidRPr="009F268F">
        <w:rPr>
          <w:rFonts w:ascii="Times New Roman" w:hAnsi="Times New Roman" w:cs="Times New Roman"/>
          <w:sz w:val="24"/>
          <w:szCs w:val="24"/>
        </w:rPr>
        <w:t xml:space="preserve"> a latitudinal gradient cover</w:t>
      </w:r>
      <w:r w:rsidR="0076621B">
        <w:rPr>
          <w:rFonts w:ascii="Times New Roman" w:hAnsi="Times New Roman" w:cs="Times New Roman"/>
          <w:sz w:val="24"/>
          <w:szCs w:val="24"/>
        </w:rPr>
        <w:t>ing</w:t>
      </w:r>
      <w:r w:rsidR="009F268F" w:rsidRPr="009F268F">
        <w:rPr>
          <w:rFonts w:ascii="Times New Roman" w:hAnsi="Times New Roman" w:cs="Times New Roman"/>
          <w:sz w:val="24"/>
          <w:szCs w:val="24"/>
        </w:rPr>
        <w:t xml:space="preserve"> relatively homogeneous areas within each polygon based on the authors' knowledge of the study area.</w:t>
      </w:r>
    </w:p>
    <w:p w14:paraId="12E1D94D" w14:textId="265AB961" w:rsidR="005060CD" w:rsidRPr="009F268F" w:rsidRDefault="00823153" w:rsidP="00331208">
      <w:pPr>
        <w:jc w:val="both"/>
        <w:rPr>
          <w:rFonts w:ascii="Times New Roman" w:hAnsi="Times New Roman" w:cs="Times New Roman"/>
        </w:rPr>
      </w:pPr>
      <w:r>
        <w:rPr>
          <w:rFonts w:ascii="Times New Roman" w:hAnsi="Times New Roman" w:cs="Times New Roman"/>
          <w:sz w:val="24"/>
          <w:szCs w:val="24"/>
        </w:rPr>
        <w:t xml:space="preserve">We used a supervised classification for each polygon for </w:t>
      </w:r>
      <w:r w:rsidR="009A0D23">
        <w:rPr>
          <w:rFonts w:ascii="Times New Roman" w:hAnsi="Times New Roman" w:cs="Times New Roman"/>
          <w:sz w:val="24"/>
          <w:szCs w:val="24"/>
        </w:rPr>
        <w:t xml:space="preserve">the </w:t>
      </w:r>
      <w:r>
        <w:rPr>
          <w:rFonts w:ascii="Times New Roman" w:hAnsi="Times New Roman" w:cs="Times New Roman"/>
          <w:sz w:val="24"/>
          <w:szCs w:val="24"/>
        </w:rPr>
        <w:t>year</w:t>
      </w:r>
      <w:r w:rsidR="009A0D23">
        <w:rPr>
          <w:rFonts w:ascii="Times New Roman" w:hAnsi="Times New Roman" w:cs="Times New Roman"/>
          <w:sz w:val="24"/>
          <w:szCs w:val="24"/>
        </w:rPr>
        <w:t>s</w:t>
      </w:r>
      <w:r>
        <w:rPr>
          <w:rFonts w:ascii="Times New Roman" w:hAnsi="Times New Roman" w:cs="Times New Roman"/>
          <w:sz w:val="24"/>
          <w:szCs w:val="24"/>
        </w:rPr>
        <w:t xml:space="preserve"> 2000 and 2020. We used a </w:t>
      </w:r>
      <w:r w:rsidR="007F55E6">
        <w:rPr>
          <w:rFonts w:ascii="Times New Roman" w:hAnsi="Times New Roman" w:cs="Times New Roman"/>
          <w:sz w:val="24"/>
          <w:szCs w:val="24"/>
        </w:rPr>
        <w:t xml:space="preserve">total of 350 points </w:t>
      </w:r>
      <w:r w:rsidR="00896C0B">
        <w:rPr>
          <w:rFonts w:ascii="Times New Roman" w:hAnsi="Times New Roman" w:cs="Times New Roman"/>
          <w:sz w:val="24"/>
          <w:szCs w:val="24"/>
        </w:rPr>
        <w:t xml:space="preserve">per polygon </w:t>
      </w:r>
      <w:r w:rsidR="007F55E6">
        <w:rPr>
          <w:rFonts w:ascii="Times New Roman" w:hAnsi="Times New Roman" w:cs="Times New Roman"/>
          <w:sz w:val="24"/>
          <w:szCs w:val="24"/>
        </w:rPr>
        <w:t>to perform the classification form which we used 85% for training and 15</w:t>
      </w:r>
      <w:r w:rsidR="004D5C28">
        <w:rPr>
          <w:rFonts w:ascii="Times New Roman" w:hAnsi="Times New Roman" w:cs="Times New Roman"/>
          <w:sz w:val="24"/>
          <w:szCs w:val="24"/>
        </w:rPr>
        <w:t>%</w:t>
      </w:r>
      <w:r w:rsidR="007F55E6">
        <w:rPr>
          <w:rFonts w:ascii="Times New Roman" w:hAnsi="Times New Roman" w:cs="Times New Roman"/>
          <w:sz w:val="24"/>
          <w:szCs w:val="24"/>
        </w:rPr>
        <w:t xml:space="preserve"> for test. We</w:t>
      </w:r>
      <w:r w:rsidR="0058428F">
        <w:rPr>
          <w:rFonts w:ascii="Times New Roman" w:hAnsi="Times New Roman" w:cs="Times New Roman"/>
          <w:sz w:val="24"/>
          <w:szCs w:val="24"/>
        </w:rPr>
        <w:t xml:space="preserve"> used a set of geographic products as ancillary data to confirm that both, </w:t>
      </w:r>
      <w:proofErr w:type="gramStart"/>
      <w:r w:rsidR="00AF4AB0">
        <w:rPr>
          <w:rFonts w:ascii="Times New Roman" w:hAnsi="Times New Roman" w:cs="Times New Roman"/>
          <w:sz w:val="24"/>
          <w:szCs w:val="24"/>
        </w:rPr>
        <w:t>training</w:t>
      </w:r>
      <w:proofErr w:type="gramEnd"/>
      <w:r w:rsidR="0058428F">
        <w:rPr>
          <w:rFonts w:ascii="Times New Roman" w:hAnsi="Times New Roman" w:cs="Times New Roman"/>
          <w:sz w:val="24"/>
          <w:szCs w:val="24"/>
        </w:rPr>
        <w:t xml:space="preserve"> and test points correspond to one of three classes: forest, no- forest</w:t>
      </w:r>
      <w:r w:rsidR="009A0D23">
        <w:rPr>
          <w:rFonts w:ascii="Times New Roman" w:hAnsi="Times New Roman" w:cs="Times New Roman"/>
          <w:sz w:val="24"/>
          <w:szCs w:val="24"/>
        </w:rPr>
        <w:t>,</w:t>
      </w:r>
      <w:r w:rsidR="0058428F">
        <w:rPr>
          <w:rFonts w:ascii="Times New Roman" w:hAnsi="Times New Roman" w:cs="Times New Roman"/>
          <w:sz w:val="24"/>
          <w:szCs w:val="24"/>
        </w:rPr>
        <w:t xml:space="preserve"> and water bodies. This ancillary data was the official land use land cover products of Mexican government edition three and six </w:t>
      </w:r>
      <w:r w:rsidR="00B73BB6">
        <w:rPr>
          <w:rFonts w:ascii="Times New Roman" w:hAnsi="Times New Roman" w:cs="Times New Roman"/>
          <w:sz w:val="24"/>
          <w:szCs w:val="24"/>
        </w:rPr>
        <w:fldChar w:fldCharType="begin" w:fldLock="1"/>
      </w:r>
      <w:r w:rsidR="005038D7">
        <w:rPr>
          <w:rFonts w:ascii="Times New Roman" w:hAnsi="Times New Roman" w:cs="Times New Roman"/>
          <w:sz w:val="24"/>
          <w:szCs w:val="24"/>
        </w:rPr>
        <w:instrText>ADDIN CSL_CITATION {"citationItems":[{"id":"ITEM-1","itemData":{"URL":"https://www.inegi.org.mx/app/biblioteca/ficha.html?upc=889463598459","accessed":{"date-parts":[["2017","9","1"]]},"author":[{"dropping-particle":"","family":"INEGI","given":"","non-dropping-particle":"","parse-names":false,"suffix":""}],"container-title":"Instituto Nacional de Estadística y Geografía","id":"ITEM-1","issued":{"date-parts":[["2017"]]},"title":"Conjunto de datos vectoriales de la carta de Uso del suelo y vegetación serie VI. Conjunto Nacional","type":"webpage"},"uris":["http://www.mendeley.com/documents/?uuid=ef77bdcb-76af-48ab-95b9-cde8625fa888"]},{"id":"ITEM-2","itemData":{"URL":"https://www.inegi.org.mx/app/biblioteca/ficha.html?upc=702825267865","accessed":{"date-parts":[["2017","9","1"]]},"author":[{"dropping-particle":"","family":"INEGI","given":"","non-dropping-particle":"","parse-names":false,"suffix":""}],"container-title":"Instituto Nacional de Estadística y Geografía","id":"ITEM-2","issued":{"date-parts":[["2003"]]},"title":"Conjunto de datos vectoriales de la carta de Uso del suelo y vegetación serie II. Continuo Nacional","type":"webpage"},"uris":["http://www.mendeley.com/documents/?uuid=d341b72b-d60b-46e0-a216-2939dd7ac791"]}],"mendeley":{"formattedCitation":"(INEGI, 2017, 2003)","plainTextFormattedCitation":"(INEGI, 2017, 2003)","previouslyFormattedCitation":"(INEGI, 2017, 2003)"},"properties":{"noteIndex":0},"schema":"https://github.com/citation-style-language/schema/raw/master/csl-citation.json"}</w:instrText>
      </w:r>
      <w:r w:rsidR="00B73BB6">
        <w:rPr>
          <w:rFonts w:ascii="Times New Roman" w:hAnsi="Times New Roman" w:cs="Times New Roman"/>
          <w:sz w:val="24"/>
          <w:szCs w:val="24"/>
        </w:rPr>
        <w:fldChar w:fldCharType="separate"/>
      </w:r>
      <w:r w:rsidR="005038D7" w:rsidRPr="005038D7">
        <w:rPr>
          <w:rFonts w:ascii="Times New Roman" w:hAnsi="Times New Roman" w:cs="Times New Roman"/>
          <w:noProof/>
          <w:sz w:val="24"/>
          <w:szCs w:val="24"/>
        </w:rPr>
        <w:t>(INEGI, 2017, 2003)</w:t>
      </w:r>
      <w:r w:rsidR="00B73BB6">
        <w:rPr>
          <w:rFonts w:ascii="Times New Roman" w:hAnsi="Times New Roman" w:cs="Times New Roman"/>
          <w:sz w:val="24"/>
          <w:szCs w:val="24"/>
        </w:rPr>
        <w:fldChar w:fldCharType="end"/>
      </w:r>
      <w:r w:rsidR="00AF4AB0">
        <w:rPr>
          <w:rFonts w:ascii="Times New Roman" w:hAnsi="Times New Roman" w:cs="Times New Roman"/>
          <w:sz w:val="24"/>
          <w:szCs w:val="24"/>
        </w:rPr>
        <w:t xml:space="preserve">, </w:t>
      </w:r>
      <w:r w:rsidR="00C05AF3">
        <w:rPr>
          <w:rFonts w:ascii="Times New Roman" w:hAnsi="Times New Roman" w:cs="Times New Roman"/>
          <w:sz w:val="24"/>
          <w:szCs w:val="24"/>
        </w:rPr>
        <w:t xml:space="preserve">the </w:t>
      </w:r>
      <w:proofErr w:type="spellStart"/>
      <w:r w:rsidR="00C05AF3">
        <w:rPr>
          <w:rFonts w:ascii="Times New Roman" w:hAnsi="Times New Roman" w:cs="Times New Roman"/>
          <w:sz w:val="24"/>
          <w:szCs w:val="24"/>
        </w:rPr>
        <w:t>Madmex</w:t>
      </w:r>
      <w:proofErr w:type="spellEnd"/>
      <w:r w:rsidR="00C05AF3">
        <w:rPr>
          <w:rFonts w:ascii="Times New Roman" w:hAnsi="Times New Roman" w:cs="Times New Roman"/>
          <w:sz w:val="24"/>
          <w:szCs w:val="24"/>
        </w:rPr>
        <w:t xml:space="preserve"> land cover product for </w:t>
      </w:r>
      <w:r w:rsidR="005111F2">
        <w:rPr>
          <w:rFonts w:ascii="Times New Roman" w:hAnsi="Times New Roman" w:cs="Times New Roman"/>
          <w:sz w:val="24"/>
          <w:szCs w:val="24"/>
        </w:rPr>
        <w:t xml:space="preserve">the </w:t>
      </w:r>
      <w:r w:rsidR="00C05AF3">
        <w:rPr>
          <w:rFonts w:ascii="Times New Roman" w:hAnsi="Times New Roman" w:cs="Times New Roman"/>
          <w:sz w:val="24"/>
          <w:szCs w:val="24"/>
        </w:rPr>
        <w:t>year 2018</w:t>
      </w:r>
      <w:r w:rsidR="00FB6EB2">
        <w:rPr>
          <w:rFonts w:ascii="Times New Roman" w:hAnsi="Times New Roman" w:cs="Times New Roman"/>
          <w:sz w:val="24"/>
          <w:szCs w:val="24"/>
        </w:rPr>
        <w:t xml:space="preserve">, and the Google </w:t>
      </w:r>
      <w:r w:rsidR="005111F2">
        <w:rPr>
          <w:rFonts w:ascii="Times New Roman" w:hAnsi="Times New Roman" w:cs="Times New Roman"/>
          <w:sz w:val="24"/>
          <w:szCs w:val="24"/>
        </w:rPr>
        <w:t>E</w:t>
      </w:r>
      <w:r w:rsidR="00FB6EB2">
        <w:rPr>
          <w:rFonts w:ascii="Times New Roman" w:hAnsi="Times New Roman" w:cs="Times New Roman"/>
          <w:sz w:val="24"/>
          <w:szCs w:val="24"/>
        </w:rPr>
        <w:t>arth desktop app.</w:t>
      </w:r>
      <w:r w:rsidR="00567454">
        <w:rPr>
          <w:rFonts w:ascii="Times New Roman" w:hAnsi="Times New Roman" w:cs="Times New Roman"/>
          <w:sz w:val="24"/>
          <w:szCs w:val="24"/>
        </w:rPr>
        <w:t xml:space="preserve"> </w:t>
      </w:r>
      <w:r w:rsidR="00B741E9">
        <w:rPr>
          <w:rFonts w:ascii="Times New Roman" w:hAnsi="Times New Roman" w:cs="Times New Roman"/>
          <w:sz w:val="24"/>
          <w:szCs w:val="24"/>
        </w:rPr>
        <w:t xml:space="preserve">We do not distinguish between </w:t>
      </w:r>
      <w:r w:rsidR="006A5DCA">
        <w:rPr>
          <w:rFonts w:ascii="Times New Roman" w:hAnsi="Times New Roman" w:cs="Times New Roman"/>
          <w:sz w:val="24"/>
          <w:szCs w:val="24"/>
        </w:rPr>
        <w:t>different types of forest (</w:t>
      </w:r>
      <w:proofErr w:type="gramStart"/>
      <w:r w:rsidR="006A5DCA">
        <w:rPr>
          <w:rFonts w:ascii="Times New Roman" w:hAnsi="Times New Roman" w:cs="Times New Roman"/>
          <w:sz w:val="24"/>
          <w:szCs w:val="24"/>
        </w:rPr>
        <w:t>e.g.</w:t>
      </w:r>
      <w:proofErr w:type="gramEnd"/>
      <w:r w:rsidR="006A5DCA">
        <w:rPr>
          <w:rFonts w:ascii="Times New Roman" w:hAnsi="Times New Roman" w:cs="Times New Roman"/>
          <w:sz w:val="24"/>
          <w:szCs w:val="24"/>
        </w:rPr>
        <w:t xml:space="preserve"> tro</w:t>
      </w:r>
      <w:r w:rsidR="002E5FF8">
        <w:rPr>
          <w:rFonts w:ascii="Times New Roman" w:hAnsi="Times New Roman" w:cs="Times New Roman"/>
          <w:sz w:val="24"/>
          <w:szCs w:val="24"/>
        </w:rPr>
        <w:t>pical</w:t>
      </w:r>
      <w:r w:rsidR="00CD6C63">
        <w:rPr>
          <w:rFonts w:ascii="Times New Roman" w:hAnsi="Times New Roman" w:cs="Times New Roman"/>
          <w:sz w:val="24"/>
          <w:szCs w:val="24"/>
        </w:rPr>
        <w:t xml:space="preserve"> </w:t>
      </w:r>
      <w:r w:rsidR="00784508">
        <w:rPr>
          <w:rFonts w:ascii="Times New Roman" w:hAnsi="Times New Roman" w:cs="Times New Roman"/>
          <w:sz w:val="24"/>
          <w:szCs w:val="24"/>
        </w:rPr>
        <w:t>rainforest, tropical dry-forest</w:t>
      </w:r>
      <w:r w:rsidR="004335FB">
        <w:rPr>
          <w:rFonts w:ascii="Times New Roman" w:hAnsi="Times New Roman" w:cs="Times New Roman"/>
          <w:sz w:val="24"/>
          <w:szCs w:val="24"/>
        </w:rPr>
        <w:t xml:space="preserve">, </w:t>
      </w:r>
      <w:r w:rsidR="00784508">
        <w:rPr>
          <w:rFonts w:ascii="Times New Roman" w:hAnsi="Times New Roman" w:cs="Times New Roman"/>
          <w:sz w:val="24"/>
          <w:szCs w:val="24"/>
        </w:rPr>
        <w:t>temperate</w:t>
      </w:r>
      <w:r w:rsidR="004335FB">
        <w:rPr>
          <w:rFonts w:ascii="Times New Roman" w:hAnsi="Times New Roman" w:cs="Times New Roman"/>
          <w:sz w:val="24"/>
          <w:szCs w:val="24"/>
        </w:rPr>
        <w:t xml:space="preserve"> forest</w:t>
      </w:r>
      <w:r w:rsidR="00011C14">
        <w:rPr>
          <w:rFonts w:ascii="Times New Roman" w:hAnsi="Times New Roman" w:cs="Times New Roman"/>
          <w:sz w:val="24"/>
          <w:szCs w:val="24"/>
        </w:rPr>
        <w:t>,</w:t>
      </w:r>
      <w:r w:rsidR="004335FB">
        <w:rPr>
          <w:rFonts w:ascii="Times New Roman" w:hAnsi="Times New Roman" w:cs="Times New Roman"/>
          <w:sz w:val="24"/>
          <w:szCs w:val="24"/>
        </w:rPr>
        <w:t xml:space="preserve"> etc.)</w:t>
      </w:r>
      <w:r w:rsidR="00E441F8">
        <w:rPr>
          <w:rFonts w:ascii="Times New Roman" w:hAnsi="Times New Roman" w:cs="Times New Roman"/>
          <w:sz w:val="24"/>
          <w:szCs w:val="24"/>
        </w:rPr>
        <w:t xml:space="preserve"> nor </w:t>
      </w:r>
      <w:r w:rsidR="003B5C13" w:rsidRPr="003B5C13">
        <w:rPr>
          <w:rFonts w:ascii="Times New Roman" w:hAnsi="Times New Roman" w:cs="Times New Roman"/>
          <w:sz w:val="24"/>
          <w:szCs w:val="24"/>
        </w:rPr>
        <w:t>succession</w:t>
      </w:r>
      <w:r w:rsidR="003B5C13">
        <w:rPr>
          <w:rFonts w:ascii="Times New Roman" w:hAnsi="Times New Roman" w:cs="Times New Roman"/>
          <w:sz w:val="24"/>
          <w:szCs w:val="24"/>
        </w:rPr>
        <w:t xml:space="preserve"> stage (</w:t>
      </w:r>
      <w:r w:rsidR="001E6599">
        <w:rPr>
          <w:rFonts w:ascii="Times New Roman" w:hAnsi="Times New Roman" w:cs="Times New Roman"/>
          <w:sz w:val="24"/>
          <w:szCs w:val="24"/>
        </w:rPr>
        <w:t>old forest</w:t>
      </w:r>
      <w:r w:rsidR="00CD6C63">
        <w:rPr>
          <w:rFonts w:ascii="Times New Roman" w:hAnsi="Times New Roman" w:cs="Times New Roman"/>
          <w:sz w:val="24"/>
          <w:szCs w:val="24"/>
        </w:rPr>
        <w:t xml:space="preserve"> or</w:t>
      </w:r>
      <w:r w:rsidR="001E6599">
        <w:rPr>
          <w:rFonts w:ascii="Times New Roman" w:hAnsi="Times New Roman" w:cs="Times New Roman"/>
          <w:sz w:val="24"/>
          <w:szCs w:val="24"/>
        </w:rPr>
        <w:t xml:space="preserve"> secondary forest)</w:t>
      </w:r>
      <w:r w:rsidR="00CD18B7">
        <w:rPr>
          <w:rFonts w:ascii="Times New Roman" w:hAnsi="Times New Roman" w:cs="Times New Roman"/>
          <w:sz w:val="24"/>
          <w:szCs w:val="24"/>
        </w:rPr>
        <w:t xml:space="preserve"> since our main objective was</w:t>
      </w:r>
      <w:r w:rsidR="00285B31">
        <w:rPr>
          <w:rFonts w:ascii="Times New Roman" w:hAnsi="Times New Roman" w:cs="Times New Roman"/>
          <w:sz w:val="24"/>
          <w:szCs w:val="24"/>
        </w:rPr>
        <w:t xml:space="preserve"> to</w:t>
      </w:r>
      <w:r w:rsidR="00CD18B7">
        <w:rPr>
          <w:rFonts w:ascii="Times New Roman" w:hAnsi="Times New Roman" w:cs="Times New Roman"/>
          <w:sz w:val="24"/>
          <w:szCs w:val="24"/>
        </w:rPr>
        <w:t xml:space="preserve"> assess </w:t>
      </w:r>
      <w:r w:rsidR="0091211C">
        <w:rPr>
          <w:rFonts w:ascii="Times New Roman" w:hAnsi="Times New Roman" w:cs="Times New Roman"/>
          <w:sz w:val="24"/>
          <w:szCs w:val="24"/>
        </w:rPr>
        <w:t>changes in forest cover in general</w:t>
      </w:r>
      <w:r w:rsidR="00E441F8">
        <w:rPr>
          <w:rFonts w:ascii="Times New Roman" w:hAnsi="Times New Roman" w:cs="Times New Roman"/>
          <w:sz w:val="24"/>
          <w:szCs w:val="24"/>
        </w:rPr>
        <w:t>.</w:t>
      </w:r>
      <w:r w:rsidR="00784508">
        <w:rPr>
          <w:rFonts w:ascii="Times New Roman" w:hAnsi="Times New Roman" w:cs="Times New Roman"/>
          <w:sz w:val="24"/>
          <w:szCs w:val="24"/>
        </w:rPr>
        <w:t xml:space="preserve"> </w:t>
      </w:r>
      <w:r w:rsidR="007820D1">
        <w:rPr>
          <w:rFonts w:ascii="Times New Roman" w:hAnsi="Times New Roman" w:cs="Times New Roman"/>
          <w:sz w:val="24"/>
          <w:szCs w:val="24"/>
        </w:rPr>
        <w:t xml:space="preserve"> We used the Random </w:t>
      </w:r>
      <w:r w:rsidR="005111F2">
        <w:rPr>
          <w:rFonts w:ascii="Times New Roman" w:hAnsi="Times New Roman" w:cs="Times New Roman"/>
          <w:sz w:val="24"/>
          <w:szCs w:val="24"/>
        </w:rPr>
        <w:t>F</w:t>
      </w:r>
      <w:r w:rsidR="007820D1">
        <w:rPr>
          <w:rFonts w:ascii="Times New Roman" w:hAnsi="Times New Roman" w:cs="Times New Roman"/>
          <w:sz w:val="24"/>
          <w:szCs w:val="24"/>
        </w:rPr>
        <w:t xml:space="preserve">orest classification algorithm because, in a prospective </w:t>
      </w:r>
      <w:r w:rsidR="00331208">
        <w:rPr>
          <w:rFonts w:ascii="Times New Roman" w:hAnsi="Times New Roman" w:cs="Times New Roman"/>
          <w:sz w:val="24"/>
          <w:szCs w:val="24"/>
        </w:rPr>
        <w:t>exercise,</w:t>
      </w:r>
      <w:r w:rsidR="007820D1">
        <w:rPr>
          <w:rFonts w:ascii="Times New Roman" w:hAnsi="Times New Roman" w:cs="Times New Roman"/>
          <w:sz w:val="24"/>
          <w:szCs w:val="24"/>
        </w:rPr>
        <w:t xml:space="preserve"> this yields the best performance</w:t>
      </w:r>
      <w:r w:rsidR="0041267E">
        <w:rPr>
          <w:rFonts w:ascii="Times New Roman" w:hAnsi="Times New Roman" w:cs="Times New Roman"/>
          <w:sz w:val="24"/>
          <w:szCs w:val="24"/>
        </w:rPr>
        <w:t xml:space="preserve"> in comparison </w:t>
      </w:r>
      <w:r w:rsidR="00331208">
        <w:rPr>
          <w:rFonts w:ascii="Times New Roman" w:hAnsi="Times New Roman" w:cs="Times New Roman"/>
          <w:sz w:val="24"/>
          <w:szCs w:val="24"/>
        </w:rPr>
        <w:t>to</w:t>
      </w:r>
      <w:r w:rsidR="0041267E">
        <w:rPr>
          <w:rFonts w:ascii="Times New Roman" w:hAnsi="Times New Roman" w:cs="Times New Roman"/>
          <w:sz w:val="24"/>
          <w:szCs w:val="24"/>
        </w:rPr>
        <w:t xml:space="preserve"> Classification and Regression Trees (CART), Support Vector Machines (SVM)</w:t>
      </w:r>
      <w:r w:rsidR="005111F2">
        <w:rPr>
          <w:rFonts w:ascii="Times New Roman" w:hAnsi="Times New Roman" w:cs="Times New Roman"/>
          <w:sz w:val="24"/>
          <w:szCs w:val="24"/>
        </w:rPr>
        <w:t>,</w:t>
      </w:r>
      <w:r w:rsidR="0041267E">
        <w:rPr>
          <w:rFonts w:ascii="Times New Roman" w:hAnsi="Times New Roman" w:cs="Times New Roman"/>
          <w:sz w:val="24"/>
          <w:szCs w:val="24"/>
        </w:rPr>
        <w:t xml:space="preserve"> and the Hansen cover product</w:t>
      </w:r>
      <w:r w:rsidR="00DC29F5">
        <w:rPr>
          <w:rFonts w:ascii="Times New Roman" w:hAnsi="Times New Roman" w:cs="Times New Roman"/>
          <w:sz w:val="24"/>
          <w:szCs w:val="24"/>
        </w:rPr>
        <w:t xml:space="preserve"> </w:t>
      </w:r>
      <w:r w:rsidR="00B73BB6">
        <w:rPr>
          <w:rFonts w:ascii="Times New Roman" w:hAnsi="Times New Roman" w:cs="Times New Roman"/>
          <w:sz w:val="24"/>
          <w:szCs w:val="24"/>
        </w:rPr>
        <w:fldChar w:fldCharType="begin" w:fldLock="1"/>
      </w:r>
      <w:r w:rsidR="005038D7">
        <w:rPr>
          <w:rFonts w:ascii="Times New Roman" w:hAnsi="Times New Roman" w:cs="Times New Roman"/>
          <w:sz w:val="24"/>
          <w:szCs w:val="24"/>
        </w:rPr>
        <w:instrText>ADDIN CSL_CITATION {"citationItems":[{"id":"ITEM-1","itemData":{"DOI":"10.1126/science.1244693","ISBN":"1095-9203 (Electronic)\\n0036-8075 (Linking)","ISSN":"10959203","PMID":"24233722","abstract":"Quantification of global forest change has been lacking despite the recognized importance of forest ecosystem services. In this study, Earth observation satellite data were used to map global forest loss (2.3 million square kilometers) and gain (0.8 million square kilometers) from 2000 to 2012 at a spatial resolution of 30 meters. The tropics were the only climate domain to exhibit a trend, with forest loss increasing by 2101 square kilometers per year. Brazil's well-documented reduction in deforestation was offset by increasing forest loss in Indonesia, Malaysia, Paraguay, Bolivia, Zambia, Angola, and elsewhere. Intensive forestry practiced within subtropical forests resulted in the highest rates of forest change globally. Boreal forest loss due largely to fire and forestry was second to that in the tropics in absolute and proportional terms. These results depict a globally consistent and locally relevant record of forest change.","author":[{"dropping-particle":"","family":"Hansen","given":"M. C.","non-dropping-particle":"","parse-names":false,"suffix":""},{"dropping-particle":"V.","family":"Potapov","given":"P.","non-dropping-particle":"","parse-names":false,"suffix":""},{"dropping-particle":"","family":"Moore","given":"R.","non-dropping-particle":"","parse-names":false,"suffix":""},{"dropping-particle":"","family":"Hancher","given":"M.","non-dropping-particle":"","parse-names":false,"suffix":""},{"dropping-particle":"","family":"Turubanova","given":"S. A.","non-dropping-particle":"","parse-names":false,"suffix":""},{"dropping-particle":"","family":"Tyukavina","given":"A.","non-dropping-particle":"","parse-names":false,"suffix":""},{"dropping-particle":"","family":"Thau","given":"D.","non-dropping-particle":"","parse-names":false,"suffix":""},{"dropping-particle":"V.","family":"Stehman","given":"S.","non-dropping-particle":"","parse-names":false,"suffix":""},{"dropping-particle":"","family":"Goetz","given":"S. J.","non-dropping-particle":"","parse-names":false,"suffix":""},{"dropping-particle":"","family":"Loveland","given":"T. R.","non-dropping-particle":"","parse-names":false,"suffix":""},{"dropping-particle":"","family":"Kommareddy","given":"A.","non-dropping-particle":"","parse-names":false,"suffix":""},{"dropping-particle":"","family":"Egorov","given":"A.","non-dropping-particle":"","parse-names":false,"suffix":""},{"dropping-particle":"","family":"Chini","given":"L.","non-dropping-particle":"","parse-names":false,"suffix":""},{"dropping-particle":"","family":"Justice","given":"C. O.","non-dropping-particle":"","parse-names":false,"suffix":""},{"dropping-particle":"","family":"Townshend","given":"J. R.G.","non-dropping-particle":"","parse-names":false,"suffix":""}],"container-title":"Science","id":"ITEM-1","issue":"6160","issued":{"date-parts":[["2013"]]},"page":"850-853","title":"High-resolution global maps of 21st-century forest cover change","type":"article-journal","volume":"342"},"uris":["http://www.mendeley.com/documents/?uuid=11ab0322-ca54-4d2c-b604-e2d89b01ea53"]}],"mendeley":{"formattedCitation":"(Hansen et al., 2013)","plainTextFormattedCitation":"(Hansen et al., 2013)","previouslyFormattedCitation":"(Hansen et al., 2013)"},"properties":{"noteIndex":0},"schema":"https://github.com/citation-style-language/schema/raw/master/csl-citation.json"}</w:instrText>
      </w:r>
      <w:r w:rsidR="00B73BB6">
        <w:rPr>
          <w:rFonts w:ascii="Times New Roman" w:hAnsi="Times New Roman" w:cs="Times New Roman"/>
          <w:sz w:val="24"/>
          <w:szCs w:val="24"/>
        </w:rPr>
        <w:fldChar w:fldCharType="separate"/>
      </w:r>
      <w:r w:rsidR="00DC29F5" w:rsidRPr="00DC29F5">
        <w:rPr>
          <w:rFonts w:ascii="Times New Roman" w:hAnsi="Times New Roman" w:cs="Times New Roman"/>
          <w:noProof/>
          <w:sz w:val="24"/>
          <w:szCs w:val="24"/>
        </w:rPr>
        <w:t>(Hansen et al., 2013)</w:t>
      </w:r>
      <w:r w:rsidR="00B73BB6">
        <w:rPr>
          <w:rFonts w:ascii="Times New Roman" w:hAnsi="Times New Roman" w:cs="Times New Roman"/>
          <w:sz w:val="24"/>
          <w:szCs w:val="24"/>
        </w:rPr>
        <w:fldChar w:fldCharType="end"/>
      </w:r>
      <w:r w:rsidR="00DC29F5">
        <w:rPr>
          <w:rFonts w:ascii="Times New Roman" w:hAnsi="Times New Roman" w:cs="Times New Roman"/>
          <w:sz w:val="24"/>
          <w:szCs w:val="24"/>
        </w:rPr>
        <w:t>.</w:t>
      </w:r>
    </w:p>
    <w:p w14:paraId="12E1D94E" w14:textId="77777777" w:rsidR="005060CD" w:rsidRPr="00612E8F" w:rsidRDefault="005060CD" w:rsidP="005060CD">
      <w:pPr>
        <w:jc w:val="center"/>
        <w:rPr>
          <w:rFonts w:ascii="Times New Roman" w:hAnsi="Times New Roman" w:cs="Times New Roman"/>
        </w:rPr>
      </w:pPr>
      <w:r>
        <w:rPr>
          <w:noProof/>
          <w:lang w:val="es-ES" w:eastAsia="es-ES"/>
        </w:rPr>
        <w:lastRenderedPageBreak/>
        <w:drawing>
          <wp:inline distT="0" distB="0" distL="0" distR="0" wp14:anchorId="12E1DC2B" wp14:editId="617F2321">
            <wp:extent cx="5557365" cy="3930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1487" cy="3947711"/>
                    </a:xfrm>
                    <a:prstGeom prst="rect">
                      <a:avLst/>
                    </a:prstGeom>
                    <a:noFill/>
                    <a:ln>
                      <a:noFill/>
                    </a:ln>
                  </pic:spPr>
                </pic:pic>
              </a:graphicData>
            </a:graphic>
          </wp:inline>
        </w:drawing>
      </w:r>
    </w:p>
    <w:p w14:paraId="12E1D94F" w14:textId="2E682CF6" w:rsidR="005D4D1D" w:rsidRPr="00612E8F" w:rsidRDefault="00A11350">
      <w:pPr>
        <w:rPr>
          <w:rFonts w:ascii="Times New Roman" w:hAnsi="Times New Roman" w:cs="Times New Roman"/>
        </w:rPr>
      </w:pPr>
      <w:r>
        <w:rPr>
          <w:rFonts w:ascii="Times New Roman" w:hAnsi="Times New Roman" w:cs="Times New Roman"/>
        </w:rPr>
        <w:t>Figure S</w:t>
      </w:r>
      <w:r w:rsidR="00FA1D88">
        <w:rPr>
          <w:rFonts w:ascii="Times New Roman" w:hAnsi="Times New Roman" w:cs="Times New Roman"/>
        </w:rPr>
        <w:t>7</w:t>
      </w:r>
      <w:r>
        <w:rPr>
          <w:rFonts w:ascii="Times New Roman" w:hAnsi="Times New Roman" w:cs="Times New Roman"/>
        </w:rPr>
        <w:t>: The five polygons in which the study region was divided.</w:t>
      </w:r>
    </w:p>
    <w:p w14:paraId="0FCDCED2" w14:textId="26E916F7" w:rsidR="0004272C" w:rsidRPr="001B54B4" w:rsidRDefault="00331208" w:rsidP="00F26D9B">
      <w:pPr>
        <w:spacing w:line="240" w:lineRule="auto"/>
        <w:rPr>
          <w:rFonts w:ascii="Times New Roman" w:hAnsi="Times New Roman" w:cs="Times New Roman"/>
          <w:sz w:val="24"/>
          <w:szCs w:val="24"/>
        </w:rPr>
      </w:pPr>
      <w:r w:rsidRPr="00212049">
        <w:rPr>
          <w:rFonts w:ascii="Times New Roman" w:hAnsi="Times New Roman" w:cs="Times New Roman"/>
          <w:sz w:val="24"/>
          <w:szCs w:val="24"/>
        </w:rPr>
        <w:t>We calculated the classification accuracy for each polygon for years 2000 and 2020 (Table S</w:t>
      </w:r>
      <w:r w:rsidR="00E3224D">
        <w:rPr>
          <w:rFonts w:ascii="Times New Roman" w:hAnsi="Times New Roman" w:cs="Times New Roman"/>
          <w:sz w:val="24"/>
          <w:szCs w:val="24"/>
        </w:rPr>
        <w:t>5</w:t>
      </w:r>
      <w:r w:rsidRPr="00212049">
        <w:rPr>
          <w:rFonts w:ascii="Times New Roman" w:hAnsi="Times New Roman" w:cs="Times New Roman"/>
          <w:sz w:val="24"/>
          <w:szCs w:val="24"/>
        </w:rPr>
        <w:t>)</w:t>
      </w:r>
      <w:r w:rsidR="00212049">
        <w:rPr>
          <w:rFonts w:ascii="Times New Roman" w:hAnsi="Times New Roman" w:cs="Times New Roman"/>
          <w:sz w:val="24"/>
          <w:szCs w:val="24"/>
        </w:rPr>
        <w:t xml:space="preserve"> using </w:t>
      </w:r>
      <w:r w:rsidR="005111F2">
        <w:rPr>
          <w:rFonts w:ascii="Times New Roman" w:hAnsi="Times New Roman" w:cs="Times New Roman"/>
          <w:sz w:val="24"/>
          <w:szCs w:val="24"/>
        </w:rPr>
        <w:t xml:space="preserve">the </w:t>
      </w:r>
      <w:r w:rsidR="00212049">
        <w:rPr>
          <w:rFonts w:ascii="Times New Roman" w:hAnsi="Times New Roman" w:cs="Times New Roman"/>
          <w:sz w:val="24"/>
          <w:szCs w:val="24"/>
        </w:rPr>
        <w:t>caret package in R studio.</w:t>
      </w:r>
      <w:r w:rsidR="00C603A6">
        <w:rPr>
          <w:rFonts w:ascii="Times New Roman" w:hAnsi="Times New Roman" w:cs="Times New Roman"/>
          <w:sz w:val="24"/>
          <w:szCs w:val="24"/>
        </w:rPr>
        <w:t xml:space="preserve"> </w:t>
      </w:r>
      <w:r w:rsidR="00822ACE">
        <w:rPr>
          <w:rFonts w:ascii="Times New Roman" w:hAnsi="Times New Roman" w:cs="Times New Roman"/>
          <w:sz w:val="24"/>
          <w:szCs w:val="24"/>
        </w:rPr>
        <w:t>We also assessed the classification accuracy inside the eighteen studied biosphere reserves</w:t>
      </w:r>
      <w:r w:rsidR="00880A8A">
        <w:rPr>
          <w:rFonts w:ascii="Times New Roman" w:hAnsi="Times New Roman" w:cs="Times New Roman"/>
          <w:sz w:val="24"/>
          <w:szCs w:val="24"/>
        </w:rPr>
        <w:t xml:space="preserve"> (Table S</w:t>
      </w:r>
      <w:r w:rsidR="00E3224D">
        <w:rPr>
          <w:rFonts w:ascii="Times New Roman" w:hAnsi="Times New Roman" w:cs="Times New Roman"/>
          <w:sz w:val="24"/>
          <w:szCs w:val="24"/>
        </w:rPr>
        <w:t>6</w:t>
      </w:r>
      <w:r w:rsidR="00880A8A">
        <w:rPr>
          <w:rFonts w:ascii="Times New Roman" w:hAnsi="Times New Roman" w:cs="Times New Roman"/>
          <w:sz w:val="24"/>
          <w:szCs w:val="24"/>
        </w:rPr>
        <w:t>)</w:t>
      </w:r>
      <w:r w:rsidR="00822ACE">
        <w:rPr>
          <w:rFonts w:ascii="Times New Roman" w:hAnsi="Times New Roman" w:cs="Times New Roman"/>
          <w:sz w:val="24"/>
          <w:szCs w:val="24"/>
        </w:rPr>
        <w:t xml:space="preserve">. To do that, we used </w:t>
      </w:r>
      <w:r w:rsidR="00C603A6">
        <w:rPr>
          <w:rFonts w:ascii="Times New Roman" w:hAnsi="Times New Roman" w:cs="Times New Roman"/>
          <w:sz w:val="24"/>
          <w:szCs w:val="24"/>
        </w:rPr>
        <w:t xml:space="preserve">200 random points seeded inside </w:t>
      </w:r>
      <w:r w:rsidR="004D2FFC">
        <w:rPr>
          <w:rFonts w:ascii="Times New Roman" w:hAnsi="Times New Roman" w:cs="Times New Roman"/>
          <w:sz w:val="24"/>
          <w:szCs w:val="24"/>
        </w:rPr>
        <w:t xml:space="preserve">each </w:t>
      </w:r>
      <w:r w:rsidR="00C603A6">
        <w:rPr>
          <w:rFonts w:ascii="Times New Roman" w:hAnsi="Times New Roman" w:cs="Times New Roman"/>
          <w:sz w:val="24"/>
          <w:szCs w:val="24"/>
        </w:rPr>
        <w:t>reserve</w:t>
      </w:r>
      <w:r w:rsidR="004D2FFC">
        <w:rPr>
          <w:rFonts w:ascii="Times New Roman" w:hAnsi="Times New Roman" w:cs="Times New Roman"/>
          <w:sz w:val="24"/>
          <w:szCs w:val="24"/>
        </w:rPr>
        <w:t xml:space="preserve">. We </w:t>
      </w:r>
      <w:r w:rsidR="00613420">
        <w:rPr>
          <w:rFonts w:ascii="Times New Roman" w:hAnsi="Times New Roman" w:cs="Times New Roman"/>
          <w:sz w:val="24"/>
          <w:szCs w:val="24"/>
        </w:rPr>
        <w:t xml:space="preserve">used ancillary data to verify the actual land cover in the location of each point for </w:t>
      </w:r>
      <w:r w:rsidR="005111F2">
        <w:rPr>
          <w:rFonts w:ascii="Times New Roman" w:hAnsi="Times New Roman" w:cs="Times New Roman"/>
          <w:sz w:val="24"/>
          <w:szCs w:val="24"/>
        </w:rPr>
        <w:t xml:space="preserve">the </w:t>
      </w:r>
      <w:r w:rsidR="00613420">
        <w:rPr>
          <w:rFonts w:ascii="Times New Roman" w:hAnsi="Times New Roman" w:cs="Times New Roman"/>
          <w:sz w:val="24"/>
          <w:szCs w:val="24"/>
        </w:rPr>
        <w:t>year 2020.</w:t>
      </w:r>
      <w:r w:rsidR="00880A8A">
        <w:rPr>
          <w:rFonts w:ascii="Times New Roman" w:hAnsi="Times New Roman" w:cs="Times New Roman"/>
          <w:sz w:val="24"/>
          <w:szCs w:val="24"/>
        </w:rPr>
        <w:t xml:space="preserve"> </w:t>
      </w:r>
    </w:p>
    <w:p w14:paraId="12E1D951" w14:textId="71834EA5" w:rsidR="001142E7" w:rsidRPr="001E0FF1" w:rsidRDefault="00C7323C">
      <w:pPr>
        <w:rPr>
          <w:rFonts w:ascii="Times New Roman" w:hAnsi="Times New Roman" w:cs="Times New Roman"/>
        </w:rPr>
      </w:pPr>
      <w:r w:rsidRPr="001E0FF1">
        <w:rPr>
          <w:rFonts w:ascii="Times New Roman" w:hAnsi="Times New Roman" w:cs="Times New Roman"/>
        </w:rPr>
        <w:t>Table S</w:t>
      </w:r>
      <w:r w:rsidR="00362540">
        <w:rPr>
          <w:rFonts w:ascii="Times New Roman" w:hAnsi="Times New Roman" w:cs="Times New Roman"/>
        </w:rPr>
        <w:t>5</w:t>
      </w:r>
      <w:r w:rsidRPr="001E0FF1">
        <w:rPr>
          <w:rFonts w:ascii="Times New Roman" w:hAnsi="Times New Roman" w:cs="Times New Roman"/>
        </w:rPr>
        <w:t xml:space="preserve">: Classification accuracy indicators for training and test data for the five polygons in which the study region was divided for </w:t>
      </w:r>
      <w:r w:rsidR="005111F2">
        <w:rPr>
          <w:rFonts w:ascii="Times New Roman" w:hAnsi="Times New Roman" w:cs="Times New Roman"/>
        </w:rPr>
        <w:t xml:space="preserve">the </w:t>
      </w:r>
      <w:r w:rsidRPr="001E0FF1">
        <w:rPr>
          <w:rFonts w:ascii="Times New Roman" w:hAnsi="Times New Roman" w:cs="Times New Roman"/>
        </w:rPr>
        <w:t>year</w:t>
      </w:r>
      <w:r w:rsidR="005111F2">
        <w:rPr>
          <w:rFonts w:ascii="Times New Roman" w:hAnsi="Times New Roman" w:cs="Times New Roman"/>
        </w:rPr>
        <w:t>s</w:t>
      </w:r>
      <w:r w:rsidRPr="001E0FF1">
        <w:rPr>
          <w:rFonts w:ascii="Times New Roman" w:hAnsi="Times New Roman" w:cs="Times New Roman"/>
        </w:rPr>
        <w:t xml:space="preserve"> 2000 and 2020.</w:t>
      </w:r>
    </w:p>
    <w:tbl>
      <w:tblPr>
        <w:tblW w:w="8611" w:type="dxa"/>
        <w:jc w:val="center"/>
        <w:tblCellMar>
          <w:left w:w="70" w:type="dxa"/>
          <w:right w:w="70" w:type="dxa"/>
        </w:tblCellMar>
        <w:tblLook w:val="04A0" w:firstRow="1" w:lastRow="0" w:firstColumn="1" w:lastColumn="0" w:noHBand="0" w:noVBand="1"/>
      </w:tblPr>
      <w:tblGrid>
        <w:gridCol w:w="1082"/>
        <w:gridCol w:w="1457"/>
        <w:gridCol w:w="1700"/>
        <w:gridCol w:w="1433"/>
        <w:gridCol w:w="1579"/>
        <w:gridCol w:w="1360"/>
      </w:tblGrid>
      <w:tr w:rsidR="001142E7" w:rsidRPr="00CE6B3E" w14:paraId="12E1D958" w14:textId="77777777" w:rsidTr="00C50F17">
        <w:trPr>
          <w:trHeight w:val="20"/>
          <w:jc w:val="center"/>
        </w:trPr>
        <w:tc>
          <w:tcPr>
            <w:tcW w:w="1082" w:type="dxa"/>
            <w:tcBorders>
              <w:top w:val="single" w:sz="4" w:space="0" w:color="auto"/>
              <w:left w:val="nil"/>
              <w:bottom w:val="single" w:sz="4" w:space="0" w:color="auto"/>
              <w:right w:val="nil"/>
            </w:tcBorders>
            <w:shd w:val="clear" w:color="auto" w:fill="auto"/>
            <w:noWrap/>
            <w:vAlign w:val="bottom"/>
            <w:hideMark/>
          </w:tcPr>
          <w:p w14:paraId="12E1D952" w14:textId="77777777" w:rsidR="001142E7" w:rsidRPr="00CE6B3E" w:rsidRDefault="001142E7" w:rsidP="001142E7">
            <w:pPr>
              <w:spacing w:after="0" w:line="240" w:lineRule="auto"/>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Polygon</w:t>
            </w:r>
          </w:p>
        </w:tc>
        <w:tc>
          <w:tcPr>
            <w:tcW w:w="1457" w:type="dxa"/>
            <w:tcBorders>
              <w:top w:val="single" w:sz="4" w:space="0" w:color="auto"/>
              <w:left w:val="nil"/>
              <w:bottom w:val="single" w:sz="4" w:space="0" w:color="auto"/>
              <w:right w:val="nil"/>
            </w:tcBorders>
            <w:shd w:val="clear" w:color="auto" w:fill="auto"/>
            <w:noWrap/>
            <w:vAlign w:val="bottom"/>
            <w:hideMark/>
          </w:tcPr>
          <w:p w14:paraId="12E1D953"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Year</w:t>
            </w:r>
          </w:p>
        </w:tc>
        <w:tc>
          <w:tcPr>
            <w:tcW w:w="1700" w:type="dxa"/>
            <w:tcBorders>
              <w:top w:val="single" w:sz="4" w:space="0" w:color="auto"/>
              <w:left w:val="nil"/>
              <w:bottom w:val="single" w:sz="4" w:space="0" w:color="auto"/>
              <w:right w:val="nil"/>
            </w:tcBorders>
            <w:shd w:val="clear" w:color="auto" w:fill="auto"/>
            <w:vAlign w:val="bottom"/>
            <w:hideMark/>
          </w:tcPr>
          <w:p w14:paraId="12E1D954"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Train overall accuracy</w:t>
            </w:r>
          </w:p>
        </w:tc>
        <w:tc>
          <w:tcPr>
            <w:tcW w:w="1433" w:type="dxa"/>
            <w:tcBorders>
              <w:top w:val="single" w:sz="4" w:space="0" w:color="auto"/>
              <w:left w:val="nil"/>
              <w:bottom w:val="single" w:sz="4" w:space="0" w:color="auto"/>
              <w:right w:val="nil"/>
            </w:tcBorders>
            <w:shd w:val="clear" w:color="auto" w:fill="auto"/>
            <w:noWrap/>
            <w:vAlign w:val="bottom"/>
            <w:hideMark/>
          </w:tcPr>
          <w:p w14:paraId="12E1D955"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Train kappa</w:t>
            </w:r>
          </w:p>
        </w:tc>
        <w:tc>
          <w:tcPr>
            <w:tcW w:w="1579" w:type="dxa"/>
            <w:tcBorders>
              <w:top w:val="single" w:sz="4" w:space="0" w:color="auto"/>
              <w:left w:val="nil"/>
              <w:bottom w:val="single" w:sz="4" w:space="0" w:color="auto"/>
              <w:right w:val="nil"/>
            </w:tcBorders>
            <w:shd w:val="clear" w:color="auto" w:fill="auto"/>
            <w:vAlign w:val="bottom"/>
            <w:hideMark/>
          </w:tcPr>
          <w:p w14:paraId="12E1D956"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Test overall accuracy</w:t>
            </w:r>
          </w:p>
        </w:tc>
        <w:tc>
          <w:tcPr>
            <w:tcW w:w="1360" w:type="dxa"/>
            <w:tcBorders>
              <w:top w:val="single" w:sz="4" w:space="0" w:color="auto"/>
              <w:left w:val="nil"/>
              <w:bottom w:val="single" w:sz="4" w:space="0" w:color="auto"/>
              <w:right w:val="nil"/>
            </w:tcBorders>
            <w:shd w:val="clear" w:color="auto" w:fill="auto"/>
            <w:noWrap/>
            <w:vAlign w:val="bottom"/>
            <w:hideMark/>
          </w:tcPr>
          <w:p w14:paraId="12E1D957"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Test kappa</w:t>
            </w:r>
          </w:p>
        </w:tc>
      </w:tr>
      <w:tr w:rsidR="001142E7" w:rsidRPr="00CE6B3E" w14:paraId="12E1D95F" w14:textId="77777777" w:rsidTr="00C50F17">
        <w:trPr>
          <w:trHeight w:val="20"/>
          <w:jc w:val="center"/>
        </w:trPr>
        <w:tc>
          <w:tcPr>
            <w:tcW w:w="1082" w:type="dxa"/>
            <w:tcBorders>
              <w:top w:val="nil"/>
              <w:left w:val="nil"/>
              <w:bottom w:val="nil"/>
              <w:right w:val="nil"/>
            </w:tcBorders>
            <w:shd w:val="clear" w:color="auto" w:fill="auto"/>
            <w:noWrap/>
            <w:vAlign w:val="bottom"/>
            <w:hideMark/>
          </w:tcPr>
          <w:p w14:paraId="12E1D959" w14:textId="77777777" w:rsidR="001142E7" w:rsidRPr="00CE6B3E" w:rsidRDefault="001142E7" w:rsidP="001142E7">
            <w:pPr>
              <w:spacing w:after="0" w:line="240" w:lineRule="auto"/>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p01</w:t>
            </w:r>
          </w:p>
        </w:tc>
        <w:tc>
          <w:tcPr>
            <w:tcW w:w="1457" w:type="dxa"/>
            <w:tcBorders>
              <w:top w:val="nil"/>
              <w:left w:val="nil"/>
              <w:bottom w:val="nil"/>
              <w:right w:val="nil"/>
            </w:tcBorders>
            <w:shd w:val="clear" w:color="auto" w:fill="auto"/>
            <w:noWrap/>
            <w:vAlign w:val="bottom"/>
            <w:hideMark/>
          </w:tcPr>
          <w:p w14:paraId="12E1D95A"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2000</w:t>
            </w:r>
          </w:p>
        </w:tc>
        <w:tc>
          <w:tcPr>
            <w:tcW w:w="1700" w:type="dxa"/>
            <w:tcBorders>
              <w:top w:val="nil"/>
              <w:left w:val="nil"/>
              <w:bottom w:val="nil"/>
              <w:right w:val="nil"/>
            </w:tcBorders>
            <w:shd w:val="clear" w:color="auto" w:fill="auto"/>
            <w:noWrap/>
            <w:vAlign w:val="bottom"/>
            <w:hideMark/>
          </w:tcPr>
          <w:p w14:paraId="12E1D95B"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0.9930</w:t>
            </w:r>
          </w:p>
        </w:tc>
        <w:tc>
          <w:tcPr>
            <w:tcW w:w="1433" w:type="dxa"/>
            <w:tcBorders>
              <w:top w:val="nil"/>
              <w:left w:val="nil"/>
              <w:bottom w:val="nil"/>
              <w:right w:val="nil"/>
            </w:tcBorders>
            <w:shd w:val="clear" w:color="auto" w:fill="auto"/>
            <w:noWrap/>
            <w:vAlign w:val="bottom"/>
            <w:hideMark/>
          </w:tcPr>
          <w:p w14:paraId="12E1D95C"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0.9770</w:t>
            </w:r>
          </w:p>
        </w:tc>
        <w:tc>
          <w:tcPr>
            <w:tcW w:w="1579" w:type="dxa"/>
            <w:tcBorders>
              <w:top w:val="nil"/>
              <w:left w:val="nil"/>
              <w:bottom w:val="nil"/>
              <w:right w:val="nil"/>
            </w:tcBorders>
            <w:shd w:val="clear" w:color="auto" w:fill="auto"/>
            <w:noWrap/>
            <w:vAlign w:val="bottom"/>
            <w:hideMark/>
          </w:tcPr>
          <w:p w14:paraId="12E1D95D"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0.9600</w:t>
            </w:r>
          </w:p>
        </w:tc>
        <w:tc>
          <w:tcPr>
            <w:tcW w:w="1360" w:type="dxa"/>
            <w:tcBorders>
              <w:top w:val="nil"/>
              <w:left w:val="nil"/>
              <w:bottom w:val="nil"/>
              <w:right w:val="nil"/>
            </w:tcBorders>
            <w:shd w:val="clear" w:color="auto" w:fill="auto"/>
            <w:noWrap/>
            <w:vAlign w:val="bottom"/>
            <w:hideMark/>
          </w:tcPr>
          <w:p w14:paraId="12E1D95E"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0.8344</w:t>
            </w:r>
          </w:p>
        </w:tc>
      </w:tr>
      <w:tr w:rsidR="001142E7" w:rsidRPr="00CE6B3E" w14:paraId="12E1D966" w14:textId="77777777" w:rsidTr="00C50F17">
        <w:trPr>
          <w:trHeight w:val="20"/>
          <w:jc w:val="center"/>
        </w:trPr>
        <w:tc>
          <w:tcPr>
            <w:tcW w:w="1082" w:type="dxa"/>
            <w:tcBorders>
              <w:top w:val="nil"/>
              <w:left w:val="nil"/>
              <w:bottom w:val="nil"/>
              <w:right w:val="nil"/>
            </w:tcBorders>
            <w:shd w:val="clear" w:color="auto" w:fill="auto"/>
            <w:noWrap/>
            <w:vAlign w:val="bottom"/>
            <w:hideMark/>
          </w:tcPr>
          <w:p w14:paraId="12E1D960" w14:textId="77777777" w:rsidR="001142E7" w:rsidRPr="00CE6B3E" w:rsidRDefault="001142E7" w:rsidP="001142E7">
            <w:pPr>
              <w:spacing w:after="0" w:line="240" w:lineRule="auto"/>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p02</w:t>
            </w:r>
          </w:p>
        </w:tc>
        <w:tc>
          <w:tcPr>
            <w:tcW w:w="1457" w:type="dxa"/>
            <w:tcBorders>
              <w:top w:val="nil"/>
              <w:left w:val="nil"/>
              <w:bottom w:val="nil"/>
              <w:right w:val="nil"/>
            </w:tcBorders>
            <w:shd w:val="clear" w:color="auto" w:fill="auto"/>
            <w:noWrap/>
            <w:vAlign w:val="bottom"/>
            <w:hideMark/>
          </w:tcPr>
          <w:p w14:paraId="12E1D961"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2000</w:t>
            </w:r>
          </w:p>
        </w:tc>
        <w:tc>
          <w:tcPr>
            <w:tcW w:w="1700" w:type="dxa"/>
            <w:tcBorders>
              <w:top w:val="nil"/>
              <w:left w:val="nil"/>
              <w:bottom w:val="nil"/>
              <w:right w:val="nil"/>
            </w:tcBorders>
            <w:shd w:val="clear" w:color="auto" w:fill="auto"/>
            <w:noWrap/>
            <w:vAlign w:val="bottom"/>
            <w:hideMark/>
          </w:tcPr>
          <w:p w14:paraId="12E1D962"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0.9900</w:t>
            </w:r>
          </w:p>
        </w:tc>
        <w:tc>
          <w:tcPr>
            <w:tcW w:w="1433" w:type="dxa"/>
            <w:tcBorders>
              <w:top w:val="nil"/>
              <w:left w:val="nil"/>
              <w:bottom w:val="nil"/>
              <w:right w:val="nil"/>
            </w:tcBorders>
            <w:shd w:val="clear" w:color="auto" w:fill="auto"/>
            <w:noWrap/>
            <w:vAlign w:val="bottom"/>
            <w:hideMark/>
          </w:tcPr>
          <w:p w14:paraId="12E1D963"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0.9790</w:t>
            </w:r>
          </w:p>
        </w:tc>
        <w:tc>
          <w:tcPr>
            <w:tcW w:w="1579" w:type="dxa"/>
            <w:tcBorders>
              <w:top w:val="nil"/>
              <w:left w:val="nil"/>
              <w:bottom w:val="nil"/>
              <w:right w:val="nil"/>
            </w:tcBorders>
            <w:shd w:val="clear" w:color="auto" w:fill="auto"/>
            <w:noWrap/>
            <w:vAlign w:val="bottom"/>
            <w:hideMark/>
          </w:tcPr>
          <w:p w14:paraId="12E1D964"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0.9400</w:t>
            </w:r>
          </w:p>
        </w:tc>
        <w:tc>
          <w:tcPr>
            <w:tcW w:w="1360" w:type="dxa"/>
            <w:tcBorders>
              <w:top w:val="nil"/>
              <w:left w:val="nil"/>
              <w:bottom w:val="nil"/>
              <w:right w:val="nil"/>
            </w:tcBorders>
            <w:shd w:val="clear" w:color="auto" w:fill="auto"/>
            <w:noWrap/>
            <w:vAlign w:val="bottom"/>
            <w:hideMark/>
          </w:tcPr>
          <w:p w14:paraId="12E1D965"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0.8800</w:t>
            </w:r>
          </w:p>
        </w:tc>
      </w:tr>
      <w:tr w:rsidR="001142E7" w:rsidRPr="00CE6B3E" w14:paraId="12E1D96D" w14:textId="77777777" w:rsidTr="00C50F17">
        <w:trPr>
          <w:trHeight w:val="20"/>
          <w:jc w:val="center"/>
        </w:trPr>
        <w:tc>
          <w:tcPr>
            <w:tcW w:w="1082" w:type="dxa"/>
            <w:tcBorders>
              <w:top w:val="nil"/>
              <w:left w:val="nil"/>
              <w:bottom w:val="nil"/>
              <w:right w:val="nil"/>
            </w:tcBorders>
            <w:shd w:val="clear" w:color="auto" w:fill="auto"/>
            <w:noWrap/>
            <w:vAlign w:val="bottom"/>
            <w:hideMark/>
          </w:tcPr>
          <w:p w14:paraId="12E1D967" w14:textId="77777777" w:rsidR="001142E7" w:rsidRPr="00CE6B3E" w:rsidRDefault="001142E7" w:rsidP="001142E7">
            <w:pPr>
              <w:spacing w:after="0" w:line="240" w:lineRule="auto"/>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p03</w:t>
            </w:r>
          </w:p>
        </w:tc>
        <w:tc>
          <w:tcPr>
            <w:tcW w:w="1457" w:type="dxa"/>
            <w:tcBorders>
              <w:top w:val="nil"/>
              <w:left w:val="nil"/>
              <w:bottom w:val="nil"/>
              <w:right w:val="nil"/>
            </w:tcBorders>
            <w:shd w:val="clear" w:color="auto" w:fill="auto"/>
            <w:noWrap/>
            <w:vAlign w:val="bottom"/>
            <w:hideMark/>
          </w:tcPr>
          <w:p w14:paraId="12E1D968"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2000</w:t>
            </w:r>
          </w:p>
        </w:tc>
        <w:tc>
          <w:tcPr>
            <w:tcW w:w="1700" w:type="dxa"/>
            <w:tcBorders>
              <w:top w:val="nil"/>
              <w:left w:val="nil"/>
              <w:bottom w:val="nil"/>
              <w:right w:val="nil"/>
            </w:tcBorders>
            <w:shd w:val="clear" w:color="auto" w:fill="auto"/>
            <w:noWrap/>
            <w:vAlign w:val="bottom"/>
            <w:hideMark/>
          </w:tcPr>
          <w:p w14:paraId="12E1D969"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0.9800</w:t>
            </w:r>
          </w:p>
        </w:tc>
        <w:tc>
          <w:tcPr>
            <w:tcW w:w="1433" w:type="dxa"/>
            <w:tcBorders>
              <w:top w:val="nil"/>
              <w:left w:val="nil"/>
              <w:bottom w:val="nil"/>
              <w:right w:val="nil"/>
            </w:tcBorders>
            <w:shd w:val="clear" w:color="auto" w:fill="auto"/>
            <w:noWrap/>
            <w:vAlign w:val="bottom"/>
            <w:hideMark/>
          </w:tcPr>
          <w:p w14:paraId="12E1D96A"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0.9599</w:t>
            </w:r>
          </w:p>
        </w:tc>
        <w:tc>
          <w:tcPr>
            <w:tcW w:w="1579" w:type="dxa"/>
            <w:tcBorders>
              <w:top w:val="nil"/>
              <w:left w:val="nil"/>
              <w:bottom w:val="nil"/>
              <w:right w:val="nil"/>
            </w:tcBorders>
            <w:shd w:val="clear" w:color="auto" w:fill="auto"/>
            <w:noWrap/>
            <w:vAlign w:val="bottom"/>
            <w:hideMark/>
          </w:tcPr>
          <w:p w14:paraId="12E1D96B"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0.9400</w:t>
            </w:r>
          </w:p>
        </w:tc>
        <w:tc>
          <w:tcPr>
            <w:tcW w:w="1360" w:type="dxa"/>
            <w:tcBorders>
              <w:top w:val="nil"/>
              <w:left w:val="nil"/>
              <w:bottom w:val="nil"/>
              <w:right w:val="nil"/>
            </w:tcBorders>
            <w:shd w:val="clear" w:color="auto" w:fill="auto"/>
            <w:noWrap/>
            <w:vAlign w:val="bottom"/>
            <w:hideMark/>
          </w:tcPr>
          <w:p w14:paraId="12E1D96C"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0.8682</w:t>
            </w:r>
          </w:p>
        </w:tc>
      </w:tr>
      <w:tr w:rsidR="001142E7" w:rsidRPr="00CE6B3E" w14:paraId="12E1D974" w14:textId="77777777" w:rsidTr="00C50F17">
        <w:trPr>
          <w:trHeight w:val="20"/>
          <w:jc w:val="center"/>
        </w:trPr>
        <w:tc>
          <w:tcPr>
            <w:tcW w:w="1082" w:type="dxa"/>
            <w:tcBorders>
              <w:top w:val="nil"/>
              <w:left w:val="nil"/>
              <w:bottom w:val="nil"/>
              <w:right w:val="nil"/>
            </w:tcBorders>
            <w:shd w:val="clear" w:color="auto" w:fill="auto"/>
            <w:noWrap/>
            <w:vAlign w:val="bottom"/>
            <w:hideMark/>
          </w:tcPr>
          <w:p w14:paraId="12E1D96E" w14:textId="77777777" w:rsidR="001142E7" w:rsidRPr="00CE6B3E" w:rsidRDefault="001142E7" w:rsidP="001142E7">
            <w:pPr>
              <w:spacing w:after="0" w:line="240" w:lineRule="auto"/>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p04</w:t>
            </w:r>
          </w:p>
        </w:tc>
        <w:tc>
          <w:tcPr>
            <w:tcW w:w="1457" w:type="dxa"/>
            <w:tcBorders>
              <w:top w:val="nil"/>
              <w:left w:val="nil"/>
              <w:bottom w:val="nil"/>
              <w:right w:val="nil"/>
            </w:tcBorders>
            <w:shd w:val="clear" w:color="auto" w:fill="auto"/>
            <w:noWrap/>
            <w:vAlign w:val="bottom"/>
            <w:hideMark/>
          </w:tcPr>
          <w:p w14:paraId="12E1D96F"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2000</w:t>
            </w:r>
          </w:p>
        </w:tc>
        <w:tc>
          <w:tcPr>
            <w:tcW w:w="1700" w:type="dxa"/>
            <w:tcBorders>
              <w:top w:val="nil"/>
              <w:left w:val="nil"/>
              <w:bottom w:val="nil"/>
              <w:right w:val="nil"/>
            </w:tcBorders>
            <w:shd w:val="clear" w:color="auto" w:fill="auto"/>
            <w:noWrap/>
            <w:vAlign w:val="bottom"/>
            <w:hideMark/>
          </w:tcPr>
          <w:p w14:paraId="12E1D970"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0.9130</w:t>
            </w:r>
          </w:p>
        </w:tc>
        <w:tc>
          <w:tcPr>
            <w:tcW w:w="1433" w:type="dxa"/>
            <w:tcBorders>
              <w:top w:val="nil"/>
              <w:left w:val="nil"/>
              <w:bottom w:val="nil"/>
              <w:right w:val="nil"/>
            </w:tcBorders>
            <w:shd w:val="clear" w:color="auto" w:fill="auto"/>
            <w:noWrap/>
            <w:vAlign w:val="bottom"/>
            <w:hideMark/>
          </w:tcPr>
          <w:p w14:paraId="12E1D971"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0.8264</w:t>
            </w:r>
          </w:p>
        </w:tc>
        <w:tc>
          <w:tcPr>
            <w:tcW w:w="1579" w:type="dxa"/>
            <w:tcBorders>
              <w:top w:val="nil"/>
              <w:left w:val="nil"/>
              <w:bottom w:val="nil"/>
              <w:right w:val="nil"/>
            </w:tcBorders>
            <w:shd w:val="clear" w:color="auto" w:fill="auto"/>
            <w:noWrap/>
            <w:vAlign w:val="bottom"/>
            <w:hideMark/>
          </w:tcPr>
          <w:p w14:paraId="12E1D972"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0.9600</w:t>
            </w:r>
          </w:p>
        </w:tc>
        <w:tc>
          <w:tcPr>
            <w:tcW w:w="1360" w:type="dxa"/>
            <w:tcBorders>
              <w:top w:val="nil"/>
              <w:left w:val="nil"/>
              <w:bottom w:val="nil"/>
              <w:right w:val="nil"/>
            </w:tcBorders>
            <w:shd w:val="clear" w:color="auto" w:fill="auto"/>
            <w:noWrap/>
            <w:vAlign w:val="bottom"/>
            <w:hideMark/>
          </w:tcPr>
          <w:p w14:paraId="12E1D973"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0.9168</w:t>
            </w:r>
          </w:p>
        </w:tc>
      </w:tr>
      <w:tr w:rsidR="001142E7" w:rsidRPr="00CE6B3E" w14:paraId="12E1D97B" w14:textId="77777777" w:rsidTr="00C50F17">
        <w:trPr>
          <w:trHeight w:val="20"/>
          <w:jc w:val="center"/>
        </w:trPr>
        <w:tc>
          <w:tcPr>
            <w:tcW w:w="1082" w:type="dxa"/>
            <w:tcBorders>
              <w:top w:val="nil"/>
              <w:left w:val="nil"/>
              <w:bottom w:val="nil"/>
              <w:right w:val="nil"/>
            </w:tcBorders>
            <w:shd w:val="clear" w:color="auto" w:fill="auto"/>
            <w:noWrap/>
            <w:vAlign w:val="bottom"/>
            <w:hideMark/>
          </w:tcPr>
          <w:p w14:paraId="12E1D975" w14:textId="77777777" w:rsidR="001142E7" w:rsidRPr="00CE6B3E" w:rsidRDefault="001142E7" w:rsidP="001142E7">
            <w:pPr>
              <w:spacing w:after="0" w:line="240" w:lineRule="auto"/>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p05</w:t>
            </w:r>
          </w:p>
        </w:tc>
        <w:tc>
          <w:tcPr>
            <w:tcW w:w="1457" w:type="dxa"/>
            <w:tcBorders>
              <w:top w:val="nil"/>
              <w:left w:val="nil"/>
              <w:bottom w:val="nil"/>
              <w:right w:val="nil"/>
            </w:tcBorders>
            <w:shd w:val="clear" w:color="auto" w:fill="auto"/>
            <w:noWrap/>
            <w:vAlign w:val="bottom"/>
            <w:hideMark/>
          </w:tcPr>
          <w:p w14:paraId="12E1D976"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2000</w:t>
            </w:r>
          </w:p>
        </w:tc>
        <w:tc>
          <w:tcPr>
            <w:tcW w:w="1700" w:type="dxa"/>
            <w:tcBorders>
              <w:top w:val="nil"/>
              <w:left w:val="nil"/>
              <w:bottom w:val="single" w:sz="4" w:space="0" w:color="auto"/>
              <w:right w:val="nil"/>
            </w:tcBorders>
            <w:shd w:val="clear" w:color="auto" w:fill="auto"/>
            <w:noWrap/>
            <w:vAlign w:val="bottom"/>
            <w:hideMark/>
          </w:tcPr>
          <w:p w14:paraId="12E1D977"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0.9300</w:t>
            </w:r>
          </w:p>
        </w:tc>
        <w:tc>
          <w:tcPr>
            <w:tcW w:w="1433" w:type="dxa"/>
            <w:tcBorders>
              <w:top w:val="nil"/>
              <w:left w:val="nil"/>
              <w:bottom w:val="single" w:sz="4" w:space="0" w:color="auto"/>
              <w:right w:val="nil"/>
            </w:tcBorders>
            <w:shd w:val="clear" w:color="auto" w:fill="auto"/>
            <w:noWrap/>
            <w:vAlign w:val="bottom"/>
            <w:hideMark/>
          </w:tcPr>
          <w:p w14:paraId="12E1D978"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0.8598</w:t>
            </w:r>
          </w:p>
        </w:tc>
        <w:tc>
          <w:tcPr>
            <w:tcW w:w="1579" w:type="dxa"/>
            <w:tcBorders>
              <w:top w:val="nil"/>
              <w:left w:val="nil"/>
              <w:bottom w:val="single" w:sz="4" w:space="0" w:color="auto"/>
              <w:right w:val="nil"/>
            </w:tcBorders>
            <w:shd w:val="clear" w:color="auto" w:fill="auto"/>
            <w:noWrap/>
            <w:vAlign w:val="bottom"/>
            <w:hideMark/>
          </w:tcPr>
          <w:p w14:paraId="12E1D979"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0.9200</w:t>
            </w:r>
          </w:p>
        </w:tc>
        <w:tc>
          <w:tcPr>
            <w:tcW w:w="1360" w:type="dxa"/>
            <w:tcBorders>
              <w:top w:val="nil"/>
              <w:left w:val="nil"/>
              <w:bottom w:val="single" w:sz="4" w:space="0" w:color="auto"/>
              <w:right w:val="nil"/>
            </w:tcBorders>
            <w:shd w:val="clear" w:color="auto" w:fill="auto"/>
            <w:noWrap/>
            <w:vAlign w:val="bottom"/>
            <w:hideMark/>
          </w:tcPr>
          <w:p w14:paraId="12E1D97A"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0.8379</w:t>
            </w:r>
          </w:p>
        </w:tc>
      </w:tr>
      <w:tr w:rsidR="001142E7" w:rsidRPr="00CE6B3E" w14:paraId="12E1D982" w14:textId="77777777" w:rsidTr="00C50F17">
        <w:trPr>
          <w:trHeight w:val="20"/>
          <w:jc w:val="center"/>
        </w:trPr>
        <w:tc>
          <w:tcPr>
            <w:tcW w:w="1082" w:type="dxa"/>
            <w:tcBorders>
              <w:top w:val="nil"/>
              <w:left w:val="nil"/>
              <w:bottom w:val="nil"/>
              <w:right w:val="nil"/>
            </w:tcBorders>
            <w:shd w:val="clear" w:color="auto" w:fill="auto"/>
            <w:noWrap/>
            <w:vAlign w:val="bottom"/>
            <w:hideMark/>
          </w:tcPr>
          <w:p w14:paraId="12E1D97C" w14:textId="77777777" w:rsidR="001142E7" w:rsidRPr="00CE6B3E" w:rsidRDefault="001142E7" w:rsidP="001142E7">
            <w:pPr>
              <w:spacing w:after="0" w:line="240" w:lineRule="auto"/>
              <w:rPr>
                <w:rFonts w:ascii="Times New Roman" w:eastAsia="Times New Roman" w:hAnsi="Times New Roman" w:cs="Times New Roman"/>
                <w:b/>
                <w:bCs/>
                <w:color w:val="000000"/>
                <w:lang w:eastAsia="es-MX"/>
              </w:rPr>
            </w:pPr>
            <w:r w:rsidRPr="00CE6B3E">
              <w:rPr>
                <w:rFonts w:ascii="Times New Roman" w:eastAsia="Times New Roman" w:hAnsi="Times New Roman" w:cs="Times New Roman"/>
                <w:b/>
                <w:bCs/>
                <w:color w:val="000000"/>
                <w:lang w:eastAsia="es-MX"/>
              </w:rPr>
              <w:t>Average</w:t>
            </w:r>
          </w:p>
        </w:tc>
        <w:tc>
          <w:tcPr>
            <w:tcW w:w="1457" w:type="dxa"/>
            <w:tcBorders>
              <w:top w:val="nil"/>
              <w:left w:val="nil"/>
              <w:bottom w:val="nil"/>
              <w:right w:val="nil"/>
            </w:tcBorders>
            <w:shd w:val="clear" w:color="auto" w:fill="auto"/>
            <w:noWrap/>
            <w:vAlign w:val="bottom"/>
            <w:hideMark/>
          </w:tcPr>
          <w:p w14:paraId="12E1D97D" w14:textId="77777777" w:rsidR="001142E7" w:rsidRPr="00CE6B3E" w:rsidRDefault="001142E7" w:rsidP="001142E7">
            <w:pPr>
              <w:spacing w:after="0" w:line="240" w:lineRule="auto"/>
              <w:jc w:val="center"/>
              <w:rPr>
                <w:rFonts w:ascii="Times New Roman" w:eastAsia="Times New Roman" w:hAnsi="Times New Roman" w:cs="Times New Roman"/>
                <w:b/>
                <w:bCs/>
                <w:color w:val="000000"/>
                <w:lang w:eastAsia="es-MX"/>
              </w:rPr>
            </w:pPr>
          </w:p>
        </w:tc>
        <w:tc>
          <w:tcPr>
            <w:tcW w:w="1700" w:type="dxa"/>
            <w:tcBorders>
              <w:top w:val="nil"/>
              <w:left w:val="nil"/>
              <w:bottom w:val="nil"/>
              <w:right w:val="nil"/>
            </w:tcBorders>
            <w:shd w:val="clear" w:color="auto" w:fill="auto"/>
            <w:noWrap/>
            <w:vAlign w:val="bottom"/>
            <w:hideMark/>
          </w:tcPr>
          <w:p w14:paraId="12E1D97E" w14:textId="77777777" w:rsidR="001142E7" w:rsidRPr="00CE6B3E" w:rsidRDefault="001142E7" w:rsidP="001142E7">
            <w:pPr>
              <w:spacing w:after="0" w:line="240" w:lineRule="auto"/>
              <w:jc w:val="center"/>
              <w:rPr>
                <w:rFonts w:ascii="Times New Roman" w:eastAsia="Times New Roman" w:hAnsi="Times New Roman" w:cs="Times New Roman"/>
                <w:b/>
                <w:bCs/>
                <w:color w:val="000000"/>
                <w:lang w:eastAsia="es-MX"/>
              </w:rPr>
            </w:pPr>
            <w:r w:rsidRPr="00CE6B3E">
              <w:rPr>
                <w:rFonts w:ascii="Times New Roman" w:eastAsia="Times New Roman" w:hAnsi="Times New Roman" w:cs="Times New Roman"/>
                <w:b/>
                <w:bCs/>
                <w:color w:val="000000"/>
                <w:lang w:eastAsia="es-MX"/>
              </w:rPr>
              <w:t>0.9612</w:t>
            </w:r>
          </w:p>
        </w:tc>
        <w:tc>
          <w:tcPr>
            <w:tcW w:w="1433" w:type="dxa"/>
            <w:tcBorders>
              <w:top w:val="nil"/>
              <w:left w:val="nil"/>
              <w:bottom w:val="nil"/>
              <w:right w:val="nil"/>
            </w:tcBorders>
            <w:shd w:val="clear" w:color="auto" w:fill="auto"/>
            <w:noWrap/>
            <w:vAlign w:val="bottom"/>
            <w:hideMark/>
          </w:tcPr>
          <w:p w14:paraId="12E1D97F" w14:textId="77777777" w:rsidR="001142E7" w:rsidRPr="00CE6B3E" w:rsidRDefault="001142E7" w:rsidP="001142E7">
            <w:pPr>
              <w:spacing w:after="0" w:line="240" w:lineRule="auto"/>
              <w:jc w:val="center"/>
              <w:rPr>
                <w:rFonts w:ascii="Times New Roman" w:eastAsia="Times New Roman" w:hAnsi="Times New Roman" w:cs="Times New Roman"/>
                <w:b/>
                <w:bCs/>
                <w:color w:val="000000"/>
                <w:lang w:eastAsia="es-MX"/>
              </w:rPr>
            </w:pPr>
            <w:r w:rsidRPr="00CE6B3E">
              <w:rPr>
                <w:rFonts w:ascii="Times New Roman" w:eastAsia="Times New Roman" w:hAnsi="Times New Roman" w:cs="Times New Roman"/>
                <w:b/>
                <w:bCs/>
                <w:color w:val="000000"/>
                <w:lang w:eastAsia="es-MX"/>
              </w:rPr>
              <w:t>0.9204</w:t>
            </w:r>
          </w:p>
        </w:tc>
        <w:tc>
          <w:tcPr>
            <w:tcW w:w="1579" w:type="dxa"/>
            <w:tcBorders>
              <w:top w:val="nil"/>
              <w:left w:val="nil"/>
              <w:bottom w:val="nil"/>
              <w:right w:val="nil"/>
            </w:tcBorders>
            <w:shd w:val="clear" w:color="auto" w:fill="auto"/>
            <w:noWrap/>
            <w:vAlign w:val="bottom"/>
            <w:hideMark/>
          </w:tcPr>
          <w:p w14:paraId="12E1D980" w14:textId="77777777" w:rsidR="001142E7" w:rsidRPr="00CE6B3E" w:rsidRDefault="001142E7" w:rsidP="001142E7">
            <w:pPr>
              <w:spacing w:after="0" w:line="240" w:lineRule="auto"/>
              <w:jc w:val="center"/>
              <w:rPr>
                <w:rFonts w:ascii="Times New Roman" w:eastAsia="Times New Roman" w:hAnsi="Times New Roman" w:cs="Times New Roman"/>
                <w:b/>
                <w:bCs/>
                <w:color w:val="000000"/>
                <w:lang w:eastAsia="es-MX"/>
              </w:rPr>
            </w:pPr>
            <w:r w:rsidRPr="00CE6B3E">
              <w:rPr>
                <w:rFonts w:ascii="Times New Roman" w:eastAsia="Times New Roman" w:hAnsi="Times New Roman" w:cs="Times New Roman"/>
                <w:b/>
                <w:bCs/>
                <w:color w:val="000000"/>
                <w:lang w:eastAsia="es-MX"/>
              </w:rPr>
              <w:t>0.9440</w:t>
            </w:r>
          </w:p>
        </w:tc>
        <w:tc>
          <w:tcPr>
            <w:tcW w:w="1360" w:type="dxa"/>
            <w:tcBorders>
              <w:top w:val="nil"/>
              <w:left w:val="nil"/>
              <w:bottom w:val="nil"/>
              <w:right w:val="nil"/>
            </w:tcBorders>
            <w:shd w:val="clear" w:color="auto" w:fill="auto"/>
            <w:noWrap/>
            <w:vAlign w:val="bottom"/>
            <w:hideMark/>
          </w:tcPr>
          <w:p w14:paraId="12E1D981" w14:textId="77777777" w:rsidR="001142E7" w:rsidRPr="00CE6B3E" w:rsidRDefault="001142E7" w:rsidP="001142E7">
            <w:pPr>
              <w:spacing w:after="0" w:line="240" w:lineRule="auto"/>
              <w:jc w:val="center"/>
              <w:rPr>
                <w:rFonts w:ascii="Times New Roman" w:eastAsia="Times New Roman" w:hAnsi="Times New Roman" w:cs="Times New Roman"/>
                <w:b/>
                <w:bCs/>
                <w:color w:val="000000"/>
                <w:lang w:eastAsia="es-MX"/>
              </w:rPr>
            </w:pPr>
            <w:r w:rsidRPr="00CE6B3E">
              <w:rPr>
                <w:rFonts w:ascii="Times New Roman" w:eastAsia="Times New Roman" w:hAnsi="Times New Roman" w:cs="Times New Roman"/>
                <w:b/>
                <w:bCs/>
                <w:color w:val="000000"/>
                <w:lang w:eastAsia="es-MX"/>
              </w:rPr>
              <w:t>0.8675</w:t>
            </w:r>
          </w:p>
        </w:tc>
      </w:tr>
      <w:tr w:rsidR="001142E7" w:rsidRPr="00CE6B3E" w14:paraId="12E1D989" w14:textId="77777777" w:rsidTr="00C50F17">
        <w:trPr>
          <w:trHeight w:val="20"/>
          <w:jc w:val="center"/>
        </w:trPr>
        <w:tc>
          <w:tcPr>
            <w:tcW w:w="1082" w:type="dxa"/>
            <w:tcBorders>
              <w:top w:val="nil"/>
              <w:left w:val="nil"/>
              <w:bottom w:val="nil"/>
              <w:right w:val="nil"/>
            </w:tcBorders>
            <w:shd w:val="clear" w:color="auto" w:fill="auto"/>
            <w:noWrap/>
            <w:vAlign w:val="bottom"/>
            <w:hideMark/>
          </w:tcPr>
          <w:p w14:paraId="12E1D983" w14:textId="77777777" w:rsidR="001142E7" w:rsidRPr="00CE6B3E" w:rsidRDefault="001142E7" w:rsidP="001142E7">
            <w:pPr>
              <w:spacing w:after="0" w:line="240" w:lineRule="auto"/>
              <w:jc w:val="right"/>
              <w:rPr>
                <w:rFonts w:ascii="Times New Roman" w:eastAsia="Times New Roman" w:hAnsi="Times New Roman" w:cs="Times New Roman"/>
                <w:b/>
                <w:bCs/>
                <w:color w:val="000000"/>
                <w:lang w:eastAsia="es-MX"/>
              </w:rPr>
            </w:pPr>
          </w:p>
        </w:tc>
        <w:tc>
          <w:tcPr>
            <w:tcW w:w="1457" w:type="dxa"/>
            <w:tcBorders>
              <w:top w:val="nil"/>
              <w:left w:val="nil"/>
              <w:bottom w:val="nil"/>
              <w:right w:val="nil"/>
            </w:tcBorders>
            <w:shd w:val="clear" w:color="auto" w:fill="auto"/>
            <w:noWrap/>
            <w:vAlign w:val="bottom"/>
            <w:hideMark/>
          </w:tcPr>
          <w:p w14:paraId="12E1D984" w14:textId="77777777" w:rsidR="001142E7" w:rsidRPr="00CE6B3E" w:rsidRDefault="001142E7" w:rsidP="001142E7">
            <w:pPr>
              <w:spacing w:after="0" w:line="240" w:lineRule="auto"/>
              <w:jc w:val="center"/>
              <w:rPr>
                <w:rFonts w:ascii="Times New Roman" w:eastAsia="Times New Roman" w:hAnsi="Times New Roman" w:cs="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2E1D985" w14:textId="77777777" w:rsidR="001142E7" w:rsidRPr="00CE6B3E" w:rsidRDefault="001142E7" w:rsidP="001142E7">
            <w:pPr>
              <w:spacing w:after="0" w:line="240" w:lineRule="auto"/>
              <w:jc w:val="center"/>
              <w:rPr>
                <w:rFonts w:ascii="Times New Roman" w:eastAsia="Times New Roman" w:hAnsi="Times New Roman" w:cs="Times New Roman"/>
                <w:sz w:val="20"/>
                <w:szCs w:val="20"/>
                <w:lang w:eastAsia="es-MX"/>
              </w:rPr>
            </w:pPr>
          </w:p>
        </w:tc>
        <w:tc>
          <w:tcPr>
            <w:tcW w:w="1433" w:type="dxa"/>
            <w:tcBorders>
              <w:top w:val="nil"/>
              <w:left w:val="nil"/>
              <w:bottom w:val="nil"/>
              <w:right w:val="nil"/>
            </w:tcBorders>
            <w:shd w:val="clear" w:color="auto" w:fill="auto"/>
            <w:noWrap/>
            <w:vAlign w:val="bottom"/>
            <w:hideMark/>
          </w:tcPr>
          <w:p w14:paraId="12E1D986" w14:textId="77777777" w:rsidR="001142E7" w:rsidRPr="00CE6B3E" w:rsidRDefault="001142E7" w:rsidP="001142E7">
            <w:pPr>
              <w:spacing w:after="0" w:line="240" w:lineRule="auto"/>
              <w:jc w:val="center"/>
              <w:rPr>
                <w:rFonts w:ascii="Times New Roman" w:eastAsia="Times New Roman" w:hAnsi="Times New Roman" w:cs="Times New Roman"/>
                <w:sz w:val="20"/>
                <w:szCs w:val="20"/>
                <w:lang w:eastAsia="es-MX"/>
              </w:rPr>
            </w:pPr>
          </w:p>
        </w:tc>
        <w:tc>
          <w:tcPr>
            <w:tcW w:w="1579" w:type="dxa"/>
            <w:tcBorders>
              <w:top w:val="nil"/>
              <w:left w:val="nil"/>
              <w:bottom w:val="nil"/>
              <w:right w:val="nil"/>
            </w:tcBorders>
            <w:shd w:val="clear" w:color="auto" w:fill="auto"/>
            <w:noWrap/>
            <w:vAlign w:val="bottom"/>
            <w:hideMark/>
          </w:tcPr>
          <w:p w14:paraId="12E1D987" w14:textId="77777777" w:rsidR="001142E7" w:rsidRPr="00CE6B3E" w:rsidRDefault="001142E7" w:rsidP="001142E7">
            <w:pPr>
              <w:spacing w:after="0" w:line="240" w:lineRule="auto"/>
              <w:jc w:val="center"/>
              <w:rPr>
                <w:rFonts w:ascii="Times New Roman" w:eastAsia="Times New Roman" w:hAnsi="Times New Roman" w:cs="Times New Roman"/>
                <w:sz w:val="20"/>
                <w:szCs w:val="20"/>
                <w:lang w:eastAsia="es-MX"/>
              </w:rPr>
            </w:pPr>
          </w:p>
        </w:tc>
        <w:tc>
          <w:tcPr>
            <w:tcW w:w="1360" w:type="dxa"/>
            <w:tcBorders>
              <w:top w:val="nil"/>
              <w:left w:val="nil"/>
              <w:bottom w:val="nil"/>
              <w:right w:val="nil"/>
            </w:tcBorders>
            <w:shd w:val="clear" w:color="auto" w:fill="auto"/>
            <w:noWrap/>
            <w:vAlign w:val="bottom"/>
            <w:hideMark/>
          </w:tcPr>
          <w:p w14:paraId="12E1D988" w14:textId="77777777" w:rsidR="001142E7" w:rsidRPr="00CE6B3E" w:rsidRDefault="001142E7" w:rsidP="001142E7">
            <w:pPr>
              <w:spacing w:after="0" w:line="240" w:lineRule="auto"/>
              <w:jc w:val="center"/>
              <w:rPr>
                <w:rFonts w:ascii="Times New Roman" w:eastAsia="Times New Roman" w:hAnsi="Times New Roman" w:cs="Times New Roman"/>
                <w:sz w:val="20"/>
                <w:szCs w:val="20"/>
                <w:lang w:eastAsia="es-MX"/>
              </w:rPr>
            </w:pPr>
          </w:p>
        </w:tc>
      </w:tr>
      <w:tr w:rsidR="001142E7" w:rsidRPr="00CE6B3E" w14:paraId="12E1D990" w14:textId="77777777" w:rsidTr="00C50F17">
        <w:trPr>
          <w:trHeight w:val="20"/>
          <w:jc w:val="center"/>
        </w:trPr>
        <w:tc>
          <w:tcPr>
            <w:tcW w:w="1082" w:type="dxa"/>
            <w:tcBorders>
              <w:top w:val="nil"/>
              <w:left w:val="nil"/>
              <w:bottom w:val="nil"/>
              <w:right w:val="nil"/>
            </w:tcBorders>
            <w:shd w:val="clear" w:color="auto" w:fill="auto"/>
            <w:noWrap/>
            <w:vAlign w:val="bottom"/>
            <w:hideMark/>
          </w:tcPr>
          <w:p w14:paraId="12E1D98A" w14:textId="77777777" w:rsidR="001142E7" w:rsidRPr="00CE6B3E" w:rsidRDefault="001142E7" w:rsidP="001142E7">
            <w:pPr>
              <w:spacing w:after="0" w:line="240" w:lineRule="auto"/>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p01</w:t>
            </w:r>
          </w:p>
        </w:tc>
        <w:tc>
          <w:tcPr>
            <w:tcW w:w="1457" w:type="dxa"/>
            <w:tcBorders>
              <w:top w:val="nil"/>
              <w:left w:val="nil"/>
              <w:bottom w:val="nil"/>
              <w:right w:val="nil"/>
            </w:tcBorders>
            <w:shd w:val="clear" w:color="auto" w:fill="auto"/>
            <w:noWrap/>
            <w:vAlign w:val="bottom"/>
            <w:hideMark/>
          </w:tcPr>
          <w:p w14:paraId="12E1D98B"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2020</w:t>
            </w:r>
          </w:p>
        </w:tc>
        <w:tc>
          <w:tcPr>
            <w:tcW w:w="1700" w:type="dxa"/>
            <w:tcBorders>
              <w:top w:val="nil"/>
              <w:left w:val="nil"/>
              <w:bottom w:val="nil"/>
              <w:right w:val="nil"/>
            </w:tcBorders>
            <w:shd w:val="clear" w:color="auto" w:fill="auto"/>
            <w:noWrap/>
            <w:vAlign w:val="bottom"/>
            <w:hideMark/>
          </w:tcPr>
          <w:p w14:paraId="12E1D98C"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0.9967</w:t>
            </w:r>
          </w:p>
        </w:tc>
        <w:tc>
          <w:tcPr>
            <w:tcW w:w="1433" w:type="dxa"/>
            <w:tcBorders>
              <w:top w:val="nil"/>
              <w:left w:val="nil"/>
              <w:bottom w:val="nil"/>
              <w:right w:val="nil"/>
            </w:tcBorders>
            <w:shd w:val="clear" w:color="auto" w:fill="auto"/>
            <w:noWrap/>
            <w:vAlign w:val="bottom"/>
            <w:hideMark/>
          </w:tcPr>
          <w:p w14:paraId="12E1D98D"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0.9892</w:t>
            </w:r>
          </w:p>
        </w:tc>
        <w:tc>
          <w:tcPr>
            <w:tcW w:w="1579" w:type="dxa"/>
            <w:tcBorders>
              <w:top w:val="nil"/>
              <w:left w:val="nil"/>
              <w:bottom w:val="nil"/>
              <w:right w:val="nil"/>
            </w:tcBorders>
            <w:shd w:val="clear" w:color="auto" w:fill="auto"/>
            <w:noWrap/>
            <w:vAlign w:val="bottom"/>
            <w:hideMark/>
          </w:tcPr>
          <w:p w14:paraId="12E1D98E"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0.9800</w:t>
            </w:r>
          </w:p>
        </w:tc>
        <w:tc>
          <w:tcPr>
            <w:tcW w:w="1360" w:type="dxa"/>
            <w:tcBorders>
              <w:top w:val="nil"/>
              <w:left w:val="nil"/>
              <w:bottom w:val="nil"/>
              <w:right w:val="nil"/>
            </w:tcBorders>
            <w:shd w:val="clear" w:color="auto" w:fill="auto"/>
            <w:noWrap/>
            <w:vAlign w:val="bottom"/>
            <w:hideMark/>
          </w:tcPr>
          <w:p w14:paraId="12E1D98F"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0.9117</w:t>
            </w:r>
          </w:p>
        </w:tc>
      </w:tr>
      <w:tr w:rsidR="001142E7" w:rsidRPr="00CE6B3E" w14:paraId="12E1D997" w14:textId="77777777" w:rsidTr="00C50F17">
        <w:trPr>
          <w:trHeight w:val="20"/>
          <w:jc w:val="center"/>
        </w:trPr>
        <w:tc>
          <w:tcPr>
            <w:tcW w:w="1082" w:type="dxa"/>
            <w:tcBorders>
              <w:top w:val="nil"/>
              <w:left w:val="nil"/>
              <w:bottom w:val="nil"/>
              <w:right w:val="nil"/>
            </w:tcBorders>
            <w:shd w:val="clear" w:color="auto" w:fill="auto"/>
            <w:noWrap/>
            <w:vAlign w:val="bottom"/>
            <w:hideMark/>
          </w:tcPr>
          <w:p w14:paraId="12E1D991" w14:textId="77777777" w:rsidR="001142E7" w:rsidRPr="00CE6B3E" w:rsidRDefault="001142E7" w:rsidP="001142E7">
            <w:pPr>
              <w:spacing w:after="0" w:line="240" w:lineRule="auto"/>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p02</w:t>
            </w:r>
          </w:p>
        </w:tc>
        <w:tc>
          <w:tcPr>
            <w:tcW w:w="1457" w:type="dxa"/>
            <w:tcBorders>
              <w:top w:val="nil"/>
              <w:left w:val="nil"/>
              <w:bottom w:val="nil"/>
              <w:right w:val="nil"/>
            </w:tcBorders>
            <w:shd w:val="clear" w:color="auto" w:fill="auto"/>
            <w:noWrap/>
            <w:vAlign w:val="bottom"/>
            <w:hideMark/>
          </w:tcPr>
          <w:p w14:paraId="12E1D992"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2020</w:t>
            </w:r>
          </w:p>
        </w:tc>
        <w:tc>
          <w:tcPr>
            <w:tcW w:w="1700" w:type="dxa"/>
            <w:tcBorders>
              <w:top w:val="nil"/>
              <w:left w:val="nil"/>
              <w:bottom w:val="nil"/>
              <w:right w:val="nil"/>
            </w:tcBorders>
            <w:shd w:val="clear" w:color="auto" w:fill="auto"/>
            <w:noWrap/>
            <w:vAlign w:val="bottom"/>
            <w:hideMark/>
          </w:tcPr>
          <w:p w14:paraId="12E1D993"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0.9900</w:t>
            </w:r>
          </w:p>
        </w:tc>
        <w:tc>
          <w:tcPr>
            <w:tcW w:w="1433" w:type="dxa"/>
            <w:tcBorders>
              <w:top w:val="nil"/>
              <w:left w:val="nil"/>
              <w:bottom w:val="nil"/>
              <w:right w:val="nil"/>
            </w:tcBorders>
            <w:shd w:val="clear" w:color="auto" w:fill="auto"/>
            <w:noWrap/>
            <w:vAlign w:val="bottom"/>
            <w:hideMark/>
          </w:tcPr>
          <w:p w14:paraId="12E1D994"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0.9791</w:t>
            </w:r>
          </w:p>
        </w:tc>
        <w:tc>
          <w:tcPr>
            <w:tcW w:w="1579" w:type="dxa"/>
            <w:tcBorders>
              <w:top w:val="nil"/>
              <w:left w:val="nil"/>
              <w:bottom w:val="nil"/>
              <w:right w:val="nil"/>
            </w:tcBorders>
            <w:shd w:val="clear" w:color="auto" w:fill="auto"/>
            <w:noWrap/>
            <w:vAlign w:val="bottom"/>
            <w:hideMark/>
          </w:tcPr>
          <w:p w14:paraId="12E1D995"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0.9000</w:t>
            </w:r>
          </w:p>
        </w:tc>
        <w:tc>
          <w:tcPr>
            <w:tcW w:w="1360" w:type="dxa"/>
            <w:tcBorders>
              <w:top w:val="nil"/>
              <w:left w:val="nil"/>
              <w:bottom w:val="nil"/>
              <w:right w:val="nil"/>
            </w:tcBorders>
            <w:shd w:val="clear" w:color="auto" w:fill="auto"/>
            <w:noWrap/>
            <w:vAlign w:val="bottom"/>
            <w:hideMark/>
          </w:tcPr>
          <w:p w14:paraId="12E1D996"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0.7899</w:t>
            </w:r>
          </w:p>
        </w:tc>
      </w:tr>
      <w:tr w:rsidR="001142E7" w:rsidRPr="00CE6B3E" w14:paraId="12E1D99E" w14:textId="77777777" w:rsidTr="00C50F17">
        <w:trPr>
          <w:trHeight w:val="20"/>
          <w:jc w:val="center"/>
        </w:trPr>
        <w:tc>
          <w:tcPr>
            <w:tcW w:w="1082" w:type="dxa"/>
            <w:tcBorders>
              <w:top w:val="nil"/>
              <w:left w:val="nil"/>
              <w:bottom w:val="nil"/>
              <w:right w:val="nil"/>
            </w:tcBorders>
            <w:shd w:val="clear" w:color="auto" w:fill="auto"/>
            <w:noWrap/>
            <w:vAlign w:val="bottom"/>
            <w:hideMark/>
          </w:tcPr>
          <w:p w14:paraId="12E1D998" w14:textId="77777777" w:rsidR="001142E7" w:rsidRPr="00CE6B3E" w:rsidRDefault="001142E7" w:rsidP="001142E7">
            <w:pPr>
              <w:spacing w:after="0" w:line="240" w:lineRule="auto"/>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p03</w:t>
            </w:r>
          </w:p>
        </w:tc>
        <w:tc>
          <w:tcPr>
            <w:tcW w:w="1457" w:type="dxa"/>
            <w:tcBorders>
              <w:top w:val="nil"/>
              <w:left w:val="nil"/>
              <w:bottom w:val="nil"/>
              <w:right w:val="nil"/>
            </w:tcBorders>
            <w:shd w:val="clear" w:color="auto" w:fill="auto"/>
            <w:noWrap/>
            <w:vAlign w:val="bottom"/>
            <w:hideMark/>
          </w:tcPr>
          <w:p w14:paraId="12E1D999"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2020</w:t>
            </w:r>
          </w:p>
        </w:tc>
        <w:tc>
          <w:tcPr>
            <w:tcW w:w="1700" w:type="dxa"/>
            <w:tcBorders>
              <w:top w:val="nil"/>
              <w:left w:val="nil"/>
              <w:bottom w:val="nil"/>
              <w:right w:val="nil"/>
            </w:tcBorders>
            <w:shd w:val="clear" w:color="auto" w:fill="auto"/>
            <w:noWrap/>
            <w:vAlign w:val="bottom"/>
            <w:hideMark/>
          </w:tcPr>
          <w:p w14:paraId="12E1D99A"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0.9967</w:t>
            </w:r>
          </w:p>
        </w:tc>
        <w:tc>
          <w:tcPr>
            <w:tcW w:w="1433" w:type="dxa"/>
            <w:tcBorders>
              <w:top w:val="nil"/>
              <w:left w:val="nil"/>
              <w:bottom w:val="nil"/>
              <w:right w:val="nil"/>
            </w:tcBorders>
            <w:shd w:val="clear" w:color="auto" w:fill="auto"/>
            <w:noWrap/>
            <w:vAlign w:val="bottom"/>
            <w:hideMark/>
          </w:tcPr>
          <w:p w14:paraId="12E1D99B"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0.9933</w:t>
            </w:r>
          </w:p>
        </w:tc>
        <w:tc>
          <w:tcPr>
            <w:tcW w:w="1579" w:type="dxa"/>
            <w:tcBorders>
              <w:top w:val="nil"/>
              <w:left w:val="nil"/>
              <w:bottom w:val="nil"/>
              <w:right w:val="nil"/>
            </w:tcBorders>
            <w:shd w:val="clear" w:color="auto" w:fill="auto"/>
            <w:noWrap/>
            <w:vAlign w:val="bottom"/>
            <w:hideMark/>
          </w:tcPr>
          <w:p w14:paraId="12E1D99C"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0.9800</w:t>
            </w:r>
          </w:p>
        </w:tc>
        <w:tc>
          <w:tcPr>
            <w:tcW w:w="1360" w:type="dxa"/>
            <w:tcBorders>
              <w:top w:val="nil"/>
              <w:left w:val="nil"/>
              <w:bottom w:val="nil"/>
              <w:right w:val="nil"/>
            </w:tcBorders>
            <w:shd w:val="clear" w:color="auto" w:fill="auto"/>
            <w:noWrap/>
            <w:vAlign w:val="bottom"/>
            <w:hideMark/>
          </w:tcPr>
          <w:p w14:paraId="12E1D99D"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0.9596</w:t>
            </w:r>
          </w:p>
        </w:tc>
      </w:tr>
      <w:tr w:rsidR="001142E7" w:rsidRPr="00CE6B3E" w14:paraId="12E1D9A5" w14:textId="77777777" w:rsidTr="00C50F17">
        <w:trPr>
          <w:trHeight w:val="20"/>
          <w:jc w:val="center"/>
        </w:trPr>
        <w:tc>
          <w:tcPr>
            <w:tcW w:w="1082" w:type="dxa"/>
            <w:tcBorders>
              <w:top w:val="nil"/>
              <w:left w:val="nil"/>
              <w:bottom w:val="nil"/>
              <w:right w:val="nil"/>
            </w:tcBorders>
            <w:shd w:val="clear" w:color="auto" w:fill="auto"/>
            <w:noWrap/>
            <w:vAlign w:val="bottom"/>
            <w:hideMark/>
          </w:tcPr>
          <w:p w14:paraId="12E1D99F" w14:textId="77777777" w:rsidR="001142E7" w:rsidRPr="00CE6B3E" w:rsidRDefault="001142E7" w:rsidP="001142E7">
            <w:pPr>
              <w:spacing w:after="0" w:line="240" w:lineRule="auto"/>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p04</w:t>
            </w:r>
          </w:p>
        </w:tc>
        <w:tc>
          <w:tcPr>
            <w:tcW w:w="1457" w:type="dxa"/>
            <w:tcBorders>
              <w:top w:val="nil"/>
              <w:left w:val="nil"/>
              <w:bottom w:val="nil"/>
              <w:right w:val="nil"/>
            </w:tcBorders>
            <w:shd w:val="clear" w:color="auto" w:fill="auto"/>
            <w:noWrap/>
            <w:vAlign w:val="bottom"/>
            <w:hideMark/>
          </w:tcPr>
          <w:p w14:paraId="12E1D9A0"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2020</w:t>
            </w:r>
          </w:p>
        </w:tc>
        <w:tc>
          <w:tcPr>
            <w:tcW w:w="1700" w:type="dxa"/>
            <w:tcBorders>
              <w:top w:val="nil"/>
              <w:left w:val="nil"/>
              <w:bottom w:val="nil"/>
              <w:right w:val="nil"/>
            </w:tcBorders>
            <w:shd w:val="clear" w:color="auto" w:fill="auto"/>
            <w:noWrap/>
            <w:vAlign w:val="bottom"/>
            <w:hideMark/>
          </w:tcPr>
          <w:p w14:paraId="12E1D9A1"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0.9700</w:t>
            </w:r>
          </w:p>
        </w:tc>
        <w:tc>
          <w:tcPr>
            <w:tcW w:w="1433" w:type="dxa"/>
            <w:tcBorders>
              <w:top w:val="nil"/>
              <w:left w:val="nil"/>
              <w:bottom w:val="nil"/>
              <w:right w:val="nil"/>
            </w:tcBorders>
            <w:shd w:val="clear" w:color="auto" w:fill="auto"/>
            <w:noWrap/>
            <w:vAlign w:val="bottom"/>
            <w:hideMark/>
          </w:tcPr>
          <w:p w14:paraId="12E1D9A2"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0.9397</w:t>
            </w:r>
          </w:p>
        </w:tc>
        <w:tc>
          <w:tcPr>
            <w:tcW w:w="1579" w:type="dxa"/>
            <w:tcBorders>
              <w:top w:val="nil"/>
              <w:left w:val="nil"/>
              <w:bottom w:val="nil"/>
              <w:right w:val="nil"/>
            </w:tcBorders>
            <w:shd w:val="clear" w:color="auto" w:fill="auto"/>
            <w:noWrap/>
            <w:vAlign w:val="bottom"/>
            <w:hideMark/>
          </w:tcPr>
          <w:p w14:paraId="12E1D9A3"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0.9200</w:t>
            </w:r>
          </w:p>
        </w:tc>
        <w:tc>
          <w:tcPr>
            <w:tcW w:w="1360" w:type="dxa"/>
            <w:tcBorders>
              <w:top w:val="nil"/>
              <w:left w:val="nil"/>
              <w:bottom w:val="nil"/>
              <w:right w:val="nil"/>
            </w:tcBorders>
            <w:shd w:val="clear" w:color="auto" w:fill="auto"/>
            <w:noWrap/>
            <w:vAlign w:val="bottom"/>
            <w:hideMark/>
          </w:tcPr>
          <w:p w14:paraId="12E1D9A4"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0.8390</w:t>
            </w:r>
          </w:p>
        </w:tc>
      </w:tr>
      <w:tr w:rsidR="001142E7" w:rsidRPr="00CE6B3E" w14:paraId="12E1D9AC" w14:textId="77777777" w:rsidTr="00C50F17">
        <w:trPr>
          <w:trHeight w:val="20"/>
          <w:jc w:val="center"/>
        </w:trPr>
        <w:tc>
          <w:tcPr>
            <w:tcW w:w="1082" w:type="dxa"/>
            <w:tcBorders>
              <w:top w:val="nil"/>
              <w:left w:val="nil"/>
              <w:bottom w:val="nil"/>
              <w:right w:val="nil"/>
            </w:tcBorders>
            <w:shd w:val="clear" w:color="auto" w:fill="auto"/>
            <w:noWrap/>
            <w:vAlign w:val="bottom"/>
            <w:hideMark/>
          </w:tcPr>
          <w:p w14:paraId="12E1D9A6" w14:textId="77777777" w:rsidR="001142E7" w:rsidRPr="00CE6B3E" w:rsidRDefault="001142E7" w:rsidP="001142E7">
            <w:pPr>
              <w:spacing w:after="0" w:line="240" w:lineRule="auto"/>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p05</w:t>
            </w:r>
          </w:p>
        </w:tc>
        <w:tc>
          <w:tcPr>
            <w:tcW w:w="1457" w:type="dxa"/>
            <w:tcBorders>
              <w:top w:val="nil"/>
              <w:left w:val="nil"/>
              <w:bottom w:val="nil"/>
              <w:right w:val="nil"/>
            </w:tcBorders>
            <w:shd w:val="clear" w:color="auto" w:fill="auto"/>
            <w:noWrap/>
            <w:vAlign w:val="bottom"/>
            <w:hideMark/>
          </w:tcPr>
          <w:p w14:paraId="12E1D9A7"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2020</w:t>
            </w:r>
          </w:p>
        </w:tc>
        <w:tc>
          <w:tcPr>
            <w:tcW w:w="1700" w:type="dxa"/>
            <w:tcBorders>
              <w:top w:val="nil"/>
              <w:left w:val="nil"/>
              <w:bottom w:val="single" w:sz="4" w:space="0" w:color="auto"/>
              <w:right w:val="nil"/>
            </w:tcBorders>
            <w:shd w:val="clear" w:color="auto" w:fill="auto"/>
            <w:noWrap/>
            <w:vAlign w:val="bottom"/>
            <w:hideMark/>
          </w:tcPr>
          <w:p w14:paraId="12E1D9A8"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0.9091</w:t>
            </w:r>
          </w:p>
        </w:tc>
        <w:tc>
          <w:tcPr>
            <w:tcW w:w="1433" w:type="dxa"/>
            <w:tcBorders>
              <w:top w:val="nil"/>
              <w:left w:val="nil"/>
              <w:bottom w:val="single" w:sz="4" w:space="0" w:color="auto"/>
              <w:right w:val="nil"/>
            </w:tcBorders>
            <w:shd w:val="clear" w:color="auto" w:fill="auto"/>
            <w:noWrap/>
            <w:vAlign w:val="bottom"/>
            <w:hideMark/>
          </w:tcPr>
          <w:p w14:paraId="12E1D9A9"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0.8197</w:t>
            </w:r>
          </w:p>
        </w:tc>
        <w:tc>
          <w:tcPr>
            <w:tcW w:w="1579" w:type="dxa"/>
            <w:tcBorders>
              <w:top w:val="nil"/>
              <w:left w:val="nil"/>
              <w:bottom w:val="single" w:sz="4" w:space="0" w:color="auto"/>
              <w:right w:val="nil"/>
            </w:tcBorders>
            <w:shd w:val="clear" w:color="auto" w:fill="auto"/>
            <w:noWrap/>
            <w:vAlign w:val="bottom"/>
            <w:hideMark/>
          </w:tcPr>
          <w:p w14:paraId="12E1D9AA"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0.9400</w:t>
            </w:r>
          </w:p>
        </w:tc>
        <w:tc>
          <w:tcPr>
            <w:tcW w:w="1360" w:type="dxa"/>
            <w:tcBorders>
              <w:top w:val="nil"/>
              <w:left w:val="nil"/>
              <w:bottom w:val="single" w:sz="4" w:space="0" w:color="auto"/>
              <w:right w:val="nil"/>
            </w:tcBorders>
            <w:shd w:val="clear" w:color="auto" w:fill="auto"/>
            <w:noWrap/>
            <w:vAlign w:val="bottom"/>
            <w:hideMark/>
          </w:tcPr>
          <w:p w14:paraId="12E1D9AB" w14:textId="77777777" w:rsidR="001142E7" w:rsidRPr="00CE6B3E" w:rsidRDefault="001142E7" w:rsidP="001142E7">
            <w:pPr>
              <w:spacing w:after="0" w:line="240" w:lineRule="auto"/>
              <w:jc w:val="center"/>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0.8796</w:t>
            </w:r>
          </w:p>
        </w:tc>
      </w:tr>
      <w:tr w:rsidR="001142E7" w:rsidRPr="00CE6B3E" w14:paraId="12E1D9B3" w14:textId="77777777" w:rsidTr="00C50F17">
        <w:trPr>
          <w:trHeight w:val="20"/>
          <w:jc w:val="center"/>
        </w:trPr>
        <w:tc>
          <w:tcPr>
            <w:tcW w:w="1082" w:type="dxa"/>
            <w:tcBorders>
              <w:top w:val="nil"/>
              <w:left w:val="nil"/>
              <w:bottom w:val="single" w:sz="4" w:space="0" w:color="auto"/>
              <w:right w:val="nil"/>
            </w:tcBorders>
            <w:shd w:val="clear" w:color="auto" w:fill="auto"/>
            <w:noWrap/>
            <w:vAlign w:val="bottom"/>
            <w:hideMark/>
          </w:tcPr>
          <w:p w14:paraId="12E1D9AD" w14:textId="77777777" w:rsidR="001142E7" w:rsidRPr="00CE6B3E" w:rsidRDefault="001142E7" w:rsidP="001142E7">
            <w:pPr>
              <w:spacing w:after="0" w:line="240" w:lineRule="auto"/>
              <w:rPr>
                <w:rFonts w:ascii="Times New Roman" w:eastAsia="Times New Roman" w:hAnsi="Times New Roman" w:cs="Times New Roman"/>
                <w:b/>
                <w:bCs/>
                <w:color w:val="000000"/>
                <w:lang w:eastAsia="es-MX"/>
              </w:rPr>
            </w:pPr>
            <w:r w:rsidRPr="00CE6B3E">
              <w:rPr>
                <w:rFonts w:ascii="Times New Roman" w:eastAsia="Times New Roman" w:hAnsi="Times New Roman" w:cs="Times New Roman"/>
                <w:b/>
                <w:bCs/>
                <w:color w:val="000000"/>
                <w:lang w:eastAsia="es-MX"/>
              </w:rPr>
              <w:t>Average</w:t>
            </w:r>
          </w:p>
        </w:tc>
        <w:tc>
          <w:tcPr>
            <w:tcW w:w="1457" w:type="dxa"/>
            <w:tcBorders>
              <w:top w:val="nil"/>
              <w:left w:val="nil"/>
              <w:bottom w:val="single" w:sz="4" w:space="0" w:color="auto"/>
              <w:right w:val="nil"/>
            </w:tcBorders>
            <w:shd w:val="clear" w:color="auto" w:fill="auto"/>
            <w:noWrap/>
            <w:vAlign w:val="bottom"/>
            <w:hideMark/>
          </w:tcPr>
          <w:p w14:paraId="12E1D9AE" w14:textId="77777777" w:rsidR="001142E7" w:rsidRPr="00CE6B3E" w:rsidRDefault="001142E7" w:rsidP="001142E7">
            <w:pPr>
              <w:spacing w:after="0" w:line="240" w:lineRule="auto"/>
              <w:rPr>
                <w:rFonts w:ascii="Times New Roman" w:eastAsia="Times New Roman" w:hAnsi="Times New Roman" w:cs="Times New Roman"/>
                <w:color w:val="000000"/>
                <w:lang w:eastAsia="es-MX"/>
              </w:rPr>
            </w:pPr>
            <w:r w:rsidRPr="00CE6B3E">
              <w:rPr>
                <w:rFonts w:ascii="Times New Roman" w:eastAsia="Times New Roman" w:hAnsi="Times New Roman" w:cs="Times New Roman"/>
                <w:color w:val="000000"/>
                <w:lang w:eastAsia="es-MX"/>
              </w:rPr>
              <w:t> </w:t>
            </w:r>
          </w:p>
        </w:tc>
        <w:tc>
          <w:tcPr>
            <w:tcW w:w="1700" w:type="dxa"/>
            <w:tcBorders>
              <w:top w:val="nil"/>
              <w:left w:val="nil"/>
              <w:bottom w:val="single" w:sz="4" w:space="0" w:color="auto"/>
              <w:right w:val="nil"/>
            </w:tcBorders>
            <w:shd w:val="clear" w:color="auto" w:fill="auto"/>
            <w:noWrap/>
            <w:vAlign w:val="bottom"/>
            <w:hideMark/>
          </w:tcPr>
          <w:p w14:paraId="12E1D9AF" w14:textId="77777777" w:rsidR="001142E7" w:rsidRPr="00CE6B3E" w:rsidRDefault="001142E7" w:rsidP="001142E7">
            <w:pPr>
              <w:spacing w:after="0" w:line="240" w:lineRule="auto"/>
              <w:jc w:val="center"/>
              <w:rPr>
                <w:rFonts w:ascii="Times New Roman" w:eastAsia="Times New Roman" w:hAnsi="Times New Roman" w:cs="Times New Roman"/>
                <w:b/>
                <w:bCs/>
                <w:color w:val="000000"/>
                <w:lang w:eastAsia="es-MX"/>
              </w:rPr>
            </w:pPr>
            <w:r w:rsidRPr="00CE6B3E">
              <w:rPr>
                <w:rFonts w:ascii="Times New Roman" w:eastAsia="Times New Roman" w:hAnsi="Times New Roman" w:cs="Times New Roman"/>
                <w:b/>
                <w:bCs/>
                <w:color w:val="000000"/>
                <w:lang w:eastAsia="es-MX"/>
              </w:rPr>
              <w:t>0.9725</w:t>
            </w:r>
          </w:p>
        </w:tc>
        <w:tc>
          <w:tcPr>
            <w:tcW w:w="1433" w:type="dxa"/>
            <w:tcBorders>
              <w:top w:val="nil"/>
              <w:left w:val="nil"/>
              <w:bottom w:val="single" w:sz="4" w:space="0" w:color="auto"/>
              <w:right w:val="nil"/>
            </w:tcBorders>
            <w:shd w:val="clear" w:color="auto" w:fill="auto"/>
            <w:noWrap/>
            <w:vAlign w:val="bottom"/>
            <w:hideMark/>
          </w:tcPr>
          <w:p w14:paraId="12E1D9B0" w14:textId="77777777" w:rsidR="001142E7" w:rsidRPr="00CE6B3E" w:rsidRDefault="001142E7" w:rsidP="001142E7">
            <w:pPr>
              <w:spacing w:after="0" w:line="240" w:lineRule="auto"/>
              <w:jc w:val="center"/>
              <w:rPr>
                <w:rFonts w:ascii="Times New Roman" w:eastAsia="Times New Roman" w:hAnsi="Times New Roman" w:cs="Times New Roman"/>
                <w:b/>
                <w:bCs/>
                <w:color w:val="000000"/>
                <w:lang w:eastAsia="es-MX"/>
              </w:rPr>
            </w:pPr>
            <w:r w:rsidRPr="00CE6B3E">
              <w:rPr>
                <w:rFonts w:ascii="Times New Roman" w:eastAsia="Times New Roman" w:hAnsi="Times New Roman" w:cs="Times New Roman"/>
                <w:b/>
                <w:bCs/>
                <w:color w:val="000000"/>
                <w:lang w:eastAsia="es-MX"/>
              </w:rPr>
              <w:t>0.9442</w:t>
            </w:r>
          </w:p>
        </w:tc>
        <w:tc>
          <w:tcPr>
            <w:tcW w:w="1579" w:type="dxa"/>
            <w:tcBorders>
              <w:top w:val="nil"/>
              <w:left w:val="nil"/>
              <w:bottom w:val="single" w:sz="4" w:space="0" w:color="auto"/>
              <w:right w:val="nil"/>
            </w:tcBorders>
            <w:shd w:val="clear" w:color="auto" w:fill="auto"/>
            <w:noWrap/>
            <w:vAlign w:val="bottom"/>
            <w:hideMark/>
          </w:tcPr>
          <w:p w14:paraId="12E1D9B1" w14:textId="77777777" w:rsidR="001142E7" w:rsidRPr="00CE6B3E" w:rsidRDefault="001142E7" w:rsidP="001142E7">
            <w:pPr>
              <w:spacing w:after="0" w:line="240" w:lineRule="auto"/>
              <w:jc w:val="center"/>
              <w:rPr>
                <w:rFonts w:ascii="Times New Roman" w:eastAsia="Times New Roman" w:hAnsi="Times New Roman" w:cs="Times New Roman"/>
                <w:b/>
                <w:bCs/>
                <w:color w:val="000000"/>
                <w:lang w:eastAsia="es-MX"/>
              </w:rPr>
            </w:pPr>
            <w:r w:rsidRPr="00CE6B3E">
              <w:rPr>
                <w:rFonts w:ascii="Times New Roman" w:eastAsia="Times New Roman" w:hAnsi="Times New Roman" w:cs="Times New Roman"/>
                <w:b/>
                <w:bCs/>
                <w:color w:val="000000"/>
                <w:lang w:eastAsia="es-MX"/>
              </w:rPr>
              <w:t>0.9440</w:t>
            </w:r>
          </w:p>
        </w:tc>
        <w:tc>
          <w:tcPr>
            <w:tcW w:w="1360" w:type="dxa"/>
            <w:tcBorders>
              <w:top w:val="nil"/>
              <w:left w:val="nil"/>
              <w:bottom w:val="single" w:sz="4" w:space="0" w:color="auto"/>
              <w:right w:val="nil"/>
            </w:tcBorders>
            <w:shd w:val="clear" w:color="auto" w:fill="auto"/>
            <w:noWrap/>
            <w:vAlign w:val="bottom"/>
            <w:hideMark/>
          </w:tcPr>
          <w:p w14:paraId="12E1D9B2" w14:textId="77777777" w:rsidR="001142E7" w:rsidRPr="00CE6B3E" w:rsidRDefault="001142E7" w:rsidP="001142E7">
            <w:pPr>
              <w:spacing w:after="0" w:line="240" w:lineRule="auto"/>
              <w:jc w:val="center"/>
              <w:rPr>
                <w:rFonts w:ascii="Times New Roman" w:eastAsia="Times New Roman" w:hAnsi="Times New Roman" w:cs="Times New Roman"/>
                <w:b/>
                <w:bCs/>
                <w:color w:val="000000"/>
                <w:lang w:eastAsia="es-MX"/>
              </w:rPr>
            </w:pPr>
            <w:r w:rsidRPr="00CE6B3E">
              <w:rPr>
                <w:rFonts w:ascii="Times New Roman" w:eastAsia="Times New Roman" w:hAnsi="Times New Roman" w:cs="Times New Roman"/>
                <w:b/>
                <w:bCs/>
                <w:color w:val="000000"/>
                <w:lang w:eastAsia="es-MX"/>
              </w:rPr>
              <w:t>0.8760</w:t>
            </w:r>
          </w:p>
        </w:tc>
      </w:tr>
    </w:tbl>
    <w:p w14:paraId="12E1D9B5" w14:textId="77777777" w:rsidR="005D769C" w:rsidRDefault="005D769C">
      <w:pPr>
        <w:rPr>
          <w:rFonts w:ascii="Times New Roman" w:hAnsi="Times New Roman" w:cs="Times New Roman"/>
        </w:rPr>
      </w:pPr>
    </w:p>
    <w:p w14:paraId="12E1D9B6" w14:textId="531FB80D" w:rsidR="00822ACE" w:rsidRPr="001E0FF1" w:rsidRDefault="00822ACE">
      <w:pPr>
        <w:rPr>
          <w:rFonts w:ascii="Times New Roman" w:hAnsi="Times New Roman" w:cs="Times New Roman"/>
        </w:rPr>
      </w:pPr>
      <w:r w:rsidRPr="001E0FF1">
        <w:rPr>
          <w:rFonts w:ascii="Times New Roman" w:hAnsi="Times New Roman" w:cs="Times New Roman"/>
        </w:rPr>
        <w:lastRenderedPageBreak/>
        <w:t>Table S</w:t>
      </w:r>
      <w:r w:rsidR="00362540">
        <w:rPr>
          <w:rFonts w:ascii="Times New Roman" w:hAnsi="Times New Roman" w:cs="Times New Roman"/>
        </w:rPr>
        <w:t>6</w:t>
      </w:r>
      <w:r w:rsidRPr="001E0FF1">
        <w:rPr>
          <w:rFonts w:ascii="Times New Roman" w:hAnsi="Times New Roman" w:cs="Times New Roman"/>
        </w:rPr>
        <w:t>: Classification accuracy indicators for 18 biosphere reserves units</w:t>
      </w:r>
      <w:r w:rsidR="0070766F">
        <w:rPr>
          <w:rFonts w:ascii="Times New Roman" w:hAnsi="Times New Roman" w:cs="Times New Roman"/>
        </w:rPr>
        <w:t xml:space="preserve">. </w:t>
      </w:r>
      <w:r w:rsidR="00213BDE">
        <w:rPr>
          <w:rFonts w:ascii="Times New Roman" w:hAnsi="Times New Roman" w:cs="Times New Roman"/>
        </w:rPr>
        <w:t>The classification correspond</w:t>
      </w:r>
      <w:r w:rsidR="00EF4604">
        <w:rPr>
          <w:rFonts w:ascii="Times New Roman" w:hAnsi="Times New Roman" w:cs="Times New Roman"/>
        </w:rPr>
        <w:t>s</w:t>
      </w:r>
      <w:r w:rsidR="00213BDE">
        <w:rPr>
          <w:rFonts w:ascii="Times New Roman" w:hAnsi="Times New Roman" w:cs="Times New Roman"/>
        </w:rPr>
        <w:t xml:space="preserve"> to the year 2020.</w:t>
      </w:r>
    </w:p>
    <w:tbl>
      <w:tblPr>
        <w:tblW w:w="5620" w:type="dxa"/>
        <w:jc w:val="center"/>
        <w:tblCellMar>
          <w:left w:w="70" w:type="dxa"/>
          <w:right w:w="70" w:type="dxa"/>
        </w:tblCellMar>
        <w:tblLook w:val="04A0" w:firstRow="1" w:lastRow="0" w:firstColumn="1" w:lastColumn="0" w:noHBand="0" w:noVBand="1"/>
      </w:tblPr>
      <w:tblGrid>
        <w:gridCol w:w="409"/>
        <w:gridCol w:w="2380"/>
        <w:gridCol w:w="1600"/>
        <w:gridCol w:w="1260"/>
      </w:tblGrid>
      <w:tr w:rsidR="00822ACE" w:rsidRPr="0091080F" w14:paraId="12E1D9BB" w14:textId="77777777" w:rsidTr="00822ACE">
        <w:trPr>
          <w:trHeight w:val="300"/>
          <w:jc w:val="center"/>
        </w:trPr>
        <w:tc>
          <w:tcPr>
            <w:tcW w:w="380" w:type="dxa"/>
            <w:tcBorders>
              <w:top w:val="single" w:sz="4" w:space="0" w:color="auto"/>
              <w:left w:val="nil"/>
              <w:bottom w:val="single" w:sz="4" w:space="0" w:color="auto"/>
              <w:right w:val="nil"/>
            </w:tcBorders>
            <w:shd w:val="clear" w:color="auto" w:fill="auto"/>
            <w:noWrap/>
            <w:vAlign w:val="bottom"/>
            <w:hideMark/>
          </w:tcPr>
          <w:p w14:paraId="12E1D9B7"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No</w:t>
            </w:r>
          </w:p>
        </w:tc>
        <w:tc>
          <w:tcPr>
            <w:tcW w:w="2380" w:type="dxa"/>
            <w:tcBorders>
              <w:top w:val="single" w:sz="4" w:space="0" w:color="auto"/>
              <w:left w:val="nil"/>
              <w:bottom w:val="single" w:sz="4" w:space="0" w:color="auto"/>
              <w:right w:val="nil"/>
            </w:tcBorders>
            <w:shd w:val="clear" w:color="auto" w:fill="auto"/>
            <w:noWrap/>
            <w:vAlign w:val="bottom"/>
            <w:hideMark/>
          </w:tcPr>
          <w:p w14:paraId="12E1D9B8" w14:textId="77777777" w:rsidR="00822ACE" w:rsidRPr="0091080F" w:rsidRDefault="00822ACE" w:rsidP="00822ACE">
            <w:pPr>
              <w:spacing w:after="0" w:line="240" w:lineRule="auto"/>
              <w:rPr>
                <w:rFonts w:ascii="Times New Roman" w:eastAsia="Times New Roman" w:hAnsi="Times New Roman" w:cs="Times New Roman"/>
                <w:color w:val="000000"/>
                <w:lang w:eastAsia="es-MX"/>
              </w:rPr>
            </w:pPr>
            <w:r w:rsidRPr="0091080F">
              <w:rPr>
                <w:rFonts w:ascii="Times New Roman" w:eastAsia="Times New Roman" w:hAnsi="Times New Roman" w:cs="Times New Roman"/>
                <w:color w:val="000000"/>
                <w:lang w:eastAsia="es-MX"/>
              </w:rPr>
              <w:t>Reserve</w:t>
            </w:r>
          </w:p>
        </w:tc>
        <w:tc>
          <w:tcPr>
            <w:tcW w:w="1600" w:type="dxa"/>
            <w:tcBorders>
              <w:top w:val="single" w:sz="4" w:space="0" w:color="auto"/>
              <w:left w:val="nil"/>
              <w:bottom w:val="single" w:sz="4" w:space="0" w:color="auto"/>
              <w:right w:val="nil"/>
            </w:tcBorders>
            <w:shd w:val="clear" w:color="auto" w:fill="auto"/>
            <w:noWrap/>
            <w:vAlign w:val="bottom"/>
            <w:hideMark/>
          </w:tcPr>
          <w:p w14:paraId="12E1D9B9" w14:textId="77777777" w:rsidR="00822ACE" w:rsidRPr="0091080F" w:rsidRDefault="00822ACE" w:rsidP="006F3995">
            <w:pPr>
              <w:spacing w:after="0" w:line="240" w:lineRule="auto"/>
              <w:jc w:val="center"/>
              <w:rPr>
                <w:rFonts w:ascii="Times New Roman" w:eastAsia="Times New Roman" w:hAnsi="Times New Roman" w:cs="Times New Roman"/>
                <w:color w:val="000000"/>
                <w:lang w:eastAsia="es-MX"/>
              </w:rPr>
            </w:pPr>
            <w:r w:rsidRPr="0091080F">
              <w:rPr>
                <w:rFonts w:ascii="Times New Roman" w:eastAsia="Times New Roman" w:hAnsi="Times New Roman" w:cs="Times New Roman"/>
                <w:color w:val="000000"/>
                <w:lang w:eastAsia="es-MX"/>
              </w:rPr>
              <w:t>Overall accuracy</w:t>
            </w:r>
          </w:p>
        </w:tc>
        <w:tc>
          <w:tcPr>
            <w:tcW w:w="1260" w:type="dxa"/>
            <w:tcBorders>
              <w:top w:val="single" w:sz="4" w:space="0" w:color="auto"/>
              <w:left w:val="nil"/>
              <w:bottom w:val="single" w:sz="4" w:space="0" w:color="auto"/>
              <w:right w:val="nil"/>
            </w:tcBorders>
            <w:shd w:val="clear" w:color="auto" w:fill="auto"/>
            <w:noWrap/>
            <w:vAlign w:val="bottom"/>
            <w:hideMark/>
          </w:tcPr>
          <w:p w14:paraId="12E1D9BA"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Kappa</w:t>
            </w:r>
          </w:p>
        </w:tc>
      </w:tr>
      <w:tr w:rsidR="00822ACE" w:rsidRPr="0091080F" w14:paraId="12E1D9C0"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BC"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1</w:t>
            </w:r>
          </w:p>
        </w:tc>
        <w:tc>
          <w:tcPr>
            <w:tcW w:w="2380" w:type="dxa"/>
            <w:tcBorders>
              <w:top w:val="nil"/>
              <w:left w:val="nil"/>
              <w:bottom w:val="nil"/>
              <w:right w:val="nil"/>
            </w:tcBorders>
            <w:shd w:val="clear" w:color="auto" w:fill="auto"/>
            <w:noWrap/>
            <w:vAlign w:val="bottom"/>
            <w:hideMark/>
          </w:tcPr>
          <w:p w14:paraId="12E1D9BD" w14:textId="77777777" w:rsidR="00822ACE" w:rsidRPr="0091080F" w:rsidRDefault="00822ACE" w:rsidP="00822ACE">
            <w:pPr>
              <w:spacing w:after="0" w:line="240" w:lineRule="auto"/>
              <w:rPr>
                <w:rFonts w:ascii="Times New Roman" w:eastAsia="Times New Roman" w:hAnsi="Times New Roman" w:cs="Times New Roman"/>
                <w:color w:val="000000"/>
                <w:lang w:eastAsia="es-MX"/>
              </w:rPr>
            </w:pPr>
            <w:r w:rsidRPr="0091080F">
              <w:rPr>
                <w:rFonts w:ascii="Times New Roman" w:eastAsia="Times New Roman" w:hAnsi="Times New Roman" w:cs="Times New Roman"/>
                <w:color w:val="000000"/>
                <w:lang w:eastAsia="es-MX"/>
              </w:rPr>
              <w:t xml:space="preserve">Barranca de </w:t>
            </w:r>
            <w:proofErr w:type="spellStart"/>
            <w:r w:rsidRPr="0091080F">
              <w:rPr>
                <w:rFonts w:ascii="Times New Roman" w:eastAsia="Times New Roman" w:hAnsi="Times New Roman" w:cs="Times New Roman"/>
                <w:color w:val="000000"/>
                <w:lang w:eastAsia="es-MX"/>
              </w:rPr>
              <w:t>Metztitlán</w:t>
            </w:r>
            <w:proofErr w:type="spellEnd"/>
          </w:p>
        </w:tc>
        <w:tc>
          <w:tcPr>
            <w:tcW w:w="1600" w:type="dxa"/>
            <w:tcBorders>
              <w:top w:val="nil"/>
              <w:left w:val="nil"/>
              <w:bottom w:val="nil"/>
              <w:right w:val="nil"/>
            </w:tcBorders>
            <w:shd w:val="clear" w:color="auto" w:fill="auto"/>
            <w:noWrap/>
            <w:vAlign w:val="bottom"/>
            <w:hideMark/>
          </w:tcPr>
          <w:p w14:paraId="12E1D9BE" w14:textId="77777777" w:rsidR="00822ACE" w:rsidRPr="0091080F" w:rsidRDefault="00822ACE" w:rsidP="006F3995">
            <w:pPr>
              <w:spacing w:after="0" w:line="240" w:lineRule="auto"/>
              <w:jc w:val="center"/>
              <w:rPr>
                <w:rFonts w:ascii="Times New Roman" w:eastAsia="Times New Roman" w:hAnsi="Times New Roman" w:cs="Times New Roman"/>
                <w:color w:val="000000"/>
                <w:lang w:eastAsia="es-MX"/>
              </w:rPr>
            </w:pPr>
            <w:r w:rsidRPr="0091080F">
              <w:rPr>
                <w:rFonts w:ascii="Times New Roman" w:eastAsia="Times New Roman" w:hAnsi="Times New Roman" w:cs="Times New Roman"/>
                <w:color w:val="000000"/>
                <w:lang w:eastAsia="es-MX"/>
              </w:rPr>
              <w:t>0.8800</w:t>
            </w:r>
          </w:p>
        </w:tc>
        <w:tc>
          <w:tcPr>
            <w:tcW w:w="1260" w:type="dxa"/>
            <w:tcBorders>
              <w:top w:val="nil"/>
              <w:left w:val="nil"/>
              <w:bottom w:val="nil"/>
              <w:right w:val="nil"/>
            </w:tcBorders>
            <w:shd w:val="clear" w:color="auto" w:fill="auto"/>
            <w:noWrap/>
            <w:vAlign w:val="bottom"/>
            <w:hideMark/>
          </w:tcPr>
          <w:p w14:paraId="12E1D9BF"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0.7200</w:t>
            </w:r>
          </w:p>
        </w:tc>
      </w:tr>
      <w:tr w:rsidR="00822ACE" w:rsidRPr="0091080F" w14:paraId="12E1D9C5"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C1"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2</w:t>
            </w:r>
          </w:p>
        </w:tc>
        <w:tc>
          <w:tcPr>
            <w:tcW w:w="2380" w:type="dxa"/>
            <w:tcBorders>
              <w:top w:val="nil"/>
              <w:left w:val="nil"/>
              <w:bottom w:val="nil"/>
              <w:right w:val="nil"/>
            </w:tcBorders>
            <w:shd w:val="clear" w:color="auto" w:fill="auto"/>
            <w:noWrap/>
            <w:vAlign w:val="bottom"/>
            <w:hideMark/>
          </w:tcPr>
          <w:p w14:paraId="12E1D9C2"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Calakmul</w:t>
            </w:r>
          </w:p>
        </w:tc>
        <w:tc>
          <w:tcPr>
            <w:tcW w:w="1600" w:type="dxa"/>
            <w:tcBorders>
              <w:top w:val="nil"/>
              <w:left w:val="nil"/>
              <w:bottom w:val="nil"/>
              <w:right w:val="nil"/>
            </w:tcBorders>
            <w:shd w:val="clear" w:color="auto" w:fill="auto"/>
            <w:noWrap/>
            <w:vAlign w:val="bottom"/>
            <w:hideMark/>
          </w:tcPr>
          <w:p w14:paraId="12E1D9C3"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0.9750</w:t>
            </w:r>
          </w:p>
        </w:tc>
        <w:tc>
          <w:tcPr>
            <w:tcW w:w="1260" w:type="dxa"/>
            <w:tcBorders>
              <w:top w:val="nil"/>
              <w:left w:val="nil"/>
              <w:bottom w:val="nil"/>
              <w:right w:val="nil"/>
            </w:tcBorders>
            <w:shd w:val="clear" w:color="auto" w:fill="auto"/>
            <w:noWrap/>
            <w:vAlign w:val="bottom"/>
            <w:hideMark/>
          </w:tcPr>
          <w:p w14:paraId="12E1D9C4"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0.7869</w:t>
            </w:r>
          </w:p>
        </w:tc>
      </w:tr>
      <w:tr w:rsidR="00822ACE" w:rsidRPr="0091080F" w14:paraId="12E1D9CA"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C6"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3</w:t>
            </w:r>
          </w:p>
        </w:tc>
        <w:tc>
          <w:tcPr>
            <w:tcW w:w="2380" w:type="dxa"/>
            <w:tcBorders>
              <w:top w:val="nil"/>
              <w:left w:val="nil"/>
              <w:bottom w:val="nil"/>
              <w:right w:val="nil"/>
            </w:tcBorders>
            <w:shd w:val="clear" w:color="auto" w:fill="auto"/>
            <w:noWrap/>
            <w:vAlign w:val="bottom"/>
            <w:hideMark/>
          </w:tcPr>
          <w:p w14:paraId="12E1D9C7"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Chamela-</w:t>
            </w:r>
            <w:proofErr w:type="spellStart"/>
            <w:r w:rsidRPr="0091080F">
              <w:rPr>
                <w:rFonts w:ascii="Times New Roman" w:eastAsia="Times New Roman" w:hAnsi="Times New Roman" w:cs="Times New Roman"/>
                <w:color w:val="000000"/>
                <w:lang w:val="es-MX" w:eastAsia="es-MX"/>
              </w:rPr>
              <w:t>Cuixmala</w:t>
            </w:r>
            <w:proofErr w:type="spellEnd"/>
          </w:p>
        </w:tc>
        <w:tc>
          <w:tcPr>
            <w:tcW w:w="1600" w:type="dxa"/>
            <w:tcBorders>
              <w:top w:val="nil"/>
              <w:left w:val="nil"/>
              <w:bottom w:val="nil"/>
              <w:right w:val="nil"/>
            </w:tcBorders>
            <w:shd w:val="clear" w:color="auto" w:fill="auto"/>
            <w:noWrap/>
            <w:vAlign w:val="bottom"/>
            <w:hideMark/>
          </w:tcPr>
          <w:p w14:paraId="12E1D9C8"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0.9100</w:t>
            </w:r>
          </w:p>
        </w:tc>
        <w:tc>
          <w:tcPr>
            <w:tcW w:w="1260" w:type="dxa"/>
            <w:tcBorders>
              <w:top w:val="nil"/>
              <w:left w:val="nil"/>
              <w:bottom w:val="nil"/>
              <w:right w:val="nil"/>
            </w:tcBorders>
            <w:shd w:val="clear" w:color="auto" w:fill="auto"/>
            <w:noWrap/>
            <w:vAlign w:val="bottom"/>
            <w:hideMark/>
          </w:tcPr>
          <w:p w14:paraId="12E1D9C9"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0.7162</w:t>
            </w:r>
          </w:p>
        </w:tc>
      </w:tr>
      <w:tr w:rsidR="00822ACE" w:rsidRPr="0091080F" w14:paraId="12E1D9CF"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CB"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4</w:t>
            </w:r>
          </w:p>
        </w:tc>
        <w:tc>
          <w:tcPr>
            <w:tcW w:w="2380" w:type="dxa"/>
            <w:tcBorders>
              <w:top w:val="nil"/>
              <w:left w:val="nil"/>
              <w:bottom w:val="nil"/>
              <w:right w:val="nil"/>
            </w:tcBorders>
            <w:shd w:val="clear" w:color="auto" w:fill="auto"/>
            <w:noWrap/>
            <w:vAlign w:val="bottom"/>
            <w:hideMark/>
          </w:tcPr>
          <w:p w14:paraId="12E1D9CC"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El Triunfo</w:t>
            </w:r>
          </w:p>
        </w:tc>
        <w:tc>
          <w:tcPr>
            <w:tcW w:w="1600" w:type="dxa"/>
            <w:tcBorders>
              <w:top w:val="nil"/>
              <w:left w:val="nil"/>
              <w:bottom w:val="nil"/>
              <w:right w:val="nil"/>
            </w:tcBorders>
            <w:shd w:val="clear" w:color="auto" w:fill="auto"/>
            <w:noWrap/>
            <w:vAlign w:val="bottom"/>
            <w:hideMark/>
          </w:tcPr>
          <w:p w14:paraId="12E1D9CD"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0.9450</w:t>
            </w:r>
          </w:p>
        </w:tc>
        <w:tc>
          <w:tcPr>
            <w:tcW w:w="1260" w:type="dxa"/>
            <w:tcBorders>
              <w:top w:val="nil"/>
              <w:left w:val="nil"/>
              <w:bottom w:val="nil"/>
              <w:right w:val="nil"/>
            </w:tcBorders>
            <w:shd w:val="clear" w:color="auto" w:fill="auto"/>
            <w:noWrap/>
            <w:vAlign w:val="bottom"/>
            <w:hideMark/>
          </w:tcPr>
          <w:p w14:paraId="12E1D9CE"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0.8084</w:t>
            </w:r>
          </w:p>
        </w:tc>
      </w:tr>
      <w:tr w:rsidR="00822ACE" w:rsidRPr="0091080F" w14:paraId="12E1D9D4"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D0"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5</w:t>
            </w:r>
          </w:p>
        </w:tc>
        <w:tc>
          <w:tcPr>
            <w:tcW w:w="2380" w:type="dxa"/>
            <w:tcBorders>
              <w:top w:val="nil"/>
              <w:left w:val="nil"/>
              <w:bottom w:val="nil"/>
              <w:right w:val="nil"/>
            </w:tcBorders>
            <w:shd w:val="clear" w:color="auto" w:fill="auto"/>
            <w:noWrap/>
            <w:vAlign w:val="bottom"/>
            <w:hideMark/>
          </w:tcPr>
          <w:p w14:paraId="12E1D9D1"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La Encrucijada</w:t>
            </w:r>
          </w:p>
        </w:tc>
        <w:tc>
          <w:tcPr>
            <w:tcW w:w="1600" w:type="dxa"/>
            <w:tcBorders>
              <w:top w:val="nil"/>
              <w:left w:val="nil"/>
              <w:bottom w:val="nil"/>
              <w:right w:val="nil"/>
            </w:tcBorders>
            <w:shd w:val="clear" w:color="auto" w:fill="auto"/>
            <w:noWrap/>
            <w:vAlign w:val="bottom"/>
            <w:hideMark/>
          </w:tcPr>
          <w:p w14:paraId="12E1D9D2"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0.7990</w:t>
            </w:r>
          </w:p>
        </w:tc>
        <w:tc>
          <w:tcPr>
            <w:tcW w:w="1260" w:type="dxa"/>
            <w:tcBorders>
              <w:top w:val="nil"/>
              <w:left w:val="nil"/>
              <w:bottom w:val="nil"/>
              <w:right w:val="nil"/>
            </w:tcBorders>
            <w:shd w:val="clear" w:color="auto" w:fill="auto"/>
            <w:noWrap/>
            <w:vAlign w:val="bottom"/>
            <w:hideMark/>
          </w:tcPr>
          <w:p w14:paraId="12E1D9D3"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0.5986</w:t>
            </w:r>
          </w:p>
        </w:tc>
      </w:tr>
      <w:tr w:rsidR="00822ACE" w:rsidRPr="0091080F" w14:paraId="12E1D9D9"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D5"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6</w:t>
            </w:r>
          </w:p>
        </w:tc>
        <w:tc>
          <w:tcPr>
            <w:tcW w:w="2380" w:type="dxa"/>
            <w:tcBorders>
              <w:top w:val="nil"/>
              <w:left w:val="nil"/>
              <w:bottom w:val="nil"/>
              <w:right w:val="nil"/>
            </w:tcBorders>
            <w:shd w:val="clear" w:color="auto" w:fill="auto"/>
            <w:noWrap/>
            <w:vAlign w:val="bottom"/>
            <w:hideMark/>
          </w:tcPr>
          <w:p w14:paraId="12E1D9D6"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La Sepultura</w:t>
            </w:r>
          </w:p>
        </w:tc>
        <w:tc>
          <w:tcPr>
            <w:tcW w:w="1600" w:type="dxa"/>
            <w:tcBorders>
              <w:top w:val="nil"/>
              <w:left w:val="nil"/>
              <w:bottom w:val="nil"/>
              <w:right w:val="nil"/>
            </w:tcBorders>
            <w:shd w:val="clear" w:color="auto" w:fill="auto"/>
            <w:noWrap/>
            <w:vAlign w:val="bottom"/>
            <w:hideMark/>
          </w:tcPr>
          <w:p w14:paraId="12E1D9D7"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0.8250</w:t>
            </w:r>
          </w:p>
        </w:tc>
        <w:tc>
          <w:tcPr>
            <w:tcW w:w="1260" w:type="dxa"/>
            <w:tcBorders>
              <w:top w:val="nil"/>
              <w:left w:val="nil"/>
              <w:bottom w:val="nil"/>
              <w:right w:val="nil"/>
            </w:tcBorders>
            <w:shd w:val="clear" w:color="auto" w:fill="auto"/>
            <w:noWrap/>
            <w:vAlign w:val="bottom"/>
            <w:hideMark/>
          </w:tcPr>
          <w:p w14:paraId="12E1D9D8"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0.5750</w:t>
            </w:r>
          </w:p>
        </w:tc>
      </w:tr>
      <w:tr w:rsidR="00822ACE" w:rsidRPr="0091080F" w14:paraId="12E1D9DE"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DA"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7</w:t>
            </w:r>
          </w:p>
        </w:tc>
        <w:tc>
          <w:tcPr>
            <w:tcW w:w="2380" w:type="dxa"/>
            <w:tcBorders>
              <w:top w:val="nil"/>
              <w:left w:val="nil"/>
              <w:bottom w:val="nil"/>
              <w:right w:val="nil"/>
            </w:tcBorders>
            <w:shd w:val="clear" w:color="auto" w:fill="auto"/>
            <w:noWrap/>
            <w:vAlign w:val="bottom"/>
            <w:hideMark/>
          </w:tcPr>
          <w:p w14:paraId="12E1D9DB"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Lacandona</w:t>
            </w:r>
            <w:r w:rsidR="00D4470B" w:rsidRPr="0091080F">
              <w:rPr>
                <w:rFonts w:ascii="Times New Roman" w:eastAsia="Times New Roman" w:hAnsi="Times New Roman" w:cs="Times New Roman"/>
                <w:color w:val="000000"/>
                <w:lang w:val="es-MX" w:eastAsia="es-MX"/>
              </w:rPr>
              <w:t xml:space="preserve"> </w:t>
            </w:r>
            <w:proofErr w:type="spellStart"/>
            <w:r w:rsidR="00D4470B" w:rsidRPr="0091080F">
              <w:rPr>
                <w:rFonts w:ascii="Times New Roman" w:eastAsia="Times New Roman" w:hAnsi="Times New Roman" w:cs="Times New Roman"/>
                <w:color w:val="000000"/>
                <w:lang w:val="es-MX" w:eastAsia="es-MX"/>
              </w:rPr>
              <w:t>complex</w:t>
            </w:r>
            <w:proofErr w:type="spellEnd"/>
          </w:p>
        </w:tc>
        <w:tc>
          <w:tcPr>
            <w:tcW w:w="1600" w:type="dxa"/>
            <w:tcBorders>
              <w:top w:val="nil"/>
              <w:left w:val="nil"/>
              <w:bottom w:val="nil"/>
              <w:right w:val="nil"/>
            </w:tcBorders>
            <w:shd w:val="clear" w:color="auto" w:fill="auto"/>
            <w:noWrap/>
            <w:vAlign w:val="bottom"/>
            <w:hideMark/>
          </w:tcPr>
          <w:p w14:paraId="12E1D9DC"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0.9300</w:t>
            </w:r>
          </w:p>
        </w:tc>
        <w:tc>
          <w:tcPr>
            <w:tcW w:w="1260" w:type="dxa"/>
            <w:tcBorders>
              <w:top w:val="nil"/>
              <w:left w:val="nil"/>
              <w:bottom w:val="nil"/>
              <w:right w:val="nil"/>
            </w:tcBorders>
            <w:shd w:val="clear" w:color="auto" w:fill="auto"/>
            <w:noWrap/>
            <w:vAlign w:val="bottom"/>
            <w:hideMark/>
          </w:tcPr>
          <w:p w14:paraId="12E1D9DD"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0.7122</w:t>
            </w:r>
          </w:p>
        </w:tc>
      </w:tr>
      <w:tr w:rsidR="00822ACE" w:rsidRPr="0091080F" w14:paraId="12E1D9E3"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DF"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8</w:t>
            </w:r>
          </w:p>
        </w:tc>
        <w:tc>
          <w:tcPr>
            <w:tcW w:w="2380" w:type="dxa"/>
            <w:tcBorders>
              <w:top w:val="nil"/>
              <w:left w:val="nil"/>
              <w:bottom w:val="nil"/>
              <w:right w:val="nil"/>
            </w:tcBorders>
            <w:shd w:val="clear" w:color="auto" w:fill="auto"/>
            <w:noWrap/>
            <w:vAlign w:val="bottom"/>
            <w:hideMark/>
          </w:tcPr>
          <w:p w14:paraId="12E1D9E0"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Los Tuxtlas</w:t>
            </w:r>
          </w:p>
        </w:tc>
        <w:tc>
          <w:tcPr>
            <w:tcW w:w="1600" w:type="dxa"/>
            <w:tcBorders>
              <w:top w:val="nil"/>
              <w:left w:val="nil"/>
              <w:bottom w:val="nil"/>
              <w:right w:val="nil"/>
            </w:tcBorders>
            <w:shd w:val="clear" w:color="auto" w:fill="auto"/>
            <w:noWrap/>
            <w:vAlign w:val="bottom"/>
            <w:hideMark/>
          </w:tcPr>
          <w:p w14:paraId="12E1D9E1"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0.9450</w:t>
            </w:r>
          </w:p>
        </w:tc>
        <w:tc>
          <w:tcPr>
            <w:tcW w:w="1260" w:type="dxa"/>
            <w:tcBorders>
              <w:top w:val="nil"/>
              <w:left w:val="nil"/>
              <w:bottom w:val="nil"/>
              <w:right w:val="nil"/>
            </w:tcBorders>
            <w:shd w:val="clear" w:color="auto" w:fill="auto"/>
            <w:noWrap/>
            <w:vAlign w:val="bottom"/>
            <w:hideMark/>
          </w:tcPr>
          <w:p w14:paraId="12E1D9E2"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0.8684</w:t>
            </w:r>
          </w:p>
        </w:tc>
      </w:tr>
      <w:tr w:rsidR="00822ACE" w:rsidRPr="0091080F" w14:paraId="12E1D9E8"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E4"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9</w:t>
            </w:r>
          </w:p>
        </w:tc>
        <w:tc>
          <w:tcPr>
            <w:tcW w:w="2380" w:type="dxa"/>
            <w:tcBorders>
              <w:top w:val="nil"/>
              <w:left w:val="nil"/>
              <w:bottom w:val="nil"/>
              <w:right w:val="nil"/>
            </w:tcBorders>
            <w:shd w:val="clear" w:color="auto" w:fill="auto"/>
            <w:noWrap/>
            <w:vAlign w:val="bottom"/>
            <w:hideMark/>
          </w:tcPr>
          <w:p w14:paraId="12E1D9E5"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LPRC</w:t>
            </w:r>
            <w:r w:rsidR="00D4470B" w:rsidRPr="0091080F">
              <w:rPr>
                <w:rFonts w:ascii="Times New Roman" w:eastAsia="Times New Roman" w:hAnsi="Times New Roman" w:cs="Times New Roman"/>
                <w:color w:val="000000"/>
                <w:lang w:val="es-MX" w:eastAsia="es-MX"/>
              </w:rPr>
              <w:t xml:space="preserve"> </w:t>
            </w:r>
            <w:proofErr w:type="spellStart"/>
            <w:r w:rsidR="00D4470B" w:rsidRPr="0091080F">
              <w:rPr>
                <w:rFonts w:ascii="Times New Roman" w:eastAsia="Times New Roman" w:hAnsi="Times New Roman" w:cs="Times New Roman"/>
                <w:color w:val="000000"/>
                <w:lang w:val="es-MX" w:eastAsia="es-MX"/>
              </w:rPr>
              <w:t>complex</w:t>
            </w:r>
            <w:proofErr w:type="spellEnd"/>
          </w:p>
        </w:tc>
        <w:tc>
          <w:tcPr>
            <w:tcW w:w="1600" w:type="dxa"/>
            <w:tcBorders>
              <w:top w:val="nil"/>
              <w:left w:val="nil"/>
              <w:bottom w:val="nil"/>
              <w:right w:val="nil"/>
            </w:tcBorders>
            <w:shd w:val="clear" w:color="auto" w:fill="auto"/>
            <w:noWrap/>
            <w:vAlign w:val="bottom"/>
            <w:hideMark/>
          </w:tcPr>
          <w:p w14:paraId="12E1D9E6"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0.9343</w:t>
            </w:r>
          </w:p>
        </w:tc>
        <w:tc>
          <w:tcPr>
            <w:tcW w:w="1260" w:type="dxa"/>
            <w:tcBorders>
              <w:top w:val="nil"/>
              <w:left w:val="nil"/>
              <w:bottom w:val="nil"/>
              <w:right w:val="nil"/>
            </w:tcBorders>
            <w:shd w:val="clear" w:color="auto" w:fill="auto"/>
            <w:noWrap/>
            <w:vAlign w:val="bottom"/>
            <w:hideMark/>
          </w:tcPr>
          <w:p w14:paraId="12E1D9E7"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0.7487</w:t>
            </w:r>
          </w:p>
        </w:tc>
      </w:tr>
      <w:tr w:rsidR="00822ACE" w:rsidRPr="0091080F" w14:paraId="12E1D9ED"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E9"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10</w:t>
            </w:r>
          </w:p>
        </w:tc>
        <w:tc>
          <w:tcPr>
            <w:tcW w:w="2380" w:type="dxa"/>
            <w:tcBorders>
              <w:top w:val="nil"/>
              <w:left w:val="nil"/>
              <w:bottom w:val="nil"/>
              <w:right w:val="nil"/>
            </w:tcBorders>
            <w:shd w:val="clear" w:color="auto" w:fill="auto"/>
            <w:noWrap/>
            <w:vAlign w:val="bottom"/>
            <w:hideMark/>
          </w:tcPr>
          <w:p w14:paraId="12E1D9EA"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Mariposa Monarca</w:t>
            </w:r>
          </w:p>
        </w:tc>
        <w:tc>
          <w:tcPr>
            <w:tcW w:w="1600" w:type="dxa"/>
            <w:tcBorders>
              <w:top w:val="nil"/>
              <w:left w:val="nil"/>
              <w:bottom w:val="nil"/>
              <w:right w:val="nil"/>
            </w:tcBorders>
            <w:shd w:val="clear" w:color="auto" w:fill="auto"/>
            <w:noWrap/>
            <w:vAlign w:val="bottom"/>
            <w:hideMark/>
          </w:tcPr>
          <w:p w14:paraId="12E1D9EB"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0.9450</w:t>
            </w:r>
          </w:p>
        </w:tc>
        <w:tc>
          <w:tcPr>
            <w:tcW w:w="1260" w:type="dxa"/>
            <w:tcBorders>
              <w:top w:val="nil"/>
              <w:left w:val="nil"/>
              <w:bottom w:val="nil"/>
              <w:right w:val="nil"/>
            </w:tcBorders>
            <w:shd w:val="clear" w:color="auto" w:fill="auto"/>
            <w:noWrap/>
            <w:vAlign w:val="bottom"/>
            <w:hideMark/>
          </w:tcPr>
          <w:p w14:paraId="12E1D9EC"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0.8078</w:t>
            </w:r>
          </w:p>
        </w:tc>
      </w:tr>
      <w:tr w:rsidR="00822ACE" w:rsidRPr="0091080F" w14:paraId="12E1D9F2"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EE"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11</w:t>
            </w:r>
          </w:p>
        </w:tc>
        <w:tc>
          <w:tcPr>
            <w:tcW w:w="2380" w:type="dxa"/>
            <w:tcBorders>
              <w:top w:val="nil"/>
              <w:left w:val="nil"/>
              <w:bottom w:val="nil"/>
              <w:right w:val="nil"/>
            </w:tcBorders>
            <w:shd w:val="clear" w:color="auto" w:fill="auto"/>
            <w:noWrap/>
            <w:vAlign w:val="bottom"/>
            <w:hideMark/>
          </w:tcPr>
          <w:p w14:paraId="12E1D9EF"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Ría Lagartos</w:t>
            </w:r>
          </w:p>
        </w:tc>
        <w:tc>
          <w:tcPr>
            <w:tcW w:w="1600" w:type="dxa"/>
            <w:tcBorders>
              <w:top w:val="nil"/>
              <w:left w:val="nil"/>
              <w:bottom w:val="nil"/>
              <w:right w:val="nil"/>
            </w:tcBorders>
            <w:shd w:val="clear" w:color="auto" w:fill="auto"/>
            <w:noWrap/>
            <w:vAlign w:val="bottom"/>
            <w:hideMark/>
          </w:tcPr>
          <w:p w14:paraId="12E1D9F0"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0.9594</w:t>
            </w:r>
          </w:p>
        </w:tc>
        <w:tc>
          <w:tcPr>
            <w:tcW w:w="1260" w:type="dxa"/>
            <w:tcBorders>
              <w:top w:val="nil"/>
              <w:left w:val="nil"/>
              <w:bottom w:val="nil"/>
              <w:right w:val="nil"/>
            </w:tcBorders>
            <w:shd w:val="clear" w:color="auto" w:fill="auto"/>
            <w:noWrap/>
            <w:vAlign w:val="bottom"/>
            <w:hideMark/>
          </w:tcPr>
          <w:p w14:paraId="12E1D9F1"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0.9114</w:t>
            </w:r>
          </w:p>
        </w:tc>
      </w:tr>
      <w:tr w:rsidR="00822ACE" w:rsidRPr="0091080F" w14:paraId="12E1D9F7"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F3"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12</w:t>
            </w:r>
          </w:p>
        </w:tc>
        <w:tc>
          <w:tcPr>
            <w:tcW w:w="2380" w:type="dxa"/>
            <w:tcBorders>
              <w:top w:val="nil"/>
              <w:left w:val="nil"/>
              <w:bottom w:val="nil"/>
              <w:right w:val="nil"/>
            </w:tcBorders>
            <w:shd w:val="clear" w:color="auto" w:fill="auto"/>
            <w:noWrap/>
            <w:vAlign w:val="bottom"/>
            <w:hideMark/>
          </w:tcPr>
          <w:p w14:paraId="12E1D9F4"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Selva El Ocote</w:t>
            </w:r>
          </w:p>
        </w:tc>
        <w:tc>
          <w:tcPr>
            <w:tcW w:w="1600" w:type="dxa"/>
            <w:tcBorders>
              <w:top w:val="nil"/>
              <w:left w:val="nil"/>
              <w:bottom w:val="nil"/>
              <w:right w:val="nil"/>
            </w:tcBorders>
            <w:shd w:val="clear" w:color="auto" w:fill="auto"/>
            <w:noWrap/>
            <w:vAlign w:val="bottom"/>
            <w:hideMark/>
          </w:tcPr>
          <w:p w14:paraId="12E1D9F5"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0.9250</w:t>
            </w:r>
          </w:p>
        </w:tc>
        <w:tc>
          <w:tcPr>
            <w:tcW w:w="1260" w:type="dxa"/>
            <w:tcBorders>
              <w:top w:val="nil"/>
              <w:left w:val="nil"/>
              <w:bottom w:val="nil"/>
              <w:right w:val="nil"/>
            </w:tcBorders>
            <w:shd w:val="clear" w:color="auto" w:fill="auto"/>
            <w:noWrap/>
            <w:vAlign w:val="bottom"/>
            <w:hideMark/>
          </w:tcPr>
          <w:p w14:paraId="12E1D9F6"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0.7727</w:t>
            </w:r>
          </w:p>
        </w:tc>
      </w:tr>
      <w:tr w:rsidR="00822ACE" w:rsidRPr="0091080F" w14:paraId="12E1D9FC"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F8"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13</w:t>
            </w:r>
          </w:p>
        </w:tc>
        <w:tc>
          <w:tcPr>
            <w:tcW w:w="2380" w:type="dxa"/>
            <w:tcBorders>
              <w:top w:val="nil"/>
              <w:left w:val="nil"/>
              <w:bottom w:val="nil"/>
              <w:right w:val="nil"/>
            </w:tcBorders>
            <w:shd w:val="clear" w:color="auto" w:fill="auto"/>
            <w:noWrap/>
            <w:vAlign w:val="bottom"/>
            <w:hideMark/>
          </w:tcPr>
          <w:p w14:paraId="12E1D9F9"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 xml:space="preserve">Sian </w:t>
            </w:r>
            <w:proofErr w:type="spellStart"/>
            <w:r w:rsidRPr="0091080F">
              <w:rPr>
                <w:rFonts w:ascii="Times New Roman" w:eastAsia="Times New Roman" w:hAnsi="Times New Roman" w:cs="Times New Roman"/>
                <w:color w:val="000000"/>
                <w:lang w:val="es-MX" w:eastAsia="es-MX"/>
              </w:rPr>
              <w:t>Ka'an</w:t>
            </w:r>
            <w:proofErr w:type="spellEnd"/>
          </w:p>
        </w:tc>
        <w:tc>
          <w:tcPr>
            <w:tcW w:w="1600" w:type="dxa"/>
            <w:tcBorders>
              <w:top w:val="nil"/>
              <w:left w:val="nil"/>
              <w:bottom w:val="nil"/>
              <w:right w:val="nil"/>
            </w:tcBorders>
            <w:shd w:val="clear" w:color="auto" w:fill="auto"/>
            <w:noWrap/>
            <w:vAlign w:val="bottom"/>
            <w:hideMark/>
          </w:tcPr>
          <w:p w14:paraId="12E1D9FA"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0.9444</w:t>
            </w:r>
          </w:p>
        </w:tc>
        <w:tc>
          <w:tcPr>
            <w:tcW w:w="1260" w:type="dxa"/>
            <w:tcBorders>
              <w:top w:val="nil"/>
              <w:left w:val="nil"/>
              <w:bottom w:val="nil"/>
              <w:right w:val="nil"/>
            </w:tcBorders>
            <w:shd w:val="clear" w:color="auto" w:fill="auto"/>
            <w:noWrap/>
            <w:vAlign w:val="bottom"/>
            <w:hideMark/>
          </w:tcPr>
          <w:p w14:paraId="12E1D9FB"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0.7263</w:t>
            </w:r>
          </w:p>
        </w:tc>
      </w:tr>
      <w:tr w:rsidR="00822ACE" w:rsidRPr="0091080F" w14:paraId="12E1DA01"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9FD"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14</w:t>
            </w:r>
          </w:p>
        </w:tc>
        <w:tc>
          <w:tcPr>
            <w:tcW w:w="2380" w:type="dxa"/>
            <w:tcBorders>
              <w:top w:val="nil"/>
              <w:left w:val="nil"/>
              <w:bottom w:val="nil"/>
              <w:right w:val="nil"/>
            </w:tcBorders>
            <w:shd w:val="clear" w:color="auto" w:fill="auto"/>
            <w:noWrap/>
            <w:vAlign w:val="bottom"/>
            <w:hideMark/>
          </w:tcPr>
          <w:p w14:paraId="12E1D9FE"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Sierra de Huautla</w:t>
            </w:r>
          </w:p>
        </w:tc>
        <w:tc>
          <w:tcPr>
            <w:tcW w:w="1600" w:type="dxa"/>
            <w:tcBorders>
              <w:top w:val="nil"/>
              <w:left w:val="nil"/>
              <w:bottom w:val="nil"/>
              <w:right w:val="nil"/>
            </w:tcBorders>
            <w:shd w:val="clear" w:color="auto" w:fill="auto"/>
            <w:noWrap/>
            <w:vAlign w:val="bottom"/>
            <w:hideMark/>
          </w:tcPr>
          <w:p w14:paraId="12E1D9FF"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0.9700</w:t>
            </w:r>
          </w:p>
        </w:tc>
        <w:tc>
          <w:tcPr>
            <w:tcW w:w="1260" w:type="dxa"/>
            <w:tcBorders>
              <w:top w:val="nil"/>
              <w:left w:val="nil"/>
              <w:bottom w:val="nil"/>
              <w:right w:val="nil"/>
            </w:tcBorders>
            <w:shd w:val="clear" w:color="auto" w:fill="auto"/>
            <w:noWrap/>
            <w:vAlign w:val="bottom"/>
            <w:hideMark/>
          </w:tcPr>
          <w:p w14:paraId="12E1DA00"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0.8961</w:t>
            </w:r>
          </w:p>
        </w:tc>
      </w:tr>
      <w:tr w:rsidR="00822ACE" w:rsidRPr="0091080F" w14:paraId="12E1DA06"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A02"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15</w:t>
            </w:r>
          </w:p>
        </w:tc>
        <w:tc>
          <w:tcPr>
            <w:tcW w:w="2380" w:type="dxa"/>
            <w:tcBorders>
              <w:top w:val="nil"/>
              <w:left w:val="nil"/>
              <w:bottom w:val="nil"/>
              <w:right w:val="nil"/>
            </w:tcBorders>
            <w:shd w:val="clear" w:color="auto" w:fill="auto"/>
            <w:noWrap/>
            <w:vAlign w:val="bottom"/>
            <w:hideMark/>
          </w:tcPr>
          <w:p w14:paraId="12E1DA03"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Sierra de Manantlán</w:t>
            </w:r>
          </w:p>
        </w:tc>
        <w:tc>
          <w:tcPr>
            <w:tcW w:w="1600" w:type="dxa"/>
            <w:tcBorders>
              <w:top w:val="nil"/>
              <w:left w:val="nil"/>
              <w:bottom w:val="nil"/>
              <w:right w:val="nil"/>
            </w:tcBorders>
            <w:shd w:val="clear" w:color="auto" w:fill="auto"/>
            <w:noWrap/>
            <w:vAlign w:val="bottom"/>
            <w:hideMark/>
          </w:tcPr>
          <w:p w14:paraId="12E1DA04"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0.9200</w:t>
            </w:r>
          </w:p>
        </w:tc>
        <w:tc>
          <w:tcPr>
            <w:tcW w:w="1260" w:type="dxa"/>
            <w:tcBorders>
              <w:top w:val="nil"/>
              <w:left w:val="nil"/>
              <w:bottom w:val="nil"/>
              <w:right w:val="nil"/>
            </w:tcBorders>
            <w:shd w:val="clear" w:color="auto" w:fill="auto"/>
            <w:noWrap/>
            <w:vAlign w:val="bottom"/>
            <w:hideMark/>
          </w:tcPr>
          <w:p w14:paraId="12E1DA05"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0.6396</w:t>
            </w:r>
          </w:p>
        </w:tc>
      </w:tr>
      <w:tr w:rsidR="00822ACE" w:rsidRPr="0091080F" w14:paraId="12E1DA0B"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A07"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16</w:t>
            </w:r>
          </w:p>
        </w:tc>
        <w:tc>
          <w:tcPr>
            <w:tcW w:w="2380" w:type="dxa"/>
            <w:tcBorders>
              <w:top w:val="nil"/>
              <w:left w:val="nil"/>
              <w:bottom w:val="nil"/>
              <w:right w:val="nil"/>
            </w:tcBorders>
            <w:shd w:val="clear" w:color="auto" w:fill="auto"/>
            <w:noWrap/>
            <w:vAlign w:val="bottom"/>
            <w:hideMark/>
          </w:tcPr>
          <w:p w14:paraId="12E1DA08"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 xml:space="preserve">Sierra del Abra </w:t>
            </w:r>
            <w:proofErr w:type="spellStart"/>
            <w:r w:rsidRPr="0091080F">
              <w:rPr>
                <w:rFonts w:ascii="Times New Roman" w:eastAsia="Times New Roman" w:hAnsi="Times New Roman" w:cs="Times New Roman"/>
                <w:color w:val="000000"/>
                <w:lang w:val="es-MX" w:eastAsia="es-MX"/>
              </w:rPr>
              <w:t>Tanchipa</w:t>
            </w:r>
            <w:proofErr w:type="spellEnd"/>
          </w:p>
        </w:tc>
        <w:tc>
          <w:tcPr>
            <w:tcW w:w="1600" w:type="dxa"/>
            <w:tcBorders>
              <w:top w:val="nil"/>
              <w:left w:val="nil"/>
              <w:bottom w:val="nil"/>
              <w:right w:val="nil"/>
            </w:tcBorders>
            <w:shd w:val="clear" w:color="auto" w:fill="auto"/>
            <w:noWrap/>
            <w:vAlign w:val="bottom"/>
            <w:hideMark/>
          </w:tcPr>
          <w:p w14:paraId="12E1DA09"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0.9350</w:t>
            </w:r>
          </w:p>
        </w:tc>
        <w:tc>
          <w:tcPr>
            <w:tcW w:w="1260" w:type="dxa"/>
            <w:tcBorders>
              <w:top w:val="nil"/>
              <w:left w:val="nil"/>
              <w:bottom w:val="nil"/>
              <w:right w:val="nil"/>
            </w:tcBorders>
            <w:shd w:val="clear" w:color="auto" w:fill="auto"/>
            <w:noWrap/>
            <w:vAlign w:val="bottom"/>
            <w:hideMark/>
          </w:tcPr>
          <w:p w14:paraId="12E1DA0A"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0.4118</w:t>
            </w:r>
          </w:p>
        </w:tc>
      </w:tr>
      <w:tr w:rsidR="00822ACE" w:rsidRPr="0091080F" w14:paraId="12E1DA10" w14:textId="77777777" w:rsidTr="00822ACE">
        <w:trPr>
          <w:trHeight w:val="300"/>
          <w:jc w:val="center"/>
        </w:trPr>
        <w:tc>
          <w:tcPr>
            <w:tcW w:w="380" w:type="dxa"/>
            <w:tcBorders>
              <w:top w:val="nil"/>
              <w:left w:val="nil"/>
              <w:bottom w:val="nil"/>
              <w:right w:val="nil"/>
            </w:tcBorders>
            <w:shd w:val="clear" w:color="auto" w:fill="auto"/>
            <w:noWrap/>
            <w:vAlign w:val="bottom"/>
            <w:hideMark/>
          </w:tcPr>
          <w:p w14:paraId="12E1DA0C"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17</w:t>
            </w:r>
          </w:p>
        </w:tc>
        <w:tc>
          <w:tcPr>
            <w:tcW w:w="2380" w:type="dxa"/>
            <w:tcBorders>
              <w:top w:val="nil"/>
              <w:left w:val="nil"/>
              <w:bottom w:val="nil"/>
              <w:right w:val="nil"/>
            </w:tcBorders>
            <w:shd w:val="clear" w:color="auto" w:fill="auto"/>
            <w:noWrap/>
            <w:vAlign w:val="bottom"/>
            <w:hideMark/>
          </w:tcPr>
          <w:p w14:paraId="12E1DA0D"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Sierra Gorda</w:t>
            </w:r>
          </w:p>
        </w:tc>
        <w:tc>
          <w:tcPr>
            <w:tcW w:w="1600" w:type="dxa"/>
            <w:tcBorders>
              <w:top w:val="nil"/>
              <w:left w:val="nil"/>
              <w:bottom w:val="nil"/>
              <w:right w:val="nil"/>
            </w:tcBorders>
            <w:shd w:val="clear" w:color="auto" w:fill="auto"/>
            <w:noWrap/>
            <w:vAlign w:val="bottom"/>
            <w:hideMark/>
          </w:tcPr>
          <w:p w14:paraId="12E1DA0E"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0.8900</w:t>
            </w:r>
          </w:p>
        </w:tc>
        <w:tc>
          <w:tcPr>
            <w:tcW w:w="1260" w:type="dxa"/>
            <w:tcBorders>
              <w:top w:val="nil"/>
              <w:left w:val="nil"/>
              <w:bottom w:val="nil"/>
              <w:right w:val="nil"/>
            </w:tcBorders>
            <w:shd w:val="clear" w:color="auto" w:fill="auto"/>
            <w:noWrap/>
            <w:vAlign w:val="bottom"/>
            <w:hideMark/>
          </w:tcPr>
          <w:p w14:paraId="12E1DA0F"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0.5908</w:t>
            </w:r>
          </w:p>
        </w:tc>
      </w:tr>
      <w:tr w:rsidR="00822ACE" w:rsidRPr="0091080F" w14:paraId="12E1DA15" w14:textId="77777777" w:rsidTr="006F3995">
        <w:trPr>
          <w:trHeight w:val="300"/>
          <w:jc w:val="center"/>
        </w:trPr>
        <w:tc>
          <w:tcPr>
            <w:tcW w:w="380" w:type="dxa"/>
            <w:tcBorders>
              <w:top w:val="nil"/>
              <w:left w:val="nil"/>
              <w:bottom w:val="single" w:sz="4" w:space="0" w:color="auto"/>
              <w:right w:val="nil"/>
            </w:tcBorders>
            <w:shd w:val="clear" w:color="auto" w:fill="auto"/>
            <w:noWrap/>
            <w:vAlign w:val="bottom"/>
            <w:hideMark/>
          </w:tcPr>
          <w:p w14:paraId="12E1DA11" w14:textId="77777777" w:rsidR="00822ACE" w:rsidRPr="0091080F" w:rsidRDefault="00822ACE" w:rsidP="00822ACE">
            <w:pPr>
              <w:spacing w:after="0" w:line="240" w:lineRule="auto"/>
              <w:jc w:val="right"/>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18</w:t>
            </w:r>
          </w:p>
        </w:tc>
        <w:tc>
          <w:tcPr>
            <w:tcW w:w="2380" w:type="dxa"/>
            <w:tcBorders>
              <w:top w:val="nil"/>
              <w:left w:val="nil"/>
              <w:bottom w:val="single" w:sz="4" w:space="0" w:color="auto"/>
              <w:right w:val="nil"/>
            </w:tcBorders>
            <w:shd w:val="clear" w:color="auto" w:fill="auto"/>
            <w:noWrap/>
            <w:vAlign w:val="bottom"/>
            <w:hideMark/>
          </w:tcPr>
          <w:p w14:paraId="12E1DA12"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Tehuacán-Cuicatlán</w:t>
            </w:r>
          </w:p>
        </w:tc>
        <w:tc>
          <w:tcPr>
            <w:tcW w:w="1600" w:type="dxa"/>
            <w:tcBorders>
              <w:top w:val="nil"/>
              <w:left w:val="nil"/>
              <w:bottom w:val="single" w:sz="4" w:space="0" w:color="auto"/>
              <w:right w:val="nil"/>
            </w:tcBorders>
            <w:shd w:val="clear" w:color="auto" w:fill="auto"/>
            <w:noWrap/>
            <w:vAlign w:val="bottom"/>
            <w:hideMark/>
          </w:tcPr>
          <w:p w14:paraId="12E1DA13"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0.8000</w:t>
            </w:r>
          </w:p>
        </w:tc>
        <w:tc>
          <w:tcPr>
            <w:tcW w:w="1260" w:type="dxa"/>
            <w:tcBorders>
              <w:top w:val="nil"/>
              <w:left w:val="nil"/>
              <w:bottom w:val="single" w:sz="4" w:space="0" w:color="auto"/>
              <w:right w:val="nil"/>
            </w:tcBorders>
            <w:shd w:val="clear" w:color="auto" w:fill="auto"/>
            <w:noWrap/>
            <w:vAlign w:val="bottom"/>
            <w:hideMark/>
          </w:tcPr>
          <w:p w14:paraId="12E1DA14" w14:textId="77777777" w:rsidR="00822ACE" w:rsidRPr="0091080F" w:rsidRDefault="00822ACE" w:rsidP="006F3995">
            <w:pPr>
              <w:spacing w:after="0" w:line="240" w:lineRule="auto"/>
              <w:jc w:val="center"/>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0.5035</w:t>
            </w:r>
          </w:p>
        </w:tc>
      </w:tr>
      <w:tr w:rsidR="00822ACE" w:rsidRPr="0091080F" w14:paraId="12E1DA1A" w14:textId="77777777" w:rsidTr="006F3995">
        <w:trPr>
          <w:trHeight w:val="300"/>
          <w:jc w:val="center"/>
        </w:trPr>
        <w:tc>
          <w:tcPr>
            <w:tcW w:w="380" w:type="dxa"/>
            <w:tcBorders>
              <w:top w:val="single" w:sz="4" w:space="0" w:color="auto"/>
              <w:left w:val="nil"/>
              <w:bottom w:val="single" w:sz="4" w:space="0" w:color="auto"/>
              <w:right w:val="nil"/>
            </w:tcBorders>
            <w:shd w:val="clear" w:color="auto" w:fill="auto"/>
            <w:noWrap/>
            <w:vAlign w:val="bottom"/>
            <w:hideMark/>
          </w:tcPr>
          <w:p w14:paraId="12E1DA16" w14:textId="77777777" w:rsidR="00822ACE" w:rsidRPr="0091080F" w:rsidRDefault="00822ACE" w:rsidP="00822ACE">
            <w:pPr>
              <w:spacing w:after="0" w:line="240" w:lineRule="auto"/>
              <w:rPr>
                <w:rFonts w:ascii="Times New Roman" w:eastAsia="Times New Roman" w:hAnsi="Times New Roman" w:cs="Times New Roman"/>
                <w:color w:val="000000"/>
                <w:lang w:val="es-MX" w:eastAsia="es-MX"/>
              </w:rPr>
            </w:pPr>
            <w:r w:rsidRPr="0091080F">
              <w:rPr>
                <w:rFonts w:ascii="Times New Roman" w:eastAsia="Times New Roman" w:hAnsi="Times New Roman" w:cs="Times New Roman"/>
                <w:color w:val="000000"/>
                <w:lang w:val="es-MX" w:eastAsia="es-MX"/>
              </w:rPr>
              <w:t> </w:t>
            </w:r>
          </w:p>
        </w:tc>
        <w:tc>
          <w:tcPr>
            <w:tcW w:w="2380" w:type="dxa"/>
            <w:tcBorders>
              <w:top w:val="single" w:sz="4" w:space="0" w:color="auto"/>
              <w:left w:val="nil"/>
              <w:bottom w:val="single" w:sz="4" w:space="0" w:color="auto"/>
              <w:right w:val="nil"/>
            </w:tcBorders>
            <w:shd w:val="clear" w:color="auto" w:fill="auto"/>
            <w:noWrap/>
            <w:vAlign w:val="bottom"/>
            <w:hideMark/>
          </w:tcPr>
          <w:p w14:paraId="12E1DA17" w14:textId="77777777" w:rsidR="00822ACE" w:rsidRPr="0091080F" w:rsidRDefault="00822ACE" w:rsidP="00822ACE">
            <w:pPr>
              <w:spacing w:after="0" w:line="240" w:lineRule="auto"/>
              <w:rPr>
                <w:rFonts w:ascii="Times New Roman" w:eastAsia="Times New Roman" w:hAnsi="Times New Roman" w:cs="Times New Roman"/>
                <w:b/>
                <w:bCs/>
                <w:color w:val="000000"/>
                <w:lang w:eastAsia="es-MX"/>
              </w:rPr>
            </w:pPr>
            <w:r w:rsidRPr="0091080F">
              <w:rPr>
                <w:rFonts w:ascii="Times New Roman" w:eastAsia="Times New Roman" w:hAnsi="Times New Roman" w:cs="Times New Roman"/>
                <w:b/>
                <w:bCs/>
                <w:color w:val="000000"/>
                <w:lang w:eastAsia="es-MX"/>
              </w:rPr>
              <w:t>Average</w:t>
            </w:r>
          </w:p>
        </w:tc>
        <w:tc>
          <w:tcPr>
            <w:tcW w:w="1600" w:type="dxa"/>
            <w:tcBorders>
              <w:top w:val="single" w:sz="4" w:space="0" w:color="auto"/>
              <w:left w:val="nil"/>
              <w:bottom w:val="single" w:sz="4" w:space="0" w:color="auto"/>
              <w:right w:val="nil"/>
            </w:tcBorders>
            <w:shd w:val="clear" w:color="auto" w:fill="auto"/>
            <w:noWrap/>
            <w:vAlign w:val="bottom"/>
            <w:hideMark/>
          </w:tcPr>
          <w:p w14:paraId="12E1DA18" w14:textId="77777777" w:rsidR="00822ACE" w:rsidRPr="0091080F" w:rsidRDefault="00822ACE" w:rsidP="006F3995">
            <w:pPr>
              <w:spacing w:after="0" w:line="240" w:lineRule="auto"/>
              <w:jc w:val="center"/>
              <w:rPr>
                <w:rFonts w:ascii="Times New Roman" w:eastAsia="Times New Roman" w:hAnsi="Times New Roman" w:cs="Times New Roman"/>
                <w:b/>
                <w:bCs/>
                <w:color w:val="000000"/>
                <w:lang w:val="es-MX" w:eastAsia="es-MX"/>
              </w:rPr>
            </w:pPr>
            <w:r w:rsidRPr="0091080F">
              <w:rPr>
                <w:rFonts w:ascii="Times New Roman" w:eastAsia="Times New Roman" w:hAnsi="Times New Roman" w:cs="Times New Roman"/>
                <w:b/>
                <w:bCs/>
                <w:color w:val="000000"/>
                <w:lang w:val="es-MX" w:eastAsia="es-MX"/>
              </w:rPr>
              <w:t>0.9129</w:t>
            </w:r>
          </w:p>
        </w:tc>
        <w:tc>
          <w:tcPr>
            <w:tcW w:w="1260" w:type="dxa"/>
            <w:tcBorders>
              <w:top w:val="single" w:sz="4" w:space="0" w:color="auto"/>
              <w:left w:val="nil"/>
              <w:bottom w:val="single" w:sz="4" w:space="0" w:color="auto"/>
              <w:right w:val="nil"/>
            </w:tcBorders>
            <w:shd w:val="clear" w:color="auto" w:fill="auto"/>
            <w:noWrap/>
            <w:vAlign w:val="bottom"/>
            <w:hideMark/>
          </w:tcPr>
          <w:p w14:paraId="12E1DA19" w14:textId="77777777" w:rsidR="00822ACE" w:rsidRPr="0091080F" w:rsidRDefault="00822ACE" w:rsidP="006F3995">
            <w:pPr>
              <w:spacing w:after="0" w:line="240" w:lineRule="auto"/>
              <w:jc w:val="center"/>
              <w:rPr>
                <w:rFonts w:ascii="Times New Roman" w:eastAsia="Times New Roman" w:hAnsi="Times New Roman" w:cs="Times New Roman"/>
                <w:b/>
                <w:bCs/>
                <w:color w:val="000000"/>
                <w:lang w:val="es-MX" w:eastAsia="es-MX"/>
              </w:rPr>
            </w:pPr>
            <w:r w:rsidRPr="0091080F">
              <w:rPr>
                <w:rFonts w:ascii="Times New Roman" w:eastAsia="Times New Roman" w:hAnsi="Times New Roman" w:cs="Times New Roman"/>
                <w:b/>
                <w:bCs/>
                <w:color w:val="000000"/>
                <w:lang w:val="es-MX" w:eastAsia="es-MX"/>
              </w:rPr>
              <w:t>0.7108</w:t>
            </w:r>
          </w:p>
        </w:tc>
      </w:tr>
    </w:tbl>
    <w:p w14:paraId="12E1DA1B" w14:textId="77777777" w:rsidR="008333F5" w:rsidRPr="00CE3F4E" w:rsidRDefault="008333F5" w:rsidP="00F26D9B">
      <w:pPr>
        <w:spacing w:line="240" w:lineRule="auto"/>
        <w:jc w:val="both"/>
        <w:rPr>
          <w:rFonts w:ascii="Times New Roman" w:hAnsi="Times New Roman" w:cs="Times New Roman"/>
          <w:b/>
          <w:sz w:val="24"/>
        </w:rPr>
      </w:pPr>
      <w:proofErr w:type="gramStart"/>
      <w:r w:rsidRPr="00CE3F4E">
        <w:rPr>
          <w:rFonts w:ascii="Times New Roman" w:hAnsi="Times New Roman" w:cs="Times New Roman"/>
          <w:b/>
          <w:sz w:val="24"/>
        </w:rPr>
        <w:t>Covariates</w:t>
      </w:r>
      <w:proofErr w:type="gramEnd"/>
      <w:r w:rsidRPr="00CE3F4E">
        <w:rPr>
          <w:rFonts w:ascii="Times New Roman" w:hAnsi="Times New Roman" w:cs="Times New Roman"/>
          <w:b/>
          <w:sz w:val="24"/>
        </w:rPr>
        <w:t xml:space="preserve"> calculation</w:t>
      </w:r>
    </w:p>
    <w:p w14:paraId="12E1DA1C" w14:textId="77777777" w:rsidR="00DF53EA" w:rsidRDefault="008333F5" w:rsidP="00F26D9B">
      <w:pPr>
        <w:spacing w:line="240" w:lineRule="auto"/>
        <w:jc w:val="both"/>
        <w:rPr>
          <w:rFonts w:ascii="Times New Roman" w:hAnsi="Times New Roman" w:cs="Times New Roman"/>
          <w:sz w:val="24"/>
        </w:rPr>
      </w:pPr>
      <w:r>
        <w:rPr>
          <w:rFonts w:ascii="Times New Roman" w:hAnsi="Times New Roman" w:cs="Times New Roman"/>
          <w:sz w:val="24"/>
        </w:rPr>
        <w:t>We used the distance to cities, distance to roads</w:t>
      </w:r>
      <w:r w:rsidR="00D87ADB">
        <w:rPr>
          <w:rFonts w:ascii="Times New Roman" w:hAnsi="Times New Roman" w:cs="Times New Roman"/>
          <w:sz w:val="24"/>
        </w:rPr>
        <w:t>,</w:t>
      </w:r>
      <w:r>
        <w:rPr>
          <w:rFonts w:ascii="Times New Roman" w:hAnsi="Times New Roman" w:cs="Times New Roman"/>
          <w:sz w:val="24"/>
        </w:rPr>
        <w:t xml:space="preserve"> and agriculture suitability index as covariates for matching analysis.</w:t>
      </w:r>
      <w:r w:rsidR="005914E5">
        <w:rPr>
          <w:rFonts w:ascii="Times New Roman" w:hAnsi="Times New Roman" w:cs="Times New Roman"/>
          <w:sz w:val="24"/>
        </w:rPr>
        <w:t xml:space="preserve"> </w:t>
      </w:r>
      <w:r>
        <w:rPr>
          <w:rFonts w:ascii="Times New Roman" w:hAnsi="Times New Roman" w:cs="Times New Roman"/>
          <w:sz w:val="24"/>
        </w:rPr>
        <w:t xml:space="preserve">We calculated the distance to cities, defined as localities with </w:t>
      </w:r>
      <w:r w:rsidR="00D87ADB">
        <w:rPr>
          <w:rFonts w:ascii="Times New Roman" w:hAnsi="Times New Roman" w:cs="Times New Roman"/>
          <w:sz w:val="24"/>
        </w:rPr>
        <w:t xml:space="preserve">a </w:t>
      </w:r>
      <w:r>
        <w:rPr>
          <w:rFonts w:ascii="Times New Roman" w:hAnsi="Times New Roman" w:cs="Times New Roman"/>
          <w:sz w:val="24"/>
        </w:rPr>
        <w:t>population of 15,000 or higher, through a geographic information system (GIS). To do that, we use</w:t>
      </w:r>
      <w:r w:rsidR="00C10C0F">
        <w:rPr>
          <w:rFonts w:ascii="Times New Roman" w:hAnsi="Times New Roman" w:cs="Times New Roman"/>
          <w:sz w:val="24"/>
        </w:rPr>
        <w:t>d</w:t>
      </w:r>
      <w:r>
        <w:rPr>
          <w:rFonts w:ascii="Times New Roman" w:hAnsi="Times New Roman" w:cs="Times New Roman"/>
          <w:sz w:val="24"/>
        </w:rPr>
        <w:t xml:space="preserve"> vectorial data of Mexican localities for the year 2000 </w:t>
      </w:r>
      <w:r w:rsidR="00B73BB6">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{"citationItems":[{"id":"ITEM-1","itemData":{"URL":"http://www.conabio.gob.mx/informacion/gis/","author":[{"dropping-particle":"","family":"CONABIO","given":"","non-dropping-particle":"","parse-names":false,"suffix":""}],"container-title":"Catálogo de metadatos geográficos. Comisión Nacional para el Conocimiento y Uso de la Biodiversidad","id":"ITEM-1","issued":{"date-parts":[["2002"]]},"title":"Localidades de la República Mexicana, 2000","type":"webpage"},"uris":["http://www.mendeley.com/documents/?uuid=113a6ee8-8137-4b1b-8e25-2d431de550ba"]}],"mendeley":{"formattedCitation":"(CONABIO, 2002)","plainTextFormattedCitation":"(CONABIO, 2002)","previouslyFormattedCitation":"(CONABIO, 2002)"},"properties":{"noteIndex":0},"schema":"https://github.com/citation-style-language/schema/raw/master/csl-citation.json"}</w:instrText>
      </w:r>
      <w:r w:rsidR="00B73BB6">
        <w:rPr>
          <w:rFonts w:ascii="Times New Roman" w:hAnsi="Times New Roman" w:cs="Times New Roman"/>
          <w:sz w:val="24"/>
        </w:rPr>
        <w:fldChar w:fldCharType="separate"/>
      </w:r>
      <w:r w:rsidRPr="00CF087B">
        <w:rPr>
          <w:rFonts w:ascii="Times New Roman" w:hAnsi="Times New Roman" w:cs="Times New Roman"/>
          <w:noProof/>
          <w:sz w:val="24"/>
        </w:rPr>
        <w:t>(CONABIO, 2002)</w:t>
      </w:r>
      <w:r w:rsidR="00B73BB6">
        <w:rPr>
          <w:rFonts w:ascii="Times New Roman" w:hAnsi="Times New Roman" w:cs="Times New Roman"/>
          <w:sz w:val="24"/>
        </w:rPr>
        <w:fldChar w:fldCharType="end"/>
      </w:r>
      <w:r>
        <w:rPr>
          <w:rFonts w:ascii="Times New Roman" w:hAnsi="Times New Roman" w:cs="Times New Roman"/>
          <w:sz w:val="24"/>
        </w:rPr>
        <w:t>.</w:t>
      </w:r>
      <w:r w:rsidR="00D87ADB">
        <w:rPr>
          <w:rFonts w:ascii="Times New Roman" w:hAnsi="Times New Roman" w:cs="Times New Roman"/>
          <w:sz w:val="24"/>
        </w:rPr>
        <w:t xml:space="preserve"> </w:t>
      </w:r>
      <w:r>
        <w:rPr>
          <w:rFonts w:ascii="Times New Roman" w:hAnsi="Times New Roman" w:cs="Times New Roman"/>
          <w:sz w:val="24"/>
        </w:rPr>
        <w:t>We generated a raster dataset of 1</w:t>
      </w:r>
      <w:r w:rsidR="00C10C0F">
        <w:rPr>
          <w:rFonts w:ascii="Times New Roman" w:hAnsi="Times New Roman" w:cs="Times New Roman"/>
          <w:sz w:val="24"/>
        </w:rPr>
        <w:t xml:space="preserve"> </w:t>
      </w:r>
      <w:r>
        <w:rPr>
          <w:rFonts w:ascii="Times New Roman" w:hAnsi="Times New Roman" w:cs="Times New Roman"/>
          <w:sz w:val="24"/>
        </w:rPr>
        <w:t>km of cell size that contain</w:t>
      </w:r>
      <w:r w:rsidR="00D87ADB">
        <w:rPr>
          <w:rFonts w:ascii="Times New Roman" w:hAnsi="Times New Roman" w:cs="Times New Roman"/>
          <w:sz w:val="24"/>
        </w:rPr>
        <w:t>s</w:t>
      </w:r>
      <w:r>
        <w:rPr>
          <w:rFonts w:ascii="Times New Roman" w:hAnsi="Times New Roman" w:cs="Times New Roman"/>
          <w:sz w:val="24"/>
        </w:rPr>
        <w:t xml:space="preserve"> the information.</w:t>
      </w:r>
    </w:p>
    <w:p w14:paraId="12E1DA1D" w14:textId="3A11D083" w:rsidR="008333F5" w:rsidRDefault="008333F5" w:rsidP="00F26D9B">
      <w:pPr>
        <w:spacing w:line="240" w:lineRule="auto"/>
        <w:jc w:val="both"/>
        <w:rPr>
          <w:rFonts w:ascii="Times New Roman" w:hAnsi="Times New Roman" w:cs="Times New Roman"/>
          <w:sz w:val="24"/>
        </w:rPr>
      </w:pPr>
      <w:r>
        <w:rPr>
          <w:rFonts w:ascii="Times New Roman" w:hAnsi="Times New Roman" w:cs="Times New Roman"/>
          <w:sz w:val="24"/>
        </w:rPr>
        <w:t xml:space="preserve">To calculate </w:t>
      </w:r>
      <w:r w:rsidR="00C20702">
        <w:rPr>
          <w:rFonts w:ascii="Times New Roman" w:hAnsi="Times New Roman" w:cs="Times New Roman"/>
          <w:sz w:val="24"/>
        </w:rPr>
        <w:t xml:space="preserve">the </w:t>
      </w:r>
      <w:r>
        <w:rPr>
          <w:rFonts w:ascii="Times New Roman" w:hAnsi="Times New Roman" w:cs="Times New Roman"/>
          <w:sz w:val="24"/>
        </w:rPr>
        <w:t xml:space="preserve">distance to roads we used vectorial data of the national roads network </w:t>
      </w:r>
      <w:r w:rsidR="00B73BB6">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URL":"https://www.inegi.org.mx/app/biblioteca/ficha.html?upc=889463674641","accessed":{"date-parts":[["2019","11","15"]]},"author":[{"dropping-particle":"","family":"INEGI","given":"","non-dropping-particle":"","parse-names":false,"suffix":""}],"container-title":"Instituto Nacional de Estadística y Geografía","id":"ITEM-1","issued":{"date-parts":[["2018"]]},"title":"Red nacional de caminos RCN. 2018","type":"webpage"},"uris":["http://www.mendeley.com/documents/?uuid=66ab522e-7884-44f5-a5e7-17d9f4153c43"]}],"mendeley":{"formattedCitation":"(INEGI, 2018)","plainTextFormattedCitation":"(INEGI, 2018)","previouslyFormattedCitation":"(INEGI, 2018)"},"properties":{"noteIndex":0},"schema":"https://github.com/citation-style-language/schema/raw/master/csl-citation.json"}</w:instrText>
      </w:r>
      <w:r w:rsidR="00B73BB6">
        <w:rPr>
          <w:rFonts w:ascii="Times New Roman" w:hAnsi="Times New Roman" w:cs="Times New Roman"/>
          <w:sz w:val="24"/>
        </w:rPr>
        <w:fldChar w:fldCharType="separate"/>
      </w:r>
      <w:r w:rsidRPr="00CF087B">
        <w:rPr>
          <w:rFonts w:ascii="Times New Roman" w:hAnsi="Times New Roman" w:cs="Times New Roman"/>
          <w:noProof/>
          <w:sz w:val="24"/>
        </w:rPr>
        <w:t>(INEGI, 2018)</w:t>
      </w:r>
      <w:r w:rsidR="00B73BB6">
        <w:rPr>
          <w:rFonts w:ascii="Times New Roman" w:hAnsi="Times New Roman" w:cs="Times New Roman"/>
          <w:sz w:val="24"/>
        </w:rPr>
        <w:fldChar w:fldCharType="end"/>
      </w:r>
      <w:r>
        <w:rPr>
          <w:rFonts w:ascii="Times New Roman" w:hAnsi="Times New Roman" w:cs="Times New Roman"/>
          <w:sz w:val="24"/>
        </w:rPr>
        <w:t>. We assessed the distance to roads through the GIS and generate</w:t>
      </w:r>
      <w:r w:rsidR="00C10C0F">
        <w:rPr>
          <w:rFonts w:ascii="Times New Roman" w:hAnsi="Times New Roman" w:cs="Times New Roman"/>
          <w:sz w:val="24"/>
        </w:rPr>
        <w:t>d</w:t>
      </w:r>
      <w:r>
        <w:rPr>
          <w:rFonts w:ascii="Times New Roman" w:hAnsi="Times New Roman" w:cs="Times New Roman"/>
          <w:sz w:val="24"/>
        </w:rPr>
        <w:t xml:space="preserve"> a raster dataset of 1</w:t>
      </w:r>
      <w:r w:rsidR="00C10C0F">
        <w:rPr>
          <w:rFonts w:ascii="Times New Roman" w:hAnsi="Times New Roman" w:cs="Times New Roman"/>
          <w:sz w:val="24"/>
        </w:rPr>
        <w:t xml:space="preserve"> </w:t>
      </w:r>
      <w:r>
        <w:rPr>
          <w:rFonts w:ascii="Times New Roman" w:hAnsi="Times New Roman" w:cs="Times New Roman"/>
          <w:sz w:val="24"/>
        </w:rPr>
        <w:t>km of cell size.</w:t>
      </w:r>
      <w:r w:rsidR="00BE0A9C">
        <w:rPr>
          <w:rFonts w:ascii="Times New Roman" w:hAnsi="Times New Roman" w:cs="Times New Roman"/>
          <w:sz w:val="24"/>
        </w:rPr>
        <w:t xml:space="preserve"> </w:t>
      </w:r>
      <w:r>
        <w:rPr>
          <w:rFonts w:ascii="Times New Roman" w:hAnsi="Times New Roman" w:cs="Times New Roman"/>
          <w:sz w:val="24"/>
        </w:rPr>
        <w:t>We calculated the agriculture suitability index using data of climate, soil</w:t>
      </w:r>
      <w:r w:rsidR="00C20702">
        <w:rPr>
          <w:rFonts w:ascii="Times New Roman" w:hAnsi="Times New Roman" w:cs="Times New Roman"/>
          <w:sz w:val="24"/>
        </w:rPr>
        <w:t>,</w:t>
      </w:r>
      <w:r>
        <w:rPr>
          <w:rFonts w:ascii="Times New Roman" w:hAnsi="Times New Roman" w:cs="Times New Roman"/>
          <w:sz w:val="24"/>
        </w:rPr>
        <w:t xml:space="preserve"> and orography. As climate variables</w:t>
      </w:r>
      <w:r w:rsidR="00C20702">
        <w:rPr>
          <w:rFonts w:ascii="Times New Roman" w:hAnsi="Times New Roman" w:cs="Times New Roman"/>
          <w:sz w:val="24"/>
        </w:rPr>
        <w:t>,</w:t>
      </w:r>
      <w:r>
        <w:rPr>
          <w:rFonts w:ascii="Times New Roman" w:hAnsi="Times New Roman" w:cs="Times New Roman"/>
          <w:sz w:val="24"/>
        </w:rPr>
        <w:t xml:space="preserve"> we considered the mean annual temperature, temperature annual range, mean annual precipitation</w:t>
      </w:r>
      <w:r w:rsidR="00C20702">
        <w:rPr>
          <w:rFonts w:ascii="Times New Roman" w:hAnsi="Times New Roman" w:cs="Times New Roman"/>
          <w:sz w:val="24"/>
        </w:rPr>
        <w:t>,</w:t>
      </w:r>
      <w:r>
        <w:rPr>
          <w:rFonts w:ascii="Times New Roman" w:hAnsi="Times New Roman" w:cs="Times New Roman"/>
          <w:sz w:val="24"/>
        </w:rPr>
        <w:t xml:space="preserve"> and precipitation of the driest quarter </w:t>
      </w:r>
      <w:r w:rsidR="00B73BB6">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{"citationItems":[{"id":"ITEM-1","itemData":{"DOI":"10.1002/joc.5086","ISBN":"1097-0088","ISSN":"10970088","abstract":"We created a new dataset of spatially interpolated monthly climate data for global land areas at a very high spatial resolution (approximately 1 km2). We included monthly temperature (minimum, maximum and average), precipitation, solar radiation, vapour pressure and wind speed, aggregated across a target temporal range of 1970–2000, using data from between 9000 and 60 000 weather stations. Weather station data were interpolated using thin-plate splines with covariates including elevation, distance to the coast and three satellite-derived covariates: maximum and minimum land surface temperature as well as cloud cover, obtained with the MODIS satellite platform. Interpolation was done for 23 regions of varying size depending on station density. Satellite data improved prediction accuracy for temperature variables 5–15% (0.07–0.17 °C), particularly for areas with a low station density, although prediction error remained high in such regions for all climate variables. Contributions of satellite covariates were mostly negligible for the other variables, although their importance varied by region. In contrast to the common approach to use a single model formulation for the entire world, we constructed the final product by selecting the best performing model for each region and variable. Global cross-validation correlations were ≥ 0.99 for temperature and humidity, 0.86 for precipitation and 0.76 for wind speed. The fact that most of our climate surface estimates were only marginally improved by use of satellite covariates highlights the importance having a dense, high-quality network of climate station data.","author":[{"dropping-particle":"","family":"Fick","given":"Stephen E.","non-dropping-particle":"","parse-names":false,"suffix":""},{"dropping-particle":"","family":"Hijmans","given":"Robert J.","non-dropping-particle":"","parse-names":false,"suffix":""}],"container-title":"International Journal of Climatology","id":"ITEM-1","issue":"12","issued":{"date-parts":[["2017"]]},"page":"4302-4315","title":"WorldClim 2: new 1-km spatial resolution climate surfaces for global land areas","type":"article-journal","volume":"37"},"uris":["http://www.mendeley.com/documents/?uuid=7f188219-2026-4d66-8556-b3fa6c251b73"]}],"mendeley":{"formattedCitation":"(Fick and Hijmans, 2017)","plainTextFormattedCitation":"(Fick and Hijmans, 2017)","previouslyFormattedCitation":"(Fick and Hijmans, 2017)"},"properties":{"noteIndex":0},"schema":"https://github.com/citation-style-language/schema/raw/master/csl-citation.json"}</w:instrText>
      </w:r>
      <w:r w:rsidR="00B73BB6">
        <w:rPr>
          <w:rFonts w:ascii="Times New Roman" w:hAnsi="Times New Roman" w:cs="Times New Roman"/>
          <w:sz w:val="24"/>
        </w:rPr>
        <w:fldChar w:fldCharType="separate"/>
      </w:r>
      <w:r w:rsidRPr="00CF087B">
        <w:rPr>
          <w:rFonts w:ascii="Times New Roman" w:hAnsi="Times New Roman" w:cs="Times New Roman"/>
          <w:noProof/>
          <w:sz w:val="24"/>
        </w:rPr>
        <w:t>(Fick and Hijmans, 2017)</w:t>
      </w:r>
      <w:r w:rsidR="00B73BB6">
        <w:rPr>
          <w:rFonts w:ascii="Times New Roman" w:hAnsi="Times New Roman" w:cs="Times New Roman"/>
          <w:sz w:val="24"/>
        </w:rPr>
        <w:fldChar w:fldCharType="end"/>
      </w:r>
      <w:r>
        <w:rPr>
          <w:rFonts w:ascii="Times New Roman" w:hAnsi="Times New Roman" w:cs="Times New Roman"/>
          <w:sz w:val="24"/>
        </w:rPr>
        <w:t>. As soil variables</w:t>
      </w:r>
      <w:r w:rsidR="00C20702">
        <w:rPr>
          <w:rFonts w:ascii="Times New Roman" w:hAnsi="Times New Roman" w:cs="Times New Roman"/>
          <w:sz w:val="24"/>
        </w:rPr>
        <w:t>,</w:t>
      </w:r>
      <w:r>
        <w:rPr>
          <w:rFonts w:ascii="Times New Roman" w:hAnsi="Times New Roman" w:cs="Times New Roman"/>
          <w:sz w:val="24"/>
        </w:rPr>
        <w:t xml:space="preserve"> we used the concentration of Ca, Na, organic carbon, and pH </w:t>
      </w:r>
      <w:r w:rsidR="00B73BB6">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URL":"https://www.inegi.org.mx/temas/mapas/edafologia/","accessed":{"date-parts":[["2019","5","20"]]},"author":[{"dropping-particle":"","family":"INEGI","given":"","non-dropping-particle":"","parse-names":false,"suffix":""}],"container-title":"Instituto Nacional de Estadística y Geografía","id":"ITEM-1","issued":{"date-parts":[["2013"]]},"title":"Conjunto de Datos de Perfiles de Suelos. Escala 1:250 000 Serie II.","type":"webpage"},"uris":["http://www.mendeley.com/documents/?uuid=35d73fd8-d15e-4d67-b231-ae70f1eb6067"]}],"mendeley":{"formattedCitation":"(INEGI, 2013a)","plainTextFormattedCitation":"(INEGI, 2013a)","previouslyFormattedCitation":"(INEGI, 2013a)"},"properties":{"noteIndex":0},"schema":"https://github.com/citation-style-language/schema/raw/master/csl-citation.json"}</w:instrText>
      </w:r>
      <w:r w:rsidR="00B73BB6">
        <w:rPr>
          <w:rFonts w:ascii="Times New Roman" w:hAnsi="Times New Roman" w:cs="Times New Roman"/>
          <w:sz w:val="24"/>
        </w:rPr>
        <w:fldChar w:fldCharType="separate"/>
      </w:r>
      <w:r w:rsidRPr="00CF087B">
        <w:rPr>
          <w:rFonts w:ascii="Times New Roman" w:hAnsi="Times New Roman" w:cs="Times New Roman"/>
          <w:noProof/>
          <w:sz w:val="24"/>
        </w:rPr>
        <w:t>(INEGI, 2013a)</w:t>
      </w:r>
      <w:r w:rsidR="00B73BB6">
        <w:rPr>
          <w:rFonts w:ascii="Times New Roman" w:hAnsi="Times New Roman" w:cs="Times New Roman"/>
          <w:sz w:val="24"/>
        </w:rPr>
        <w:fldChar w:fldCharType="end"/>
      </w:r>
      <w:r>
        <w:rPr>
          <w:rFonts w:ascii="Times New Roman" w:hAnsi="Times New Roman" w:cs="Times New Roman"/>
          <w:sz w:val="24"/>
        </w:rPr>
        <w:t>. And as orographic variables</w:t>
      </w:r>
      <w:r w:rsidR="00C20702">
        <w:rPr>
          <w:rFonts w:ascii="Times New Roman" w:hAnsi="Times New Roman" w:cs="Times New Roman"/>
          <w:sz w:val="24"/>
        </w:rPr>
        <w:t>,</w:t>
      </w:r>
      <w:r>
        <w:rPr>
          <w:rFonts w:ascii="Times New Roman" w:hAnsi="Times New Roman" w:cs="Times New Roman"/>
          <w:sz w:val="24"/>
        </w:rPr>
        <w:t xml:space="preserve"> we use elevation and slope </w:t>
      </w:r>
      <w:r w:rsidR="00B73BB6">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URL":"http://www.beta.inegi.org.mx/app/geo2/elevacionesmex/","accessed":{"date-parts":[["2019","1","5"]]},"author":[{"dropping-particle":"","family":"INEGI","given":"","non-dropping-particle":"","parse-names":false,"suffix":""}],"container-title":"Instituto Nacional de Estadística y Geografía","id":"ITEM-1","issued":{"date-parts":[["2013"]]},"title":"Continúo de Elevaciones Mexicano 3.0","type":"webpage"},"uris":["http://www.mendeley.com/documents/?uuid=bd2bf67c-bd45-4141-9a10-509da9566d4d"]}],"mendeley":{"formattedCitation":"(INEGI, 2013b)","plainTextFormattedCitation":"(INEGI, 2013b)","previouslyFormattedCitation":"(INEGI, 2013b)"},"properties":{"noteIndex":0},"schema":"https://github.com/citation-style-language/schema/raw/master/csl-citation.json"}</w:instrText>
      </w:r>
      <w:r w:rsidR="00B73BB6">
        <w:rPr>
          <w:rFonts w:ascii="Times New Roman" w:hAnsi="Times New Roman" w:cs="Times New Roman"/>
          <w:sz w:val="24"/>
        </w:rPr>
        <w:fldChar w:fldCharType="separate"/>
      </w:r>
      <w:r w:rsidRPr="00CF087B">
        <w:rPr>
          <w:rFonts w:ascii="Times New Roman" w:hAnsi="Times New Roman" w:cs="Times New Roman"/>
          <w:noProof/>
          <w:sz w:val="24"/>
        </w:rPr>
        <w:t>(INEGI, 2013b)</w:t>
      </w:r>
      <w:r w:rsidR="00B73BB6">
        <w:rPr>
          <w:rFonts w:ascii="Times New Roman" w:hAnsi="Times New Roman" w:cs="Times New Roman"/>
          <w:sz w:val="24"/>
        </w:rPr>
        <w:fldChar w:fldCharType="end"/>
      </w:r>
      <w:r>
        <w:rPr>
          <w:rFonts w:ascii="Times New Roman" w:hAnsi="Times New Roman" w:cs="Times New Roman"/>
          <w:sz w:val="24"/>
        </w:rPr>
        <w:t>. We obtained data o</w:t>
      </w:r>
      <w:r w:rsidR="00C20702">
        <w:rPr>
          <w:rFonts w:ascii="Times New Roman" w:hAnsi="Times New Roman" w:cs="Times New Roman"/>
          <w:sz w:val="24"/>
        </w:rPr>
        <w:t>n</w:t>
      </w:r>
      <w:r>
        <w:rPr>
          <w:rFonts w:ascii="Times New Roman" w:hAnsi="Times New Roman" w:cs="Times New Roman"/>
          <w:sz w:val="24"/>
        </w:rPr>
        <w:t xml:space="preserve"> </w:t>
      </w:r>
      <w:r w:rsidR="00A87BBA">
        <w:rPr>
          <w:rFonts w:ascii="Times New Roman" w:hAnsi="Times New Roman" w:cs="Times New Roman"/>
          <w:sz w:val="24"/>
        </w:rPr>
        <w:t xml:space="preserve">the </w:t>
      </w:r>
      <w:r>
        <w:rPr>
          <w:rFonts w:ascii="Times New Roman" w:hAnsi="Times New Roman" w:cs="Times New Roman"/>
          <w:sz w:val="24"/>
        </w:rPr>
        <w:t>presence or absence of agricultur</w:t>
      </w:r>
      <w:r w:rsidR="00A87BBA">
        <w:rPr>
          <w:rFonts w:ascii="Times New Roman" w:hAnsi="Times New Roman" w:cs="Times New Roman"/>
          <w:sz w:val="24"/>
        </w:rPr>
        <w:t>al</w:t>
      </w:r>
      <w:r>
        <w:rPr>
          <w:rFonts w:ascii="Times New Roman" w:hAnsi="Times New Roman" w:cs="Times New Roman"/>
          <w:sz w:val="24"/>
        </w:rPr>
        <w:t xml:space="preserve"> lands from the Mad-Mex land use/cover classification. Mad-Mex provide</w:t>
      </w:r>
      <w:r w:rsidR="00A87BBA">
        <w:rPr>
          <w:rFonts w:ascii="Times New Roman" w:hAnsi="Times New Roman" w:cs="Times New Roman"/>
          <w:sz w:val="24"/>
        </w:rPr>
        <w:t>s</w:t>
      </w:r>
      <w:r>
        <w:rPr>
          <w:rFonts w:ascii="Times New Roman" w:hAnsi="Times New Roman" w:cs="Times New Roman"/>
          <w:sz w:val="24"/>
        </w:rPr>
        <w:t xml:space="preserve"> information o</w:t>
      </w:r>
      <w:r w:rsidR="00A87BBA">
        <w:rPr>
          <w:rFonts w:ascii="Times New Roman" w:hAnsi="Times New Roman" w:cs="Times New Roman"/>
          <w:sz w:val="24"/>
        </w:rPr>
        <w:t>n</w:t>
      </w:r>
      <w:r>
        <w:rPr>
          <w:rFonts w:ascii="Times New Roman" w:hAnsi="Times New Roman" w:cs="Times New Roman"/>
          <w:sz w:val="24"/>
        </w:rPr>
        <w:t xml:space="preserve"> 17 land cover classes at 30m of resolution. We reclassified these classes in </w:t>
      </w:r>
      <w:r w:rsidR="00A87BBA">
        <w:rPr>
          <w:rFonts w:ascii="Times New Roman" w:hAnsi="Times New Roman" w:cs="Times New Roman"/>
          <w:sz w:val="24"/>
        </w:rPr>
        <w:t xml:space="preserve">a </w:t>
      </w:r>
      <w:r>
        <w:rPr>
          <w:rFonts w:ascii="Times New Roman" w:hAnsi="Times New Roman" w:cs="Times New Roman"/>
          <w:sz w:val="24"/>
        </w:rPr>
        <w:t>binary raster of agriculture/non-agriculture.</w:t>
      </w:r>
    </w:p>
    <w:p w14:paraId="12E1DA1E" w14:textId="77777777" w:rsidR="008333F5" w:rsidRDefault="008333F5" w:rsidP="008333F5">
      <w:pPr>
        <w:spacing w:line="360" w:lineRule="auto"/>
        <w:jc w:val="center"/>
        <w:rPr>
          <w:rFonts w:ascii="Times New Roman" w:hAnsi="Times New Roman" w:cs="Times New Roman"/>
          <w:sz w:val="24"/>
        </w:rPr>
      </w:pPr>
      <w:r w:rsidRPr="00B05174">
        <w:rPr>
          <w:rFonts w:ascii="Times New Roman" w:hAnsi="Times New Roman" w:cs="Times New Roman"/>
          <w:noProof/>
          <w:sz w:val="24"/>
          <w:lang w:val="es-ES" w:eastAsia="es-ES"/>
        </w:rPr>
        <w:lastRenderedPageBreak/>
        <w:drawing>
          <wp:inline distT="0" distB="0" distL="0" distR="0" wp14:anchorId="12E1DC2D" wp14:editId="12E1DC2E">
            <wp:extent cx="2562225" cy="2527300"/>
            <wp:effectExtent l="0" t="0" r="9525" b="6350"/>
            <wp:docPr id="15" name="Imagen 15" descr="C:\Users\ZBook\OneDrive\Documentos\Trabajo de investigacion VII\plots\cap_01\variables_suitability_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Book\OneDrive\Documentos\Trabajo de investigacion VII\plots\cap_01\variables_suitability_in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0677"/>
                    <a:stretch/>
                  </pic:blipFill>
                  <pic:spPr bwMode="auto">
                    <a:xfrm>
                      <a:off x="0" y="0"/>
                      <a:ext cx="2565165" cy="2530200"/>
                    </a:xfrm>
                    <a:prstGeom prst="rect">
                      <a:avLst/>
                    </a:prstGeom>
                    <a:noFill/>
                    <a:ln>
                      <a:noFill/>
                    </a:ln>
                    <a:extLst>
                      <a:ext uri="{53640926-AAD7-44D8-BBD7-CCE9431645EC}">
                        <a14:shadowObscured xmlns:a14="http://schemas.microsoft.com/office/drawing/2010/main"/>
                      </a:ext>
                    </a:extLst>
                  </pic:spPr>
                </pic:pic>
              </a:graphicData>
            </a:graphic>
          </wp:inline>
        </w:drawing>
      </w:r>
      <w:r w:rsidR="009D464B" w:rsidRPr="00B05174">
        <w:rPr>
          <w:rFonts w:ascii="Times New Roman" w:hAnsi="Times New Roman" w:cs="Times New Roman"/>
          <w:noProof/>
          <w:sz w:val="24"/>
          <w:lang w:val="es-ES" w:eastAsia="es-ES"/>
        </w:rPr>
        <w:drawing>
          <wp:inline distT="0" distB="0" distL="0" distR="0" wp14:anchorId="12E1DC2F" wp14:editId="12E1DC30">
            <wp:extent cx="2562225" cy="2577648"/>
            <wp:effectExtent l="0" t="0" r="0" b="0"/>
            <wp:docPr id="19" name="Imagen 19" descr="C:\Users\ZBook\OneDrive\Documentos\Trabajo de investigacion VII\plots\cap_01\variables_suitability_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Book\OneDrive\Documentos\Trabajo de investigacion VII\plots\cap_01\variables_suitability_in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9695"/>
                    <a:stretch/>
                  </pic:blipFill>
                  <pic:spPr bwMode="auto">
                    <a:xfrm>
                      <a:off x="0" y="0"/>
                      <a:ext cx="2565165" cy="2580606"/>
                    </a:xfrm>
                    <a:prstGeom prst="rect">
                      <a:avLst/>
                    </a:prstGeom>
                    <a:noFill/>
                    <a:ln>
                      <a:noFill/>
                    </a:ln>
                    <a:extLst>
                      <a:ext uri="{53640926-AAD7-44D8-BBD7-CCE9431645EC}">
                        <a14:shadowObscured xmlns:a14="http://schemas.microsoft.com/office/drawing/2010/main"/>
                      </a:ext>
                    </a:extLst>
                  </pic:spPr>
                </pic:pic>
              </a:graphicData>
            </a:graphic>
          </wp:inline>
        </w:drawing>
      </w:r>
    </w:p>
    <w:p w14:paraId="12E1DA1F" w14:textId="5612E9CA" w:rsidR="008333F5" w:rsidRPr="002B7718" w:rsidRDefault="008333F5" w:rsidP="005D769C">
      <w:pPr>
        <w:spacing w:line="240" w:lineRule="auto"/>
        <w:jc w:val="both"/>
        <w:rPr>
          <w:rFonts w:ascii="Times New Roman" w:hAnsi="Times New Roman" w:cs="Times New Roman"/>
          <w:szCs w:val="20"/>
        </w:rPr>
      </w:pPr>
      <w:r w:rsidRPr="002B7718">
        <w:rPr>
          <w:rFonts w:ascii="Times New Roman" w:hAnsi="Times New Roman" w:cs="Times New Roman"/>
          <w:szCs w:val="20"/>
        </w:rPr>
        <w:t>Figure S</w:t>
      </w:r>
      <w:r w:rsidR="00FA1D88">
        <w:rPr>
          <w:rFonts w:ascii="Times New Roman" w:hAnsi="Times New Roman" w:cs="Times New Roman"/>
          <w:szCs w:val="20"/>
        </w:rPr>
        <w:t>8</w:t>
      </w:r>
      <w:r w:rsidRPr="002B7718">
        <w:rPr>
          <w:rFonts w:ascii="Times New Roman" w:hAnsi="Times New Roman" w:cs="Times New Roman"/>
          <w:szCs w:val="20"/>
        </w:rPr>
        <w:t>: a) Predicted response curves of the explanatory variables as predictors of agriculture suitability index according to binomial model. b) Relative importance of each explanatory variable determined by Pearson correlation permutation.</w:t>
      </w:r>
    </w:p>
    <w:p w14:paraId="12E1DA20" w14:textId="34E3BDAA" w:rsidR="008333F5" w:rsidRDefault="008333F5" w:rsidP="00F26D9B">
      <w:pPr>
        <w:spacing w:line="240" w:lineRule="auto"/>
        <w:jc w:val="both"/>
        <w:rPr>
          <w:rFonts w:ascii="Times New Roman" w:hAnsi="Times New Roman" w:cs="Times New Roman"/>
          <w:sz w:val="24"/>
        </w:rPr>
      </w:pPr>
      <w:r>
        <w:rPr>
          <w:rFonts w:ascii="Times New Roman" w:hAnsi="Times New Roman" w:cs="Times New Roman"/>
          <w:sz w:val="24"/>
        </w:rPr>
        <w:t>To calculate the agriculture suitability index, we used binomial generalized linear models. As response variable</w:t>
      </w:r>
      <w:r w:rsidR="000A2AF6">
        <w:rPr>
          <w:rFonts w:ascii="Times New Roman" w:hAnsi="Times New Roman" w:cs="Times New Roman"/>
          <w:sz w:val="24"/>
        </w:rPr>
        <w:t>,</w:t>
      </w:r>
      <w:r>
        <w:rPr>
          <w:rFonts w:ascii="Times New Roman" w:hAnsi="Times New Roman" w:cs="Times New Roman"/>
          <w:sz w:val="24"/>
        </w:rPr>
        <w:t xml:space="preserve"> we use</w:t>
      </w:r>
      <w:r w:rsidR="00C112B8">
        <w:rPr>
          <w:rFonts w:ascii="Times New Roman" w:hAnsi="Times New Roman" w:cs="Times New Roman"/>
          <w:sz w:val="24"/>
        </w:rPr>
        <w:t>d</w:t>
      </w:r>
      <w:r>
        <w:rPr>
          <w:rFonts w:ascii="Times New Roman" w:hAnsi="Times New Roman" w:cs="Times New Roman"/>
          <w:sz w:val="24"/>
        </w:rPr>
        <w:t xml:space="preserve"> presences-absence of agriculture and we train</w:t>
      </w:r>
      <w:r w:rsidR="00C112B8">
        <w:rPr>
          <w:rFonts w:ascii="Times New Roman" w:hAnsi="Times New Roman" w:cs="Times New Roman"/>
          <w:sz w:val="24"/>
        </w:rPr>
        <w:t>ed</w:t>
      </w:r>
      <w:r>
        <w:rPr>
          <w:rFonts w:ascii="Times New Roman" w:hAnsi="Times New Roman" w:cs="Times New Roman"/>
          <w:sz w:val="24"/>
        </w:rPr>
        <w:t xml:space="preserve"> the model with all the set of </w:t>
      </w:r>
      <w:proofErr w:type="gramStart"/>
      <w:r>
        <w:rPr>
          <w:rFonts w:ascii="Times New Roman" w:hAnsi="Times New Roman" w:cs="Times New Roman"/>
          <w:sz w:val="24"/>
        </w:rPr>
        <w:t>climate</w:t>
      </w:r>
      <w:proofErr w:type="gramEnd"/>
      <w:r>
        <w:rPr>
          <w:rFonts w:ascii="Times New Roman" w:hAnsi="Times New Roman" w:cs="Times New Roman"/>
          <w:sz w:val="24"/>
        </w:rPr>
        <w:t>, soil, and, orographic variables previously described. We used 1600 random points isolated at a distance of at least 1</w:t>
      </w:r>
      <w:r w:rsidR="00C10C0F">
        <w:rPr>
          <w:rFonts w:ascii="Times New Roman" w:hAnsi="Times New Roman" w:cs="Times New Roman"/>
          <w:sz w:val="24"/>
        </w:rPr>
        <w:t xml:space="preserve"> </w:t>
      </w:r>
      <w:r>
        <w:rPr>
          <w:rFonts w:ascii="Times New Roman" w:hAnsi="Times New Roman" w:cs="Times New Roman"/>
          <w:sz w:val="24"/>
        </w:rPr>
        <w:t>km each other and seeded in the entire Mexican territory to sample the variables. Through this approach, we describe</w:t>
      </w:r>
      <w:r w:rsidR="00C112B8">
        <w:rPr>
          <w:rFonts w:ascii="Times New Roman" w:hAnsi="Times New Roman" w:cs="Times New Roman"/>
          <w:sz w:val="24"/>
        </w:rPr>
        <w:t>d</w:t>
      </w:r>
      <w:r>
        <w:rPr>
          <w:rFonts w:ascii="Times New Roman" w:hAnsi="Times New Roman" w:cs="Times New Roman"/>
          <w:sz w:val="24"/>
        </w:rPr>
        <w:t xml:space="preserve"> the combination of conditions where agriculture activities </w:t>
      </w:r>
      <w:r w:rsidR="00C112B8">
        <w:rPr>
          <w:rFonts w:ascii="Times New Roman" w:hAnsi="Times New Roman" w:cs="Times New Roman"/>
          <w:sz w:val="24"/>
        </w:rPr>
        <w:t xml:space="preserve">were </w:t>
      </w:r>
      <w:r>
        <w:rPr>
          <w:rFonts w:ascii="Times New Roman" w:hAnsi="Times New Roman" w:cs="Times New Roman"/>
          <w:sz w:val="24"/>
        </w:rPr>
        <w:t xml:space="preserve">developing in the country with </w:t>
      </w:r>
      <w:r w:rsidR="00866218">
        <w:rPr>
          <w:rFonts w:ascii="Times New Roman" w:hAnsi="Times New Roman" w:cs="Times New Roman"/>
          <w:sz w:val="24"/>
        </w:rPr>
        <w:t xml:space="preserve">a </w:t>
      </w:r>
      <w:r>
        <w:rPr>
          <w:rFonts w:ascii="Times New Roman" w:hAnsi="Times New Roman" w:cs="Times New Roman"/>
          <w:sz w:val="24"/>
        </w:rPr>
        <w:t xml:space="preserve">low level of spatial autocorrelation (Moran’s I= </w:t>
      </w:r>
      <w:r w:rsidRPr="008260A0">
        <w:rPr>
          <w:rFonts w:ascii="Times New Roman" w:hAnsi="Times New Roman" w:cs="Times New Roman"/>
          <w:sz w:val="24"/>
        </w:rPr>
        <w:t>0.0012, p=0.79</w:t>
      </w:r>
      <w:r>
        <w:rPr>
          <w:rFonts w:ascii="Times New Roman" w:hAnsi="Times New Roman" w:cs="Times New Roman"/>
          <w:sz w:val="24"/>
        </w:rPr>
        <w:t xml:space="preserve">). To select a set of </w:t>
      </w:r>
      <w:r w:rsidR="00C112B8">
        <w:rPr>
          <w:rFonts w:ascii="Times New Roman" w:hAnsi="Times New Roman" w:cs="Times New Roman"/>
          <w:sz w:val="24"/>
        </w:rPr>
        <w:t xml:space="preserve">candidate </w:t>
      </w:r>
      <w:r>
        <w:rPr>
          <w:rFonts w:ascii="Times New Roman" w:hAnsi="Times New Roman" w:cs="Times New Roman"/>
          <w:sz w:val="24"/>
        </w:rPr>
        <w:t xml:space="preserve">explanatory variables, we tested for their collinearity and their relative importance through correlation and area under the curve metrics. We selected the most parsimonious model based on AIC criteria. Finally, the selected explanatory variables were slope, </w:t>
      </w:r>
      <w:r w:rsidR="002726E6">
        <w:rPr>
          <w:rFonts w:ascii="Times New Roman" w:hAnsi="Times New Roman" w:cs="Times New Roman"/>
          <w:sz w:val="24"/>
        </w:rPr>
        <w:t>organic carbon</w:t>
      </w:r>
      <w:r w:rsidR="00907D54">
        <w:rPr>
          <w:rFonts w:ascii="Times New Roman" w:hAnsi="Times New Roman" w:cs="Times New Roman"/>
          <w:sz w:val="24"/>
        </w:rPr>
        <w:t xml:space="preserve">, </w:t>
      </w:r>
      <w:r>
        <w:rPr>
          <w:rFonts w:ascii="Times New Roman" w:hAnsi="Times New Roman" w:cs="Times New Roman"/>
          <w:sz w:val="24"/>
        </w:rPr>
        <w:t>mean annual temperature, and mean annual precipitation (Fig. S</w:t>
      </w:r>
      <w:r w:rsidR="00AB400D">
        <w:rPr>
          <w:rFonts w:ascii="Times New Roman" w:hAnsi="Times New Roman" w:cs="Times New Roman"/>
          <w:sz w:val="24"/>
        </w:rPr>
        <w:t>8</w:t>
      </w:r>
      <w:r>
        <w:rPr>
          <w:rFonts w:ascii="Times New Roman" w:hAnsi="Times New Roman" w:cs="Times New Roman"/>
          <w:sz w:val="24"/>
        </w:rPr>
        <w:t>).</w:t>
      </w:r>
      <w:r w:rsidR="005914E5">
        <w:rPr>
          <w:rFonts w:ascii="Times New Roman" w:hAnsi="Times New Roman" w:cs="Times New Roman"/>
          <w:sz w:val="24"/>
        </w:rPr>
        <w:t xml:space="preserve"> </w:t>
      </w:r>
      <w:r>
        <w:rPr>
          <w:rFonts w:ascii="Times New Roman" w:hAnsi="Times New Roman" w:cs="Times New Roman"/>
          <w:sz w:val="24"/>
        </w:rPr>
        <w:t xml:space="preserve">We predicted agriculture suitability for the entire Mexican </w:t>
      </w:r>
      <w:r w:rsidR="005925BD">
        <w:rPr>
          <w:rFonts w:ascii="Times New Roman" w:hAnsi="Times New Roman" w:cs="Times New Roman"/>
          <w:sz w:val="24"/>
        </w:rPr>
        <w:t>territory.</w:t>
      </w:r>
      <w:r>
        <w:rPr>
          <w:rFonts w:ascii="Times New Roman" w:hAnsi="Times New Roman" w:cs="Times New Roman"/>
          <w:sz w:val="24"/>
        </w:rPr>
        <w:t xml:space="preserve"> </w:t>
      </w:r>
      <w:r w:rsidR="005925BD">
        <w:rPr>
          <w:rFonts w:ascii="Times New Roman" w:hAnsi="Times New Roman" w:cs="Times New Roman"/>
          <w:sz w:val="24"/>
        </w:rPr>
        <w:t>W</w:t>
      </w:r>
      <w:r>
        <w:rPr>
          <w:rFonts w:ascii="Times New Roman" w:hAnsi="Times New Roman" w:cs="Times New Roman"/>
          <w:sz w:val="24"/>
        </w:rPr>
        <w:t xml:space="preserve">e evaluated the accuracy of the model through </w:t>
      </w:r>
      <w:r w:rsidR="00866218">
        <w:rPr>
          <w:rFonts w:ascii="Times New Roman" w:hAnsi="Times New Roman" w:cs="Times New Roman"/>
          <w:sz w:val="24"/>
        </w:rPr>
        <w:t xml:space="preserve">the </w:t>
      </w:r>
      <w:r>
        <w:rPr>
          <w:rFonts w:ascii="Times New Roman" w:hAnsi="Times New Roman" w:cs="Times New Roman"/>
          <w:sz w:val="24"/>
        </w:rPr>
        <w:t>ROC curve</w:t>
      </w:r>
      <w:r w:rsidR="00864F02">
        <w:rPr>
          <w:rFonts w:ascii="Times New Roman" w:hAnsi="Times New Roman" w:cs="Times New Roman"/>
          <w:sz w:val="24"/>
        </w:rPr>
        <w:t xml:space="preserve"> (Fig. S</w:t>
      </w:r>
      <w:r w:rsidR="00AB400D">
        <w:rPr>
          <w:rFonts w:ascii="Times New Roman" w:hAnsi="Times New Roman" w:cs="Times New Roman"/>
          <w:sz w:val="24"/>
        </w:rPr>
        <w:t>9</w:t>
      </w:r>
      <w:r w:rsidR="00D227C8">
        <w:rPr>
          <w:rFonts w:ascii="Times New Roman" w:hAnsi="Times New Roman" w:cs="Times New Roman"/>
          <w:sz w:val="24"/>
        </w:rPr>
        <w:t>)</w:t>
      </w:r>
      <w:r>
        <w:rPr>
          <w:rFonts w:ascii="Times New Roman" w:hAnsi="Times New Roman" w:cs="Times New Roman"/>
          <w:sz w:val="24"/>
        </w:rPr>
        <w:t xml:space="preserve">. All the analysis was performed using </w:t>
      </w:r>
      <w:r w:rsidR="00866218">
        <w:rPr>
          <w:rFonts w:ascii="Times New Roman" w:hAnsi="Times New Roman" w:cs="Times New Roman"/>
          <w:sz w:val="24"/>
        </w:rPr>
        <w:t xml:space="preserve">the </w:t>
      </w:r>
      <w:proofErr w:type="spellStart"/>
      <w:r w:rsidRPr="007A5D57">
        <w:rPr>
          <w:rFonts w:ascii="Times New Roman" w:hAnsi="Times New Roman" w:cs="Times New Roman"/>
          <w:i/>
          <w:sz w:val="24"/>
        </w:rPr>
        <w:t>sdm</w:t>
      </w:r>
      <w:proofErr w:type="spellEnd"/>
      <w:r>
        <w:rPr>
          <w:rFonts w:ascii="Times New Roman" w:hAnsi="Times New Roman" w:cs="Times New Roman"/>
          <w:sz w:val="24"/>
        </w:rPr>
        <w:t xml:space="preserve"> package of R </w:t>
      </w:r>
      <w:r w:rsidR="00B73BB6">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{"citationItems":[{"id":"ITEM-1","itemData":{"DOI":"10.1111/ecog.01881","ISSN":"16000587","abstract":"Sdm is an object-oriented, reproducible and extensible, platform for species distribution modelling. It uses individual species and community-based approaches, enabling ensembles of models to be fitted and evaluated, to project species potential distributions in space and time. It provides a standardized and unified structure for handling species distributions data and modelling techniques, and supports markedly different modelling approaches, including correlative, process-based (mechanistic), agent-based, and cellular automata. The object-oriented design of software is such that scientists can modify existing methods, extend the framework by developing new methods or modelling procedures, and share them to be reproduced by other scientists. sdm can handle spatial and temporal data for single or multiple species and uses high performance computing solutions to speed up modelling and simulations. The framework is implemented in R, providing a flexible and easy-to-use GUI interface.","author":[{"dropping-particle":"","family":"Naimi","given":"Babak","non-dropping-particle":"","parse-names":false,"suffix":""},{"dropping-particle":"","family":"Araújo","given":"Miguel B.","non-dropping-particle":"","parse-names":false,"suffix":""}],"container-title":"Ecography","id":"ITEM-1","issue":"4","issued":{"date-parts":[["2016"]]},"page":"368-375","title":"Sdm: A reproducible and extensible R platform for species distribution modelling","type":"article-journal","volume":"39"},"uris":["http://www.mendeley.com/documents/?uuid=b1e4d4b9-59a7-42cc-b474-a1f0b0e22ab8"]}],"mendeley":{"formattedCitation":"(Naimi and Araújo, 2016)","plainTextFormattedCitation":"(Naimi and Araújo, 2016)","previouslyFormattedCitation":"(Naimi and Araújo, 2016)"},"properties":{"noteIndex":0},"schema":"https://github.com/citation-style-language/schema/raw/master/csl-citation.json"}</w:instrText>
      </w:r>
      <w:r w:rsidR="00B73BB6">
        <w:rPr>
          <w:rFonts w:ascii="Times New Roman" w:hAnsi="Times New Roman" w:cs="Times New Roman"/>
          <w:sz w:val="24"/>
        </w:rPr>
        <w:fldChar w:fldCharType="separate"/>
      </w:r>
      <w:r w:rsidRPr="00CF087B">
        <w:rPr>
          <w:rFonts w:ascii="Times New Roman" w:hAnsi="Times New Roman" w:cs="Times New Roman"/>
          <w:noProof/>
          <w:sz w:val="24"/>
        </w:rPr>
        <w:t>(Naimi and Araújo, 2016)</w:t>
      </w:r>
      <w:r w:rsidR="00B73BB6">
        <w:rPr>
          <w:rFonts w:ascii="Times New Roman" w:hAnsi="Times New Roman" w:cs="Times New Roman"/>
          <w:sz w:val="24"/>
        </w:rPr>
        <w:fldChar w:fldCharType="end"/>
      </w:r>
      <w:r>
        <w:rPr>
          <w:rFonts w:ascii="Times New Roman" w:hAnsi="Times New Roman" w:cs="Times New Roman"/>
          <w:sz w:val="24"/>
        </w:rPr>
        <w:t>.</w:t>
      </w:r>
    </w:p>
    <w:p w14:paraId="12E1DA21" w14:textId="77777777" w:rsidR="008333F5" w:rsidRDefault="008333F5" w:rsidP="008333F5">
      <w:pPr>
        <w:spacing w:line="360" w:lineRule="auto"/>
        <w:jc w:val="both"/>
        <w:rPr>
          <w:rFonts w:ascii="Times New Roman" w:hAnsi="Times New Roman" w:cs="Times New Roman"/>
          <w:sz w:val="24"/>
        </w:rPr>
      </w:pPr>
      <w:r w:rsidRPr="00632686">
        <w:rPr>
          <w:rFonts w:ascii="Times New Roman" w:hAnsi="Times New Roman" w:cs="Times New Roman"/>
          <w:noProof/>
          <w:sz w:val="24"/>
          <w:lang w:val="es-ES" w:eastAsia="es-ES"/>
        </w:rPr>
        <w:lastRenderedPageBreak/>
        <w:drawing>
          <wp:inline distT="0" distB="0" distL="0" distR="0" wp14:anchorId="12E1DC31" wp14:editId="12E1DC32">
            <wp:extent cx="5612130" cy="3322381"/>
            <wp:effectExtent l="0" t="0" r="7620" b="0"/>
            <wp:docPr id="16" name="Imagen 16" descr="C:\Users\ZBook\OneDrive\Documentos\Trabajo de investigacion VII\plots\cap_01\roc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Book\OneDrive\Documentos\Trabajo de investigacion VII\plots\cap_01\roc_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3322381"/>
                    </a:xfrm>
                    <a:prstGeom prst="rect">
                      <a:avLst/>
                    </a:prstGeom>
                    <a:noFill/>
                    <a:ln>
                      <a:noFill/>
                    </a:ln>
                  </pic:spPr>
                </pic:pic>
              </a:graphicData>
            </a:graphic>
          </wp:inline>
        </w:drawing>
      </w:r>
    </w:p>
    <w:p w14:paraId="12E1DA22" w14:textId="196E1B4C" w:rsidR="008333F5" w:rsidRPr="002B7718" w:rsidRDefault="008333F5" w:rsidP="00866218">
      <w:pPr>
        <w:spacing w:line="240" w:lineRule="auto"/>
        <w:jc w:val="both"/>
        <w:rPr>
          <w:rFonts w:ascii="Times New Roman" w:hAnsi="Times New Roman" w:cs="Times New Roman"/>
          <w:szCs w:val="20"/>
        </w:rPr>
      </w:pPr>
      <w:r w:rsidRPr="002B7718">
        <w:rPr>
          <w:rFonts w:ascii="Times New Roman" w:hAnsi="Times New Roman" w:cs="Times New Roman"/>
          <w:szCs w:val="20"/>
        </w:rPr>
        <w:t>Figure S</w:t>
      </w:r>
      <w:r w:rsidR="00FA1D88">
        <w:rPr>
          <w:rFonts w:ascii="Times New Roman" w:hAnsi="Times New Roman" w:cs="Times New Roman"/>
          <w:szCs w:val="20"/>
        </w:rPr>
        <w:t>9</w:t>
      </w:r>
      <w:r w:rsidRPr="002B7718">
        <w:rPr>
          <w:rFonts w:ascii="Times New Roman" w:hAnsi="Times New Roman" w:cs="Times New Roman"/>
          <w:szCs w:val="20"/>
        </w:rPr>
        <w:t xml:space="preserve">: Receiver operating curve (ROC) of </w:t>
      </w:r>
      <w:r w:rsidR="00491775" w:rsidRPr="002B7718">
        <w:rPr>
          <w:rFonts w:ascii="Times New Roman" w:hAnsi="Times New Roman" w:cs="Times New Roman"/>
          <w:szCs w:val="20"/>
        </w:rPr>
        <w:t xml:space="preserve">the agriculture suitability </w:t>
      </w:r>
      <w:r w:rsidRPr="002B7718">
        <w:rPr>
          <w:rFonts w:ascii="Times New Roman" w:hAnsi="Times New Roman" w:cs="Times New Roman"/>
          <w:szCs w:val="20"/>
        </w:rPr>
        <w:t xml:space="preserve">model. </w:t>
      </w:r>
      <w:r w:rsidR="00491775" w:rsidRPr="002B7718">
        <w:rPr>
          <w:rFonts w:ascii="Times New Roman" w:hAnsi="Times New Roman" w:cs="Times New Roman"/>
          <w:szCs w:val="20"/>
        </w:rPr>
        <w:t xml:space="preserve">The </w:t>
      </w:r>
      <w:r w:rsidRPr="002B7718">
        <w:rPr>
          <w:rFonts w:ascii="Times New Roman" w:hAnsi="Times New Roman" w:cs="Times New Roman"/>
          <w:szCs w:val="20"/>
        </w:rPr>
        <w:t>area under the curve (AUC)</w:t>
      </w:r>
      <w:r w:rsidR="00491775" w:rsidRPr="002B7718">
        <w:rPr>
          <w:rFonts w:ascii="Times New Roman" w:hAnsi="Times New Roman" w:cs="Times New Roman"/>
          <w:szCs w:val="20"/>
        </w:rPr>
        <w:t xml:space="preserve"> value is show</w:t>
      </w:r>
      <w:r w:rsidR="00866218">
        <w:rPr>
          <w:rFonts w:ascii="Times New Roman" w:hAnsi="Times New Roman" w:cs="Times New Roman"/>
          <w:szCs w:val="20"/>
        </w:rPr>
        <w:t>n</w:t>
      </w:r>
      <w:r w:rsidR="00491775" w:rsidRPr="002B7718">
        <w:rPr>
          <w:rFonts w:ascii="Times New Roman" w:hAnsi="Times New Roman" w:cs="Times New Roman"/>
          <w:szCs w:val="20"/>
        </w:rPr>
        <w:t xml:space="preserve"> in the bottom right part of the plot. The magnitude of AUC indicates</w:t>
      </w:r>
      <w:r w:rsidRPr="002B7718">
        <w:rPr>
          <w:rFonts w:ascii="Times New Roman" w:hAnsi="Times New Roman" w:cs="Times New Roman"/>
          <w:szCs w:val="20"/>
        </w:rPr>
        <w:t xml:space="preserve"> a medium </w:t>
      </w:r>
      <w:r w:rsidR="00491775" w:rsidRPr="002B7718">
        <w:rPr>
          <w:rFonts w:ascii="Times New Roman" w:hAnsi="Times New Roman" w:cs="Times New Roman"/>
          <w:szCs w:val="20"/>
        </w:rPr>
        <w:t xml:space="preserve">level of </w:t>
      </w:r>
      <w:r w:rsidR="00866218">
        <w:rPr>
          <w:rFonts w:ascii="Times New Roman" w:hAnsi="Times New Roman" w:cs="Times New Roman"/>
          <w:szCs w:val="20"/>
        </w:rPr>
        <w:t xml:space="preserve">the </w:t>
      </w:r>
      <w:r w:rsidR="00491775" w:rsidRPr="002B7718">
        <w:rPr>
          <w:rFonts w:ascii="Times New Roman" w:hAnsi="Times New Roman" w:cs="Times New Roman"/>
          <w:szCs w:val="20"/>
        </w:rPr>
        <w:t>model prediction.</w:t>
      </w:r>
    </w:p>
    <w:p w14:paraId="12E1DA23" w14:textId="77777777" w:rsidR="008333F5" w:rsidRDefault="00E75348" w:rsidP="005D769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Matching analysis methodology</w:t>
      </w:r>
    </w:p>
    <w:p w14:paraId="6B1B7726" w14:textId="07A9E234" w:rsidR="004E3CBF" w:rsidRDefault="00E75348" w:rsidP="005D769C">
      <w:pPr>
        <w:spacing w:line="240" w:lineRule="auto"/>
        <w:rPr>
          <w:rFonts w:ascii="Times New Roman" w:hAnsi="Times New Roman" w:cs="Times New Roman"/>
          <w:sz w:val="24"/>
        </w:rPr>
      </w:pPr>
      <w:r>
        <w:rPr>
          <w:rFonts w:ascii="Times New Roman" w:hAnsi="Times New Roman" w:cs="Times New Roman"/>
          <w:sz w:val="24"/>
        </w:rPr>
        <w:t>T</w:t>
      </w:r>
      <w:r w:rsidRPr="00B55F53">
        <w:rPr>
          <w:rFonts w:ascii="Times New Roman" w:hAnsi="Times New Roman" w:cs="Times New Roman"/>
          <w:sz w:val="24"/>
        </w:rPr>
        <w:t>wo different strategies were used to carry out the matching analysis. On the one hand, for the data on forest loss and regeneration, a total of one million sample points</w:t>
      </w:r>
      <w:r>
        <w:rPr>
          <w:rFonts w:ascii="Times New Roman" w:hAnsi="Times New Roman" w:cs="Times New Roman"/>
          <w:sz w:val="24"/>
        </w:rPr>
        <w:t xml:space="preserve"> uniformly seeded</w:t>
      </w:r>
      <w:r w:rsidRPr="00B55F53">
        <w:rPr>
          <w:rFonts w:ascii="Times New Roman" w:hAnsi="Times New Roman" w:cs="Times New Roman"/>
          <w:sz w:val="24"/>
        </w:rPr>
        <w:t xml:space="preserve"> </w:t>
      </w:r>
      <w:r>
        <w:rPr>
          <w:rFonts w:ascii="Times New Roman" w:hAnsi="Times New Roman" w:cs="Times New Roman"/>
          <w:sz w:val="24"/>
        </w:rPr>
        <w:t xml:space="preserve">in the Mesoamerican region </w:t>
      </w:r>
      <w:r w:rsidRPr="00B55F53">
        <w:rPr>
          <w:rFonts w:ascii="Times New Roman" w:hAnsi="Times New Roman" w:cs="Times New Roman"/>
          <w:sz w:val="24"/>
        </w:rPr>
        <w:t>were used</w:t>
      </w:r>
      <w:r>
        <w:rPr>
          <w:rFonts w:ascii="Times New Roman" w:hAnsi="Times New Roman" w:cs="Times New Roman"/>
          <w:sz w:val="24"/>
        </w:rPr>
        <w:t xml:space="preserve">. Each point had the </w:t>
      </w:r>
      <w:r w:rsidRPr="00B55F53">
        <w:rPr>
          <w:rFonts w:ascii="Times New Roman" w:hAnsi="Times New Roman" w:cs="Times New Roman"/>
          <w:sz w:val="24"/>
        </w:rPr>
        <w:t xml:space="preserve">information </w:t>
      </w:r>
      <w:r>
        <w:rPr>
          <w:rFonts w:ascii="Times New Roman" w:hAnsi="Times New Roman" w:cs="Times New Roman"/>
          <w:sz w:val="24"/>
        </w:rPr>
        <w:t>about</w:t>
      </w:r>
      <w:r w:rsidRPr="00B55F53">
        <w:rPr>
          <w:rFonts w:ascii="Times New Roman" w:hAnsi="Times New Roman" w:cs="Times New Roman"/>
          <w:sz w:val="24"/>
        </w:rPr>
        <w:t xml:space="preserve"> the covariates</w:t>
      </w:r>
      <w:r>
        <w:rPr>
          <w:rFonts w:ascii="Times New Roman" w:hAnsi="Times New Roman" w:cs="Times New Roman"/>
          <w:sz w:val="24"/>
        </w:rPr>
        <w:t>, whether there was forest loss, forest regrowth</w:t>
      </w:r>
      <w:r w:rsidR="00E62D20">
        <w:rPr>
          <w:rFonts w:ascii="Times New Roman" w:hAnsi="Times New Roman" w:cs="Times New Roman"/>
          <w:sz w:val="24"/>
        </w:rPr>
        <w:t>,</w:t>
      </w:r>
      <w:r>
        <w:rPr>
          <w:rFonts w:ascii="Times New Roman" w:hAnsi="Times New Roman" w:cs="Times New Roman"/>
          <w:sz w:val="24"/>
        </w:rPr>
        <w:t xml:space="preserve"> or no cover change in the specific location of the point</w:t>
      </w:r>
      <w:r w:rsidRPr="00B55F53">
        <w:rPr>
          <w:rFonts w:ascii="Times New Roman" w:hAnsi="Times New Roman" w:cs="Times New Roman"/>
          <w:sz w:val="24"/>
        </w:rPr>
        <w:t xml:space="preserve"> </w:t>
      </w:r>
      <w:r>
        <w:rPr>
          <w:rFonts w:ascii="Times New Roman" w:hAnsi="Times New Roman" w:cs="Times New Roman"/>
          <w:sz w:val="24"/>
        </w:rPr>
        <w:t xml:space="preserve">during the period 2000 2020, </w:t>
      </w:r>
      <w:r w:rsidRPr="00B55F53">
        <w:rPr>
          <w:rFonts w:ascii="Times New Roman" w:hAnsi="Times New Roman" w:cs="Times New Roman"/>
          <w:sz w:val="24"/>
        </w:rPr>
        <w:t>and on one of the two conditions: the treatment (</w:t>
      </w:r>
      <w:proofErr w:type="gramStart"/>
      <w:r w:rsidRPr="00B55F53">
        <w:rPr>
          <w:rFonts w:ascii="Times New Roman" w:hAnsi="Times New Roman" w:cs="Times New Roman"/>
          <w:sz w:val="24"/>
        </w:rPr>
        <w:t>i</w:t>
      </w:r>
      <w:r>
        <w:rPr>
          <w:rFonts w:ascii="Times New Roman" w:hAnsi="Times New Roman" w:cs="Times New Roman"/>
          <w:sz w:val="24"/>
        </w:rPr>
        <w:t>.</w:t>
      </w:r>
      <w:r w:rsidRPr="00B55F53">
        <w:rPr>
          <w:rFonts w:ascii="Times New Roman" w:hAnsi="Times New Roman" w:cs="Times New Roman"/>
          <w:sz w:val="24"/>
        </w:rPr>
        <w:t>e</w:t>
      </w:r>
      <w:r>
        <w:rPr>
          <w:rFonts w:ascii="Times New Roman" w:hAnsi="Times New Roman" w:cs="Times New Roman"/>
          <w:sz w:val="24"/>
        </w:rPr>
        <w:t>.</w:t>
      </w:r>
      <w:proofErr w:type="gramEnd"/>
      <w:r w:rsidRPr="00B55F53">
        <w:rPr>
          <w:rFonts w:ascii="Times New Roman" w:hAnsi="Times New Roman" w:cs="Times New Roman"/>
          <w:sz w:val="24"/>
        </w:rPr>
        <w:t xml:space="preserve"> reserves) and the control (unprotected areas). </w:t>
      </w:r>
      <w:r>
        <w:rPr>
          <w:rFonts w:ascii="Times New Roman" w:hAnsi="Times New Roman" w:cs="Times New Roman"/>
          <w:sz w:val="24"/>
        </w:rPr>
        <w:t xml:space="preserve">On the other hand, a total of 1500 </w:t>
      </w:r>
      <w:proofErr w:type="spellStart"/>
      <w:r>
        <w:rPr>
          <w:rFonts w:ascii="Times New Roman" w:hAnsi="Times New Roman" w:cs="Times New Roman"/>
          <w:sz w:val="24"/>
        </w:rPr>
        <w:t>microlandscapes</w:t>
      </w:r>
      <w:proofErr w:type="spellEnd"/>
      <w:r>
        <w:rPr>
          <w:rFonts w:ascii="Times New Roman" w:hAnsi="Times New Roman" w:cs="Times New Roman"/>
          <w:sz w:val="24"/>
        </w:rPr>
        <w:t xml:space="preserve"> were randomly seeded in the Mesoamerican region. Each landscape was defined by a circle of 3km of radius which is the maximum distance that perfectly fits inside the smallest reserve (Fig. S</w:t>
      </w:r>
      <w:r w:rsidR="00C67A81">
        <w:rPr>
          <w:rFonts w:ascii="Times New Roman" w:hAnsi="Times New Roman" w:cs="Times New Roman"/>
          <w:sz w:val="24"/>
        </w:rPr>
        <w:t>2, in Appendix 1</w:t>
      </w:r>
      <w:r>
        <w:rPr>
          <w:rFonts w:ascii="Times New Roman" w:hAnsi="Times New Roman" w:cs="Times New Roman"/>
          <w:sz w:val="24"/>
        </w:rPr>
        <w:t xml:space="preserve">). This approach is </w:t>
      </w:r>
      <w:proofErr w:type="gramStart"/>
      <w:r>
        <w:rPr>
          <w:rFonts w:ascii="Times New Roman" w:hAnsi="Times New Roman" w:cs="Times New Roman"/>
          <w:sz w:val="24"/>
        </w:rPr>
        <w:t>similar to</w:t>
      </w:r>
      <w:proofErr w:type="gramEnd"/>
      <w:r>
        <w:rPr>
          <w:rFonts w:ascii="Times New Roman" w:hAnsi="Times New Roman" w:cs="Times New Roman"/>
          <w:sz w:val="24"/>
        </w:rPr>
        <w:t xml:space="preserve"> the used in previous studies to evaluate fragmentation through </w:t>
      </w:r>
      <w:r w:rsidRPr="005B0CAD">
        <w:rPr>
          <w:rFonts w:ascii="Times New Roman" w:hAnsi="Times New Roman" w:cs="Times New Roman"/>
          <w:sz w:val="24"/>
        </w:rPr>
        <w:t>matching analysis</w:t>
      </w:r>
      <w:r>
        <w:rPr>
          <w:rFonts w:ascii="Times New Roman" w:hAnsi="Times New Roman" w:cs="Times New Roman"/>
          <w:sz w:val="24"/>
        </w:rPr>
        <w:t xml:space="preserve"> (Sims 2014). We quantified the number of forest patches in the year 2000 (NP</w:t>
      </w:r>
      <w:r w:rsidRPr="00474115">
        <w:rPr>
          <w:rFonts w:ascii="Times New Roman" w:hAnsi="Times New Roman" w:cs="Times New Roman"/>
          <w:sz w:val="24"/>
          <w:vertAlign w:val="subscript"/>
        </w:rPr>
        <w:t>2000</w:t>
      </w:r>
      <w:r>
        <w:rPr>
          <w:rFonts w:ascii="Times New Roman" w:hAnsi="Times New Roman" w:cs="Times New Roman"/>
          <w:sz w:val="24"/>
        </w:rPr>
        <w:t>) and in the year 2020 (NP</w:t>
      </w:r>
      <w:r w:rsidRPr="00474115">
        <w:rPr>
          <w:rFonts w:ascii="Times New Roman" w:hAnsi="Times New Roman" w:cs="Times New Roman"/>
          <w:sz w:val="24"/>
          <w:vertAlign w:val="subscript"/>
        </w:rPr>
        <w:t>2020</w:t>
      </w:r>
      <w:r>
        <w:rPr>
          <w:rFonts w:ascii="Times New Roman" w:hAnsi="Times New Roman" w:cs="Times New Roman"/>
          <w:sz w:val="24"/>
        </w:rPr>
        <w:t>) for each landscape</w:t>
      </w:r>
      <w:r w:rsidR="003F67F4">
        <w:rPr>
          <w:rFonts w:ascii="Times New Roman" w:hAnsi="Times New Roman" w:cs="Times New Roman"/>
          <w:sz w:val="24"/>
        </w:rPr>
        <w:t xml:space="preserve"> </w:t>
      </w:r>
      <w:r w:rsidR="003F67F4">
        <w:rPr>
          <w:rFonts w:ascii="Times New Roman" w:eastAsia="Times New Roman" w:hAnsi="Times New Roman" w:cs="Times New Roman"/>
          <w:color w:val="000000"/>
          <w:sz w:val="24"/>
          <w:szCs w:val="24"/>
        </w:rPr>
        <w:t xml:space="preserve">using the </w:t>
      </w:r>
      <w:proofErr w:type="spellStart"/>
      <w:r w:rsidR="003F67F4" w:rsidRPr="00F23769">
        <w:rPr>
          <w:rFonts w:ascii="Times New Roman" w:eastAsia="Times New Roman" w:hAnsi="Times New Roman" w:cs="Times New Roman"/>
          <w:i/>
          <w:iCs/>
          <w:color w:val="000000"/>
          <w:sz w:val="24"/>
          <w:szCs w:val="24"/>
        </w:rPr>
        <w:t>landscapemetrics</w:t>
      </w:r>
      <w:proofErr w:type="spellEnd"/>
      <w:r w:rsidR="003F67F4">
        <w:rPr>
          <w:rFonts w:ascii="Times New Roman" w:eastAsia="Times New Roman" w:hAnsi="Times New Roman" w:cs="Times New Roman"/>
          <w:color w:val="000000"/>
          <w:sz w:val="24"/>
          <w:szCs w:val="24"/>
        </w:rPr>
        <w:t xml:space="preserve"> package of R </w:t>
      </w:r>
      <w:r w:rsidR="00B73BB6">
        <w:rPr>
          <w:rFonts w:ascii="Times New Roman" w:eastAsia="Times New Roman" w:hAnsi="Times New Roman" w:cs="Times New Roman"/>
          <w:color w:val="000000"/>
          <w:sz w:val="24"/>
          <w:szCs w:val="24"/>
        </w:rPr>
        <w:fldChar w:fldCharType="begin" w:fldLock="1"/>
      </w:r>
      <w:r w:rsidR="0068663C">
        <w:rPr>
          <w:rFonts w:ascii="Times New Roman" w:eastAsia="Times New Roman" w:hAnsi="Times New Roman" w:cs="Times New Roman"/>
          <w:color w:val="000000"/>
          <w:sz w:val="24"/>
          <w:szCs w:val="24"/>
        </w:rPr>
        <w:instrText>ADDIN CSL_CITATION {"citationItems":[{"id":"ITEM-1","itemData":{"DOI":"10.1111/ecog.04617","ISSN":"16000587","abstract":"Quantifying landscape characteristics and linking them to ecological processes is one of the central goals of landscape ecology. Landscape metrics are a widely used tool for the analysis of patch-based, discrete land-cover classes. Existing software to calculate landscape metrics has several constraints, such as being limited to a single platform, not being open-source or involving a complicated integration into large workflows. We present landscapemetrics, an open-source R package that overcomes many constraints of existing landscape metric software. The package includes an extensive collection of commonly used landscape metrics in a tidy workflow. To facilitate the integration into large workflows, landscapemetrics is based on a well-established spatial framework in R. This allows pre-processing of land-cover maps or further statistical analysis without importing and exporting the data from and to different software environments. Additionally, the package provides many utility functions to visualize, extract, and sample landscape metrics. Lastly, we provide building-blocks to motivate the development and integration of new metrics in the future. We demonstrate the usage and advantages of landscapemetrics by analysing the influence of different sampling schemes on the estimation of landscape metrics. In so doing, we demonstrate the many advantages of the package, especially its easy integration into large workflows. These new developments should help with the integration of landscape analysis in ecological research, given that ecologists are increasingly using R for the statistical analysis, modelling and visualization of spatial data.","author":[{"dropping-particle":"","family":"Hesselbarth","given":"Maximilian H.K.","non-dropping-particle":"","parse-names":false,"suffix":""},{"dropping-particle":"","family":"Sciaini","given":"Marco","non-dropping-particle":"","parse-names":false,"suffix":""},{"dropping-particle":"","family":"With","given":"Kimberly A.","non-dropping-particle":"","parse-names":false,"suffix":""},{"dropping-particle":"","family":"Wiegand","given":"Kerstin","non-dropping-particle":"","parse-names":false,"suffix":""},{"dropping-particle":"","family":"Nowosad","given":"Jakub","non-dropping-particle":"","parse-names":false,"suffix":""}],"container-title":"Ecography","id":"ITEM-1","issue":"10","issued":{"date-parts":[["2019"]]},"page":"1648-1657","title":"landscapemetrics: an open-source R tool to calculate landscape metrics","type":"article-journal","volume":"42"},"uris":["http://www.mendeley.com/documents/?uuid=00d5aa67-6f6b-4e27-893a-772ea89d7cc1"]}],"mendeley":{"formattedCitation":"(Hesselbarth et al., 2019)","plainTextFormattedCitation":"(Hesselbarth et al., 2019)","previouslyFormattedCitation":"(Hesselbarth et al., 2019)"},"properties":{"noteIndex":0},"schema":"https://github.com/citation-style-language/schema/raw/master/csl-citation.json"}</w:instrText>
      </w:r>
      <w:r w:rsidR="00B73BB6">
        <w:rPr>
          <w:rFonts w:ascii="Times New Roman" w:eastAsia="Times New Roman" w:hAnsi="Times New Roman" w:cs="Times New Roman"/>
          <w:color w:val="000000"/>
          <w:sz w:val="24"/>
          <w:szCs w:val="24"/>
        </w:rPr>
        <w:fldChar w:fldCharType="separate"/>
      </w:r>
      <w:r w:rsidR="003F67F4" w:rsidRPr="00F23769">
        <w:rPr>
          <w:rFonts w:ascii="Times New Roman" w:eastAsia="Times New Roman" w:hAnsi="Times New Roman" w:cs="Times New Roman"/>
          <w:noProof/>
          <w:color w:val="000000"/>
          <w:sz w:val="24"/>
          <w:szCs w:val="24"/>
        </w:rPr>
        <w:t>(Hesselbarth et al., 2019)</w:t>
      </w:r>
      <w:r w:rsidR="00B73BB6">
        <w:rPr>
          <w:rFonts w:ascii="Times New Roman" w:eastAsia="Times New Roman" w:hAnsi="Times New Roman" w:cs="Times New Roman"/>
          <w:color w:val="000000"/>
          <w:sz w:val="24"/>
          <w:szCs w:val="24"/>
        </w:rPr>
        <w:fldChar w:fldCharType="end"/>
      </w:r>
      <w:r>
        <w:rPr>
          <w:rFonts w:ascii="Times New Roman" w:hAnsi="Times New Roman" w:cs="Times New Roman"/>
          <w:sz w:val="24"/>
        </w:rPr>
        <w:t xml:space="preserve">, then we calculated the </w:t>
      </w:r>
      <w:r w:rsidR="003074D7">
        <w:rPr>
          <w:rFonts w:ascii="Times New Roman" w:hAnsi="Times New Roman" w:cs="Times New Roman"/>
          <w:sz w:val="24"/>
        </w:rPr>
        <w:t>forest fragmentation rate (FFR)</w:t>
      </w:r>
      <w:r w:rsidR="00EE082D">
        <w:rPr>
          <w:rFonts w:ascii="Times New Roman" w:hAnsi="Times New Roman" w:cs="Times New Roman"/>
          <w:sz w:val="24"/>
        </w:rPr>
        <w:t xml:space="preserve"> as</w:t>
      </w:r>
      <w:r>
        <w:rPr>
          <w:rFonts w:ascii="Times New Roman" w:hAnsi="Times New Roman" w:cs="Times New Roman"/>
          <w:sz w:val="24"/>
        </w:rPr>
        <w:t xml:space="preserve"> follow</w:t>
      </w:r>
      <w:r w:rsidR="00E62D20">
        <w:rPr>
          <w:rFonts w:ascii="Times New Roman" w:hAnsi="Times New Roman" w:cs="Times New Roman"/>
          <w:sz w:val="24"/>
        </w:rPr>
        <w:t>s</w:t>
      </w:r>
      <w:r>
        <w:rPr>
          <w:rFonts w:ascii="Times New Roman" w:hAnsi="Times New Roman" w:cs="Times New Roman"/>
          <w:sz w:val="24"/>
        </w:rPr>
        <w:t xml:space="preserve">: </w:t>
      </w:r>
    </w:p>
    <w:p w14:paraId="7D1F6D33" w14:textId="327737FC" w:rsidR="004E3CBF" w:rsidRDefault="004E3CBF" w:rsidP="005D769C">
      <w:pPr>
        <w:spacing w:line="240" w:lineRule="auto"/>
        <w:rPr>
          <w:rFonts w:ascii="Times New Roman" w:hAnsi="Times New Roman" w:cs="Times New Roman"/>
          <w:sz w:val="24"/>
        </w:rPr>
      </w:pPr>
      <m:oMathPara>
        <m:oMath>
          <m:r>
            <w:rPr>
              <w:rFonts w:ascii="Cambria Math" w:eastAsia="Times New Roman" w:hAnsi="Cambria Math" w:cs="Times New Roman"/>
              <w:color w:val="000000"/>
              <w:sz w:val="24"/>
              <w:szCs w:val="24"/>
            </w:rPr>
            <m:t>FFR</m:t>
          </m:r>
          <m:r>
            <w:rPr>
              <w:rFonts w:ascii="Cambria Math" w:eastAsia="Cambria Math" w:hAnsi="Cambria Math" w:cs="Times New Roman"/>
              <w:sz w:val="24"/>
              <w:szCs w:val="24"/>
            </w:rPr>
            <m:t>=</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1-</m:t>
              </m:r>
              <m:sSup>
                <m:sSupPr>
                  <m:ctrlPr>
                    <w:rPr>
                      <w:rFonts w:ascii="Cambria Math" w:eastAsia="Cambria Math" w:hAnsi="Cambria Math" w:cs="Times New Roman"/>
                      <w:sz w:val="24"/>
                      <w:szCs w:val="24"/>
                    </w:rPr>
                  </m:ctrlPr>
                </m:sSupPr>
                <m:e>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1-</m:t>
                      </m:r>
                      <m:f>
                        <m:fPr>
                          <m:ctrlPr>
                            <w:rPr>
                              <w:rFonts w:ascii="Cambria Math" w:eastAsia="Cambria Math" w:hAnsi="Cambria Math" w:cs="Times New Roman"/>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NP</m:t>
                              </m:r>
                            </m:e>
                            <m:sub>
                              <m:r>
                                <w:rPr>
                                  <w:rFonts w:ascii="Cambria Math" w:eastAsia="Times New Roman" w:hAnsi="Cambria Math" w:cs="Times New Roman"/>
                                  <w:color w:val="000000"/>
                                  <w:sz w:val="24"/>
                                  <w:szCs w:val="24"/>
                                </w:rPr>
                                <m:t>2020</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NP</m:t>
                              </m:r>
                            </m:e>
                            <m:sub>
                              <m:r>
                                <w:rPr>
                                  <w:rFonts w:ascii="Cambria Math" w:eastAsia="Times New Roman" w:hAnsi="Cambria Math" w:cs="Times New Roman"/>
                                  <w:color w:val="000000"/>
                                  <w:sz w:val="24"/>
                                  <w:szCs w:val="24"/>
                                </w:rPr>
                                <m:t>2000</m:t>
                              </m:r>
                            </m:sub>
                          </m:sSub>
                        </m:num>
                        <m:den>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NP</m:t>
                              </m:r>
                            </m:e>
                            <m:sub>
                              <m:r>
                                <w:rPr>
                                  <w:rFonts w:ascii="Cambria Math" w:eastAsia="Times New Roman" w:hAnsi="Cambria Math" w:cs="Times New Roman"/>
                                  <w:color w:val="000000"/>
                                  <w:sz w:val="24"/>
                                  <w:szCs w:val="24"/>
                                </w:rPr>
                                <m:t>2000</m:t>
                              </m:r>
                            </m:sub>
                          </m:sSub>
                        </m:den>
                      </m:f>
                    </m:e>
                  </m:d>
                </m:e>
                <m:sup>
                  <m:f>
                    <m:fPr>
                      <m:type m:val="skw"/>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20</m:t>
                      </m:r>
                    </m:den>
                  </m:f>
                </m:sup>
              </m:sSup>
            </m:e>
          </m:d>
          <m:r>
            <w:rPr>
              <w:rFonts w:ascii="Cambria Math" w:eastAsia="Cambria Math" w:hAnsi="Cambria Math" w:cs="Times New Roman"/>
              <w:sz w:val="24"/>
              <w:szCs w:val="24"/>
            </w:rPr>
            <m:t>*100</m:t>
          </m:r>
        </m:oMath>
      </m:oMathPara>
    </w:p>
    <w:p w14:paraId="21AB0A1D" w14:textId="122BAA1F" w:rsidR="00ED30C4" w:rsidRDefault="00E75348" w:rsidP="005D769C">
      <w:pPr>
        <w:spacing w:line="240" w:lineRule="auto"/>
        <w:rPr>
          <w:rFonts w:ascii="Times New Roman" w:hAnsi="Times New Roman" w:cs="Times New Roman"/>
          <w:sz w:val="24"/>
        </w:rPr>
      </w:pPr>
      <w:r>
        <w:rPr>
          <w:rFonts w:ascii="Times New Roman" w:hAnsi="Times New Roman" w:cs="Times New Roman"/>
          <w:sz w:val="24"/>
        </w:rPr>
        <w:t>We also calculated the mean value of the covariates for each landscape. Finally, each landscape was assigned to control or treatment according</w:t>
      </w:r>
      <w:r w:rsidR="00E62D20">
        <w:rPr>
          <w:rFonts w:ascii="Times New Roman" w:hAnsi="Times New Roman" w:cs="Times New Roman"/>
          <w:sz w:val="24"/>
        </w:rPr>
        <w:t xml:space="preserve"> to</w:t>
      </w:r>
      <w:r>
        <w:rPr>
          <w:rFonts w:ascii="Times New Roman" w:hAnsi="Times New Roman" w:cs="Times New Roman"/>
          <w:sz w:val="24"/>
        </w:rPr>
        <w:t xml:space="preserve"> whether they were located inside a reserve or in unprotected zones. </w:t>
      </w:r>
      <w:r w:rsidR="005D6D82">
        <w:rPr>
          <w:rFonts w:ascii="Times New Roman" w:hAnsi="Times New Roman" w:cs="Times New Roman"/>
          <w:sz w:val="24"/>
        </w:rPr>
        <w:t xml:space="preserve">We </w:t>
      </w:r>
      <w:r>
        <w:rPr>
          <w:rFonts w:ascii="Times New Roman" w:hAnsi="Times New Roman" w:cs="Times New Roman"/>
          <w:sz w:val="24"/>
        </w:rPr>
        <w:t>avoid</w:t>
      </w:r>
      <w:r w:rsidR="005D6D82">
        <w:rPr>
          <w:rFonts w:ascii="Times New Roman" w:hAnsi="Times New Roman" w:cs="Times New Roman"/>
          <w:sz w:val="24"/>
        </w:rPr>
        <w:t>ed</w:t>
      </w:r>
      <w:r>
        <w:rPr>
          <w:rFonts w:ascii="Times New Roman" w:hAnsi="Times New Roman" w:cs="Times New Roman"/>
          <w:sz w:val="24"/>
        </w:rPr>
        <w:t xml:space="preserve"> that the landscapes had an intersection of protected and unprotected zones by moving them a few meters. </w:t>
      </w:r>
      <w:r w:rsidRPr="00B55F53">
        <w:rPr>
          <w:rFonts w:ascii="Times New Roman" w:hAnsi="Times New Roman" w:cs="Times New Roman"/>
          <w:sz w:val="24"/>
        </w:rPr>
        <w:t xml:space="preserve">Data with information </w:t>
      </w:r>
      <w:r w:rsidRPr="00B55F53">
        <w:rPr>
          <w:rFonts w:ascii="Times New Roman" w:hAnsi="Times New Roman" w:cs="Times New Roman"/>
          <w:sz w:val="24"/>
        </w:rPr>
        <w:lastRenderedPageBreak/>
        <w:t xml:space="preserve">from any other type of </w:t>
      </w:r>
      <w:r>
        <w:rPr>
          <w:rFonts w:ascii="Times New Roman" w:hAnsi="Times New Roman" w:cs="Times New Roman"/>
          <w:sz w:val="24"/>
        </w:rPr>
        <w:t>PAs</w:t>
      </w:r>
      <w:r w:rsidRPr="00B55F53">
        <w:rPr>
          <w:rFonts w:ascii="Times New Roman" w:hAnsi="Times New Roman" w:cs="Times New Roman"/>
          <w:sz w:val="24"/>
        </w:rPr>
        <w:t xml:space="preserve"> that are not biosphere reserves were not included in the analysis.</w:t>
      </w:r>
    </w:p>
    <w:p w14:paraId="04ACDCD3" w14:textId="7BDACEA0" w:rsidR="00C3551E" w:rsidRDefault="00E75348" w:rsidP="005D769C">
      <w:pPr>
        <w:spacing w:line="240" w:lineRule="auto"/>
        <w:jc w:val="both"/>
        <w:rPr>
          <w:rFonts w:ascii="Times New Roman" w:hAnsi="Times New Roman" w:cs="Times New Roman"/>
          <w:sz w:val="24"/>
        </w:rPr>
      </w:pPr>
      <w:r>
        <w:rPr>
          <w:rFonts w:ascii="Times New Roman" w:hAnsi="Times New Roman" w:cs="Times New Roman"/>
          <w:sz w:val="24"/>
        </w:rPr>
        <w:t xml:space="preserve">To achieve covariate balance, we used the nearest neighbor covariate matching algorithm with sampling replacement for forest loss and forest regrowth data, and the genetic covariate matching algorithm with sampling replacement and 150 generations for fragmentation data. </w:t>
      </w:r>
      <w:r w:rsidRPr="000A12D4">
        <w:rPr>
          <w:rFonts w:ascii="Times New Roman" w:hAnsi="Times New Roman" w:cs="Times New Roman"/>
          <w:sz w:val="24"/>
        </w:rPr>
        <w:t>The propensity score was estimated</w:t>
      </w:r>
      <w:r>
        <w:rPr>
          <w:rFonts w:ascii="Times New Roman" w:hAnsi="Times New Roman" w:cs="Times New Roman"/>
          <w:sz w:val="24"/>
        </w:rPr>
        <w:t xml:space="preserve"> using binomial error distribution with logit function where the response variable was the treatment (protected or unprotected). After matching, </w:t>
      </w:r>
      <w:r w:rsidRPr="00B436FC">
        <w:rPr>
          <w:rFonts w:ascii="Times New Roman" w:hAnsi="Times New Roman" w:cs="Times New Roman"/>
          <w:sz w:val="24"/>
        </w:rPr>
        <w:t>all standardized mean differences for the covariates were below 0.1</w:t>
      </w:r>
      <w:r>
        <w:rPr>
          <w:rFonts w:ascii="Times New Roman" w:hAnsi="Times New Roman" w:cs="Times New Roman"/>
          <w:sz w:val="24"/>
        </w:rPr>
        <w:t xml:space="preserve"> which indicate</w:t>
      </w:r>
      <w:r w:rsidR="00E62D20">
        <w:rPr>
          <w:rFonts w:ascii="Times New Roman" w:hAnsi="Times New Roman" w:cs="Times New Roman"/>
          <w:sz w:val="24"/>
        </w:rPr>
        <w:t>s</w:t>
      </w:r>
      <w:r>
        <w:rPr>
          <w:rFonts w:ascii="Times New Roman" w:hAnsi="Times New Roman" w:cs="Times New Roman"/>
          <w:sz w:val="24"/>
        </w:rPr>
        <w:t xml:space="preserve"> a good balance between control and treatment samples. The matching analysis was performed using </w:t>
      </w:r>
      <w:r w:rsidR="00E62D20">
        <w:rPr>
          <w:rFonts w:ascii="Times New Roman" w:hAnsi="Times New Roman" w:cs="Times New Roman"/>
          <w:sz w:val="24"/>
        </w:rPr>
        <w:t xml:space="preserve">the </w:t>
      </w:r>
      <w:proofErr w:type="spellStart"/>
      <w:r w:rsidRPr="00F93D93">
        <w:rPr>
          <w:rFonts w:ascii="Times New Roman" w:hAnsi="Times New Roman" w:cs="Times New Roman"/>
          <w:i/>
          <w:sz w:val="24"/>
        </w:rPr>
        <w:t>MatchIt</w:t>
      </w:r>
      <w:proofErr w:type="spellEnd"/>
      <w:r>
        <w:rPr>
          <w:rFonts w:ascii="Times New Roman" w:hAnsi="Times New Roman" w:cs="Times New Roman"/>
          <w:sz w:val="24"/>
        </w:rPr>
        <w:t xml:space="preserve"> package </w:t>
      </w:r>
      <w:r w:rsidR="00B73BB6">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{"citationItems":[{"id":"ITEM-1","itemData":{"DOI":"10.18637/jss.v042.i08","ISBN":"1548-7660","ISSN":"1548-7660","abstract":"MatchIt implements the suggestions of Ho, Imai, King, and Stuart (2007) for improving parametric statistical models by preprocessing data with nonparametric matching methods. MatchIt implements a wide range of sophisticated matching methods, making it possible to greatly reduce the dependence of causal inferences on hard-to-justify, but commonly made, statistical modeling assumptions. The software also easily ts into existing research practices since, after preprocessing data with MatchIt, researchers can use whatever parametric model they would have used without MatchIt, but produce inferences with substantially more robustness and less sensitivity to modeling assumptions. MatchIt is an R program, and also works seamlessly with Zelig.","author":[{"dropping-particle":"","family":"Ho","given":"Daniel E.","non-dropping-particle":"","parse-names":false,"suffix":""},{"dropping-particle":"","family":"King","given":"Gary","non-dropping-particle":"","parse-names":false,"suffix":""},{"dropping-particle":"","family":"Stuart","given":"Elizabeth A","non-dropping-particle":"","parse-names":false,"suffix":""},{"dropping-particle":"","family":"Imai","given":"Kosuke","non-dropping-particle":"","parse-names":false,"suffix":""}],"container-title":"Journal Of Statistical Software","id":"ITEM-1","issue":"8","issued":{"date-parts":[["2011"]]},"page":"1-28","title":"MatchIt : Nonparametric Preprocessing for","type":"article-journal","volume":"42"},"uris":["http://www.mendeley.com/documents/?uuid=6218f5e2-5cd8-4977-b16e-bc689cc0836f"]}],"mendeley":{"formattedCitation":"(Ho et al., 2011)","plainTextFormattedCitation":"(Ho et al., 2011)","previouslyFormattedCitation":"(Ho et al., 2011)"},"properties":{"noteIndex":0},"schema":"https://github.com/citation-style-language/schema/raw/master/csl-citation.json"}</w:instrText>
      </w:r>
      <w:r w:rsidR="00B73BB6">
        <w:rPr>
          <w:rFonts w:ascii="Times New Roman" w:hAnsi="Times New Roman" w:cs="Times New Roman"/>
          <w:sz w:val="24"/>
        </w:rPr>
        <w:fldChar w:fldCharType="separate"/>
      </w:r>
      <w:r w:rsidRPr="001B2584">
        <w:rPr>
          <w:rFonts w:ascii="Times New Roman" w:hAnsi="Times New Roman" w:cs="Times New Roman"/>
          <w:noProof/>
          <w:sz w:val="24"/>
        </w:rPr>
        <w:t>(Ho et al., 2011)</w:t>
      </w:r>
      <w:r w:rsidR="00B73BB6">
        <w:rPr>
          <w:rFonts w:ascii="Times New Roman" w:hAnsi="Times New Roman" w:cs="Times New Roman"/>
          <w:sz w:val="24"/>
        </w:rPr>
        <w:fldChar w:fldCharType="end"/>
      </w:r>
      <w:r>
        <w:rPr>
          <w:rFonts w:ascii="Times New Roman" w:hAnsi="Times New Roman" w:cs="Times New Roman"/>
          <w:sz w:val="24"/>
        </w:rPr>
        <w:t xml:space="preserve"> of R</w:t>
      </w:r>
      <w:r w:rsidR="00B73BB6">
        <w:rPr>
          <w:rFonts w:ascii="Times New Roman" w:hAnsi="Times New Roman" w:cs="Times New Roman"/>
          <w:sz w:val="24"/>
        </w:rPr>
        <w:fldChar w:fldCharType="begin" w:fldLock="1"/>
      </w:r>
      <w:r w:rsidR="0094488D">
        <w:rPr>
          <w:rFonts w:ascii="Times New Roman" w:hAnsi="Times New Roman" w:cs="Times New Roman"/>
          <w:sz w:val="24"/>
        </w:rPr>
        <w:instrText>ADDIN CSL_CITATION {"citationItems":[{"id":"ITEM-1","itemData":{"author":[{"dropping-particle":"","family":"R Core Team","given":"","non-dropping-particle":"","parse-names":false,"suffix":""}],"id":"ITEM-1","issued":{"date-parts":[["2021"]]},"publisher":"R Foundation for Statistical Computing","publisher-place":"Vienna, Austria","title":"R: A Language and Environment for Statistical Computing","type":"article"},"uris":["http://www.mendeley.com/documents/?uuid=4aeaebf5-2d72-4d66-9a93-57ce3d74ead7"]}],"mendeley":{"formattedCitation":"(R Core Team, 2021)","plainTextFormattedCitation":"(R Core Team, 2021)","previouslyFormattedCitation":"(R Core Team, 2021)"},"properties":{"noteIndex":0},"schema":"https://github.com/citation-style-language/schema/raw/master/csl-citation.json"}</w:instrText>
      </w:r>
      <w:r w:rsidR="00B73BB6">
        <w:rPr>
          <w:rFonts w:ascii="Times New Roman" w:hAnsi="Times New Roman" w:cs="Times New Roman"/>
          <w:sz w:val="24"/>
        </w:rPr>
        <w:fldChar w:fldCharType="separate"/>
      </w:r>
      <w:r w:rsidR="00893380" w:rsidRPr="00893380">
        <w:rPr>
          <w:rFonts w:ascii="Times New Roman" w:hAnsi="Times New Roman" w:cs="Times New Roman"/>
          <w:noProof/>
          <w:sz w:val="24"/>
        </w:rPr>
        <w:t>(R Core Team, 2021)</w:t>
      </w:r>
      <w:r w:rsidR="00B73BB6">
        <w:rPr>
          <w:rFonts w:ascii="Times New Roman" w:hAnsi="Times New Roman" w:cs="Times New Roman"/>
          <w:sz w:val="24"/>
        </w:rPr>
        <w:fldChar w:fldCharType="end"/>
      </w:r>
      <w:r>
        <w:rPr>
          <w:rFonts w:ascii="Times New Roman" w:hAnsi="Times New Roman" w:cs="Times New Roman"/>
          <w:sz w:val="24"/>
        </w:rPr>
        <w:t>.</w:t>
      </w:r>
    </w:p>
    <w:p w14:paraId="12E1DA2C" w14:textId="77777777" w:rsidR="00285F29" w:rsidRPr="007846A5" w:rsidRDefault="00285F29" w:rsidP="005D769C">
      <w:pPr>
        <w:spacing w:line="240" w:lineRule="auto"/>
        <w:jc w:val="both"/>
        <w:rPr>
          <w:rFonts w:ascii="Times New Roman" w:eastAsia="Times New Roman" w:hAnsi="Times New Roman" w:cs="Times New Roman"/>
          <w:b/>
          <w:sz w:val="24"/>
          <w:szCs w:val="24"/>
        </w:rPr>
      </w:pPr>
      <w:r w:rsidRPr="007846A5">
        <w:rPr>
          <w:rFonts w:ascii="Times New Roman" w:eastAsia="Times New Roman" w:hAnsi="Times New Roman" w:cs="Times New Roman"/>
          <w:b/>
          <w:sz w:val="24"/>
          <w:szCs w:val="24"/>
        </w:rPr>
        <w:t>Indicators of underlying drivers</w:t>
      </w:r>
    </w:p>
    <w:p w14:paraId="12E1DA2D" w14:textId="018689B2" w:rsidR="00285F29" w:rsidRDefault="00285F29" w:rsidP="005D769C">
      <w:pPr>
        <w:spacing w:line="240" w:lineRule="auto"/>
        <w:jc w:val="both"/>
        <w:rPr>
          <w:rFonts w:ascii="Times New Roman" w:eastAsia="Times New Roman" w:hAnsi="Times New Roman" w:cs="Times New Roman"/>
          <w:sz w:val="24"/>
          <w:szCs w:val="24"/>
        </w:rPr>
      </w:pPr>
      <w:r w:rsidRPr="007846A5">
        <w:rPr>
          <w:rFonts w:ascii="Times New Roman" w:eastAsia="Times New Roman" w:hAnsi="Times New Roman" w:cs="Times New Roman"/>
          <w:sz w:val="24"/>
          <w:szCs w:val="24"/>
        </w:rPr>
        <w:t xml:space="preserve">The population density was calculated by dividing the number of people in a municipality in the year 2000 by the municipality area. The population growth rate was calculated as </w:t>
      </w:r>
      <w:r w:rsidR="00D83550">
        <w:rPr>
          <w:rFonts w:ascii="Times New Roman" w:eastAsia="Times New Roman" w:hAnsi="Times New Roman" w:cs="Times New Roman"/>
          <w:sz w:val="24"/>
          <w:szCs w:val="24"/>
        </w:rPr>
        <w:t>r</w:t>
      </w:r>
      <w:r w:rsidRPr="007846A5">
        <w:rPr>
          <w:rFonts w:ascii="Times New Roman" w:eastAsia="Times New Roman" w:hAnsi="Times New Roman" w:cs="Times New Roman"/>
          <w:sz w:val="24"/>
          <w:szCs w:val="24"/>
        </w:rPr>
        <w:t xml:space="preserve"> = ln(N</w:t>
      </w:r>
      <w:r w:rsidRPr="007846A5">
        <w:rPr>
          <w:rFonts w:ascii="Times New Roman" w:eastAsia="Times New Roman" w:hAnsi="Times New Roman" w:cs="Times New Roman"/>
          <w:sz w:val="24"/>
          <w:szCs w:val="24"/>
          <w:vertAlign w:val="subscript"/>
        </w:rPr>
        <w:t>20</w:t>
      </w:r>
      <w:r w:rsidR="00606ADB">
        <w:rPr>
          <w:rFonts w:ascii="Times New Roman" w:eastAsia="Times New Roman" w:hAnsi="Times New Roman" w:cs="Times New Roman"/>
          <w:sz w:val="24"/>
          <w:szCs w:val="24"/>
          <w:vertAlign w:val="subscript"/>
        </w:rPr>
        <w:t>2</w:t>
      </w:r>
      <w:r w:rsidRPr="007846A5">
        <w:rPr>
          <w:rFonts w:ascii="Times New Roman" w:eastAsia="Times New Roman" w:hAnsi="Times New Roman" w:cs="Times New Roman"/>
          <w:sz w:val="24"/>
          <w:szCs w:val="24"/>
          <w:vertAlign w:val="subscript"/>
        </w:rPr>
        <w:t>0</w:t>
      </w:r>
      <w:r w:rsidR="00D83550">
        <w:rPr>
          <w:rFonts w:ascii="Times New Roman" w:eastAsia="Times New Roman" w:hAnsi="Times New Roman" w:cs="Times New Roman"/>
          <w:sz w:val="24"/>
          <w:szCs w:val="24"/>
        </w:rPr>
        <w:t>/</w:t>
      </w:r>
      <w:r w:rsidRPr="007846A5">
        <w:rPr>
          <w:rFonts w:ascii="Times New Roman" w:eastAsia="Times New Roman" w:hAnsi="Times New Roman" w:cs="Times New Roman"/>
          <w:sz w:val="24"/>
          <w:szCs w:val="24"/>
        </w:rPr>
        <w:t>N</w:t>
      </w:r>
      <w:r w:rsidRPr="007846A5">
        <w:rPr>
          <w:rFonts w:ascii="Times New Roman" w:eastAsia="Times New Roman" w:hAnsi="Times New Roman" w:cs="Times New Roman"/>
          <w:sz w:val="24"/>
          <w:szCs w:val="24"/>
          <w:vertAlign w:val="subscript"/>
        </w:rPr>
        <w:t>2000</w:t>
      </w:r>
      <w:r w:rsidRPr="007846A5">
        <w:rPr>
          <w:rFonts w:ascii="Times New Roman" w:eastAsia="Times New Roman" w:hAnsi="Times New Roman" w:cs="Times New Roman"/>
          <w:sz w:val="24"/>
          <w:szCs w:val="24"/>
        </w:rPr>
        <w:t>)</w:t>
      </w:r>
      <w:r w:rsidR="00D83550">
        <w:rPr>
          <w:rFonts w:ascii="Times New Roman" w:eastAsia="Times New Roman" w:hAnsi="Times New Roman" w:cs="Times New Roman"/>
          <w:sz w:val="24"/>
          <w:szCs w:val="24"/>
        </w:rPr>
        <w:t>/20</w:t>
      </w:r>
      <w:r w:rsidRPr="007846A5">
        <w:rPr>
          <w:rFonts w:ascii="Times New Roman" w:eastAsia="Times New Roman" w:hAnsi="Times New Roman" w:cs="Times New Roman"/>
          <w:sz w:val="24"/>
          <w:szCs w:val="24"/>
        </w:rPr>
        <w:t xml:space="preserve">, which corresponds to the </w:t>
      </w:r>
      <w:r w:rsidR="00D83550">
        <w:rPr>
          <w:rFonts w:ascii="Times New Roman" w:eastAsia="Times New Roman" w:hAnsi="Times New Roman" w:cs="Times New Roman"/>
          <w:sz w:val="24"/>
          <w:szCs w:val="24"/>
        </w:rPr>
        <w:t>intrinsic</w:t>
      </w:r>
      <w:r w:rsidRPr="007846A5">
        <w:rPr>
          <w:rFonts w:ascii="Times New Roman" w:eastAsia="Times New Roman" w:hAnsi="Times New Roman" w:cs="Times New Roman"/>
          <w:sz w:val="24"/>
          <w:szCs w:val="24"/>
        </w:rPr>
        <w:t xml:space="preserve"> population </w:t>
      </w:r>
      <w:r w:rsidR="00606ADB">
        <w:rPr>
          <w:rFonts w:ascii="Times New Roman" w:eastAsia="Times New Roman" w:hAnsi="Times New Roman" w:cs="Times New Roman"/>
          <w:sz w:val="24"/>
          <w:szCs w:val="24"/>
        </w:rPr>
        <w:t>increase</w:t>
      </w:r>
      <w:r w:rsidRPr="007846A5">
        <w:rPr>
          <w:rFonts w:ascii="Times New Roman" w:eastAsia="Times New Roman" w:hAnsi="Times New Roman" w:cs="Times New Roman"/>
          <w:sz w:val="24"/>
          <w:szCs w:val="24"/>
        </w:rPr>
        <w:t xml:space="preserve"> rate per year. Here, N</w:t>
      </w:r>
      <w:r w:rsidRPr="007846A5">
        <w:rPr>
          <w:rFonts w:ascii="Times New Roman" w:eastAsia="Times New Roman" w:hAnsi="Times New Roman" w:cs="Times New Roman"/>
          <w:sz w:val="24"/>
          <w:szCs w:val="24"/>
          <w:vertAlign w:val="subscript"/>
        </w:rPr>
        <w:t>2000</w:t>
      </w:r>
      <w:r w:rsidRPr="007846A5">
        <w:rPr>
          <w:rFonts w:ascii="Times New Roman" w:eastAsia="Times New Roman" w:hAnsi="Times New Roman" w:cs="Times New Roman"/>
          <w:sz w:val="24"/>
          <w:szCs w:val="24"/>
        </w:rPr>
        <w:t xml:space="preserve"> is the total population from all municipalities that intersect a given reserve in 2000, N</w:t>
      </w:r>
      <w:r w:rsidRPr="007846A5">
        <w:rPr>
          <w:rFonts w:ascii="Times New Roman" w:eastAsia="Times New Roman" w:hAnsi="Times New Roman" w:cs="Times New Roman"/>
          <w:sz w:val="24"/>
          <w:szCs w:val="24"/>
          <w:vertAlign w:val="subscript"/>
        </w:rPr>
        <w:t>20</w:t>
      </w:r>
      <w:r w:rsidR="00606ADB">
        <w:rPr>
          <w:rFonts w:ascii="Times New Roman" w:eastAsia="Times New Roman" w:hAnsi="Times New Roman" w:cs="Times New Roman"/>
          <w:sz w:val="24"/>
          <w:szCs w:val="24"/>
          <w:vertAlign w:val="subscript"/>
        </w:rPr>
        <w:t>2</w:t>
      </w:r>
      <w:r w:rsidRPr="007846A5">
        <w:rPr>
          <w:rFonts w:ascii="Times New Roman" w:eastAsia="Times New Roman" w:hAnsi="Times New Roman" w:cs="Times New Roman"/>
          <w:sz w:val="24"/>
          <w:szCs w:val="24"/>
          <w:vertAlign w:val="subscript"/>
        </w:rPr>
        <w:t>0</w:t>
      </w:r>
      <w:r w:rsidRPr="007846A5">
        <w:rPr>
          <w:rFonts w:ascii="Times New Roman" w:eastAsia="Times New Roman" w:hAnsi="Times New Roman" w:cs="Times New Roman"/>
          <w:sz w:val="24"/>
          <w:szCs w:val="24"/>
        </w:rPr>
        <w:t xml:space="preserve"> is the total population from the same municipalities ten years later (20</w:t>
      </w:r>
      <w:r w:rsidR="00606ADB">
        <w:rPr>
          <w:rFonts w:ascii="Times New Roman" w:eastAsia="Times New Roman" w:hAnsi="Times New Roman" w:cs="Times New Roman"/>
          <w:sz w:val="24"/>
          <w:szCs w:val="24"/>
        </w:rPr>
        <w:t>2</w:t>
      </w:r>
      <w:r w:rsidRPr="007846A5">
        <w:rPr>
          <w:rFonts w:ascii="Times New Roman" w:eastAsia="Times New Roman" w:hAnsi="Times New Roman" w:cs="Times New Roman"/>
          <w:sz w:val="24"/>
          <w:szCs w:val="24"/>
        </w:rPr>
        <w:t xml:space="preserve">0). Rural settlement density was estimated from vector data of Mexican rural localities in 2000 </w:t>
      </w:r>
      <w:r w:rsidR="00B73BB6" w:rsidRPr="007846A5">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{"citationItems":[{"id":"ITEM-1","itemData":{"URL":"http://www.conabio.gob.mx/informacion/gis/","author":[{"dropping-particle":"","family":"CONABIO","given":"","non-dropping-particle":"","parse-names":false,"suffix":""}],"container-title":"Catálogo de metadatos geográficos. Comisión Nacional para el Conocimiento y Uso de la Biodiversidad","id":"ITEM-1","issued":{"date-parts":[["2002"]]},"title":"Localidades de la República Mexicana, 2000","type":"webpage"},"uris":["http://www.mendeley.com/documents/?uuid=113a6ee8-8137-4b1b-8e25-2d431de550ba"]}],"mendeley":{"formattedCitation":"(CONABIO, 2002)","plainTextFormattedCitation":"(CONABIO, 2002)","previouslyFormattedCitation":"(CONABIO, 2002)"},"properties":{"noteIndex":0},"schema":"https://github.com/citation-style-language/schema/raw/master/csl-citation.json"}</w:instrText>
      </w:r>
      <w:r w:rsidR="00B73BB6" w:rsidRPr="007846A5">
        <w:rPr>
          <w:rFonts w:ascii="Times New Roman" w:eastAsia="Times New Roman" w:hAnsi="Times New Roman" w:cs="Times New Roman"/>
          <w:sz w:val="24"/>
          <w:szCs w:val="24"/>
        </w:rPr>
        <w:fldChar w:fldCharType="separate"/>
      </w:r>
      <w:r w:rsidRPr="007846A5">
        <w:rPr>
          <w:rFonts w:ascii="Times New Roman" w:eastAsia="Times New Roman" w:hAnsi="Times New Roman" w:cs="Times New Roman"/>
          <w:noProof/>
          <w:sz w:val="24"/>
          <w:szCs w:val="24"/>
        </w:rPr>
        <w:t>(CONABIO, 2002)</w:t>
      </w:r>
      <w:r w:rsidR="00B73BB6" w:rsidRPr="007846A5">
        <w:rPr>
          <w:rFonts w:ascii="Times New Roman" w:eastAsia="Times New Roman" w:hAnsi="Times New Roman" w:cs="Times New Roman"/>
          <w:sz w:val="24"/>
          <w:szCs w:val="24"/>
        </w:rPr>
        <w:fldChar w:fldCharType="end"/>
      </w:r>
      <w:r w:rsidRPr="007846A5">
        <w:rPr>
          <w:rFonts w:ascii="Times New Roman" w:eastAsia="Times New Roman" w:hAnsi="Times New Roman" w:cs="Times New Roman"/>
          <w:sz w:val="24"/>
          <w:szCs w:val="24"/>
        </w:rPr>
        <w:t>. We calculated Kernel density in QGIS, with a searching radius of 5 km and a cell</w:t>
      </w:r>
      <w:r w:rsidR="00E62D20">
        <w:rPr>
          <w:rFonts w:ascii="Times New Roman" w:eastAsia="Times New Roman" w:hAnsi="Times New Roman" w:cs="Times New Roman"/>
          <w:sz w:val="24"/>
          <w:szCs w:val="24"/>
        </w:rPr>
        <w:t xml:space="preserve"> </w:t>
      </w:r>
      <w:r w:rsidRPr="007846A5">
        <w:rPr>
          <w:rFonts w:ascii="Times New Roman" w:eastAsia="Times New Roman" w:hAnsi="Times New Roman" w:cs="Times New Roman"/>
          <w:sz w:val="24"/>
          <w:szCs w:val="24"/>
        </w:rPr>
        <w:t>size of 100 m. We calculated line density in QGIS using a searching radius of 5km and a cell</w:t>
      </w:r>
      <w:r w:rsidR="00E62D20">
        <w:rPr>
          <w:rFonts w:ascii="Times New Roman" w:eastAsia="Times New Roman" w:hAnsi="Times New Roman" w:cs="Times New Roman"/>
          <w:sz w:val="24"/>
          <w:szCs w:val="24"/>
        </w:rPr>
        <w:t xml:space="preserve"> </w:t>
      </w:r>
      <w:r w:rsidRPr="007846A5">
        <w:rPr>
          <w:rFonts w:ascii="Times New Roman" w:eastAsia="Times New Roman" w:hAnsi="Times New Roman" w:cs="Times New Roman"/>
          <w:sz w:val="24"/>
          <w:szCs w:val="24"/>
        </w:rPr>
        <w:t xml:space="preserve">size of 100m and we determine the mean value of road density by each reserve. Government subsidies for agriculture were calculated from PROAGRO program data </w:t>
      </w:r>
      <w:r w:rsidR="00B73BB6" w:rsidRPr="007846A5">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URL":"http://www.sagarpa.mx/agricultura/Programas/proagro/Beneficiarios/Paginas/Beneficiarios.aspx","accessed":{"date-parts":[["2019","4","5"]]},"author":[{"dropping-particle":"","family":"SAGARPA","given":"","non-dropping-particle":"","parse-names":false,"suffix":""}],"container-title":"Secretaría de Agricultura, Ganadería, Desarrollo Rural, Pesca y Alimentación","id":"ITEM-1","issued":{"date-parts":[["2018"]]},"title":"Listado de Beneficiarios PROAGRO Productivo","type":"webpage"},"uris":["http://www.mendeley.com/documents/?uuid=fb99dc04-5b79-4609-bf9c-c613f5a37965"]}],"mendeley":{"formattedCitation":"(SAGARPA, 2018)","plainTextFormattedCitation":"(SAGARPA, 2018)","previouslyFormattedCitation":"(SAGARPA, 2018)"},"properties":{"noteIndex":0},"schema":"https://github.com/citation-style-language/schema/raw/master/csl-citation.json"}</w:instrText>
      </w:r>
      <w:r w:rsidR="00B73BB6" w:rsidRPr="007846A5">
        <w:rPr>
          <w:rFonts w:ascii="Times New Roman" w:eastAsia="Times New Roman" w:hAnsi="Times New Roman" w:cs="Times New Roman"/>
          <w:sz w:val="24"/>
          <w:szCs w:val="24"/>
        </w:rPr>
        <w:fldChar w:fldCharType="separate"/>
      </w:r>
      <w:r w:rsidRPr="007846A5">
        <w:rPr>
          <w:rFonts w:ascii="Times New Roman" w:eastAsia="Times New Roman" w:hAnsi="Times New Roman" w:cs="Times New Roman"/>
          <w:noProof/>
          <w:sz w:val="24"/>
          <w:szCs w:val="24"/>
        </w:rPr>
        <w:t>(SAGARPA, 2018)</w:t>
      </w:r>
      <w:r w:rsidR="00B73BB6" w:rsidRPr="007846A5">
        <w:rPr>
          <w:rFonts w:ascii="Times New Roman" w:eastAsia="Times New Roman" w:hAnsi="Times New Roman" w:cs="Times New Roman"/>
          <w:sz w:val="24"/>
          <w:szCs w:val="24"/>
        </w:rPr>
        <w:fldChar w:fldCharType="end"/>
      </w:r>
      <w:r w:rsidRPr="007846A5">
        <w:rPr>
          <w:rFonts w:ascii="Times New Roman" w:eastAsia="Times New Roman" w:hAnsi="Times New Roman" w:cs="Times New Roman"/>
          <w:sz w:val="24"/>
          <w:szCs w:val="24"/>
        </w:rPr>
        <w:t>, which lists the amount of money given to each municipality per agriculture cycle (two cycles per year) for the period 201</w:t>
      </w:r>
      <w:r w:rsidR="00606ADB">
        <w:rPr>
          <w:rFonts w:ascii="Times New Roman" w:eastAsia="Times New Roman" w:hAnsi="Times New Roman" w:cs="Times New Roman"/>
          <w:sz w:val="24"/>
          <w:szCs w:val="24"/>
        </w:rPr>
        <w:t>3</w:t>
      </w:r>
      <w:r w:rsidRPr="007846A5">
        <w:rPr>
          <w:rFonts w:ascii="Times New Roman" w:eastAsia="Times New Roman" w:hAnsi="Times New Roman" w:cs="Times New Roman"/>
          <w:sz w:val="24"/>
          <w:szCs w:val="24"/>
        </w:rPr>
        <w:t xml:space="preserve">-2018. We then calculated the total amount of money given for this period per municipality per unit area (Mexican pesos invested per square kilometer). </w:t>
      </w:r>
      <w:r w:rsidR="00671874">
        <w:rPr>
          <w:rFonts w:ascii="Times New Roman" w:eastAsia="Times New Roman" w:hAnsi="Times New Roman" w:cs="Times New Roman"/>
          <w:sz w:val="24"/>
          <w:szCs w:val="24"/>
        </w:rPr>
        <w:t>To estimate non-farm occupation, we calculated the proportion of the population in a municipality working in the industrial or services sector</w:t>
      </w:r>
      <w:r w:rsidR="005A748F">
        <w:rPr>
          <w:rFonts w:ascii="Times New Roman" w:eastAsia="Times New Roman" w:hAnsi="Times New Roman" w:cs="Times New Roman"/>
          <w:sz w:val="24"/>
          <w:szCs w:val="24"/>
        </w:rPr>
        <w:t>.</w:t>
      </w:r>
      <w:r w:rsidR="00285B31">
        <w:rPr>
          <w:rFonts w:ascii="Times New Roman" w:eastAsia="Times New Roman" w:hAnsi="Times New Roman" w:cs="Times New Roman"/>
          <w:sz w:val="24"/>
          <w:szCs w:val="24"/>
        </w:rPr>
        <w:t xml:space="preserve"> </w:t>
      </w:r>
      <w:r w:rsidRPr="007846A5">
        <w:rPr>
          <w:rFonts w:ascii="Times New Roman" w:eastAsia="Times New Roman" w:hAnsi="Times New Roman" w:cs="Times New Roman"/>
          <w:sz w:val="24"/>
          <w:szCs w:val="24"/>
        </w:rPr>
        <w:t xml:space="preserve">To calculate the distance to major cities, which here was used as a proxy to access markets, we used vector data of localities in the year 2000 with a </w:t>
      </w:r>
      <w:r>
        <w:rPr>
          <w:rFonts w:ascii="Times New Roman" w:eastAsia="Times New Roman" w:hAnsi="Times New Roman" w:cs="Times New Roman"/>
          <w:sz w:val="24"/>
          <w:szCs w:val="24"/>
        </w:rPr>
        <w:t>population &gt;</w:t>
      </w:r>
      <w:r w:rsidR="00C10C0F">
        <w:rPr>
          <w:rFonts w:ascii="Times New Roman" w:eastAsia="Times New Roman" w:hAnsi="Times New Roman" w:cs="Times New Roman"/>
          <w:sz w:val="24"/>
          <w:szCs w:val="24"/>
        </w:rPr>
        <w:t>15,</w:t>
      </w:r>
      <w:r w:rsidRPr="007846A5">
        <w:rPr>
          <w:rFonts w:ascii="Times New Roman" w:eastAsia="Times New Roman" w:hAnsi="Times New Roman" w:cs="Times New Roman"/>
          <w:sz w:val="24"/>
          <w:szCs w:val="24"/>
        </w:rPr>
        <w:t xml:space="preserve">000 </w:t>
      </w:r>
      <w:r w:rsidR="00B73BB6" w:rsidRPr="007846A5">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{"citationItems":[{"id":"ITEM-1","itemData":{"URL":"http://www.conabio.gob.mx/informacion/gis/","author":[{"dropping-particle":"","family":"CONABIO","given":"","non-dropping-particle":"","parse-names":false,"suffix":""}],"container-title":"Catálogo de metadatos geográficos. Comisión Nacional para el Conocimiento y Uso de la Biodiversidad","id":"ITEM-1","issued":{"date-parts":[["2002"]]},"title":"Localidades de la República Mexicana, 2000","type":"webpage"},"uris":["http://www.mendeley.com/documents/?uuid=113a6ee8-8137-4b1b-8e25-2d431de550ba"]}],"mendeley":{"formattedCitation":"(CONABIO, 2002)","plainTextFormattedCitation":"(CONABIO, 2002)","previouslyFormattedCitation":"(CONABIO, 2002)"},"properties":{"noteIndex":0},"schema":"https://github.com/citation-style-language/schema/raw/master/csl-citation.json"}</w:instrText>
      </w:r>
      <w:r w:rsidR="00B73BB6" w:rsidRPr="007846A5">
        <w:rPr>
          <w:rFonts w:ascii="Times New Roman" w:eastAsia="Times New Roman" w:hAnsi="Times New Roman" w:cs="Times New Roman"/>
          <w:sz w:val="24"/>
          <w:szCs w:val="24"/>
        </w:rPr>
        <w:fldChar w:fldCharType="separate"/>
      </w:r>
      <w:r w:rsidRPr="007846A5">
        <w:rPr>
          <w:rFonts w:ascii="Times New Roman" w:eastAsia="Times New Roman" w:hAnsi="Times New Roman" w:cs="Times New Roman"/>
          <w:noProof/>
          <w:sz w:val="24"/>
          <w:szCs w:val="24"/>
        </w:rPr>
        <w:t>(CONABIO, 2002)</w:t>
      </w:r>
      <w:r w:rsidR="00B73BB6" w:rsidRPr="007846A5">
        <w:rPr>
          <w:rFonts w:ascii="Times New Roman" w:eastAsia="Times New Roman" w:hAnsi="Times New Roman" w:cs="Times New Roman"/>
          <w:sz w:val="24"/>
          <w:szCs w:val="24"/>
        </w:rPr>
        <w:fldChar w:fldCharType="end"/>
      </w:r>
      <w:r w:rsidRPr="007846A5">
        <w:rPr>
          <w:rFonts w:ascii="Times New Roman" w:eastAsia="Times New Roman" w:hAnsi="Times New Roman" w:cs="Times New Roman"/>
          <w:sz w:val="24"/>
          <w:szCs w:val="24"/>
        </w:rPr>
        <w:t>. Then we calculate vector point distance in QGIS as raster data at a resolution of 100m. Finally, we calculate the mean distance to major cities for each reserve.</w:t>
      </w:r>
      <w:r w:rsidR="00C12687">
        <w:rPr>
          <w:rFonts w:ascii="Times New Roman" w:eastAsia="Times New Roman" w:hAnsi="Times New Roman" w:cs="Times New Roman"/>
          <w:sz w:val="24"/>
          <w:szCs w:val="24"/>
        </w:rPr>
        <w:t xml:space="preserve"> </w:t>
      </w:r>
      <w:r w:rsidRPr="007846A5">
        <w:rPr>
          <w:rFonts w:ascii="Times New Roman" w:eastAsia="Times New Roman" w:hAnsi="Times New Roman" w:cs="Times New Roman"/>
          <w:sz w:val="24"/>
          <w:szCs w:val="24"/>
        </w:rPr>
        <w:t>Indicators such as marginalization index, human development index, and unemployment index were obtained from the different sources in a format that did not need any calculation.</w:t>
      </w:r>
    </w:p>
    <w:p w14:paraId="12E1DA2E" w14:textId="6C5483FB" w:rsidR="00061A9A" w:rsidRPr="007846A5" w:rsidRDefault="003921EF" w:rsidP="005D769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most socioeconomic indicators were gather</w:t>
      </w:r>
      <w:r w:rsidR="00506E78">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from </w:t>
      </w:r>
      <w:r w:rsidR="00CF280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municipality </w:t>
      </w:r>
      <w:r w:rsidR="00F52A3B">
        <w:rPr>
          <w:rFonts w:ascii="Times New Roman" w:eastAsia="Times New Roman" w:hAnsi="Times New Roman" w:cs="Times New Roman"/>
          <w:sz w:val="24"/>
          <w:szCs w:val="24"/>
        </w:rPr>
        <w:t>scale</w:t>
      </w:r>
      <w:r>
        <w:rPr>
          <w:rFonts w:ascii="Times New Roman" w:eastAsia="Times New Roman" w:hAnsi="Times New Roman" w:cs="Times New Roman"/>
          <w:sz w:val="24"/>
          <w:szCs w:val="24"/>
        </w:rPr>
        <w:t>, we</w:t>
      </w:r>
      <w:r w:rsidR="00F52A3B">
        <w:rPr>
          <w:rFonts w:ascii="Times New Roman" w:eastAsia="Times New Roman" w:hAnsi="Times New Roman" w:cs="Times New Roman"/>
          <w:sz w:val="24"/>
          <w:szCs w:val="24"/>
        </w:rPr>
        <w:t xml:space="preserve"> calculate</w:t>
      </w:r>
      <w:r w:rsidR="00C10C0F">
        <w:rPr>
          <w:rFonts w:ascii="Times New Roman" w:eastAsia="Times New Roman" w:hAnsi="Times New Roman" w:cs="Times New Roman"/>
          <w:sz w:val="24"/>
          <w:szCs w:val="24"/>
        </w:rPr>
        <w:t>d</w:t>
      </w:r>
      <w:r w:rsidR="00F52A3B">
        <w:rPr>
          <w:rFonts w:ascii="Times New Roman" w:eastAsia="Times New Roman" w:hAnsi="Times New Roman" w:cs="Times New Roman"/>
          <w:sz w:val="24"/>
          <w:szCs w:val="24"/>
        </w:rPr>
        <w:t xml:space="preserve"> the mean value of those that </w:t>
      </w:r>
      <w:proofErr w:type="gramStart"/>
      <w:r w:rsidR="00607FD8">
        <w:rPr>
          <w:rFonts w:ascii="Times New Roman" w:eastAsia="Times New Roman" w:hAnsi="Times New Roman" w:cs="Times New Roman"/>
          <w:sz w:val="24"/>
          <w:szCs w:val="24"/>
        </w:rPr>
        <w:t>influence</w:t>
      </w:r>
      <w:r w:rsidR="00F52A3B">
        <w:rPr>
          <w:rFonts w:ascii="Times New Roman" w:eastAsia="Times New Roman" w:hAnsi="Times New Roman" w:cs="Times New Roman"/>
          <w:sz w:val="24"/>
          <w:szCs w:val="24"/>
        </w:rPr>
        <w:t xml:space="preserve"> d</w:t>
      </w:r>
      <w:r w:rsidR="00607FD8">
        <w:rPr>
          <w:rFonts w:ascii="Times New Roman" w:eastAsia="Times New Roman" w:hAnsi="Times New Roman" w:cs="Times New Roman"/>
          <w:sz w:val="24"/>
          <w:szCs w:val="24"/>
        </w:rPr>
        <w:t>irectly</w:t>
      </w:r>
      <w:proofErr w:type="gramEnd"/>
      <w:r w:rsidR="00607FD8">
        <w:rPr>
          <w:rFonts w:ascii="Times New Roman" w:eastAsia="Times New Roman" w:hAnsi="Times New Roman" w:cs="Times New Roman"/>
          <w:sz w:val="24"/>
          <w:szCs w:val="24"/>
        </w:rPr>
        <w:t xml:space="preserve"> each reserve. </w:t>
      </w:r>
      <w:r w:rsidR="003071AA">
        <w:rPr>
          <w:rFonts w:ascii="Times New Roman" w:eastAsia="Times New Roman" w:hAnsi="Times New Roman" w:cs="Times New Roman"/>
          <w:sz w:val="24"/>
          <w:szCs w:val="24"/>
        </w:rPr>
        <w:t xml:space="preserve">To do that, we </w:t>
      </w:r>
      <w:r w:rsidR="0092135F">
        <w:rPr>
          <w:rFonts w:ascii="Times New Roman" w:eastAsia="Times New Roman" w:hAnsi="Times New Roman" w:cs="Times New Roman"/>
          <w:sz w:val="24"/>
          <w:szCs w:val="24"/>
        </w:rPr>
        <w:t>define</w:t>
      </w:r>
      <w:r w:rsidR="00C10C0F">
        <w:rPr>
          <w:rFonts w:ascii="Times New Roman" w:eastAsia="Times New Roman" w:hAnsi="Times New Roman" w:cs="Times New Roman"/>
          <w:sz w:val="24"/>
          <w:szCs w:val="24"/>
        </w:rPr>
        <w:t>d</w:t>
      </w:r>
      <w:r w:rsidR="0092135F">
        <w:rPr>
          <w:rFonts w:ascii="Times New Roman" w:eastAsia="Times New Roman" w:hAnsi="Times New Roman" w:cs="Times New Roman"/>
          <w:sz w:val="24"/>
          <w:szCs w:val="24"/>
        </w:rPr>
        <w:t xml:space="preserve"> a minimum </w:t>
      </w:r>
      <w:r w:rsidR="00D86549">
        <w:rPr>
          <w:rFonts w:ascii="Times New Roman" w:eastAsia="Times New Roman" w:hAnsi="Times New Roman" w:cs="Times New Roman"/>
          <w:sz w:val="24"/>
          <w:szCs w:val="24"/>
        </w:rPr>
        <w:t xml:space="preserve">intersection </w:t>
      </w:r>
      <w:r w:rsidR="0092135F">
        <w:rPr>
          <w:rFonts w:ascii="Times New Roman" w:eastAsia="Times New Roman" w:hAnsi="Times New Roman" w:cs="Times New Roman"/>
          <w:sz w:val="24"/>
          <w:szCs w:val="24"/>
        </w:rPr>
        <w:t>area threshold</w:t>
      </w:r>
      <w:r w:rsidR="00D86549">
        <w:rPr>
          <w:rFonts w:ascii="Times New Roman" w:eastAsia="Times New Roman" w:hAnsi="Times New Roman" w:cs="Times New Roman"/>
          <w:sz w:val="24"/>
          <w:szCs w:val="24"/>
        </w:rPr>
        <w:t xml:space="preserve"> of 10%. Thus, a </w:t>
      </w:r>
      <w:r w:rsidR="005B41F6">
        <w:rPr>
          <w:rFonts w:ascii="Times New Roman" w:eastAsia="Times New Roman" w:hAnsi="Times New Roman" w:cs="Times New Roman"/>
          <w:sz w:val="24"/>
          <w:szCs w:val="24"/>
        </w:rPr>
        <w:t xml:space="preserve">municipality with </w:t>
      </w:r>
      <w:r w:rsidR="00A76101">
        <w:rPr>
          <w:rFonts w:ascii="Times New Roman" w:eastAsia="Times New Roman" w:hAnsi="Times New Roman" w:cs="Times New Roman"/>
          <w:sz w:val="24"/>
          <w:szCs w:val="24"/>
        </w:rPr>
        <w:t>an area higher than 10% covered by a reserve was considered to</w:t>
      </w:r>
      <w:r w:rsidR="000136B5">
        <w:rPr>
          <w:rFonts w:ascii="Times New Roman" w:eastAsia="Times New Roman" w:hAnsi="Times New Roman" w:cs="Times New Roman"/>
          <w:sz w:val="24"/>
          <w:szCs w:val="24"/>
        </w:rPr>
        <w:t xml:space="preserve"> </w:t>
      </w:r>
      <w:r w:rsidR="00C10C0F">
        <w:rPr>
          <w:rFonts w:ascii="Times New Roman" w:eastAsia="Times New Roman" w:hAnsi="Times New Roman" w:cs="Times New Roman"/>
          <w:sz w:val="24"/>
          <w:szCs w:val="24"/>
        </w:rPr>
        <w:t xml:space="preserve">have a direct </w:t>
      </w:r>
      <w:r w:rsidR="000136B5">
        <w:rPr>
          <w:rFonts w:ascii="Times New Roman" w:eastAsia="Times New Roman" w:hAnsi="Times New Roman" w:cs="Times New Roman"/>
          <w:sz w:val="24"/>
          <w:szCs w:val="24"/>
        </w:rPr>
        <w:t xml:space="preserve">influence </w:t>
      </w:r>
      <w:r w:rsidR="00A4741C">
        <w:rPr>
          <w:rFonts w:ascii="Times New Roman" w:eastAsia="Times New Roman" w:hAnsi="Times New Roman" w:cs="Times New Roman"/>
          <w:sz w:val="24"/>
          <w:szCs w:val="24"/>
        </w:rPr>
        <w:t>(Table S</w:t>
      </w:r>
      <w:r w:rsidR="00E3224D">
        <w:rPr>
          <w:rFonts w:ascii="Times New Roman" w:eastAsia="Times New Roman" w:hAnsi="Times New Roman" w:cs="Times New Roman"/>
          <w:sz w:val="24"/>
          <w:szCs w:val="24"/>
        </w:rPr>
        <w:t>7</w:t>
      </w:r>
      <w:r w:rsidR="00A4741C">
        <w:rPr>
          <w:rFonts w:ascii="Times New Roman" w:eastAsia="Times New Roman" w:hAnsi="Times New Roman" w:cs="Times New Roman"/>
          <w:sz w:val="24"/>
          <w:szCs w:val="24"/>
        </w:rPr>
        <w:t>).</w:t>
      </w:r>
      <w:r w:rsidR="00354007">
        <w:rPr>
          <w:rFonts w:ascii="Times New Roman" w:eastAsia="Times New Roman" w:hAnsi="Times New Roman" w:cs="Times New Roman"/>
          <w:sz w:val="24"/>
          <w:szCs w:val="24"/>
        </w:rPr>
        <w:t xml:space="preserve"> </w:t>
      </w:r>
      <w:r w:rsidR="000250E8">
        <w:rPr>
          <w:rFonts w:ascii="Times New Roman" w:eastAsia="Times New Roman" w:hAnsi="Times New Roman" w:cs="Times New Roman"/>
          <w:sz w:val="24"/>
          <w:szCs w:val="24"/>
        </w:rPr>
        <w:t xml:space="preserve">In this form, </w:t>
      </w:r>
      <w:r w:rsidR="00612399">
        <w:rPr>
          <w:rFonts w:ascii="Times New Roman" w:eastAsia="Times New Roman" w:hAnsi="Times New Roman" w:cs="Times New Roman"/>
          <w:sz w:val="24"/>
          <w:szCs w:val="24"/>
        </w:rPr>
        <w:t>from</w:t>
      </w:r>
      <w:r w:rsidR="00825553">
        <w:rPr>
          <w:rFonts w:ascii="Times New Roman" w:eastAsia="Times New Roman" w:hAnsi="Times New Roman" w:cs="Times New Roman"/>
          <w:sz w:val="24"/>
          <w:szCs w:val="24"/>
        </w:rPr>
        <w:t xml:space="preserve"> the original 297 municipalities that intersect </w:t>
      </w:r>
      <w:r w:rsidR="005914E5">
        <w:rPr>
          <w:rFonts w:ascii="Times New Roman" w:eastAsia="Times New Roman" w:hAnsi="Times New Roman" w:cs="Times New Roman"/>
          <w:sz w:val="24"/>
          <w:szCs w:val="24"/>
        </w:rPr>
        <w:t>at</w:t>
      </w:r>
      <w:r w:rsidR="007F416B">
        <w:rPr>
          <w:rFonts w:ascii="Times New Roman" w:eastAsia="Times New Roman" w:hAnsi="Times New Roman" w:cs="Times New Roman"/>
          <w:sz w:val="24"/>
          <w:szCs w:val="24"/>
        </w:rPr>
        <w:t xml:space="preserve"> some level any reserve, we</w:t>
      </w:r>
      <w:r w:rsidR="00B47D5F">
        <w:rPr>
          <w:rFonts w:ascii="Times New Roman" w:eastAsia="Times New Roman" w:hAnsi="Times New Roman" w:cs="Times New Roman"/>
          <w:sz w:val="24"/>
          <w:szCs w:val="24"/>
        </w:rPr>
        <w:t xml:space="preserve"> obtained </w:t>
      </w:r>
      <w:r w:rsidR="00BA5075">
        <w:rPr>
          <w:rFonts w:ascii="Times New Roman" w:eastAsia="Times New Roman" w:hAnsi="Times New Roman" w:cs="Times New Roman"/>
          <w:sz w:val="24"/>
          <w:szCs w:val="24"/>
        </w:rPr>
        <w:t xml:space="preserve">220 </w:t>
      </w:r>
      <w:r w:rsidR="00FB520E">
        <w:rPr>
          <w:rFonts w:ascii="Times New Roman" w:eastAsia="Times New Roman" w:hAnsi="Times New Roman" w:cs="Times New Roman"/>
          <w:sz w:val="24"/>
          <w:szCs w:val="24"/>
        </w:rPr>
        <w:t xml:space="preserve">that </w:t>
      </w:r>
      <w:r w:rsidR="00E10AFE">
        <w:rPr>
          <w:rFonts w:ascii="Times New Roman" w:eastAsia="Times New Roman" w:hAnsi="Times New Roman" w:cs="Times New Roman"/>
          <w:sz w:val="24"/>
          <w:szCs w:val="24"/>
        </w:rPr>
        <w:t>meet the 10% coverage threshold.</w:t>
      </w:r>
      <w:r w:rsidR="00825553">
        <w:rPr>
          <w:rFonts w:ascii="Times New Roman" w:eastAsia="Times New Roman" w:hAnsi="Times New Roman" w:cs="Times New Roman"/>
          <w:sz w:val="24"/>
          <w:szCs w:val="24"/>
        </w:rPr>
        <w:t xml:space="preserve"> </w:t>
      </w:r>
    </w:p>
    <w:p w14:paraId="12E1DA2F" w14:textId="601BCE7E" w:rsidR="00BF0789" w:rsidRDefault="00285F29" w:rsidP="005D769C">
      <w:pPr>
        <w:spacing w:line="240" w:lineRule="auto"/>
        <w:jc w:val="both"/>
        <w:rPr>
          <w:rFonts w:ascii="Times New Roman" w:eastAsia="Times New Roman" w:hAnsi="Times New Roman" w:cs="Times New Roman"/>
          <w:sz w:val="24"/>
          <w:szCs w:val="24"/>
        </w:rPr>
      </w:pPr>
      <w:r w:rsidRPr="007846A5">
        <w:rPr>
          <w:rFonts w:ascii="Times New Roman" w:eastAsia="Times New Roman" w:hAnsi="Times New Roman" w:cs="Times New Roman"/>
          <w:sz w:val="24"/>
          <w:szCs w:val="24"/>
        </w:rPr>
        <w:t xml:space="preserve">We </w:t>
      </w:r>
      <w:r w:rsidRPr="00581BE7">
        <w:rPr>
          <w:rFonts w:ascii="Times New Roman" w:eastAsia="Times New Roman" w:hAnsi="Times New Roman" w:cs="Times New Roman"/>
          <w:sz w:val="24"/>
          <w:szCs w:val="24"/>
        </w:rPr>
        <w:t>calculated Pearson correlation coefficients of indicators of underlying drivers of forest spatial changes (forest loss, fragmentation, and regrowth). We discarded variables highly correlated (correlation value higher than 0.</w:t>
      </w:r>
      <w:r w:rsidR="00042761">
        <w:rPr>
          <w:rFonts w:ascii="Times New Roman" w:eastAsia="Times New Roman" w:hAnsi="Times New Roman" w:cs="Times New Roman"/>
          <w:sz w:val="24"/>
          <w:szCs w:val="24"/>
        </w:rPr>
        <w:t>5</w:t>
      </w:r>
      <w:r w:rsidRPr="00581BE7">
        <w:rPr>
          <w:rFonts w:ascii="Times New Roman" w:eastAsia="Times New Roman" w:hAnsi="Times New Roman" w:cs="Times New Roman"/>
          <w:sz w:val="24"/>
          <w:szCs w:val="24"/>
        </w:rPr>
        <w:t>)</w:t>
      </w:r>
      <w:r w:rsidR="006D61F0">
        <w:rPr>
          <w:rFonts w:ascii="Times New Roman" w:eastAsia="Times New Roman" w:hAnsi="Times New Roman" w:cs="Times New Roman"/>
          <w:sz w:val="24"/>
          <w:szCs w:val="24"/>
        </w:rPr>
        <w:t xml:space="preserve">. </w:t>
      </w:r>
      <w:r w:rsidR="00112260">
        <w:rPr>
          <w:rFonts w:ascii="Times New Roman" w:eastAsia="Times New Roman" w:hAnsi="Times New Roman" w:cs="Times New Roman"/>
          <w:sz w:val="24"/>
          <w:szCs w:val="24"/>
        </w:rPr>
        <w:t xml:space="preserve">We also tested for </w:t>
      </w:r>
      <w:r w:rsidR="00EC552B">
        <w:rPr>
          <w:rFonts w:ascii="Times New Roman" w:eastAsia="Times New Roman" w:hAnsi="Times New Roman" w:cs="Times New Roman"/>
          <w:sz w:val="24"/>
          <w:szCs w:val="24"/>
        </w:rPr>
        <w:t>multicollinearity through the variance inflation factor (VIF</w:t>
      </w:r>
      <w:proofErr w:type="gramStart"/>
      <w:r w:rsidR="00EC552B">
        <w:rPr>
          <w:rFonts w:ascii="Times New Roman" w:eastAsia="Times New Roman" w:hAnsi="Times New Roman" w:cs="Times New Roman"/>
          <w:sz w:val="24"/>
          <w:szCs w:val="24"/>
        </w:rPr>
        <w:t>)</w:t>
      </w:r>
      <w:proofErr w:type="gramEnd"/>
      <w:r w:rsidR="00971F09">
        <w:rPr>
          <w:rFonts w:ascii="Times New Roman" w:eastAsia="Times New Roman" w:hAnsi="Times New Roman" w:cs="Times New Roman"/>
          <w:sz w:val="24"/>
          <w:szCs w:val="24"/>
        </w:rPr>
        <w:t xml:space="preserve"> </w:t>
      </w:r>
      <w:r w:rsidR="0012311C">
        <w:rPr>
          <w:rFonts w:ascii="Times New Roman" w:eastAsia="Times New Roman" w:hAnsi="Times New Roman" w:cs="Times New Roman"/>
          <w:sz w:val="24"/>
          <w:szCs w:val="24"/>
        </w:rPr>
        <w:t>and we exclude variables with</w:t>
      </w:r>
      <w:r w:rsidR="0085594D">
        <w:rPr>
          <w:rFonts w:ascii="Times New Roman" w:eastAsia="Times New Roman" w:hAnsi="Times New Roman" w:cs="Times New Roman"/>
          <w:sz w:val="24"/>
          <w:szCs w:val="24"/>
        </w:rPr>
        <w:t xml:space="preserve"> values higher than 2.</w:t>
      </w:r>
      <w:r w:rsidR="00EC552B">
        <w:rPr>
          <w:rFonts w:ascii="Times New Roman" w:eastAsia="Times New Roman" w:hAnsi="Times New Roman" w:cs="Times New Roman"/>
          <w:sz w:val="24"/>
          <w:szCs w:val="24"/>
        </w:rPr>
        <w:t xml:space="preserve"> </w:t>
      </w:r>
      <w:r w:rsidR="0085594D">
        <w:rPr>
          <w:rFonts w:ascii="Times New Roman" w:eastAsia="Times New Roman" w:hAnsi="Times New Roman" w:cs="Times New Roman"/>
          <w:sz w:val="24"/>
          <w:szCs w:val="24"/>
        </w:rPr>
        <w:t>Thus,</w:t>
      </w:r>
      <w:r w:rsidR="006D61F0">
        <w:rPr>
          <w:rFonts w:ascii="Times New Roman" w:eastAsia="Times New Roman" w:hAnsi="Times New Roman" w:cs="Times New Roman"/>
          <w:sz w:val="24"/>
          <w:szCs w:val="24"/>
        </w:rPr>
        <w:t xml:space="preserve"> we </w:t>
      </w:r>
      <w:r w:rsidR="00484869">
        <w:rPr>
          <w:rFonts w:ascii="Times New Roman" w:eastAsia="Times New Roman" w:hAnsi="Times New Roman" w:cs="Times New Roman"/>
          <w:sz w:val="24"/>
          <w:szCs w:val="24"/>
        </w:rPr>
        <w:t>discarded</w:t>
      </w:r>
      <w:r w:rsidRPr="00581BE7">
        <w:rPr>
          <w:rFonts w:ascii="Times New Roman" w:eastAsia="Times New Roman" w:hAnsi="Times New Roman" w:cs="Times New Roman"/>
          <w:sz w:val="24"/>
          <w:szCs w:val="24"/>
        </w:rPr>
        <w:t xml:space="preserve"> </w:t>
      </w:r>
      <w:r w:rsidR="006E26D5" w:rsidRPr="00581BE7">
        <w:rPr>
          <w:rFonts w:ascii="Times New Roman" w:eastAsia="Times New Roman" w:hAnsi="Times New Roman" w:cs="Times New Roman"/>
          <w:sz w:val="24"/>
          <w:szCs w:val="24"/>
        </w:rPr>
        <w:t>the subsidies for agriculture</w:t>
      </w:r>
      <w:r w:rsidR="00484869">
        <w:rPr>
          <w:rFonts w:ascii="Times New Roman" w:eastAsia="Times New Roman" w:hAnsi="Times New Roman" w:cs="Times New Roman"/>
          <w:sz w:val="24"/>
          <w:szCs w:val="24"/>
        </w:rPr>
        <w:t>, unemployment rate, human development index</w:t>
      </w:r>
      <w:r w:rsidR="00511431">
        <w:rPr>
          <w:rFonts w:ascii="Times New Roman" w:eastAsia="Times New Roman" w:hAnsi="Times New Roman" w:cs="Times New Roman"/>
          <w:sz w:val="24"/>
          <w:szCs w:val="24"/>
        </w:rPr>
        <w:t>,</w:t>
      </w:r>
      <w:r w:rsidRPr="00581BE7">
        <w:rPr>
          <w:rFonts w:ascii="Times New Roman" w:eastAsia="Times New Roman" w:hAnsi="Times New Roman" w:cs="Times New Roman"/>
          <w:sz w:val="24"/>
          <w:szCs w:val="24"/>
        </w:rPr>
        <w:t xml:space="preserve"> and marginalization index</w:t>
      </w:r>
      <w:r w:rsidR="00F322DD">
        <w:rPr>
          <w:rFonts w:ascii="Times New Roman" w:eastAsia="Times New Roman" w:hAnsi="Times New Roman" w:cs="Times New Roman"/>
          <w:sz w:val="24"/>
          <w:szCs w:val="24"/>
        </w:rPr>
        <w:t xml:space="preserve"> (Figure S</w:t>
      </w:r>
      <w:r w:rsidR="005C0C91">
        <w:rPr>
          <w:rFonts w:ascii="Times New Roman" w:eastAsia="Times New Roman" w:hAnsi="Times New Roman" w:cs="Times New Roman"/>
          <w:sz w:val="24"/>
          <w:szCs w:val="24"/>
        </w:rPr>
        <w:t>3</w:t>
      </w:r>
      <w:r w:rsidR="00040CCB">
        <w:rPr>
          <w:rFonts w:ascii="Times New Roman" w:eastAsia="Times New Roman" w:hAnsi="Times New Roman" w:cs="Times New Roman"/>
          <w:sz w:val="24"/>
          <w:szCs w:val="24"/>
        </w:rPr>
        <w:t>, Appendix 1</w:t>
      </w:r>
      <w:r w:rsidR="00F322DD">
        <w:rPr>
          <w:rFonts w:ascii="Times New Roman" w:eastAsia="Times New Roman" w:hAnsi="Times New Roman" w:cs="Times New Roman"/>
          <w:sz w:val="24"/>
          <w:szCs w:val="24"/>
        </w:rPr>
        <w:t>)</w:t>
      </w:r>
      <w:r w:rsidRPr="00581BE7">
        <w:rPr>
          <w:rFonts w:ascii="Times New Roman" w:eastAsia="Times New Roman" w:hAnsi="Times New Roman" w:cs="Times New Roman"/>
          <w:sz w:val="24"/>
          <w:szCs w:val="24"/>
        </w:rPr>
        <w:t xml:space="preserve">. In this way, for our analysis, we selected </w:t>
      </w:r>
      <w:r w:rsidR="006E26D5" w:rsidRPr="00581BE7">
        <w:rPr>
          <w:rFonts w:ascii="Times New Roman" w:eastAsia="Times New Roman" w:hAnsi="Times New Roman" w:cs="Times New Roman"/>
          <w:sz w:val="24"/>
          <w:szCs w:val="24"/>
        </w:rPr>
        <w:lastRenderedPageBreak/>
        <w:t>unemployment rate</w:t>
      </w:r>
      <w:r w:rsidRPr="00581BE7">
        <w:rPr>
          <w:rFonts w:ascii="Times New Roman" w:eastAsia="Times New Roman" w:hAnsi="Times New Roman" w:cs="Times New Roman"/>
          <w:sz w:val="24"/>
          <w:szCs w:val="24"/>
        </w:rPr>
        <w:t>, rural density, population density, population growth</w:t>
      </w:r>
      <w:r w:rsidRPr="007846A5">
        <w:rPr>
          <w:rFonts w:ascii="Times New Roman" w:eastAsia="Times New Roman" w:hAnsi="Times New Roman" w:cs="Times New Roman"/>
          <w:sz w:val="24"/>
          <w:szCs w:val="24"/>
        </w:rPr>
        <w:t xml:space="preserve">, non-farm </w:t>
      </w:r>
      <w:r w:rsidR="00D43589">
        <w:rPr>
          <w:rFonts w:ascii="Times New Roman" w:eastAsia="Times New Roman" w:hAnsi="Times New Roman" w:cs="Times New Roman"/>
          <w:sz w:val="24"/>
          <w:szCs w:val="24"/>
        </w:rPr>
        <w:t>occupation</w:t>
      </w:r>
      <w:r w:rsidRPr="007846A5">
        <w:rPr>
          <w:rFonts w:ascii="Times New Roman" w:eastAsia="Times New Roman" w:hAnsi="Times New Roman" w:cs="Times New Roman"/>
          <w:sz w:val="24"/>
          <w:szCs w:val="24"/>
        </w:rPr>
        <w:t>, and distance to major cities.</w:t>
      </w:r>
    </w:p>
    <w:p w14:paraId="4583E3EA" w14:textId="77777777" w:rsidR="00170F4F" w:rsidRPr="00893EC5" w:rsidRDefault="00170F4F" w:rsidP="005D769C">
      <w:pPr>
        <w:spacing w:line="240" w:lineRule="auto"/>
        <w:jc w:val="both"/>
        <w:rPr>
          <w:rFonts w:ascii="Times New Roman" w:eastAsia="Times New Roman" w:hAnsi="Times New Roman" w:cs="Times New Roman"/>
          <w:sz w:val="24"/>
          <w:szCs w:val="24"/>
        </w:rPr>
      </w:pPr>
    </w:p>
    <w:p w14:paraId="12E1DA3F" w14:textId="19A68D2F" w:rsidR="00A4741C" w:rsidRPr="0049273F" w:rsidRDefault="00A4741C" w:rsidP="00A4741C">
      <w:pPr>
        <w:spacing w:line="240" w:lineRule="auto"/>
        <w:jc w:val="both"/>
        <w:rPr>
          <w:rFonts w:ascii="Times New Roman" w:eastAsia="Times New Roman" w:hAnsi="Times New Roman" w:cs="Times New Roman"/>
        </w:rPr>
      </w:pPr>
      <w:r w:rsidRPr="0049273F">
        <w:rPr>
          <w:rFonts w:ascii="Times New Roman" w:eastAsia="Times New Roman" w:hAnsi="Times New Roman" w:cs="Times New Roman"/>
        </w:rPr>
        <w:t>Table S</w:t>
      </w:r>
      <w:r w:rsidR="00362540">
        <w:rPr>
          <w:rFonts w:ascii="Times New Roman" w:eastAsia="Times New Roman" w:hAnsi="Times New Roman" w:cs="Times New Roman"/>
        </w:rPr>
        <w:t>7</w:t>
      </w:r>
      <w:r w:rsidRPr="0049273F">
        <w:rPr>
          <w:rFonts w:ascii="Times New Roman" w:eastAsia="Times New Roman" w:hAnsi="Times New Roman" w:cs="Times New Roman"/>
        </w:rPr>
        <w:t xml:space="preserve">: The number of municipalities included to calculate the mean value of socioeconomic indicators per reserve. </w:t>
      </w:r>
    </w:p>
    <w:tbl>
      <w:tblPr>
        <w:tblW w:w="4820" w:type="dxa"/>
        <w:jc w:val="center"/>
        <w:tblCellMar>
          <w:left w:w="70" w:type="dxa"/>
          <w:right w:w="70" w:type="dxa"/>
        </w:tblCellMar>
        <w:tblLook w:val="04A0" w:firstRow="1" w:lastRow="0" w:firstColumn="1" w:lastColumn="0" w:noHBand="0" w:noVBand="1"/>
      </w:tblPr>
      <w:tblGrid>
        <w:gridCol w:w="372"/>
        <w:gridCol w:w="3172"/>
        <w:gridCol w:w="1411"/>
      </w:tblGrid>
      <w:tr w:rsidR="00A4741C" w:rsidRPr="00CF3A98" w14:paraId="12E1DA43" w14:textId="77777777" w:rsidTr="0087084E">
        <w:trPr>
          <w:trHeight w:val="288"/>
          <w:jc w:val="center"/>
        </w:trPr>
        <w:tc>
          <w:tcPr>
            <w:tcW w:w="372" w:type="dxa"/>
            <w:tcBorders>
              <w:top w:val="single" w:sz="4" w:space="0" w:color="auto"/>
              <w:left w:val="nil"/>
              <w:bottom w:val="single" w:sz="4" w:space="0" w:color="auto"/>
              <w:right w:val="nil"/>
            </w:tcBorders>
            <w:shd w:val="clear" w:color="auto" w:fill="auto"/>
            <w:noWrap/>
            <w:vAlign w:val="bottom"/>
            <w:hideMark/>
          </w:tcPr>
          <w:p w14:paraId="12E1DA40"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no</w:t>
            </w:r>
          </w:p>
        </w:tc>
        <w:tc>
          <w:tcPr>
            <w:tcW w:w="3172" w:type="dxa"/>
            <w:tcBorders>
              <w:top w:val="single" w:sz="4" w:space="0" w:color="auto"/>
              <w:left w:val="nil"/>
              <w:bottom w:val="single" w:sz="4" w:space="0" w:color="auto"/>
              <w:right w:val="nil"/>
            </w:tcBorders>
            <w:shd w:val="clear" w:color="auto" w:fill="auto"/>
            <w:noWrap/>
            <w:vAlign w:val="bottom"/>
            <w:hideMark/>
          </w:tcPr>
          <w:p w14:paraId="12E1DA41"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Reserves</w:t>
            </w:r>
          </w:p>
        </w:tc>
        <w:tc>
          <w:tcPr>
            <w:tcW w:w="1276" w:type="dxa"/>
            <w:tcBorders>
              <w:top w:val="single" w:sz="4" w:space="0" w:color="auto"/>
              <w:left w:val="nil"/>
              <w:bottom w:val="single" w:sz="4" w:space="0" w:color="auto"/>
              <w:right w:val="nil"/>
            </w:tcBorders>
            <w:shd w:val="clear" w:color="auto" w:fill="auto"/>
            <w:noWrap/>
            <w:vAlign w:val="bottom"/>
            <w:hideMark/>
          </w:tcPr>
          <w:p w14:paraId="12E1DA42" w14:textId="77777777" w:rsidR="00A4741C" w:rsidRPr="00CF3A98" w:rsidRDefault="00A4741C" w:rsidP="0087084E">
            <w:pPr>
              <w:spacing w:after="0" w:line="240" w:lineRule="auto"/>
              <w:rPr>
                <w:rFonts w:ascii="Times New Roman" w:eastAsia="Times New Roman" w:hAnsi="Times New Roman" w:cs="Times New Roman"/>
                <w:color w:val="000000"/>
                <w:lang w:eastAsia="es-MX"/>
              </w:rPr>
            </w:pPr>
            <w:r w:rsidRPr="00CF3A98">
              <w:rPr>
                <w:rFonts w:ascii="Times New Roman" w:eastAsia="Times New Roman" w:hAnsi="Times New Roman" w:cs="Times New Roman"/>
                <w:color w:val="000000"/>
                <w:lang w:eastAsia="es-MX"/>
              </w:rPr>
              <w:t>Municipalities</w:t>
            </w:r>
          </w:p>
        </w:tc>
      </w:tr>
      <w:tr w:rsidR="00A4741C" w:rsidRPr="00CF3A98" w14:paraId="12E1DA47"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44"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w:t>
            </w:r>
          </w:p>
        </w:tc>
        <w:tc>
          <w:tcPr>
            <w:tcW w:w="3172" w:type="dxa"/>
            <w:tcBorders>
              <w:top w:val="nil"/>
              <w:left w:val="nil"/>
              <w:bottom w:val="nil"/>
              <w:right w:val="nil"/>
            </w:tcBorders>
            <w:shd w:val="clear" w:color="auto" w:fill="auto"/>
            <w:noWrap/>
            <w:vAlign w:val="bottom"/>
            <w:hideMark/>
          </w:tcPr>
          <w:p w14:paraId="12E1DA45"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Barranca de Metztitlán</w:t>
            </w:r>
          </w:p>
        </w:tc>
        <w:tc>
          <w:tcPr>
            <w:tcW w:w="1276" w:type="dxa"/>
            <w:tcBorders>
              <w:top w:val="nil"/>
              <w:left w:val="nil"/>
              <w:bottom w:val="nil"/>
              <w:right w:val="nil"/>
            </w:tcBorders>
            <w:shd w:val="clear" w:color="auto" w:fill="auto"/>
            <w:noWrap/>
            <w:vAlign w:val="bottom"/>
            <w:hideMark/>
          </w:tcPr>
          <w:p w14:paraId="12E1DA46"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17</w:t>
            </w:r>
          </w:p>
        </w:tc>
      </w:tr>
      <w:tr w:rsidR="00A4741C" w:rsidRPr="00CF3A98" w14:paraId="12E1DA4B"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48"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2</w:t>
            </w:r>
          </w:p>
        </w:tc>
        <w:tc>
          <w:tcPr>
            <w:tcW w:w="3172" w:type="dxa"/>
            <w:tcBorders>
              <w:top w:val="nil"/>
              <w:left w:val="nil"/>
              <w:bottom w:val="nil"/>
              <w:right w:val="nil"/>
            </w:tcBorders>
            <w:shd w:val="clear" w:color="auto" w:fill="auto"/>
            <w:noWrap/>
            <w:vAlign w:val="bottom"/>
            <w:hideMark/>
          </w:tcPr>
          <w:p w14:paraId="12E1DA49"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Calakmul</w:t>
            </w:r>
          </w:p>
        </w:tc>
        <w:tc>
          <w:tcPr>
            <w:tcW w:w="1276" w:type="dxa"/>
            <w:tcBorders>
              <w:top w:val="nil"/>
              <w:left w:val="nil"/>
              <w:bottom w:val="nil"/>
              <w:right w:val="nil"/>
            </w:tcBorders>
            <w:shd w:val="clear" w:color="auto" w:fill="auto"/>
            <w:noWrap/>
            <w:vAlign w:val="bottom"/>
            <w:hideMark/>
          </w:tcPr>
          <w:p w14:paraId="12E1DA4A"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4</w:t>
            </w:r>
          </w:p>
        </w:tc>
      </w:tr>
      <w:tr w:rsidR="00A4741C" w:rsidRPr="00CF3A98" w14:paraId="12E1DA4F"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4C"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3</w:t>
            </w:r>
          </w:p>
        </w:tc>
        <w:tc>
          <w:tcPr>
            <w:tcW w:w="3172" w:type="dxa"/>
            <w:tcBorders>
              <w:top w:val="nil"/>
              <w:left w:val="nil"/>
              <w:bottom w:val="nil"/>
              <w:right w:val="nil"/>
            </w:tcBorders>
            <w:shd w:val="clear" w:color="auto" w:fill="auto"/>
            <w:noWrap/>
            <w:vAlign w:val="bottom"/>
            <w:hideMark/>
          </w:tcPr>
          <w:p w14:paraId="12E1DA4D"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Chamela-</w:t>
            </w:r>
            <w:proofErr w:type="spellStart"/>
            <w:r w:rsidRPr="00CF3A98">
              <w:rPr>
                <w:rFonts w:ascii="Times New Roman" w:eastAsia="Times New Roman" w:hAnsi="Times New Roman" w:cs="Times New Roman"/>
                <w:color w:val="000000"/>
                <w:lang w:val="es-MX" w:eastAsia="es-MX"/>
              </w:rPr>
              <w:t>Cuixmala</w:t>
            </w:r>
            <w:proofErr w:type="spellEnd"/>
          </w:p>
        </w:tc>
        <w:tc>
          <w:tcPr>
            <w:tcW w:w="1276" w:type="dxa"/>
            <w:tcBorders>
              <w:top w:val="nil"/>
              <w:left w:val="nil"/>
              <w:bottom w:val="nil"/>
              <w:right w:val="nil"/>
            </w:tcBorders>
            <w:shd w:val="clear" w:color="auto" w:fill="auto"/>
            <w:noWrap/>
            <w:vAlign w:val="bottom"/>
            <w:hideMark/>
          </w:tcPr>
          <w:p w14:paraId="12E1DA4E"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w:t>
            </w:r>
          </w:p>
        </w:tc>
      </w:tr>
      <w:tr w:rsidR="00A4741C" w:rsidRPr="00CF3A98" w14:paraId="12E1DA53"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50"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4</w:t>
            </w:r>
          </w:p>
        </w:tc>
        <w:tc>
          <w:tcPr>
            <w:tcW w:w="3172" w:type="dxa"/>
            <w:tcBorders>
              <w:top w:val="nil"/>
              <w:left w:val="nil"/>
              <w:bottom w:val="nil"/>
              <w:right w:val="nil"/>
            </w:tcBorders>
            <w:shd w:val="clear" w:color="auto" w:fill="auto"/>
            <w:noWrap/>
            <w:vAlign w:val="bottom"/>
            <w:hideMark/>
          </w:tcPr>
          <w:p w14:paraId="12E1DA51"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El Triunfo</w:t>
            </w:r>
          </w:p>
        </w:tc>
        <w:tc>
          <w:tcPr>
            <w:tcW w:w="1276" w:type="dxa"/>
            <w:tcBorders>
              <w:top w:val="nil"/>
              <w:left w:val="nil"/>
              <w:bottom w:val="nil"/>
              <w:right w:val="nil"/>
            </w:tcBorders>
            <w:shd w:val="clear" w:color="auto" w:fill="auto"/>
            <w:noWrap/>
            <w:vAlign w:val="bottom"/>
            <w:hideMark/>
          </w:tcPr>
          <w:p w14:paraId="12E1DA52"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13</w:t>
            </w:r>
          </w:p>
        </w:tc>
      </w:tr>
      <w:tr w:rsidR="00A4741C" w:rsidRPr="00CF3A98" w14:paraId="12E1DA57"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54"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5</w:t>
            </w:r>
          </w:p>
        </w:tc>
        <w:tc>
          <w:tcPr>
            <w:tcW w:w="3172" w:type="dxa"/>
            <w:tcBorders>
              <w:top w:val="nil"/>
              <w:left w:val="nil"/>
              <w:bottom w:val="nil"/>
              <w:right w:val="nil"/>
            </w:tcBorders>
            <w:shd w:val="clear" w:color="auto" w:fill="auto"/>
            <w:noWrap/>
            <w:vAlign w:val="bottom"/>
            <w:hideMark/>
          </w:tcPr>
          <w:p w14:paraId="12E1DA55"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La Sepultura</w:t>
            </w:r>
          </w:p>
        </w:tc>
        <w:tc>
          <w:tcPr>
            <w:tcW w:w="1276" w:type="dxa"/>
            <w:tcBorders>
              <w:top w:val="nil"/>
              <w:left w:val="nil"/>
              <w:bottom w:val="nil"/>
              <w:right w:val="nil"/>
            </w:tcBorders>
            <w:shd w:val="clear" w:color="auto" w:fill="auto"/>
            <w:noWrap/>
            <w:vAlign w:val="bottom"/>
            <w:hideMark/>
          </w:tcPr>
          <w:p w14:paraId="12E1DA56"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8</w:t>
            </w:r>
          </w:p>
        </w:tc>
      </w:tr>
      <w:tr w:rsidR="00A4741C" w:rsidRPr="00CF3A98" w14:paraId="12E1DA5B"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58"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6</w:t>
            </w:r>
          </w:p>
        </w:tc>
        <w:tc>
          <w:tcPr>
            <w:tcW w:w="3172" w:type="dxa"/>
            <w:tcBorders>
              <w:top w:val="nil"/>
              <w:left w:val="nil"/>
              <w:bottom w:val="nil"/>
              <w:right w:val="nil"/>
            </w:tcBorders>
            <w:shd w:val="clear" w:color="auto" w:fill="auto"/>
            <w:noWrap/>
            <w:vAlign w:val="bottom"/>
            <w:hideMark/>
          </w:tcPr>
          <w:p w14:paraId="12E1DA59"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Lacandona</w:t>
            </w:r>
          </w:p>
        </w:tc>
        <w:tc>
          <w:tcPr>
            <w:tcW w:w="1276" w:type="dxa"/>
            <w:tcBorders>
              <w:top w:val="nil"/>
              <w:left w:val="nil"/>
              <w:bottom w:val="nil"/>
              <w:right w:val="nil"/>
            </w:tcBorders>
            <w:shd w:val="clear" w:color="auto" w:fill="auto"/>
            <w:noWrap/>
            <w:vAlign w:val="bottom"/>
            <w:hideMark/>
          </w:tcPr>
          <w:p w14:paraId="12E1DA5A"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4</w:t>
            </w:r>
          </w:p>
        </w:tc>
      </w:tr>
      <w:tr w:rsidR="00A4741C" w:rsidRPr="00CF3A98" w14:paraId="12E1DA5F"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5C"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7</w:t>
            </w:r>
          </w:p>
        </w:tc>
        <w:tc>
          <w:tcPr>
            <w:tcW w:w="3172" w:type="dxa"/>
            <w:tcBorders>
              <w:top w:val="nil"/>
              <w:left w:val="nil"/>
              <w:bottom w:val="nil"/>
              <w:right w:val="nil"/>
            </w:tcBorders>
            <w:shd w:val="clear" w:color="auto" w:fill="auto"/>
            <w:noWrap/>
            <w:vAlign w:val="bottom"/>
            <w:hideMark/>
          </w:tcPr>
          <w:p w14:paraId="12E1DA5D"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Los Tuxtlas</w:t>
            </w:r>
          </w:p>
        </w:tc>
        <w:tc>
          <w:tcPr>
            <w:tcW w:w="1276" w:type="dxa"/>
            <w:tcBorders>
              <w:top w:val="nil"/>
              <w:left w:val="nil"/>
              <w:bottom w:val="nil"/>
              <w:right w:val="nil"/>
            </w:tcBorders>
            <w:shd w:val="clear" w:color="auto" w:fill="auto"/>
            <w:noWrap/>
            <w:vAlign w:val="bottom"/>
            <w:hideMark/>
          </w:tcPr>
          <w:p w14:paraId="12E1DA5E"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9</w:t>
            </w:r>
          </w:p>
        </w:tc>
      </w:tr>
      <w:tr w:rsidR="00A4741C" w:rsidRPr="00CF3A98" w14:paraId="12E1DA63"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60"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8</w:t>
            </w:r>
          </w:p>
        </w:tc>
        <w:tc>
          <w:tcPr>
            <w:tcW w:w="3172" w:type="dxa"/>
            <w:tcBorders>
              <w:top w:val="nil"/>
              <w:left w:val="nil"/>
              <w:bottom w:val="nil"/>
              <w:right w:val="nil"/>
            </w:tcBorders>
            <w:shd w:val="clear" w:color="auto" w:fill="auto"/>
            <w:noWrap/>
            <w:vAlign w:val="bottom"/>
            <w:hideMark/>
          </w:tcPr>
          <w:p w14:paraId="12E1DA61"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LPRC</w:t>
            </w:r>
          </w:p>
        </w:tc>
        <w:tc>
          <w:tcPr>
            <w:tcW w:w="1276" w:type="dxa"/>
            <w:tcBorders>
              <w:top w:val="nil"/>
              <w:left w:val="nil"/>
              <w:bottom w:val="nil"/>
              <w:right w:val="nil"/>
            </w:tcBorders>
            <w:shd w:val="clear" w:color="auto" w:fill="auto"/>
            <w:noWrap/>
            <w:vAlign w:val="bottom"/>
            <w:hideMark/>
          </w:tcPr>
          <w:p w14:paraId="12E1DA62"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8</w:t>
            </w:r>
          </w:p>
        </w:tc>
      </w:tr>
      <w:tr w:rsidR="00A4741C" w:rsidRPr="00CF3A98" w14:paraId="12E1DA67"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64"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9</w:t>
            </w:r>
          </w:p>
        </w:tc>
        <w:tc>
          <w:tcPr>
            <w:tcW w:w="3172" w:type="dxa"/>
            <w:tcBorders>
              <w:top w:val="nil"/>
              <w:left w:val="nil"/>
              <w:bottom w:val="nil"/>
              <w:right w:val="nil"/>
            </w:tcBorders>
            <w:shd w:val="clear" w:color="auto" w:fill="auto"/>
            <w:noWrap/>
            <w:vAlign w:val="bottom"/>
            <w:hideMark/>
          </w:tcPr>
          <w:p w14:paraId="12E1DA65"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Mariposa Monarca</w:t>
            </w:r>
          </w:p>
        </w:tc>
        <w:tc>
          <w:tcPr>
            <w:tcW w:w="1276" w:type="dxa"/>
            <w:tcBorders>
              <w:top w:val="nil"/>
              <w:left w:val="nil"/>
              <w:bottom w:val="nil"/>
              <w:right w:val="nil"/>
            </w:tcBorders>
            <w:shd w:val="clear" w:color="auto" w:fill="auto"/>
            <w:noWrap/>
            <w:vAlign w:val="bottom"/>
            <w:hideMark/>
          </w:tcPr>
          <w:p w14:paraId="12E1DA66"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15</w:t>
            </w:r>
          </w:p>
        </w:tc>
      </w:tr>
      <w:tr w:rsidR="00A4741C" w:rsidRPr="00CF3A98" w14:paraId="12E1DA6B"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68"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10</w:t>
            </w:r>
          </w:p>
        </w:tc>
        <w:tc>
          <w:tcPr>
            <w:tcW w:w="3172" w:type="dxa"/>
            <w:tcBorders>
              <w:top w:val="nil"/>
              <w:left w:val="nil"/>
              <w:bottom w:val="nil"/>
              <w:right w:val="nil"/>
            </w:tcBorders>
            <w:shd w:val="clear" w:color="auto" w:fill="auto"/>
            <w:noWrap/>
            <w:vAlign w:val="bottom"/>
            <w:hideMark/>
          </w:tcPr>
          <w:p w14:paraId="12E1DA69"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Ría Lagartos</w:t>
            </w:r>
          </w:p>
        </w:tc>
        <w:tc>
          <w:tcPr>
            <w:tcW w:w="1276" w:type="dxa"/>
            <w:tcBorders>
              <w:top w:val="nil"/>
              <w:left w:val="nil"/>
              <w:bottom w:val="nil"/>
              <w:right w:val="nil"/>
            </w:tcBorders>
            <w:shd w:val="clear" w:color="auto" w:fill="auto"/>
            <w:noWrap/>
            <w:vAlign w:val="bottom"/>
            <w:hideMark/>
          </w:tcPr>
          <w:p w14:paraId="12E1DA6A"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4</w:t>
            </w:r>
          </w:p>
        </w:tc>
      </w:tr>
      <w:tr w:rsidR="00A4741C" w:rsidRPr="00CF3A98" w14:paraId="12E1DA6F"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6C"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11</w:t>
            </w:r>
          </w:p>
        </w:tc>
        <w:tc>
          <w:tcPr>
            <w:tcW w:w="3172" w:type="dxa"/>
            <w:tcBorders>
              <w:top w:val="nil"/>
              <w:left w:val="nil"/>
              <w:bottom w:val="nil"/>
              <w:right w:val="nil"/>
            </w:tcBorders>
            <w:shd w:val="clear" w:color="auto" w:fill="auto"/>
            <w:noWrap/>
            <w:vAlign w:val="bottom"/>
            <w:hideMark/>
          </w:tcPr>
          <w:p w14:paraId="12E1DA6D"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Selva El Ocote</w:t>
            </w:r>
          </w:p>
        </w:tc>
        <w:tc>
          <w:tcPr>
            <w:tcW w:w="1276" w:type="dxa"/>
            <w:tcBorders>
              <w:top w:val="nil"/>
              <w:left w:val="nil"/>
              <w:bottom w:val="nil"/>
              <w:right w:val="nil"/>
            </w:tcBorders>
            <w:shd w:val="clear" w:color="auto" w:fill="auto"/>
            <w:noWrap/>
            <w:vAlign w:val="bottom"/>
            <w:hideMark/>
          </w:tcPr>
          <w:p w14:paraId="12E1DA6E"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5</w:t>
            </w:r>
          </w:p>
        </w:tc>
      </w:tr>
      <w:tr w:rsidR="00A4741C" w:rsidRPr="00CF3A98" w14:paraId="12E1DA73"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70"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12</w:t>
            </w:r>
          </w:p>
        </w:tc>
        <w:tc>
          <w:tcPr>
            <w:tcW w:w="3172" w:type="dxa"/>
            <w:tcBorders>
              <w:top w:val="nil"/>
              <w:left w:val="nil"/>
              <w:bottom w:val="nil"/>
              <w:right w:val="nil"/>
            </w:tcBorders>
            <w:shd w:val="clear" w:color="auto" w:fill="auto"/>
            <w:noWrap/>
            <w:vAlign w:val="bottom"/>
            <w:hideMark/>
          </w:tcPr>
          <w:p w14:paraId="12E1DA71"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 xml:space="preserve">Sian </w:t>
            </w:r>
            <w:proofErr w:type="spellStart"/>
            <w:r w:rsidRPr="00CF3A98">
              <w:rPr>
                <w:rFonts w:ascii="Times New Roman" w:eastAsia="Times New Roman" w:hAnsi="Times New Roman" w:cs="Times New Roman"/>
                <w:color w:val="000000"/>
                <w:lang w:val="es-MX" w:eastAsia="es-MX"/>
              </w:rPr>
              <w:t>Ka'an</w:t>
            </w:r>
            <w:proofErr w:type="spellEnd"/>
          </w:p>
        </w:tc>
        <w:tc>
          <w:tcPr>
            <w:tcW w:w="1276" w:type="dxa"/>
            <w:tcBorders>
              <w:top w:val="nil"/>
              <w:left w:val="nil"/>
              <w:bottom w:val="nil"/>
              <w:right w:val="nil"/>
            </w:tcBorders>
            <w:shd w:val="clear" w:color="auto" w:fill="auto"/>
            <w:noWrap/>
            <w:vAlign w:val="bottom"/>
            <w:hideMark/>
          </w:tcPr>
          <w:p w14:paraId="12E1DA72"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2</w:t>
            </w:r>
          </w:p>
        </w:tc>
      </w:tr>
      <w:tr w:rsidR="00A4741C" w:rsidRPr="00CF3A98" w14:paraId="12E1DA77"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74"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13</w:t>
            </w:r>
          </w:p>
        </w:tc>
        <w:tc>
          <w:tcPr>
            <w:tcW w:w="3172" w:type="dxa"/>
            <w:tcBorders>
              <w:top w:val="nil"/>
              <w:left w:val="nil"/>
              <w:bottom w:val="nil"/>
              <w:right w:val="nil"/>
            </w:tcBorders>
            <w:shd w:val="clear" w:color="auto" w:fill="auto"/>
            <w:noWrap/>
            <w:vAlign w:val="bottom"/>
            <w:hideMark/>
          </w:tcPr>
          <w:p w14:paraId="12E1DA75"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Sierra de Huautla</w:t>
            </w:r>
          </w:p>
        </w:tc>
        <w:tc>
          <w:tcPr>
            <w:tcW w:w="1276" w:type="dxa"/>
            <w:tcBorders>
              <w:top w:val="nil"/>
              <w:left w:val="nil"/>
              <w:bottom w:val="nil"/>
              <w:right w:val="nil"/>
            </w:tcBorders>
            <w:shd w:val="clear" w:color="auto" w:fill="auto"/>
            <w:noWrap/>
            <w:vAlign w:val="bottom"/>
            <w:hideMark/>
          </w:tcPr>
          <w:p w14:paraId="12E1DA76"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13</w:t>
            </w:r>
          </w:p>
        </w:tc>
      </w:tr>
      <w:tr w:rsidR="00A4741C" w:rsidRPr="00CF3A98" w14:paraId="12E1DA7B"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78"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14</w:t>
            </w:r>
          </w:p>
        </w:tc>
        <w:tc>
          <w:tcPr>
            <w:tcW w:w="3172" w:type="dxa"/>
            <w:tcBorders>
              <w:top w:val="nil"/>
              <w:left w:val="nil"/>
              <w:bottom w:val="nil"/>
              <w:right w:val="nil"/>
            </w:tcBorders>
            <w:shd w:val="clear" w:color="auto" w:fill="auto"/>
            <w:noWrap/>
            <w:vAlign w:val="bottom"/>
            <w:hideMark/>
          </w:tcPr>
          <w:p w14:paraId="12E1DA79"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Sierra de Manantlán</w:t>
            </w:r>
          </w:p>
        </w:tc>
        <w:tc>
          <w:tcPr>
            <w:tcW w:w="1276" w:type="dxa"/>
            <w:tcBorders>
              <w:top w:val="nil"/>
              <w:left w:val="nil"/>
              <w:bottom w:val="nil"/>
              <w:right w:val="nil"/>
            </w:tcBorders>
            <w:shd w:val="clear" w:color="auto" w:fill="auto"/>
            <w:noWrap/>
            <w:vAlign w:val="bottom"/>
            <w:hideMark/>
          </w:tcPr>
          <w:p w14:paraId="12E1DA7A"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11</w:t>
            </w:r>
          </w:p>
        </w:tc>
      </w:tr>
      <w:tr w:rsidR="00A4741C" w:rsidRPr="00CF3A98" w14:paraId="12E1DA7F"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7C"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15</w:t>
            </w:r>
          </w:p>
        </w:tc>
        <w:tc>
          <w:tcPr>
            <w:tcW w:w="3172" w:type="dxa"/>
            <w:tcBorders>
              <w:top w:val="nil"/>
              <w:left w:val="nil"/>
              <w:bottom w:val="nil"/>
              <w:right w:val="nil"/>
            </w:tcBorders>
            <w:shd w:val="clear" w:color="auto" w:fill="auto"/>
            <w:noWrap/>
            <w:vAlign w:val="bottom"/>
            <w:hideMark/>
          </w:tcPr>
          <w:p w14:paraId="12E1DA7D"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 xml:space="preserve">Sierra del Abra </w:t>
            </w:r>
            <w:proofErr w:type="spellStart"/>
            <w:r w:rsidRPr="00CF3A98">
              <w:rPr>
                <w:rFonts w:ascii="Times New Roman" w:eastAsia="Times New Roman" w:hAnsi="Times New Roman" w:cs="Times New Roman"/>
                <w:color w:val="000000"/>
                <w:lang w:val="es-MX" w:eastAsia="es-MX"/>
              </w:rPr>
              <w:t>Tanchipa</w:t>
            </w:r>
            <w:proofErr w:type="spellEnd"/>
          </w:p>
        </w:tc>
        <w:tc>
          <w:tcPr>
            <w:tcW w:w="1276" w:type="dxa"/>
            <w:tcBorders>
              <w:top w:val="nil"/>
              <w:left w:val="nil"/>
              <w:bottom w:val="nil"/>
              <w:right w:val="nil"/>
            </w:tcBorders>
            <w:shd w:val="clear" w:color="auto" w:fill="auto"/>
            <w:noWrap/>
            <w:vAlign w:val="bottom"/>
            <w:hideMark/>
          </w:tcPr>
          <w:p w14:paraId="12E1DA7E"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3</w:t>
            </w:r>
          </w:p>
        </w:tc>
      </w:tr>
      <w:tr w:rsidR="00A4741C" w:rsidRPr="00CF3A98" w14:paraId="12E1DA83" w14:textId="77777777" w:rsidTr="0087084E">
        <w:trPr>
          <w:trHeight w:val="288"/>
          <w:jc w:val="center"/>
        </w:trPr>
        <w:tc>
          <w:tcPr>
            <w:tcW w:w="372" w:type="dxa"/>
            <w:tcBorders>
              <w:top w:val="nil"/>
              <w:left w:val="nil"/>
              <w:bottom w:val="nil"/>
              <w:right w:val="nil"/>
            </w:tcBorders>
            <w:shd w:val="clear" w:color="auto" w:fill="auto"/>
            <w:noWrap/>
            <w:vAlign w:val="bottom"/>
            <w:hideMark/>
          </w:tcPr>
          <w:p w14:paraId="12E1DA80"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16</w:t>
            </w:r>
          </w:p>
        </w:tc>
        <w:tc>
          <w:tcPr>
            <w:tcW w:w="3172" w:type="dxa"/>
            <w:tcBorders>
              <w:top w:val="nil"/>
              <w:left w:val="nil"/>
              <w:bottom w:val="nil"/>
              <w:right w:val="nil"/>
            </w:tcBorders>
            <w:shd w:val="clear" w:color="auto" w:fill="auto"/>
            <w:noWrap/>
            <w:vAlign w:val="bottom"/>
            <w:hideMark/>
          </w:tcPr>
          <w:p w14:paraId="12E1DA81"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Sierra Gorda</w:t>
            </w:r>
          </w:p>
        </w:tc>
        <w:tc>
          <w:tcPr>
            <w:tcW w:w="1276" w:type="dxa"/>
            <w:tcBorders>
              <w:top w:val="nil"/>
              <w:left w:val="nil"/>
              <w:bottom w:val="nil"/>
              <w:right w:val="nil"/>
            </w:tcBorders>
            <w:shd w:val="clear" w:color="auto" w:fill="auto"/>
            <w:noWrap/>
            <w:vAlign w:val="bottom"/>
            <w:hideMark/>
          </w:tcPr>
          <w:p w14:paraId="12E1DA82"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18</w:t>
            </w:r>
          </w:p>
        </w:tc>
      </w:tr>
      <w:tr w:rsidR="00A4741C" w:rsidRPr="00CF3A98" w14:paraId="12E1DA87" w14:textId="77777777" w:rsidTr="0087084E">
        <w:trPr>
          <w:trHeight w:val="288"/>
          <w:jc w:val="center"/>
        </w:trPr>
        <w:tc>
          <w:tcPr>
            <w:tcW w:w="372" w:type="dxa"/>
            <w:tcBorders>
              <w:top w:val="nil"/>
              <w:left w:val="nil"/>
              <w:bottom w:val="single" w:sz="4" w:space="0" w:color="auto"/>
              <w:right w:val="nil"/>
            </w:tcBorders>
            <w:shd w:val="clear" w:color="auto" w:fill="auto"/>
            <w:noWrap/>
            <w:vAlign w:val="bottom"/>
            <w:hideMark/>
          </w:tcPr>
          <w:p w14:paraId="12E1DA84"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17</w:t>
            </w:r>
          </w:p>
        </w:tc>
        <w:tc>
          <w:tcPr>
            <w:tcW w:w="3172" w:type="dxa"/>
            <w:tcBorders>
              <w:top w:val="nil"/>
              <w:left w:val="nil"/>
              <w:bottom w:val="single" w:sz="4" w:space="0" w:color="auto"/>
              <w:right w:val="nil"/>
            </w:tcBorders>
            <w:shd w:val="clear" w:color="auto" w:fill="auto"/>
            <w:noWrap/>
            <w:vAlign w:val="bottom"/>
            <w:hideMark/>
          </w:tcPr>
          <w:p w14:paraId="12E1DA85" w14:textId="77777777" w:rsidR="00A4741C" w:rsidRPr="00CF3A98" w:rsidRDefault="00A4741C" w:rsidP="0087084E">
            <w:pPr>
              <w:spacing w:after="0" w:line="240" w:lineRule="auto"/>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Tehuacán-Cuicatlán</w:t>
            </w:r>
          </w:p>
        </w:tc>
        <w:tc>
          <w:tcPr>
            <w:tcW w:w="1276" w:type="dxa"/>
            <w:tcBorders>
              <w:top w:val="nil"/>
              <w:left w:val="nil"/>
              <w:bottom w:val="single" w:sz="4" w:space="0" w:color="auto"/>
              <w:right w:val="nil"/>
            </w:tcBorders>
            <w:shd w:val="clear" w:color="auto" w:fill="auto"/>
            <w:noWrap/>
            <w:vAlign w:val="bottom"/>
            <w:hideMark/>
          </w:tcPr>
          <w:p w14:paraId="12E1DA86" w14:textId="77777777" w:rsidR="00A4741C" w:rsidRPr="00CF3A98" w:rsidRDefault="00A4741C" w:rsidP="0087084E">
            <w:pPr>
              <w:spacing w:after="0" w:line="240" w:lineRule="auto"/>
              <w:jc w:val="right"/>
              <w:rPr>
                <w:rFonts w:ascii="Times New Roman" w:eastAsia="Times New Roman" w:hAnsi="Times New Roman" w:cs="Times New Roman"/>
                <w:color w:val="000000"/>
                <w:lang w:val="es-MX" w:eastAsia="es-MX"/>
              </w:rPr>
            </w:pPr>
            <w:r w:rsidRPr="00CF3A98">
              <w:rPr>
                <w:rFonts w:ascii="Times New Roman" w:eastAsia="Times New Roman" w:hAnsi="Times New Roman" w:cs="Times New Roman"/>
                <w:color w:val="000000"/>
                <w:lang w:val="es-MX" w:eastAsia="es-MX"/>
              </w:rPr>
              <w:t>85</w:t>
            </w:r>
          </w:p>
        </w:tc>
      </w:tr>
    </w:tbl>
    <w:p w14:paraId="12E1DB6D" w14:textId="77777777" w:rsidR="00E52B88" w:rsidRPr="00DB4CEB" w:rsidRDefault="00E52B88" w:rsidP="00DB4CEB">
      <w:pPr>
        <w:spacing w:line="240" w:lineRule="auto"/>
        <w:jc w:val="both"/>
        <w:rPr>
          <w:rFonts w:ascii="Times New Roman" w:eastAsia="Times New Roman" w:hAnsi="Times New Roman" w:cs="Times New Roman"/>
        </w:rPr>
      </w:pPr>
    </w:p>
    <w:p w14:paraId="12E1DB70" w14:textId="77777777" w:rsidR="00BD4578" w:rsidRDefault="00BD4578" w:rsidP="00BD4578"/>
    <w:p w14:paraId="12E1DB71" w14:textId="77777777" w:rsidR="00E51283" w:rsidRDefault="00E51283" w:rsidP="00E51283">
      <w:pPr>
        <w:spacing w:after="0" w:line="240" w:lineRule="auto"/>
        <w:rPr>
          <w:rFonts w:ascii="Times New Roman" w:eastAsia="Times New Roman" w:hAnsi="Times New Roman" w:cs="Times New Roman"/>
          <w:color w:val="000000"/>
          <w:sz w:val="20"/>
          <w:szCs w:val="20"/>
          <w:lang w:eastAsia="es-MX"/>
        </w:rPr>
        <w:sectPr w:rsidR="00E51283">
          <w:footerReference w:type="default" r:id="rId10"/>
          <w:pgSz w:w="12240" w:h="15840"/>
          <w:pgMar w:top="1417" w:right="1701" w:bottom="1417" w:left="1701" w:header="708" w:footer="708" w:gutter="0"/>
          <w:cols w:space="708"/>
          <w:docGrid w:linePitch="360"/>
        </w:sectPr>
      </w:pPr>
    </w:p>
    <w:tbl>
      <w:tblPr>
        <w:tblpPr w:leftFromText="141" w:rightFromText="141" w:vertAnchor="page" w:horzAnchor="page" w:tblpX="671" w:tblpY="1161"/>
        <w:tblW w:w="13181" w:type="dxa"/>
        <w:tblLayout w:type="fixed"/>
        <w:tblCellMar>
          <w:left w:w="70" w:type="dxa"/>
          <w:right w:w="70" w:type="dxa"/>
        </w:tblCellMar>
        <w:tblLook w:val="04A0" w:firstRow="1" w:lastRow="0" w:firstColumn="1" w:lastColumn="0" w:noHBand="0" w:noVBand="1"/>
      </w:tblPr>
      <w:tblGrid>
        <w:gridCol w:w="425"/>
        <w:gridCol w:w="1502"/>
        <w:gridCol w:w="1276"/>
        <w:gridCol w:w="1276"/>
        <w:gridCol w:w="992"/>
        <w:gridCol w:w="993"/>
        <w:gridCol w:w="1097"/>
        <w:gridCol w:w="887"/>
        <w:gridCol w:w="1403"/>
        <w:gridCol w:w="3330"/>
      </w:tblGrid>
      <w:tr w:rsidR="00E51283" w:rsidRPr="00310886" w14:paraId="12E1DB74" w14:textId="77777777" w:rsidTr="00E51283">
        <w:trPr>
          <w:trHeight w:val="600"/>
        </w:trPr>
        <w:tc>
          <w:tcPr>
            <w:tcW w:w="13181" w:type="dxa"/>
            <w:gridSpan w:val="10"/>
            <w:tcBorders>
              <w:top w:val="nil"/>
              <w:left w:val="nil"/>
              <w:bottom w:val="single" w:sz="4" w:space="0" w:color="auto"/>
              <w:right w:val="nil"/>
            </w:tcBorders>
            <w:vAlign w:val="center"/>
          </w:tcPr>
          <w:p w14:paraId="12E1DB72"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p>
          <w:p w14:paraId="12E1DB73" w14:textId="2E680D7E"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Table S</w:t>
            </w:r>
            <w:r w:rsidR="00362540">
              <w:rPr>
                <w:rFonts w:ascii="Times New Roman" w:eastAsia="Times New Roman" w:hAnsi="Times New Roman" w:cs="Times New Roman"/>
                <w:color w:val="000000"/>
                <w:sz w:val="20"/>
                <w:szCs w:val="20"/>
                <w:lang w:eastAsia="es-MX"/>
              </w:rPr>
              <w:t>8</w:t>
            </w:r>
            <w:r w:rsidRPr="00310886">
              <w:rPr>
                <w:rFonts w:ascii="Times New Roman" w:eastAsia="Times New Roman" w:hAnsi="Times New Roman" w:cs="Times New Roman"/>
                <w:color w:val="000000"/>
                <w:sz w:val="20"/>
                <w:szCs w:val="20"/>
                <w:lang w:eastAsia="es-MX"/>
              </w:rPr>
              <w:t xml:space="preserve">: </w:t>
            </w:r>
            <w:r w:rsidR="00FC4AC3">
              <w:rPr>
                <w:rFonts w:ascii="Times New Roman" w:eastAsia="Times New Roman" w:hAnsi="Times New Roman" w:cs="Times New Roman"/>
                <w:color w:val="000000"/>
                <w:sz w:val="20"/>
                <w:szCs w:val="20"/>
                <w:lang w:eastAsia="es-MX"/>
              </w:rPr>
              <w:t>Socioeconomic i</w:t>
            </w:r>
            <w:r w:rsidRPr="00310886">
              <w:rPr>
                <w:rFonts w:ascii="Times New Roman" w:eastAsia="Times New Roman" w:hAnsi="Times New Roman" w:cs="Times New Roman"/>
                <w:color w:val="000000"/>
                <w:sz w:val="20"/>
                <w:szCs w:val="20"/>
                <w:lang w:eastAsia="es-MX"/>
              </w:rPr>
              <w:t xml:space="preserve">ndicators of underlying drivers of forest spatial changes. </w:t>
            </w:r>
          </w:p>
        </w:tc>
      </w:tr>
      <w:tr w:rsidR="00E51283" w:rsidRPr="00310886" w14:paraId="12E1DB7F" w14:textId="77777777" w:rsidTr="00E51283">
        <w:trPr>
          <w:trHeight w:val="600"/>
        </w:trPr>
        <w:tc>
          <w:tcPr>
            <w:tcW w:w="425" w:type="dxa"/>
            <w:tcBorders>
              <w:top w:val="single" w:sz="4" w:space="0" w:color="auto"/>
              <w:left w:val="nil"/>
              <w:bottom w:val="single" w:sz="4" w:space="0" w:color="auto"/>
              <w:right w:val="nil"/>
            </w:tcBorders>
            <w:shd w:val="clear" w:color="auto" w:fill="auto"/>
            <w:noWrap/>
            <w:vAlign w:val="bottom"/>
            <w:hideMark/>
          </w:tcPr>
          <w:p w14:paraId="12E1DB75"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No</w:t>
            </w:r>
          </w:p>
        </w:tc>
        <w:tc>
          <w:tcPr>
            <w:tcW w:w="1502" w:type="dxa"/>
            <w:tcBorders>
              <w:top w:val="single" w:sz="4" w:space="0" w:color="auto"/>
              <w:left w:val="nil"/>
              <w:bottom w:val="single" w:sz="4" w:space="0" w:color="auto"/>
              <w:right w:val="nil"/>
            </w:tcBorders>
            <w:shd w:val="clear" w:color="auto" w:fill="auto"/>
            <w:noWrap/>
            <w:vAlign w:val="bottom"/>
            <w:hideMark/>
          </w:tcPr>
          <w:p w14:paraId="12E1DB76"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Indicator</w:t>
            </w:r>
          </w:p>
        </w:tc>
        <w:tc>
          <w:tcPr>
            <w:tcW w:w="1276" w:type="dxa"/>
            <w:tcBorders>
              <w:top w:val="single" w:sz="4" w:space="0" w:color="auto"/>
              <w:left w:val="nil"/>
              <w:bottom w:val="single" w:sz="4" w:space="0" w:color="auto"/>
              <w:right w:val="nil"/>
            </w:tcBorders>
          </w:tcPr>
          <w:p w14:paraId="12E1DB77"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Type of driver</w:t>
            </w:r>
          </w:p>
        </w:tc>
        <w:tc>
          <w:tcPr>
            <w:tcW w:w="1276" w:type="dxa"/>
            <w:tcBorders>
              <w:top w:val="single" w:sz="4" w:space="0" w:color="auto"/>
              <w:left w:val="nil"/>
              <w:bottom w:val="single" w:sz="4" w:space="0" w:color="auto"/>
              <w:right w:val="nil"/>
            </w:tcBorders>
            <w:shd w:val="clear" w:color="auto" w:fill="auto"/>
            <w:noWrap/>
            <w:vAlign w:val="bottom"/>
            <w:hideMark/>
          </w:tcPr>
          <w:p w14:paraId="12E1DB78"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Source</w:t>
            </w:r>
          </w:p>
        </w:tc>
        <w:tc>
          <w:tcPr>
            <w:tcW w:w="992" w:type="dxa"/>
            <w:tcBorders>
              <w:top w:val="single" w:sz="4" w:space="0" w:color="auto"/>
              <w:left w:val="nil"/>
              <w:bottom w:val="single" w:sz="4" w:space="0" w:color="auto"/>
              <w:right w:val="nil"/>
            </w:tcBorders>
            <w:shd w:val="clear" w:color="auto" w:fill="auto"/>
            <w:vAlign w:val="bottom"/>
            <w:hideMark/>
          </w:tcPr>
          <w:p w14:paraId="12E1DB79" w14:textId="77777777" w:rsidR="00E51283" w:rsidRPr="00310886" w:rsidRDefault="00997848"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P</w:t>
            </w:r>
            <w:r w:rsidR="00E51283" w:rsidRPr="00310886">
              <w:rPr>
                <w:rFonts w:ascii="Times New Roman" w:eastAsia="Times New Roman" w:hAnsi="Times New Roman" w:cs="Times New Roman"/>
                <w:color w:val="000000"/>
                <w:sz w:val="20"/>
                <w:szCs w:val="20"/>
                <w:lang w:eastAsia="es-MX"/>
              </w:rPr>
              <w:t>eriod</w:t>
            </w:r>
          </w:p>
        </w:tc>
        <w:tc>
          <w:tcPr>
            <w:tcW w:w="993" w:type="dxa"/>
            <w:tcBorders>
              <w:top w:val="single" w:sz="4" w:space="0" w:color="auto"/>
              <w:left w:val="nil"/>
              <w:bottom w:val="single" w:sz="4" w:space="0" w:color="auto"/>
              <w:right w:val="nil"/>
            </w:tcBorders>
            <w:shd w:val="clear" w:color="auto" w:fill="auto"/>
            <w:noWrap/>
            <w:vAlign w:val="bottom"/>
            <w:hideMark/>
          </w:tcPr>
          <w:p w14:paraId="12E1DB7A"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Scale</w:t>
            </w:r>
          </w:p>
        </w:tc>
        <w:tc>
          <w:tcPr>
            <w:tcW w:w="1097" w:type="dxa"/>
            <w:tcBorders>
              <w:top w:val="single" w:sz="4" w:space="0" w:color="auto"/>
              <w:left w:val="nil"/>
              <w:bottom w:val="single" w:sz="4" w:space="0" w:color="auto"/>
              <w:right w:val="nil"/>
            </w:tcBorders>
            <w:shd w:val="clear" w:color="auto" w:fill="auto"/>
            <w:noWrap/>
            <w:vAlign w:val="bottom"/>
            <w:hideMark/>
          </w:tcPr>
          <w:p w14:paraId="12E1DB7B"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Resolution</w:t>
            </w:r>
          </w:p>
        </w:tc>
        <w:tc>
          <w:tcPr>
            <w:tcW w:w="887" w:type="dxa"/>
            <w:tcBorders>
              <w:top w:val="single" w:sz="4" w:space="0" w:color="auto"/>
              <w:left w:val="nil"/>
              <w:bottom w:val="single" w:sz="4" w:space="0" w:color="auto"/>
              <w:right w:val="nil"/>
            </w:tcBorders>
            <w:shd w:val="clear" w:color="auto" w:fill="auto"/>
            <w:noWrap/>
            <w:vAlign w:val="bottom"/>
            <w:hideMark/>
          </w:tcPr>
          <w:p w14:paraId="12E1DB7C"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Range</w:t>
            </w:r>
          </w:p>
        </w:tc>
        <w:tc>
          <w:tcPr>
            <w:tcW w:w="1403" w:type="dxa"/>
            <w:tcBorders>
              <w:top w:val="single" w:sz="4" w:space="0" w:color="auto"/>
              <w:left w:val="nil"/>
              <w:bottom w:val="single" w:sz="4" w:space="0" w:color="auto"/>
              <w:right w:val="nil"/>
            </w:tcBorders>
            <w:shd w:val="clear" w:color="auto" w:fill="auto"/>
            <w:noWrap/>
            <w:vAlign w:val="bottom"/>
            <w:hideMark/>
          </w:tcPr>
          <w:p w14:paraId="12E1DB7D"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Units</w:t>
            </w:r>
          </w:p>
        </w:tc>
        <w:tc>
          <w:tcPr>
            <w:tcW w:w="3330" w:type="dxa"/>
            <w:tcBorders>
              <w:top w:val="single" w:sz="4" w:space="0" w:color="auto"/>
              <w:left w:val="nil"/>
              <w:bottom w:val="single" w:sz="4" w:space="0" w:color="auto"/>
              <w:right w:val="nil"/>
            </w:tcBorders>
            <w:shd w:val="clear" w:color="auto" w:fill="auto"/>
            <w:noWrap/>
            <w:vAlign w:val="bottom"/>
            <w:hideMark/>
          </w:tcPr>
          <w:p w14:paraId="12E1DB7E"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Brief description</w:t>
            </w:r>
          </w:p>
        </w:tc>
      </w:tr>
      <w:tr w:rsidR="00E51283" w:rsidRPr="00310886" w14:paraId="12E1DB8A" w14:textId="77777777" w:rsidTr="00E51283">
        <w:trPr>
          <w:trHeight w:val="600"/>
        </w:trPr>
        <w:tc>
          <w:tcPr>
            <w:tcW w:w="425" w:type="dxa"/>
            <w:tcBorders>
              <w:top w:val="nil"/>
              <w:left w:val="nil"/>
              <w:bottom w:val="nil"/>
              <w:right w:val="nil"/>
            </w:tcBorders>
            <w:shd w:val="clear" w:color="auto" w:fill="auto"/>
            <w:noWrap/>
            <w:hideMark/>
          </w:tcPr>
          <w:p w14:paraId="12E1DB80"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1</w:t>
            </w:r>
          </w:p>
        </w:tc>
        <w:tc>
          <w:tcPr>
            <w:tcW w:w="1502" w:type="dxa"/>
            <w:tcBorders>
              <w:top w:val="nil"/>
              <w:left w:val="nil"/>
              <w:bottom w:val="nil"/>
              <w:right w:val="nil"/>
            </w:tcBorders>
            <w:shd w:val="clear" w:color="auto" w:fill="auto"/>
            <w:hideMark/>
          </w:tcPr>
          <w:p w14:paraId="12E1DB81"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Marginalization</w:t>
            </w:r>
          </w:p>
        </w:tc>
        <w:tc>
          <w:tcPr>
            <w:tcW w:w="1276" w:type="dxa"/>
            <w:tcBorders>
              <w:top w:val="nil"/>
              <w:left w:val="nil"/>
              <w:bottom w:val="nil"/>
              <w:right w:val="nil"/>
            </w:tcBorders>
          </w:tcPr>
          <w:p w14:paraId="12E1DB82"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Economic</w:t>
            </w:r>
          </w:p>
        </w:tc>
        <w:tc>
          <w:tcPr>
            <w:tcW w:w="1276" w:type="dxa"/>
            <w:tcBorders>
              <w:top w:val="nil"/>
              <w:left w:val="nil"/>
              <w:bottom w:val="nil"/>
              <w:right w:val="nil"/>
            </w:tcBorders>
            <w:shd w:val="clear" w:color="auto" w:fill="auto"/>
            <w:hideMark/>
          </w:tcPr>
          <w:p w14:paraId="12E1DB83" w14:textId="77777777" w:rsidR="00E51283" w:rsidRPr="00310886" w:rsidRDefault="00B73BB6"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fldChar w:fldCharType="begin" w:fldLock="1"/>
            </w:r>
            <w:r w:rsidR="00E51283" w:rsidRPr="00310886">
              <w:rPr>
                <w:rFonts w:ascii="Times New Roman" w:eastAsia="Times New Roman" w:hAnsi="Times New Roman" w:cs="Times New Roman"/>
                <w:color w:val="000000"/>
                <w:sz w:val="20"/>
                <w:szCs w:val="20"/>
                <w:lang w:eastAsia="es-MX"/>
              </w:rPr>
              <w:instrText>ADDIN CSL_CITATION {"citationItems":[{"id":"ITEM-1","itemData":{"URL":"http://www.conabio.gob.mx/informacion/gis/","accessed":{"date-parts":[["2020","4","1"]]},"author":[{"dropping-particle":"","family":"CONABIO","given":"","non-dropping-particle":"","parse-names":false,"suffix":""}],"container-title":"Catálogo de metadatos geográficos. Comisión Nacional para el Conocimiento y Uso de la Biodiversidad","id":"ITEM-1","issued":{"date-parts":[["2006"]]},"title":"Grados de marginación a nivel localidad, 2000","type":"webpage"},"uris":["http://www.mendeley.com/documents/?uuid=c53d7ba8-8331-4f54-8c9f-4fc847a7a4ac"]}],"mendeley":{"formattedCitation":"(CONABIO, 2006)","manualFormatting":"CONABIO (2006)","plainTextFormattedCitation":"(CONABIO, 2006)","previouslyFormattedCitation":"(CONABIO, 2006)"},"properties":{"noteIndex":0},"schema":"https://github.com/citation-style-language/schema/raw/master/csl-citation.json"}</w:instrText>
            </w:r>
            <w:r w:rsidRPr="00310886">
              <w:rPr>
                <w:rFonts w:ascii="Times New Roman" w:eastAsia="Times New Roman" w:hAnsi="Times New Roman" w:cs="Times New Roman"/>
                <w:color w:val="000000"/>
                <w:sz w:val="20"/>
                <w:szCs w:val="20"/>
                <w:lang w:eastAsia="es-MX"/>
              </w:rPr>
              <w:fldChar w:fldCharType="separate"/>
            </w:r>
            <w:r w:rsidR="00E51283" w:rsidRPr="00310886">
              <w:rPr>
                <w:rFonts w:ascii="Times New Roman" w:eastAsia="Times New Roman" w:hAnsi="Times New Roman" w:cs="Times New Roman"/>
                <w:noProof/>
                <w:color w:val="000000"/>
                <w:sz w:val="20"/>
                <w:szCs w:val="20"/>
                <w:lang w:eastAsia="es-MX"/>
              </w:rPr>
              <w:t>CONABIO (2006)</w:t>
            </w:r>
            <w:r w:rsidRPr="00310886">
              <w:rPr>
                <w:rFonts w:ascii="Times New Roman" w:eastAsia="Times New Roman" w:hAnsi="Times New Roman" w:cs="Times New Roman"/>
                <w:color w:val="000000"/>
                <w:sz w:val="20"/>
                <w:szCs w:val="20"/>
                <w:lang w:eastAsia="es-MX"/>
              </w:rPr>
              <w:fldChar w:fldCharType="end"/>
            </w:r>
            <w:r w:rsidR="00E51283" w:rsidRPr="00310886">
              <w:rPr>
                <w:rFonts w:ascii="Times New Roman" w:eastAsia="Times New Roman" w:hAnsi="Times New Roman" w:cs="Times New Roman"/>
                <w:color w:val="000000"/>
                <w:sz w:val="20"/>
                <w:szCs w:val="20"/>
                <w:lang w:eastAsia="es-MX"/>
              </w:rPr>
              <w:t xml:space="preserve"> with information of CONAPO</w:t>
            </w:r>
          </w:p>
        </w:tc>
        <w:tc>
          <w:tcPr>
            <w:tcW w:w="992" w:type="dxa"/>
            <w:tcBorders>
              <w:top w:val="nil"/>
              <w:left w:val="nil"/>
              <w:bottom w:val="nil"/>
              <w:right w:val="nil"/>
            </w:tcBorders>
            <w:shd w:val="clear" w:color="auto" w:fill="auto"/>
            <w:noWrap/>
            <w:hideMark/>
          </w:tcPr>
          <w:p w14:paraId="12E1DB84"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2000</w:t>
            </w:r>
          </w:p>
        </w:tc>
        <w:tc>
          <w:tcPr>
            <w:tcW w:w="993" w:type="dxa"/>
            <w:tcBorders>
              <w:top w:val="nil"/>
              <w:left w:val="nil"/>
              <w:bottom w:val="nil"/>
              <w:right w:val="nil"/>
            </w:tcBorders>
            <w:shd w:val="clear" w:color="auto" w:fill="auto"/>
            <w:noWrap/>
            <w:hideMark/>
          </w:tcPr>
          <w:p w14:paraId="12E1DB85" w14:textId="77777777" w:rsidR="00E51283" w:rsidRPr="00310886" w:rsidRDefault="00C308BC"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16"/>
                <w:szCs w:val="20"/>
                <w:lang w:eastAsia="es-MX"/>
              </w:rPr>
              <w:t>Municipality</w:t>
            </w:r>
          </w:p>
        </w:tc>
        <w:tc>
          <w:tcPr>
            <w:tcW w:w="1097" w:type="dxa"/>
            <w:tcBorders>
              <w:top w:val="nil"/>
              <w:left w:val="nil"/>
              <w:bottom w:val="nil"/>
              <w:right w:val="nil"/>
            </w:tcBorders>
            <w:shd w:val="clear" w:color="auto" w:fill="auto"/>
            <w:noWrap/>
            <w:hideMark/>
          </w:tcPr>
          <w:p w14:paraId="12E1DB86"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w:t>
            </w:r>
          </w:p>
        </w:tc>
        <w:tc>
          <w:tcPr>
            <w:tcW w:w="887" w:type="dxa"/>
            <w:tcBorders>
              <w:top w:val="nil"/>
              <w:left w:val="nil"/>
              <w:bottom w:val="nil"/>
              <w:right w:val="nil"/>
            </w:tcBorders>
            <w:shd w:val="clear" w:color="auto" w:fill="auto"/>
            <w:noWrap/>
            <w:hideMark/>
          </w:tcPr>
          <w:p w14:paraId="12E1DB87"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0 to 100</w:t>
            </w:r>
          </w:p>
        </w:tc>
        <w:tc>
          <w:tcPr>
            <w:tcW w:w="1403" w:type="dxa"/>
            <w:tcBorders>
              <w:top w:val="nil"/>
              <w:left w:val="nil"/>
              <w:bottom w:val="nil"/>
              <w:right w:val="nil"/>
            </w:tcBorders>
            <w:shd w:val="clear" w:color="auto" w:fill="auto"/>
            <w:hideMark/>
          </w:tcPr>
          <w:p w14:paraId="12E1DB88"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Dimensionless</w:t>
            </w:r>
          </w:p>
        </w:tc>
        <w:tc>
          <w:tcPr>
            <w:tcW w:w="3330" w:type="dxa"/>
            <w:tcBorders>
              <w:top w:val="nil"/>
              <w:left w:val="nil"/>
              <w:bottom w:val="nil"/>
              <w:right w:val="nil"/>
            </w:tcBorders>
            <w:shd w:val="clear" w:color="auto" w:fill="auto"/>
            <w:hideMark/>
          </w:tcPr>
          <w:p w14:paraId="12E1DB89"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 xml:space="preserve">It is an indicator that assesses the intensity of privations suffered by </w:t>
            </w:r>
            <w:r w:rsidR="00997848" w:rsidRPr="00310886">
              <w:rPr>
                <w:rFonts w:ascii="Times New Roman" w:eastAsia="Times New Roman" w:hAnsi="Times New Roman" w:cs="Times New Roman"/>
                <w:color w:val="000000"/>
                <w:sz w:val="20"/>
                <w:szCs w:val="20"/>
                <w:lang w:eastAsia="es-MX"/>
              </w:rPr>
              <w:t xml:space="preserve">the </w:t>
            </w:r>
            <w:r w:rsidRPr="00310886">
              <w:rPr>
                <w:rFonts w:ascii="Times New Roman" w:eastAsia="Times New Roman" w:hAnsi="Times New Roman" w:cs="Times New Roman"/>
                <w:color w:val="000000"/>
                <w:sz w:val="20"/>
                <w:szCs w:val="20"/>
                <w:lang w:eastAsia="es-MX"/>
              </w:rPr>
              <w:t xml:space="preserve">population. It </w:t>
            </w:r>
            <w:proofErr w:type="gramStart"/>
            <w:r w:rsidRPr="00310886">
              <w:rPr>
                <w:rFonts w:ascii="Times New Roman" w:eastAsia="Times New Roman" w:hAnsi="Times New Roman" w:cs="Times New Roman"/>
                <w:color w:val="000000"/>
                <w:sz w:val="20"/>
                <w:szCs w:val="20"/>
                <w:lang w:eastAsia="es-MX"/>
              </w:rPr>
              <w:t>takes into account</w:t>
            </w:r>
            <w:proofErr w:type="gramEnd"/>
            <w:r w:rsidRPr="00310886">
              <w:rPr>
                <w:rFonts w:ascii="Times New Roman" w:eastAsia="Times New Roman" w:hAnsi="Times New Roman" w:cs="Times New Roman"/>
                <w:color w:val="000000"/>
                <w:sz w:val="20"/>
                <w:szCs w:val="20"/>
                <w:lang w:eastAsia="es-MX"/>
              </w:rPr>
              <w:t xml:space="preserve"> education, households, population distribution, and income. The higher the value the more the deprivation.</w:t>
            </w:r>
          </w:p>
        </w:tc>
      </w:tr>
      <w:tr w:rsidR="00E51283" w:rsidRPr="00310886" w14:paraId="12E1DB96" w14:textId="77777777" w:rsidTr="00E51283">
        <w:trPr>
          <w:trHeight w:val="600"/>
        </w:trPr>
        <w:tc>
          <w:tcPr>
            <w:tcW w:w="425" w:type="dxa"/>
            <w:tcBorders>
              <w:top w:val="nil"/>
              <w:left w:val="nil"/>
              <w:bottom w:val="nil"/>
              <w:right w:val="nil"/>
            </w:tcBorders>
            <w:shd w:val="clear" w:color="auto" w:fill="auto"/>
            <w:noWrap/>
            <w:hideMark/>
          </w:tcPr>
          <w:p w14:paraId="12E1DB8B"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2</w:t>
            </w:r>
          </w:p>
        </w:tc>
        <w:tc>
          <w:tcPr>
            <w:tcW w:w="1502" w:type="dxa"/>
            <w:tcBorders>
              <w:top w:val="nil"/>
              <w:left w:val="nil"/>
              <w:bottom w:val="nil"/>
              <w:right w:val="nil"/>
            </w:tcBorders>
            <w:shd w:val="clear" w:color="auto" w:fill="auto"/>
            <w:hideMark/>
          </w:tcPr>
          <w:p w14:paraId="12E1DB8C"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Human development index (HDI)</w:t>
            </w:r>
          </w:p>
        </w:tc>
        <w:tc>
          <w:tcPr>
            <w:tcW w:w="1276" w:type="dxa"/>
            <w:tcBorders>
              <w:top w:val="nil"/>
              <w:left w:val="nil"/>
              <w:bottom w:val="nil"/>
              <w:right w:val="nil"/>
            </w:tcBorders>
          </w:tcPr>
          <w:p w14:paraId="12E1DB8D"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Politic</w:t>
            </w:r>
          </w:p>
        </w:tc>
        <w:tc>
          <w:tcPr>
            <w:tcW w:w="1276" w:type="dxa"/>
            <w:tcBorders>
              <w:top w:val="nil"/>
              <w:left w:val="nil"/>
              <w:bottom w:val="nil"/>
              <w:right w:val="nil"/>
            </w:tcBorders>
            <w:shd w:val="clear" w:color="auto" w:fill="auto"/>
            <w:hideMark/>
          </w:tcPr>
          <w:p w14:paraId="12E1DB8E" w14:textId="77777777" w:rsidR="00E51283" w:rsidRPr="00310886" w:rsidRDefault="00B73BB6"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fldChar w:fldCharType="begin" w:fldLock="1"/>
            </w:r>
            <w:r w:rsidR="00E51283" w:rsidRPr="00310886">
              <w:rPr>
                <w:rFonts w:ascii="Times New Roman" w:eastAsia="Times New Roman" w:hAnsi="Times New Roman" w:cs="Times New Roman"/>
                <w:color w:val="000000"/>
                <w:sz w:val="20"/>
                <w:szCs w:val="20"/>
                <w:lang w:eastAsia="es-MX"/>
              </w:rPr>
              <w:instrText>ADDIN CSL_CITATION {"citationItems":[{"id":"ITEM-1","itemData":{"URL":"http://www.conabio.gob.mx/informacion/gis/","accessed":{"date-parts":[["2020","4","1"]]},"author":[{"dropping-particle":"","family":"CONABIO","given":"","non-dropping-particle":"","parse-names":false,"suffix":""}],"container-title":"Catálogo de metadatos geográficos. Comisión Nacional para el Conocimiento y Uso de la Biodiversidad","id":"ITEM-1","issued":{"date-parts":[["2014"]]},"title":"Índice de desarrollo humano por municipio, 2000","type":"webpage"},"uris":["http://www.mendeley.com/documents/?uuid=f3f2e5d3-2e7d-41de-b726-8b671fa23636"]}],"mendeley":{"formattedCitation":"(CONABIO, 2014)","manualFormatting":"CONABIO (2014)","plainTextFormattedCitation":"(CONABIO, 2014)","previouslyFormattedCitation":"(CONABIO, 2014)"},"properties":{"noteIndex":0},"schema":"https://github.com/citation-style-language/schema/raw/master/csl-citation.json"}</w:instrText>
            </w:r>
            <w:r w:rsidRPr="00310886">
              <w:rPr>
                <w:rFonts w:ascii="Times New Roman" w:eastAsia="Times New Roman" w:hAnsi="Times New Roman" w:cs="Times New Roman"/>
                <w:color w:val="000000"/>
                <w:sz w:val="20"/>
                <w:szCs w:val="20"/>
                <w:lang w:eastAsia="es-MX"/>
              </w:rPr>
              <w:fldChar w:fldCharType="separate"/>
            </w:r>
            <w:r w:rsidR="00E51283" w:rsidRPr="00310886">
              <w:rPr>
                <w:rFonts w:ascii="Times New Roman" w:eastAsia="Times New Roman" w:hAnsi="Times New Roman" w:cs="Times New Roman"/>
                <w:noProof/>
                <w:color w:val="000000"/>
                <w:sz w:val="20"/>
                <w:szCs w:val="20"/>
                <w:lang w:eastAsia="es-MX"/>
              </w:rPr>
              <w:t>CONABIO (2014)</w:t>
            </w:r>
            <w:r w:rsidRPr="00310886">
              <w:rPr>
                <w:rFonts w:ascii="Times New Roman" w:eastAsia="Times New Roman" w:hAnsi="Times New Roman" w:cs="Times New Roman"/>
                <w:color w:val="000000"/>
                <w:sz w:val="20"/>
                <w:szCs w:val="20"/>
                <w:lang w:eastAsia="es-MX"/>
              </w:rPr>
              <w:fldChar w:fldCharType="end"/>
            </w:r>
            <w:r w:rsidR="00E51283" w:rsidRPr="00310886">
              <w:rPr>
                <w:rFonts w:ascii="Times New Roman" w:eastAsia="Times New Roman" w:hAnsi="Times New Roman" w:cs="Times New Roman"/>
                <w:color w:val="000000"/>
                <w:sz w:val="20"/>
                <w:szCs w:val="20"/>
                <w:lang w:eastAsia="es-MX"/>
              </w:rPr>
              <w:t xml:space="preserve"> with information of PNUD Mexico</w:t>
            </w:r>
          </w:p>
          <w:p w14:paraId="12E1DB8F"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p>
        </w:tc>
        <w:tc>
          <w:tcPr>
            <w:tcW w:w="992" w:type="dxa"/>
            <w:tcBorders>
              <w:top w:val="nil"/>
              <w:left w:val="nil"/>
              <w:bottom w:val="nil"/>
              <w:right w:val="nil"/>
            </w:tcBorders>
            <w:shd w:val="clear" w:color="auto" w:fill="auto"/>
            <w:noWrap/>
            <w:hideMark/>
          </w:tcPr>
          <w:p w14:paraId="12E1DB90"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2000</w:t>
            </w:r>
          </w:p>
        </w:tc>
        <w:tc>
          <w:tcPr>
            <w:tcW w:w="993" w:type="dxa"/>
            <w:tcBorders>
              <w:top w:val="nil"/>
              <w:left w:val="nil"/>
              <w:bottom w:val="nil"/>
              <w:right w:val="nil"/>
            </w:tcBorders>
            <w:shd w:val="clear" w:color="auto" w:fill="auto"/>
            <w:noWrap/>
            <w:hideMark/>
          </w:tcPr>
          <w:p w14:paraId="12E1DB91" w14:textId="77777777" w:rsidR="00E51283" w:rsidRPr="00310886" w:rsidRDefault="00E51283" w:rsidP="00E51283">
            <w:pPr>
              <w:spacing w:after="0" w:line="240" w:lineRule="auto"/>
              <w:jc w:val="center"/>
              <w:rPr>
                <w:rFonts w:ascii="Times New Roman" w:eastAsia="Times New Roman" w:hAnsi="Times New Roman" w:cs="Times New Roman"/>
                <w:color w:val="000000"/>
                <w:sz w:val="16"/>
                <w:szCs w:val="20"/>
                <w:lang w:eastAsia="es-MX"/>
              </w:rPr>
            </w:pPr>
            <w:r w:rsidRPr="00310886">
              <w:rPr>
                <w:rFonts w:ascii="Times New Roman" w:eastAsia="Times New Roman" w:hAnsi="Times New Roman" w:cs="Times New Roman"/>
                <w:color w:val="000000"/>
                <w:sz w:val="16"/>
                <w:szCs w:val="20"/>
                <w:lang w:eastAsia="es-MX"/>
              </w:rPr>
              <w:t>Municipality</w:t>
            </w:r>
          </w:p>
        </w:tc>
        <w:tc>
          <w:tcPr>
            <w:tcW w:w="1097" w:type="dxa"/>
            <w:tcBorders>
              <w:top w:val="nil"/>
              <w:left w:val="nil"/>
              <w:bottom w:val="nil"/>
              <w:right w:val="nil"/>
            </w:tcBorders>
            <w:shd w:val="clear" w:color="auto" w:fill="auto"/>
            <w:noWrap/>
            <w:hideMark/>
          </w:tcPr>
          <w:p w14:paraId="12E1DB92"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w:t>
            </w:r>
          </w:p>
        </w:tc>
        <w:tc>
          <w:tcPr>
            <w:tcW w:w="887" w:type="dxa"/>
            <w:tcBorders>
              <w:top w:val="nil"/>
              <w:left w:val="nil"/>
              <w:bottom w:val="nil"/>
              <w:right w:val="nil"/>
            </w:tcBorders>
            <w:shd w:val="clear" w:color="auto" w:fill="auto"/>
            <w:noWrap/>
            <w:hideMark/>
          </w:tcPr>
          <w:p w14:paraId="12E1DB93"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0 to 1</w:t>
            </w:r>
          </w:p>
        </w:tc>
        <w:tc>
          <w:tcPr>
            <w:tcW w:w="1403" w:type="dxa"/>
            <w:tcBorders>
              <w:top w:val="nil"/>
              <w:left w:val="nil"/>
              <w:bottom w:val="nil"/>
              <w:right w:val="nil"/>
            </w:tcBorders>
            <w:shd w:val="clear" w:color="auto" w:fill="auto"/>
            <w:hideMark/>
          </w:tcPr>
          <w:p w14:paraId="12E1DB94"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Dimensionless</w:t>
            </w:r>
          </w:p>
        </w:tc>
        <w:tc>
          <w:tcPr>
            <w:tcW w:w="3330" w:type="dxa"/>
            <w:tcBorders>
              <w:top w:val="nil"/>
              <w:left w:val="nil"/>
              <w:bottom w:val="nil"/>
              <w:right w:val="nil"/>
            </w:tcBorders>
            <w:shd w:val="clear" w:color="auto" w:fill="auto"/>
            <w:hideMark/>
          </w:tcPr>
          <w:p w14:paraId="12E1DB95"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 xml:space="preserve">It is an indicator of the effectiveness of the state to provide adequate conditions for the proper development of people's lives, </w:t>
            </w:r>
            <w:proofErr w:type="gramStart"/>
            <w:r w:rsidRPr="00310886">
              <w:rPr>
                <w:rFonts w:ascii="Times New Roman" w:eastAsia="Times New Roman" w:hAnsi="Times New Roman" w:cs="Times New Roman"/>
                <w:color w:val="000000"/>
                <w:sz w:val="20"/>
                <w:szCs w:val="20"/>
                <w:lang w:eastAsia="es-MX"/>
              </w:rPr>
              <w:t>taking into account</w:t>
            </w:r>
            <w:proofErr w:type="gramEnd"/>
            <w:r w:rsidRPr="00310886">
              <w:rPr>
                <w:rFonts w:ascii="Times New Roman" w:eastAsia="Times New Roman" w:hAnsi="Times New Roman" w:cs="Times New Roman"/>
                <w:color w:val="000000"/>
                <w:sz w:val="20"/>
                <w:szCs w:val="20"/>
                <w:lang w:eastAsia="es-MX"/>
              </w:rPr>
              <w:t xml:space="preserve"> income, health, and education.</w:t>
            </w:r>
          </w:p>
        </w:tc>
      </w:tr>
      <w:tr w:rsidR="00E51283" w:rsidRPr="00310886" w14:paraId="12E1DBA2" w14:textId="77777777" w:rsidTr="00E51283">
        <w:trPr>
          <w:trHeight w:val="600"/>
        </w:trPr>
        <w:tc>
          <w:tcPr>
            <w:tcW w:w="425" w:type="dxa"/>
            <w:tcBorders>
              <w:top w:val="nil"/>
              <w:left w:val="nil"/>
              <w:bottom w:val="nil"/>
              <w:right w:val="nil"/>
            </w:tcBorders>
            <w:shd w:val="clear" w:color="auto" w:fill="auto"/>
            <w:noWrap/>
            <w:hideMark/>
          </w:tcPr>
          <w:p w14:paraId="12E1DB97"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3</w:t>
            </w:r>
          </w:p>
        </w:tc>
        <w:tc>
          <w:tcPr>
            <w:tcW w:w="1502" w:type="dxa"/>
            <w:tcBorders>
              <w:top w:val="nil"/>
              <w:left w:val="nil"/>
              <w:bottom w:val="nil"/>
              <w:right w:val="nil"/>
            </w:tcBorders>
            <w:shd w:val="clear" w:color="auto" w:fill="auto"/>
            <w:hideMark/>
          </w:tcPr>
          <w:p w14:paraId="12E1DB98"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Unemployment rate</w:t>
            </w:r>
          </w:p>
        </w:tc>
        <w:tc>
          <w:tcPr>
            <w:tcW w:w="1276" w:type="dxa"/>
            <w:tcBorders>
              <w:top w:val="nil"/>
              <w:left w:val="nil"/>
              <w:bottom w:val="nil"/>
              <w:right w:val="nil"/>
            </w:tcBorders>
          </w:tcPr>
          <w:p w14:paraId="12E1DB99"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Economic</w:t>
            </w:r>
          </w:p>
        </w:tc>
        <w:tc>
          <w:tcPr>
            <w:tcW w:w="1276" w:type="dxa"/>
            <w:tcBorders>
              <w:top w:val="nil"/>
              <w:left w:val="nil"/>
              <w:bottom w:val="nil"/>
              <w:right w:val="nil"/>
            </w:tcBorders>
            <w:shd w:val="clear" w:color="auto" w:fill="auto"/>
            <w:hideMark/>
          </w:tcPr>
          <w:p w14:paraId="12E1DB9A"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 xml:space="preserve">Derived from </w:t>
            </w:r>
            <w:r w:rsidR="00B73BB6" w:rsidRPr="00310886">
              <w:rPr>
                <w:rFonts w:ascii="Times New Roman" w:eastAsia="Times New Roman" w:hAnsi="Times New Roman" w:cs="Times New Roman"/>
                <w:color w:val="000000"/>
                <w:sz w:val="20"/>
                <w:szCs w:val="20"/>
                <w:lang w:eastAsia="es-MX"/>
              </w:rPr>
              <w:fldChar w:fldCharType="begin" w:fldLock="1"/>
            </w:r>
            <w:r w:rsidRPr="00310886">
              <w:rPr>
                <w:rFonts w:ascii="Times New Roman" w:eastAsia="Times New Roman" w:hAnsi="Times New Roman" w:cs="Times New Roman"/>
                <w:color w:val="000000"/>
                <w:sz w:val="20"/>
                <w:szCs w:val="20"/>
                <w:lang w:eastAsia="es-MX"/>
              </w:rPr>
              <w:instrText>ADDIN CSL_CITATION {"citationItems":[{"id":"ITEM-1","itemData":{"URL":"http://www.conabio.gob.mx/informacion/gis/","accessed":{"date-parts":[["2010","4","1"]]},"author":[{"dropping-particle":"","family":"CONABIO","given":"","non-dropping-particle":"","parse-names":false,"suffix":""}],"container-title":"Catálogo de metadatos geográficos. Comisión Nacional para el Conocimiento y Uso de la Biodiversidad","id":"ITEM-1","issued":{"date-parts":[["2010"]]},"title":"Empleo en México por municipio, 2000","type":"webpage"},"uris":["http://www.mendeley.com/documents/?uuid=9b573557-97e5-492d-b303-d09954adb695"]}],"mendeley":{"formattedCitation":"(CONABIO, 2010a)","manualFormatting":"CONABIO (2010a)","plainTextFormattedCitation":"(CONABIO, 2010a)","previouslyFormattedCitation":"(CONABIO, 2010a)"},"properties":{"noteIndex":0},"schema":"https://github.com/citation-style-language/schema/raw/master/csl-citation.json"}</w:instrText>
            </w:r>
            <w:r w:rsidR="00B73BB6" w:rsidRPr="00310886">
              <w:rPr>
                <w:rFonts w:ascii="Times New Roman" w:eastAsia="Times New Roman" w:hAnsi="Times New Roman" w:cs="Times New Roman"/>
                <w:color w:val="000000"/>
                <w:sz w:val="20"/>
                <w:szCs w:val="20"/>
                <w:lang w:eastAsia="es-MX"/>
              </w:rPr>
              <w:fldChar w:fldCharType="separate"/>
            </w:r>
            <w:r w:rsidRPr="00310886">
              <w:rPr>
                <w:rFonts w:ascii="Times New Roman" w:eastAsia="Times New Roman" w:hAnsi="Times New Roman" w:cs="Times New Roman"/>
                <w:noProof/>
                <w:color w:val="000000"/>
                <w:sz w:val="20"/>
                <w:szCs w:val="20"/>
                <w:lang w:eastAsia="es-MX"/>
              </w:rPr>
              <w:t>CONABIO (2010a)</w:t>
            </w:r>
            <w:r w:rsidR="00B73BB6" w:rsidRPr="00310886">
              <w:rPr>
                <w:rFonts w:ascii="Times New Roman" w:eastAsia="Times New Roman" w:hAnsi="Times New Roman" w:cs="Times New Roman"/>
                <w:color w:val="000000"/>
                <w:sz w:val="20"/>
                <w:szCs w:val="20"/>
                <w:lang w:eastAsia="es-MX"/>
              </w:rPr>
              <w:fldChar w:fldCharType="end"/>
            </w:r>
            <w:r w:rsidRPr="00310886">
              <w:rPr>
                <w:rFonts w:ascii="Times New Roman" w:eastAsia="Times New Roman" w:hAnsi="Times New Roman" w:cs="Times New Roman"/>
                <w:color w:val="000000"/>
                <w:sz w:val="20"/>
                <w:szCs w:val="20"/>
                <w:lang w:eastAsia="es-MX"/>
              </w:rPr>
              <w:t xml:space="preserve"> with information of INEGI</w:t>
            </w:r>
          </w:p>
          <w:p w14:paraId="12E1DB9B"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p>
        </w:tc>
        <w:tc>
          <w:tcPr>
            <w:tcW w:w="992" w:type="dxa"/>
            <w:tcBorders>
              <w:top w:val="nil"/>
              <w:left w:val="nil"/>
              <w:bottom w:val="nil"/>
              <w:right w:val="nil"/>
            </w:tcBorders>
            <w:shd w:val="clear" w:color="auto" w:fill="auto"/>
            <w:noWrap/>
            <w:hideMark/>
          </w:tcPr>
          <w:p w14:paraId="12E1DB9C"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2000</w:t>
            </w:r>
          </w:p>
        </w:tc>
        <w:tc>
          <w:tcPr>
            <w:tcW w:w="993" w:type="dxa"/>
            <w:tcBorders>
              <w:top w:val="nil"/>
              <w:left w:val="nil"/>
              <w:bottom w:val="nil"/>
              <w:right w:val="nil"/>
            </w:tcBorders>
            <w:shd w:val="clear" w:color="auto" w:fill="auto"/>
            <w:noWrap/>
            <w:hideMark/>
          </w:tcPr>
          <w:p w14:paraId="12E1DB9D"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16"/>
                <w:szCs w:val="20"/>
                <w:lang w:eastAsia="es-MX"/>
              </w:rPr>
              <w:t>Municipality</w:t>
            </w:r>
          </w:p>
        </w:tc>
        <w:tc>
          <w:tcPr>
            <w:tcW w:w="1097" w:type="dxa"/>
            <w:tcBorders>
              <w:top w:val="nil"/>
              <w:left w:val="nil"/>
              <w:bottom w:val="nil"/>
              <w:right w:val="nil"/>
            </w:tcBorders>
            <w:shd w:val="clear" w:color="auto" w:fill="auto"/>
            <w:noWrap/>
            <w:hideMark/>
          </w:tcPr>
          <w:p w14:paraId="12E1DB9E"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w:t>
            </w:r>
          </w:p>
        </w:tc>
        <w:tc>
          <w:tcPr>
            <w:tcW w:w="887" w:type="dxa"/>
            <w:tcBorders>
              <w:top w:val="nil"/>
              <w:left w:val="nil"/>
              <w:bottom w:val="nil"/>
              <w:right w:val="nil"/>
            </w:tcBorders>
            <w:shd w:val="clear" w:color="auto" w:fill="auto"/>
            <w:noWrap/>
            <w:hideMark/>
          </w:tcPr>
          <w:p w14:paraId="12E1DB9F"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0 to100</w:t>
            </w:r>
          </w:p>
        </w:tc>
        <w:tc>
          <w:tcPr>
            <w:tcW w:w="1403" w:type="dxa"/>
            <w:tcBorders>
              <w:top w:val="nil"/>
              <w:left w:val="nil"/>
              <w:bottom w:val="nil"/>
              <w:right w:val="nil"/>
            </w:tcBorders>
            <w:shd w:val="clear" w:color="auto" w:fill="auto"/>
            <w:hideMark/>
          </w:tcPr>
          <w:p w14:paraId="12E1DBA0"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Percentage</w:t>
            </w:r>
          </w:p>
        </w:tc>
        <w:tc>
          <w:tcPr>
            <w:tcW w:w="3330" w:type="dxa"/>
            <w:tcBorders>
              <w:top w:val="nil"/>
              <w:left w:val="nil"/>
              <w:bottom w:val="nil"/>
              <w:right w:val="nil"/>
            </w:tcBorders>
            <w:shd w:val="clear" w:color="auto" w:fill="auto"/>
            <w:hideMark/>
          </w:tcPr>
          <w:p w14:paraId="12E1DBA1"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 xml:space="preserve">It is the percentage of </w:t>
            </w:r>
            <w:r w:rsidR="00176419" w:rsidRPr="00310886">
              <w:rPr>
                <w:rFonts w:ascii="Times New Roman" w:eastAsia="Times New Roman" w:hAnsi="Times New Roman" w:cs="Times New Roman"/>
                <w:color w:val="000000"/>
                <w:sz w:val="20"/>
                <w:szCs w:val="20"/>
                <w:lang w:eastAsia="es-MX"/>
              </w:rPr>
              <w:t xml:space="preserve">the </w:t>
            </w:r>
            <w:r w:rsidRPr="00310886">
              <w:rPr>
                <w:rFonts w:ascii="Times New Roman" w:eastAsia="Times New Roman" w:hAnsi="Times New Roman" w:cs="Times New Roman"/>
                <w:color w:val="000000"/>
                <w:sz w:val="20"/>
                <w:szCs w:val="20"/>
                <w:lang w:eastAsia="es-MX"/>
              </w:rPr>
              <w:t>economically active population with no job</w:t>
            </w:r>
          </w:p>
        </w:tc>
      </w:tr>
      <w:tr w:rsidR="00E51283" w:rsidRPr="00310886" w14:paraId="12E1DBBB" w14:textId="77777777" w:rsidTr="00E51283">
        <w:trPr>
          <w:trHeight w:val="600"/>
        </w:trPr>
        <w:tc>
          <w:tcPr>
            <w:tcW w:w="425" w:type="dxa"/>
            <w:tcBorders>
              <w:top w:val="nil"/>
              <w:left w:val="nil"/>
              <w:bottom w:val="nil"/>
              <w:right w:val="nil"/>
            </w:tcBorders>
            <w:shd w:val="clear" w:color="auto" w:fill="auto"/>
            <w:noWrap/>
            <w:hideMark/>
          </w:tcPr>
          <w:p w14:paraId="12E1DBAF" w14:textId="04C7651D" w:rsidR="00E51283" w:rsidRPr="00310886" w:rsidRDefault="0075689E" w:rsidP="00E51283">
            <w:pPr>
              <w:spacing w:after="0" w:line="240" w:lineRule="auto"/>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4</w:t>
            </w:r>
          </w:p>
        </w:tc>
        <w:tc>
          <w:tcPr>
            <w:tcW w:w="1502" w:type="dxa"/>
            <w:tcBorders>
              <w:top w:val="nil"/>
              <w:left w:val="nil"/>
              <w:bottom w:val="nil"/>
              <w:right w:val="nil"/>
            </w:tcBorders>
            <w:shd w:val="clear" w:color="auto" w:fill="auto"/>
            <w:hideMark/>
          </w:tcPr>
          <w:p w14:paraId="12E1DBB0" w14:textId="777ABC76" w:rsidR="00E51283" w:rsidRPr="00310886" w:rsidRDefault="00E11C00" w:rsidP="00E51283">
            <w:pPr>
              <w:spacing w:after="0" w:line="240" w:lineRule="auto"/>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Non-farm occupation</w:t>
            </w:r>
          </w:p>
        </w:tc>
        <w:tc>
          <w:tcPr>
            <w:tcW w:w="1276" w:type="dxa"/>
            <w:tcBorders>
              <w:top w:val="nil"/>
              <w:left w:val="nil"/>
              <w:bottom w:val="nil"/>
              <w:right w:val="nil"/>
            </w:tcBorders>
          </w:tcPr>
          <w:p w14:paraId="12E1DBB1"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Economic</w:t>
            </w:r>
          </w:p>
        </w:tc>
        <w:tc>
          <w:tcPr>
            <w:tcW w:w="1276" w:type="dxa"/>
            <w:tcBorders>
              <w:top w:val="nil"/>
              <w:left w:val="nil"/>
              <w:bottom w:val="nil"/>
              <w:right w:val="nil"/>
            </w:tcBorders>
            <w:shd w:val="clear" w:color="auto" w:fill="auto"/>
            <w:hideMark/>
          </w:tcPr>
          <w:p w14:paraId="12E1DBB2"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 xml:space="preserve">Derived from </w:t>
            </w:r>
            <w:r w:rsidR="00B73BB6" w:rsidRPr="00310886">
              <w:rPr>
                <w:rFonts w:ascii="Times New Roman" w:eastAsia="Times New Roman" w:hAnsi="Times New Roman" w:cs="Times New Roman"/>
                <w:color w:val="000000"/>
                <w:sz w:val="20"/>
                <w:szCs w:val="20"/>
                <w:lang w:eastAsia="es-MX"/>
              </w:rPr>
              <w:fldChar w:fldCharType="begin" w:fldLock="1"/>
            </w:r>
            <w:r w:rsidRPr="00310886">
              <w:rPr>
                <w:rFonts w:ascii="Times New Roman" w:eastAsia="Times New Roman" w:hAnsi="Times New Roman" w:cs="Times New Roman"/>
                <w:color w:val="000000"/>
                <w:sz w:val="20"/>
                <w:szCs w:val="20"/>
                <w:lang w:eastAsia="es-MX"/>
              </w:rPr>
              <w:instrText>ADDIN CSL_CITATION {"citationItems":[{"id":"ITEM-1","itemData":{"URL":"http://www.conabio.gob.mx/informacion/gis/","accessed":{"date-parts":[["2010","4","1"]]},"author":[{"dropping-particle":"","family":"CONABIO","given":"","non-dropping-particle":"","parse-names":false,"suffix":""}],"container-title":"Catálogo de metadatos geográficos. Comisión Nacional para el Conocimiento y Uso de la Biodiversidad","id":"ITEM-1","issued":{"date-parts":[["2010"]]},"title":"Empleo en México por municipio, 2000","type":"webpage"},"uris":["http://www.mendeley.com/documents/?uuid=9b573557-97e5-492d-b303-d09954adb695"]}],"mendeley":{"formattedCitation":"(CONABIO, 2010a)","manualFormatting":"CONABIO (2010a)","plainTextFormattedCitation":"(CONABIO, 2010a)","previouslyFormattedCitation":"(CONABIO, 2010a)"},"properties":{"noteIndex":0},"schema":"https://github.com/citation-style-language/schema/raw/master/csl-citation.json"}</w:instrText>
            </w:r>
            <w:r w:rsidR="00B73BB6" w:rsidRPr="00310886">
              <w:rPr>
                <w:rFonts w:ascii="Times New Roman" w:eastAsia="Times New Roman" w:hAnsi="Times New Roman" w:cs="Times New Roman"/>
                <w:color w:val="000000"/>
                <w:sz w:val="20"/>
                <w:szCs w:val="20"/>
                <w:lang w:eastAsia="es-MX"/>
              </w:rPr>
              <w:fldChar w:fldCharType="separate"/>
            </w:r>
            <w:r w:rsidRPr="00310886">
              <w:rPr>
                <w:rFonts w:ascii="Times New Roman" w:eastAsia="Times New Roman" w:hAnsi="Times New Roman" w:cs="Times New Roman"/>
                <w:noProof/>
                <w:color w:val="000000"/>
                <w:sz w:val="20"/>
                <w:szCs w:val="20"/>
                <w:lang w:eastAsia="es-MX"/>
              </w:rPr>
              <w:t>CONABIO (2010a)</w:t>
            </w:r>
            <w:r w:rsidR="00B73BB6" w:rsidRPr="00310886">
              <w:rPr>
                <w:rFonts w:ascii="Times New Roman" w:eastAsia="Times New Roman" w:hAnsi="Times New Roman" w:cs="Times New Roman"/>
                <w:color w:val="000000"/>
                <w:sz w:val="20"/>
                <w:szCs w:val="20"/>
                <w:lang w:eastAsia="es-MX"/>
              </w:rPr>
              <w:fldChar w:fldCharType="end"/>
            </w:r>
            <w:r w:rsidRPr="00310886">
              <w:rPr>
                <w:rFonts w:ascii="Times New Roman" w:eastAsia="Times New Roman" w:hAnsi="Times New Roman" w:cs="Times New Roman"/>
                <w:color w:val="000000"/>
                <w:sz w:val="20"/>
                <w:szCs w:val="20"/>
                <w:lang w:eastAsia="es-MX"/>
              </w:rPr>
              <w:t xml:space="preserve"> with information of INEGI</w:t>
            </w:r>
          </w:p>
          <w:p w14:paraId="12E1DBB3"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p>
        </w:tc>
        <w:tc>
          <w:tcPr>
            <w:tcW w:w="992" w:type="dxa"/>
            <w:tcBorders>
              <w:top w:val="nil"/>
              <w:left w:val="nil"/>
              <w:bottom w:val="nil"/>
              <w:right w:val="nil"/>
            </w:tcBorders>
            <w:shd w:val="clear" w:color="auto" w:fill="auto"/>
            <w:noWrap/>
            <w:hideMark/>
          </w:tcPr>
          <w:p w14:paraId="12E1DBB4"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2000</w:t>
            </w:r>
          </w:p>
        </w:tc>
        <w:tc>
          <w:tcPr>
            <w:tcW w:w="993" w:type="dxa"/>
            <w:tcBorders>
              <w:top w:val="nil"/>
              <w:left w:val="nil"/>
              <w:bottom w:val="nil"/>
              <w:right w:val="nil"/>
            </w:tcBorders>
            <w:shd w:val="clear" w:color="auto" w:fill="auto"/>
            <w:noWrap/>
            <w:hideMark/>
          </w:tcPr>
          <w:p w14:paraId="12E1DBB5"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16"/>
                <w:szCs w:val="20"/>
                <w:lang w:eastAsia="es-MX"/>
              </w:rPr>
              <w:t>Municipality</w:t>
            </w:r>
          </w:p>
        </w:tc>
        <w:tc>
          <w:tcPr>
            <w:tcW w:w="1097" w:type="dxa"/>
            <w:tcBorders>
              <w:top w:val="nil"/>
              <w:left w:val="nil"/>
              <w:bottom w:val="nil"/>
              <w:right w:val="nil"/>
            </w:tcBorders>
            <w:shd w:val="clear" w:color="auto" w:fill="auto"/>
            <w:noWrap/>
            <w:hideMark/>
          </w:tcPr>
          <w:p w14:paraId="12E1DBB6"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w:t>
            </w:r>
          </w:p>
        </w:tc>
        <w:tc>
          <w:tcPr>
            <w:tcW w:w="887" w:type="dxa"/>
            <w:tcBorders>
              <w:top w:val="nil"/>
              <w:left w:val="nil"/>
              <w:bottom w:val="nil"/>
              <w:right w:val="nil"/>
            </w:tcBorders>
            <w:shd w:val="clear" w:color="auto" w:fill="auto"/>
            <w:noWrap/>
            <w:hideMark/>
          </w:tcPr>
          <w:p w14:paraId="12E1DBB7"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0 to 1</w:t>
            </w:r>
          </w:p>
        </w:tc>
        <w:tc>
          <w:tcPr>
            <w:tcW w:w="1403" w:type="dxa"/>
            <w:tcBorders>
              <w:top w:val="nil"/>
              <w:left w:val="nil"/>
              <w:bottom w:val="nil"/>
              <w:right w:val="nil"/>
            </w:tcBorders>
            <w:shd w:val="clear" w:color="auto" w:fill="auto"/>
            <w:hideMark/>
          </w:tcPr>
          <w:p w14:paraId="12E1DBB8" w14:textId="52B6ADF9" w:rsidR="00E51283" w:rsidRPr="00310886" w:rsidRDefault="007A61B6" w:rsidP="00E51283">
            <w:pPr>
              <w:spacing w:after="0" w:line="240" w:lineRule="auto"/>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Proportion</w:t>
            </w:r>
          </w:p>
        </w:tc>
        <w:tc>
          <w:tcPr>
            <w:tcW w:w="3330" w:type="dxa"/>
            <w:tcBorders>
              <w:top w:val="nil"/>
              <w:left w:val="nil"/>
              <w:bottom w:val="nil"/>
              <w:right w:val="nil"/>
            </w:tcBorders>
            <w:shd w:val="clear" w:color="auto" w:fill="auto"/>
            <w:hideMark/>
          </w:tcPr>
          <w:p w14:paraId="12E1DBB9" w14:textId="6AE071E3" w:rsidR="00E51283" w:rsidRPr="00310886" w:rsidRDefault="007A61B6" w:rsidP="00E51283">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 xml:space="preserve">The proportion of </w:t>
            </w:r>
            <w:r w:rsidR="00181D15">
              <w:rPr>
                <w:rFonts w:ascii="Times New Roman" w:eastAsia="Times New Roman" w:hAnsi="Times New Roman" w:cs="Times New Roman"/>
                <w:color w:val="000000"/>
                <w:sz w:val="20"/>
                <w:szCs w:val="20"/>
                <w:lang w:eastAsia="es-MX"/>
              </w:rPr>
              <w:t xml:space="preserve">the </w:t>
            </w:r>
            <w:r>
              <w:rPr>
                <w:rFonts w:ascii="Times New Roman" w:eastAsia="Times New Roman" w:hAnsi="Times New Roman" w:cs="Times New Roman"/>
                <w:color w:val="000000"/>
                <w:sz w:val="20"/>
                <w:szCs w:val="20"/>
                <w:lang w:eastAsia="es-MX"/>
              </w:rPr>
              <w:t xml:space="preserve">population </w:t>
            </w:r>
            <w:r w:rsidR="00833850">
              <w:rPr>
                <w:rFonts w:ascii="Times New Roman" w:eastAsia="Times New Roman" w:hAnsi="Times New Roman" w:cs="Times New Roman"/>
                <w:color w:val="000000"/>
                <w:sz w:val="20"/>
                <w:szCs w:val="20"/>
                <w:lang w:eastAsia="es-MX"/>
              </w:rPr>
              <w:t>of a municipality that works in a non-farm sector (</w:t>
            </w:r>
            <w:proofErr w:type="gramStart"/>
            <w:r w:rsidR="00833850">
              <w:rPr>
                <w:rFonts w:ascii="Times New Roman" w:eastAsia="Times New Roman" w:hAnsi="Times New Roman" w:cs="Times New Roman"/>
                <w:color w:val="000000"/>
                <w:sz w:val="20"/>
                <w:szCs w:val="20"/>
                <w:lang w:eastAsia="es-MX"/>
              </w:rPr>
              <w:t>i.e.</w:t>
            </w:r>
            <w:proofErr w:type="gramEnd"/>
            <w:r w:rsidR="00833850">
              <w:rPr>
                <w:rFonts w:ascii="Times New Roman" w:eastAsia="Times New Roman" w:hAnsi="Times New Roman" w:cs="Times New Roman"/>
                <w:color w:val="000000"/>
                <w:sz w:val="20"/>
                <w:szCs w:val="20"/>
                <w:lang w:eastAsia="es-MX"/>
              </w:rPr>
              <w:t xml:space="preserve"> services or industrial)</w:t>
            </w:r>
            <w:r w:rsidR="00E51283" w:rsidRPr="00310886">
              <w:rPr>
                <w:rFonts w:ascii="Times New Roman" w:eastAsia="Times New Roman" w:hAnsi="Times New Roman" w:cs="Times New Roman"/>
                <w:color w:val="000000"/>
                <w:sz w:val="20"/>
                <w:szCs w:val="20"/>
                <w:lang w:eastAsia="es-MX"/>
              </w:rPr>
              <w:t>.</w:t>
            </w:r>
          </w:p>
          <w:p w14:paraId="12E1DBBA"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p>
        </w:tc>
      </w:tr>
      <w:tr w:rsidR="00E51283" w:rsidRPr="00310886" w14:paraId="12E1DBD2" w14:textId="77777777" w:rsidTr="00E51283">
        <w:trPr>
          <w:trHeight w:val="600"/>
        </w:trPr>
        <w:tc>
          <w:tcPr>
            <w:tcW w:w="425" w:type="dxa"/>
            <w:tcBorders>
              <w:top w:val="nil"/>
              <w:left w:val="nil"/>
              <w:bottom w:val="nil"/>
              <w:right w:val="nil"/>
            </w:tcBorders>
            <w:shd w:val="clear" w:color="auto" w:fill="auto"/>
            <w:noWrap/>
            <w:hideMark/>
          </w:tcPr>
          <w:p w14:paraId="12E1DBC8" w14:textId="48991419" w:rsidR="00E51283" w:rsidRPr="00310886" w:rsidRDefault="0075689E" w:rsidP="00E51283">
            <w:pPr>
              <w:spacing w:after="0" w:line="240" w:lineRule="auto"/>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5</w:t>
            </w:r>
          </w:p>
        </w:tc>
        <w:tc>
          <w:tcPr>
            <w:tcW w:w="1502" w:type="dxa"/>
            <w:tcBorders>
              <w:top w:val="nil"/>
              <w:left w:val="nil"/>
              <w:bottom w:val="nil"/>
              <w:right w:val="nil"/>
            </w:tcBorders>
            <w:shd w:val="clear" w:color="auto" w:fill="auto"/>
            <w:hideMark/>
          </w:tcPr>
          <w:p w14:paraId="12E1DBC9"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Population growth rate</w:t>
            </w:r>
          </w:p>
        </w:tc>
        <w:tc>
          <w:tcPr>
            <w:tcW w:w="1276" w:type="dxa"/>
            <w:tcBorders>
              <w:top w:val="nil"/>
              <w:left w:val="nil"/>
              <w:bottom w:val="nil"/>
              <w:right w:val="nil"/>
            </w:tcBorders>
          </w:tcPr>
          <w:p w14:paraId="12E1DBCA"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Demographic</w:t>
            </w:r>
          </w:p>
        </w:tc>
        <w:tc>
          <w:tcPr>
            <w:tcW w:w="1276" w:type="dxa"/>
            <w:tcBorders>
              <w:top w:val="nil"/>
              <w:left w:val="nil"/>
              <w:bottom w:val="nil"/>
              <w:right w:val="nil"/>
            </w:tcBorders>
            <w:shd w:val="clear" w:color="auto" w:fill="auto"/>
            <w:hideMark/>
          </w:tcPr>
          <w:p w14:paraId="12E1DBCB" w14:textId="77777777" w:rsidR="00E51283" w:rsidRPr="00310886" w:rsidRDefault="00B73BB6"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fldChar w:fldCharType="begin" w:fldLock="1"/>
            </w:r>
            <w:r w:rsidR="00CC4DCF">
              <w:rPr>
                <w:rFonts w:ascii="Times New Roman" w:eastAsia="Times New Roman" w:hAnsi="Times New Roman" w:cs="Times New Roman"/>
                <w:color w:val="000000"/>
                <w:sz w:val="20"/>
                <w:szCs w:val="20"/>
                <w:lang w:eastAsia="es-MX"/>
              </w:rPr>
              <w:instrText>ADDIN CSL_CITATION {"citationItems":[{"id":"ITEM-1","itemData":{"URL":"http://www.conabio.gob.mx/informacion/gis/","accessed":{"date-parts":[["2000","4","1"]]},"author":[{"dropping-particle":"","family":"CONABIO","given":"","non-dropping-particle":"","parse-names":false,"suffix":""}],"container-title":"Catálogo de metadatos geográficos. Comisión Nacional para el Conocimiento y Uso de la Biodiversidad","id":"ITEM-1","issued":{"date-parts":[["2010"]]},"title":"Distribución de la población en México por municipio, 2000","type":"webpage"},"uris":["http://www.mendeley.com/documents/?uuid=95eef5c3-4ef2-4867-bc97-55141a3fa46b"]},{"id":"ITEM-2","itemData":{"URL":"http://www.conabio.gob.mx/informacion/gis/","accessed":{"date-parts":[["2020","4","1"]]},"author":[{"dropping-particle":"","family":"CONABIO","given":"","non-dropping-particle":"","parse-names":false,"suffix":""}],"container-title":"Catálogo de metadatos geográficos. Comisión Nacional para el Conocimiento y Uso de la Biodiversidad","id":"ITEM-2","issued":{"date-parts":[["2010"]]},"title":"Distribución de la población en México por municipio, 2010","type":"webpage"},"uris":["http://www.mendeley.com/documents/?uuid=00e7a5c0-2398-4167-b5b2-283e122b92e0"]}],"mendeley":{"formattedCitation":"(CONABIO, 2010b, 2010c)","manualFormatting":"CONABIO (2010b, 2010c)","plainTextFormattedCitation":"(CONABIO, 2010b, 2010c)","previouslyFormattedCitation":"(CONABIO, 2010b, 2010c)"},"properties":{"noteIndex":0},"schema":"https://github.com/citation-style-language/schema/raw/master/csl-citation.json"}</w:instrText>
            </w:r>
            <w:r w:rsidRPr="00310886">
              <w:rPr>
                <w:rFonts w:ascii="Times New Roman" w:eastAsia="Times New Roman" w:hAnsi="Times New Roman" w:cs="Times New Roman"/>
                <w:color w:val="000000"/>
                <w:sz w:val="20"/>
                <w:szCs w:val="20"/>
                <w:lang w:eastAsia="es-MX"/>
              </w:rPr>
              <w:fldChar w:fldCharType="separate"/>
            </w:r>
            <w:r w:rsidR="00E51283" w:rsidRPr="00310886">
              <w:rPr>
                <w:rFonts w:ascii="Times New Roman" w:eastAsia="Times New Roman" w:hAnsi="Times New Roman" w:cs="Times New Roman"/>
                <w:noProof/>
                <w:color w:val="000000"/>
                <w:sz w:val="20"/>
                <w:szCs w:val="20"/>
                <w:lang w:eastAsia="es-MX"/>
              </w:rPr>
              <w:t>CONABIO (2010b, 2010c)</w:t>
            </w:r>
            <w:r w:rsidRPr="00310886">
              <w:rPr>
                <w:rFonts w:ascii="Times New Roman" w:eastAsia="Times New Roman" w:hAnsi="Times New Roman" w:cs="Times New Roman"/>
                <w:color w:val="000000"/>
                <w:sz w:val="20"/>
                <w:szCs w:val="20"/>
                <w:lang w:eastAsia="es-MX"/>
              </w:rPr>
              <w:fldChar w:fldCharType="end"/>
            </w:r>
            <w:r w:rsidR="00E51283" w:rsidRPr="00310886">
              <w:rPr>
                <w:rFonts w:ascii="Times New Roman" w:eastAsia="Times New Roman" w:hAnsi="Times New Roman" w:cs="Times New Roman"/>
                <w:color w:val="000000"/>
                <w:sz w:val="20"/>
                <w:szCs w:val="20"/>
                <w:lang w:eastAsia="es-MX"/>
              </w:rPr>
              <w:t xml:space="preserve"> with information from INEGI</w:t>
            </w:r>
          </w:p>
        </w:tc>
        <w:tc>
          <w:tcPr>
            <w:tcW w:w="992" w:type="dxa"/>
            <w:tcBorders>
              <w:top w:val="nil"/>
              <w:left w:val="nil"/>
              <w:bottom w:val="nil"/>
              <w:right w:val="nil"/>
            </w:tcBorders>
            <w:shd w:val="clear" w:color="auto" w:fill="auto"/>
            <w:noWrap/>
            <w:hideMark/>
          </w:tcPr>
          <w:p w14:paraId="12E1DBCC"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2000-20</w:t>
            </w:r>
            <w:r w:rsidR="00B30805" w:rsidRPr="00310886">
              <w:rPr>
                <w:rFonts w:ascii="Times New Roman" w:eastAsia="Times New Roman" w:hAnsi="Times New Roman" w:cs="Times New Roman"/>
                <w:color w:val="000000"/>
                <w:sz w:val="20"/>
                <w:szCs w:val="20"/>
                <w:lang w:eastAsia="es-MX"/>
              </w:rPr>
              <w:t>2</w:t>
            </w:r>
            <w:r w:rsidRPr="00310886">
              <w:rPr>
                <w:rFonts w:ascii="Times New Roman" w:eastAsia="Times New Roman" w:hAnsi="Times New Roman" w:cs="Times New Roman"/>
                <w:color w:val="000000"/>
                <w:sz w:val="20"/>
                <w:szCs w:val="20"/>
                <w:lang w:eastAsia="es-MX"/>
              </w:rPr>
              <w:t>0</w:t>
            </w:r>
          </w:p>
        </w:tc>
        <w:tc>
          <w:tcPr>
            <w:tcW w:w="993" w:type="dxa"/>
            <w:tcBorders>
              <w:top w:val="nil"/>
              <w:left w:val="nil"/>
              <w:bottom w:val="nil"/>
              <w:right w:val="nil"/>
            </w:tcBorders>
            <w:shd w:val="clear" w:color="auto" w:fill="auto"/>
            <w:noWrap/>
            <w:hideMark/>
          </w:tcPr>
          <w:p w14:paraId="12E1DBCD"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16"/>
                <w:szCs w:val="20"/>
                <w:lang w:eastAsia="es-MX"/>
              </w:rPr>
              <w:t>Municipality</w:t>
            </w:r>
          </w:p>
        </w:tc>
        <w:tc>
          <w:tcPr>
            <w:tcW w:w="1097" w:type="dxa"/>
            <w:tcBorders>
              <w:top w:val="nil"/>
              <w:left w:val="nil"/>
              <w:bottom w:val="nil"/>
              <w:right w:val="nil"/>
            </w:tcBorders>
            <w:shd w:val="clear" w:color="auto" w:fill="auto"/>
            <w:noWrap/>
            <w:hideMark/>
          </w:tcPr>
          <w:p w14:paraId="12E1DBCE"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w:t>
            </w:r>
          </w:p>
        </w:tc>
        <w:tc>
          <w:tcPr>
            <w:tcW w:w="887" w:type="dxa"/>
            <w:tcBorders>
              <w:top w:val="nil"/>
              <w:left w:val="nil"/>
              <w:bottom w:val="nil"/>
              <w:right w:val="nil"/>
            </w:tcBorders>
            <w:shd w:val="clear" w:color="auto" w:fill="auto"/>
            <w:noWrap/>
            <w:hideMark/>
          </w:tcPr>
          <w:p w14:paraId="12E1DBCF"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w:t>
            </w:r>
            <w:r w:rsidRPr="00310886">
              <w:rPr>
                <w:rFonts w:ascii="Times New Roman" w:eastAsia="Times New Roman" w:hAnsi="Times New Roman" w:cs="Times New Roman"/>
                <w:color w:val="000000"/>
                <w:sz w:val="20"/>
                <w:szCs w:val="20"/>
                <w:lang w:eastAsia="es-MX"/>
              </w:rPr>
              <w:sym w:font="Symbol" w:char="F0A5"/>
            </w:r>
            <w:r w:rsidRPr="00310886">
              <w:rPr>
                <w:rFonts w:ascii="Times New Roman" w:eastAsia="Times New Roman" w:hAnsi="Times New Roman" w:cs="Times New Roman"/>
                <w:color w:val="000000"/>
                <w:sz w:val="20"/>
                <w:szCs w:val="20"/>
                <w:lang w:eastAsia="es-MX"/>
              </w:rPr>
              <w:t xml:space="preserve"> to </w:t>
            </w:r>
            <w:r w:rsidRPr="00310886">
              <w:rPr>
                <w:rFonts w:ascii="Times New Roman" w:eastAsia="Times New Roman" w:hAnsi="Times New Roman" w:cs="Times New Roman"/>
                <w:color w:val="000000"/>
                <w:sz w:val="20"/>
                <w:szCs w:val="20"/>
                <w:lang w:eastAsia="es-MX"/>
              </w:rPr>
              <w:sym w:font="Symbol" w:char="F0A5"/>
            </w:r>
          </w:p>
        </w:tc>
        <w:tc>
          <w:tcPr>
            <w:tcW w:w="1403" w:type="dxa"/>
            <w:tcBorders>
              <w:top w:val="nil"/>
              <w:left w:val="nil"/>
              <w:bottom w:val="nil"/>
              <w:right w:val="nil"/>
            </w:tcBorders>
            <w:shd w:val="clear" w:color="auto" w:fill="auto"/>
            <w:hideMark/>
          </w:tcPr>
          <w:p w14:paraId="12E1DBD0" w14:textId="77777777" w:rsidR="00E51283" w:rsidRPr="00310886" w:rsidRDefault="00E51283" w:rsidP="00E51283">
            <w:pPr>
              <w:spacing w:after="0" w:line="240" w:lineRule="auto"/>
              <w:jc w:val="center"/>
              <w:rPr>
                <w:rFonts w:ascii="Times New Roman" w:eastAsia="Times New Roman" w:hAnsi="Times New Roman" w:cs="Times New Roman"/>
                <w:color w:val="000000"/>
                <w:sz w:val="18"/>
                <w:szCs w:val="20"/>
                <w:lang w:eastAsia="es-MX"/>
              </w:rPr>
            </w:pPr>
            <w:r w:rsidRPr="00310886">
              <w:rPr>
                <w:rFonts w:ascii="Times New Roman" w:eastAsia="Times New Roman" w:hAnsi="Times New Roman" w:cs="Times New Roman"/>
                <w:color w:val="000000"/>
                <w:sz w:val="18"/>
                <w:szCs w:val="20"/>
                <w:lang w:eastAsia="es-MX"/>
              </w:rPr>
              <w:t>Individuals/year</w:t>
            </w:r>
          </w:p>
        </w:tc>
        <w:tc>
          <w:tcPr>
            <w:tcW w:w="3330" w:type="dxa"/>
            <w:tcBorders>
              <w:top w:val="nil"/>
              <w:left w:val="nil"/>
              <w:bottom w:val="nil"/>
              <w:right w:val="nil"/>
            </w:tcBorders>
            <w:shd w:val="clear" w:color="auto" w:fill="auto"/>
            <w:hideMark/>
          </w:tcPr>
          <w:p w14:paraId="12E1DBD1"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It is an indicator of the increase or decrease of the population in the period studied.</w:t>
            </w:r>
          </w:p>
        </w:tc>
      </w:tr>
      <w:tr w:rsidR="00E51283" w:rsidRPr="00310886" w14:paraId="12E1DBDE" w14:textId="77777777" w:rsidTr="00E51283">
        <w:trPr>
          <w:trHeight w:val="600"/>
        </w:trPr>
        <w:tc>
          <w:tcPr>
            <w:tcW w:w="425" w:type="dxa"/>
            <w:tcBorders>
              <w:top w:val="nil"/>
              <w:left w:val="nil"/>
              <w:bottom w:val="nil"/>
              <w:right w:val="nil"/>
            </w:tcBorders>
            <w:shd w:val="clear" w:color="auto" w:fill="auto"/>
            <w:noWrap/>
            <w:hideMark/>
          </w:tcPr>
          <w:p w14:paraId="12E1DBD3" w14:textId="5831CA98" w:rsidR="00E51283" w:rsidRPr="00310886" w:rsidRDefault="0075689E" w:rsidP="00E51283">
            <w:pPr>
              <w:spacing w:after="0" w:line="240" w:lineRule="auto"/>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6</w:t>
            </w:r>
          </w:p>
        </w:tc>
        <w:tc>
          <w:tcPr>
            <w:tcW w:w="1502" w:type="dxa"/>
            <w:tcBorders>
              <w:top w:val="nil"/>
              <w:left w:val="nil"/>
              <w:bottom w:val="nil"/>
              <w:right w:val="nil"/>
            </w:tcBorders>
            <w:shd w:val="clear" w:color="auto" w:fill="auto"/>
            <w:hideMark/>
          </w:tcPr>
          <w:p w14:paraId="12E1DBD4"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Population density</w:t>
            </w:r>
          </w:p>
        </w:tc>
        <w:tc>
          <w:tcPr>
            <w:tcW w:w="1276" w:type="dxa"/>
            <w:tcBorders>
              <w:top w:val="nil"/>
              <w:left w:val="nil"/>
              <w:bottom w:val="nil"/>
              <w:right w:val="nil"/>
            </w:tcBorders>
          </w:tcPr>
          <w:p w14:paraId="12E1DBD5"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Demographic</w:t>
            </w:r>
          </w:p>
        </w:tc>
        <w:tc>
          <w:tcPr>
            <w:tcW w:w="1276" w:type="dxa"/>
            <w:tcBorders>
              <w:top w:val="nil"/>
              <w:left w:val="nil"/>
              <w:bottom w:val="nil"/>
              <w:right w:val="nil"/>
            </w:tcBorders>
            <w:shd w:val="clear" w:color="auto" w:fill="auto"/>
            <w:hideMark/>
          </w:tcPr>
          <w:p w14:paraId="12E1DBD6"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 xml:space="preserve">Derived from </w:t>
            </w:r>
            <w:r w:rsidR="00B73BB6" w:rsidRPr="00310886">
              <w:rPr>
                <w:rFonts w:ascii="Times New Roman" w:eastAsia="Times New Roman" w:hAnsi="Times New Roman" w:cs="Times New Roman"/>
                <w:color w:val="000000"/>
                <w:sz w:val="20"/>
                <w:szCs w:val="20"/>
                <w:lang w:eastAsia="es-MX"/>
              </w:rPr>
              <w:fldChar w:fldCharType="begin" w:fldLock="1"/>
            </w:r>
            <w:r w:rsidRPr="00310886">
              <w:rPr>
                <w:rFonts w:ascii="Times New Roman" w:eastAsia="Times New Roman" w:hAnsi="Times New Roman" w:cs="Times New Roman"/>
                <w:color w:val="000000"/>
                <w:sz w:val="20"/>
                <w:szCs w:val="20"/>
                <w:lang w:eastAsia="es-MX"/>
              </w:rPr>
              <w:instrText>ADDIN CSL_CITATION {"citationItems":[{"id":"ITEM-1","itemData":{"URL":"http://www.conabio.gob.mx/informacion/gis/","accessed":{"date-parts":[["2000","4","1"]]},"author":[{"dropping-particle":"","family":"CONABIO","given":"","non-dropping-particle":"","parse-names":false,"suffix":""}],"container-title":"Catálogo de metadatos geográficos. Comisión Nacional para el Conocimiento y Uso de la Biodiversidad","id":"ITEM-1","issued":{"date-parts":[["2010"]]},"title":"Distribución de la población en México por municipio, 2000","type":"webpage"},"uris":["http://www.mendeley.com/documents/?uuid=95eef5c3-4ef2-4867-bc97-55141a3fa46b"]}],"mendeley":{"formattedCitation":"(CONABIO, 2010b)","manualFormatting":"CONABIO (2010b)","plainTextFormattedCitation":"(CONABIO, 2010b)","previouslyFormattedCitation":"(CONABIO, 2010b)"},"properties":{"noteIndex":0},"schema":"https://github.com/citation-style-language/schema/raw/master/csl-citation.json"}</w:instrText>
            </w:r>
            <w:r w:rsidR="00B73BB6" w:rsidRPr="00310886">
              <w:rPr>
                <w:rFonts w:ascii="Times New Roman" w:eastAsia="Times New Roman" w:hAnsi="Times New Roman" w:cs="Times New Roman"/>
                <w:color w:val="000000"/>
                <w:sz w:val="20"/>
                <w:szCs w:val="20"/>
                <w:lang w:eastAsia="es-MX"/>
              </w:rPr>
              <w:fldChar w:fldCharType="separate"/>
            </w:r>
            <w:r w:rsidRPr="00310886">
              <w:rPr>
                <w:rFonts w:ascii="Times New Roman" w:eastAsia="Times New Roman" w:hAnsi="Times New Roman" w:cs="Times New Roman"/>
                <w:noProof/>
                <w:color w:val="000000"/>
                <w:sz w:val="20"/>
                <w:szCs w:val="20"/>
                <w:lang w:eastAsia="es-MX"/>
              </w:rPr>
              <w:t>CONABIO (2010b)</w:t>
            </w:r>
            <w:r w:rsidR="00B73BB6" w:rsidRPr="00310886">
              <w:rPr>
                <w:rFonts w:ascii="Times New Roman" w:eastAsia="Times New Roman" w:hAnsi="Times New Roman" w:cs="Times New Roman"/>
                <w:color w:val="000000"/>
                <w:sz w:val="20"/>
                <w:szCs w:val="20"/>
                <w:lang w:eastAsia="es-MX"/>
              </w:rPr>
              <w:fldChar w:fldCharType="end"/>
            </w:r>
            <w:r w:rsidRPr="00310886">
              <w:rPr>
                <w:rFonts w:ascii="Times New Roman" w:eastAsia="Times New Roman" w:hAnsi="Times New Roman" w:cs="Times New Roman"/>
                <w:color w:val="000000"/>
                <w:sz w:val="20"/>
                <w:szCs w:val="20"/>
                <w:lang w:eastAsia="es-MX"/>
              </w:rPr>
              <w:t xml:space="preserve"> with information of INEGI</w:t>
            </w:r>
          </w:p>
          <w:p w14:paraId="12E1DBD7"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p>
        </w:tc>
        <w:tc>
          <w:tcPr>
            <w:tcW w:w="992" w:type="dxa"/>
            <w:tcBorders>
              <w:top w:val="nil"/>
              <w:left w:val="nil"/>
              <w:bottom w:val="nil"/>
              <w:right w:val="nil"/>
            </w:tcBorders>
            <w:shd w:val="clear" w:color="auto" w:fill="auto"/>
            <w:noWrap/>
            <w:hideMark/>
          </w:tcPr>
          <w:p w14:paraId="12E1DBD8"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2000</w:t>
            </w:r>
          </w:p>
        </w:tc>
        <w:tc>
          <w:tcPr>
            <w:tcW w:w="993" w:type="dxa"/>
            <w:tcBorders>
              <w:top w:val="nil"/>
              <w:left w:val="nil"/>
              <w:bottom w:val="nil"/>
              <w:right w:val="nil"/>
            </w:tcBorders>
            <w:shd w:val="clear" w:color="auto" w:fill="auto"/>
            <w:noWrap/>
            <w:hideMark/>
          </w:tcPr>
          <w:p w14:paraId="12E1DBD9"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16"/>
                <w:szCs w:val="20"/>
                <w:lang w:eastAsia="es-MX"/>
              </w:rPr>
              <w:t>Municipality</w:t>
            </w:r>
          </w:p>
        </w:tc>
        <w:tc>
          <w:tcPr>
            <w:tcW w:w="1097" w:type="dxa"/>
            <w:tcBorders>
              <w:top w:val="nil"/>
              <w:left w:val="nil"/>
              <w:bottom w:val="nil"/>
              <w:right w:val="nil"/>
            </w:tcBorders>
            <w:shd w:val="clear" w:color="auto" w:fill="auto"/>
            <w:noWrap/>
            <w:hideMark/>
          </w:tcPr>
          <w:p w14:paraId="12E1DBDA"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w:t>
            </w:r>
          </w:p>
        </w:tc>
        <w:tc>
          <w:tcPr>
            <w:tcW w:w="887" w:type="dxa"/>
            <w:tcBorders>
              <w:top w:val="nil"/>
              <w:left w:val="nil"/>
              <w:bottom w:val="nil"/>
              <w:right w:val="nil"/>
            </w:tcBorders>
            <w:shd w:val="clear" w:color="auto" w:fill="auto"/>
            <w:noWrap/>
            <w:hideMark/>
          </w:tcPr>
          <w:p w14:paraId="12E1DBDB"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 xml:space="preserve">0 to </w:t>
            </w:r>
            <w:r w:rsidRPr="00310886">
              <w:rPr>
                <w:rFonts w:ascii="Times New Roman" w:eastAsia="Times New Roman" w:hAnsi="Times New Roman" w:cs="Times New Roman"/>
                <w:color w:val="000000"/>
                <w:sz w:val="20"/>
                <w:szCs w:val="20"/>
                <w:lang w:eastAsia="es-MX"/>
              </w:rPr>
              <w:sym w:font="Symbol" w:char="F0A5"/>
            </w:r>
          </w:p>
        </w:tc>
        <w:tc>
          <w:tcPr>
            <w:tcW w:w="1403" w:type="dxa"/>
            <w:tcBorders>
              <w:top w:val="nil"/>
              <w:left w:val="nil"/>
              <w:bottom w:val="nil"/>
              <w:right w:val="nil"/>
            </w:tcBorders>
            <w:shd w:val="clear" w:color="auto" w:fill="auto"/>
            <w:hideMark/>
          </w:tcPr>
          <w:p w14:paraId="12E1DBDC" w14:textId="77777777" w:rsidR="00E51283" w:rsidRPr="00310886" w:rsidRDefault="00E51283" w:rsidP="00E51283">
            <w:pPr>
              <w:spacing w:after="0" w:line="240" w:lineRule="auto"/>
              <w:jc w:val="center"/>
              <w:rPr>
                <w:rFonts w:ascii="Times New Roman" w:eastAsia="Times New Roman" w:hAnsi="Times New Roman" w:cs="Times New Roman"/>
                <w:color w:val="000000"/>
                <w:sz w:val="18"/>
                <w:szCs w:val="20"/>
                <w:vertAlign w:val="superscript"/>
                <w:lang w:eastAsia="es-MX"/>
              </w:rPr>
            </w:pPr>
            <w:r w:rsidRPr="00310886">
              <w:rPr>
                <w:rFonts w:ascii="Times New Roman" w:eastAsia="Times New Roman" w:hAnsi="Times New Roman" w:cs="Times New Roman"/>
                <w:color w:val="000000"/>
                <w:sz w:val="18"/>
                <w:szCs w:val="20"/>
                <w:lang w:eastAsia="es-MX"/>
              </w:rPr>
              <w:t>Individuals/km</w:t>
            </w:r>
            <w:r w:rsidRPr="00310886">
              <w:rPr>
                <w:rFonts w:ascii="Times New Roman" w:eastAsia="Times New Roman" w:hAnsi="Times New Roman" w:cs="Times New Roman"/>
                <w:color w:val="000000"/>
                <w:sz w:val="18"/>
                <w:szCs w:val="20"/>
                <w:vertAlign w:val="superscript"/>
                <w:lang w:eastAsia="es-MX"/>
              </w:rPr>
              <w:t>2</w:t>
            </w:r>
          </w:p>
        </w:tc>
        <w:tc>
          <w:tcPr>
            <w:tcW w:w="3330" w:type="dxa"/>
            <w:tcBorders>
              <w:top w:val="nil"/>
              <w:left w:val="nil"/>
              <w:bottom w:val="nil"/>
              <w:right w:val="nil"/>
            </w:tcBorders>
            <w:shd w:val="clear" w:color="auto" w:fill="auto"/>
            <w:hideMark/>
          </w:tcPr>
          <w:p w14:paraId="12E1DBDD"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Number of individuals per km</w:t>
            </w:r>
            <w:r w:rsidRPr="00310886">
              <w:rPr>
                <w:rFonts w:ascii="Times New Roman" w:eastAsia="Times New Roman" w:hAnsi="Times New Roman" w:cs="Times New Roman"/>
                <w:color w:val="000000"/>
                <w:sz w:val="20"/>
                <w:szCs w:val="20"/>
                <w:vertAlign w:val="superscript"/>
                <w:lang w:eastAsia="es-MX"/>
              </w:rPr>
              <w:t>2</w:t>
            </w:r>
          </w:p>
        </w:tc>
      </w:tr>
      <w:tr w:rsidR="00E51283" w:rsidRPr="00310886" w14:paraId="12E1DBE9" w14:textId="77777777" w:rsidTr="00E51283">
        <w:trPr>
          <w:trHeight w:val="600"/>
        </w:trPr>
        <w:tc>
          <w:tcPr>
            <w:tcW w:w="425" w:type="dxa"/>
            <w:tcBorders>
              <w:top w:val="nil"/>
              <w:left w:val="nil"/>
              <w:bottom w:val="nil"/>
              <w:right w:val="nil"/>
            </w:tcBorders>
            <w:shd w:val="clear" w:color="auto" w:fill="auto"/>
            <w:noWrap/>
            <w:hideMark/>
          </w:tcPr>
          <w:p w14:paraId="12E1DBDF" w14:textId="7842A691" w:rsidR="00E51283" w:rsidRPr="00310886" w:rsidRDefault="0075689E" w:rsidP="00E51283">
            <w:pPr>
              <w:spacing w:after="0" w:line="240" w:lineRule="auto"/>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lastRenderedPageBreak/>
              <w:t>7</w:t>
            </w:r>
          </w:p>
        </w:tc>
        <w:tc>
          <w:tcPr>
            <w:tcW w:w="1502" w:type="dxa"/>
            <w:tcBorders>
              <w:top w:val="nil"/>
              <w:left w:val="nil"/>
              <w:bottom w:val="nil"/>
              <w:right w:val="nil"/>
            </w:tcBorders>
            <w:shd w:val="clear" w:color="auto" w:fill="auto"/>
            <w:hideMark/>
          </w:tcPr>
          <w:p w14:paraId="12E1DBE0" w14:textId="724F6D6B"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Government subsidies for agriculture</w:t>
            </w:r>
          </w:p>
        </w:tc>
        <w:tc>
          <w:tcPr>
            <w:tcW w:w="1276" w:type="dxa"/>
            <w:tcBorders>
              <w:top w:val="nil"/>
              <w:left w:val="nil"/>
              <w:bottom w:val="nil"/>
              <w:right w:val="nil"/>
            </w:tcBorders>
          </w:tcPr>
          <w:p w14:paraId="12E1DBE1"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Politic</w:t>
            </w:r>
          </w:p>
        </w:tc>
        <w:tc>
          <w:tcPr>
            <w:tcW w:w="1276" w:type="dxa"/>
            <w:tcBorders>
              <w:top w:val="nil"/>
              <w:left w:val="nil"/>
              <w:bottom w:val="nil"/>
              <w:right w:val="nil"/>
            </w:tcBorders>
            <w:shd w:val="clear" w:color="auto" w:fill="auto"/>
            <w:hideMark/>
          </w:tcPr>
          <w:p w14:paraId="12E1DBE2"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 xml:space="preserve">Derived from </w:t>
            </w:r>
            <w:r w:rsidR="00B73BB6" w:rsidRPr="00310886">
              <w:rPr>
                <w:rFonts w:ascii="Times New Roman" w:eastAsia="Times New Roman" w:hAnsi="Times New Roman" w:cs="Times New Roman"/>
                <w:color w:val="000000"/>
                <w:sz w:val="20"/>
                <w:szCs w:val="20"/>
                <w:lang w:eastAsia="es-MX"/>
              </w:rPr>
              <w:fldChar w:fldCharType="begin" w:fldLock="1"/>
            </w:r>
            <w:r w:rsidRPr="00310886">
              <w:rPr>
                <w:rFonts w:ascii="Times New Roman" w:eastAsia="Times New Roman" w:hAnsi="Times New Roman" w:cs="Times New Roman"/>
                <w:color w:val="000000"/>
                <w:sz w:val="20"/>
                <w:szCs w:val="20"/>
                <w:lang w:eastAsia="es-MX"/>
              </w:rPr>
              <w:instrText>ADDIN CSL_CITATION {"citationItems":[{"id":"ITEM-1","itemData":{"URL":"http://www.sagarpa.mx/agricultura/Programas/proagro/Beneficiarios/Paginas/Beneficiarios.aspx","accessed":{"date-parts":[["2019","4","5"]]},"author":[{"dropping-particle":"","family":"SAGARPA","given":"","non-dropping-particle":"","parse-names":false,"suffix":""}],"container-title":"Secretaría de Agricultura, Ganadería, Desarrollo Rural, Pesca y Alimentación","id":"ITEM-1","issued":{"date-parts":[["2018"]]},"title":"Listado de Beneficiarios PROAGRO Productivo","type":"webpage"},"uris":["http://www.mendeley.com/documents/?uuid=fb99dc04-5b79-4609-bf9c-c613f5a37965"]}],"mendeley":{"formattedCitation":"(SAGARPA, 2018)","manualFormatting":"SAGARPA (2018)","plainTextFormattedCitation":"(SAGARPA, 2018)","previouslyFormattedCitation":"(SAGARPA, 2018)"},"properties":{"noteIndex":0},"schema":"https://github.com/citation-style-language/schema/raw/master/csl-citation.json"}</w:instrText>
            </w:r>
            <w:r w:rsidR="00B73BB6" w:rsidRPr="00310886">
              <w:rPr>
                <w:rFonts w:ascii="Times New Roman" w:eastAsia="Times New Roman" w:hAnsi="Times New Roman" w:cs="Times New Roman"/>
                <w:color w:val="000000"/>
                <w:sz w:val="20"/>
                <w:szCs w:val="20"/>
                <w:lang w:eastAsia="es-MX"/>
              </w:rPr>
              <w:fldChar w:fldCharType="separate"/>
            </w:r>
            <w:r w:rsidRPr="00310886">
              <w:rPr>
                <w:rFonts w:ascii="Times New Roman" w:eastAsia="Times New Roman" w:hAnsi="Times New Roman" w:cs="Times New Roman"/>
                <w:noProof/>
                <w:color w:val="000000"/>
                <w:sz w:val="20"/>
                <w:szCs w:val="20"/>
                <w:lang w:eastAsia="es-MX"/>
              </w:rPr>
              <w:t>SAGARPA (2018)</w:t>
            </w:r>
            <w:r w:rsidR="00B73BB6" w:rsidRPr="00310886">
              <w:rPr>
                <w:rFonts w:ascii="Times New Roman" w:eastAsia="Times New Roman" w:hAnsi="Times New Roman" w:cs="Times New Roman"/>
                <w:color w:val="000000"/>
                <w:sz w:val="20"/>
                <w:szCs w:val="20"/>
                <w:lang w:eastAsia="es-MX"/>
              </w:rPr>
              <w:fldChar w:fldCharType="end"/>
            </w:r>
          </w:p>
        </w:tc>
        <w:tc>
          <w:tcPr>
            <w:tcW w:w="992" w:type="dxa"/>
            <w:tcBorders>
              <w:top w:val="nil"/>
              <w:left w:val="nil"/>
              <w:bottom w:val="nil"/>
              <w:right w:val="nil"/>
            </w:tcBorders>
            <w:shd w:val="clear" w:color="auto" w:fill="auto"/>
            <w:noWrap/>
            <w:hideMark/>
          </w:tcPr>
          <w:p w14:paraId="12E1DBE3"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201</w:t>
            </w:r>
            <w:r w:rsidR="00B30805" w:rsidRPr="00310886">
              <w:rPr>
                <w:rFonts w:ascii="Times New Roman" w:eastAsia="Times New Roman" w:hAnsi="Times New Roman" w:cs="Times New Roman"/>
                <w:color w:val="000000"/>
                <w:sz w:val="20"/>
                <w:szCs w:val="20"/>
                <w:lang w:eastAsia="es-MX"/>
              </w:rPr>
              <w:t>3</w:t>
            </w:r>
            <w:r w:rsidRPr="00310886">
              <w:rPr>
                <w:rFonts w:ascii="Times New Roman" w:eastAsia="Times New Roman" w:hAnsi="Times New Roman" w:cs="Times New Roman"/>
                <w:color w:val="000000"/>
                <w:sz w:val="20"/>
                <w:szCs w:val="20"/>
                <w:lang w:eastAsia="es-MX"/>
              </w:rPr>
              <w:t>-2018</w:t>
            </w:r>
          </w:p>
        </w:tc>
        <w:tc>
          <w:tcPr>
            <w:tcW w:w="993" w:type="dxa"/>
            <w:tcBorders>
              <w:top w:val="nil"/>
              <w:left w:val="nil"/>
              <w:bottom w:val="nil"/>
              <w:right w:val="nil"/>
            </w:tcBorders>
            <w:shd w:val="clear" w:color="auto" w:fill="auto"/>
            <w:noWrap/>
            <w:hideMark/>
          </w:tcPr>
          <w:p w14:paraId="12E1DBE4"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16"/>
                <w:szCs w:val="20"/>
                <w:lang w:eastAsia="es-MX"/>
              </w:rPr>
              <w:t>Municipality</w:t>
            </w:r>
          </w:p>
        </w:tc>
        <w:tc>
          <w:tcPr>
            <w:tcW w:w="1097" w:type="dxa"/>
            <w:tcBorders>
              <w:top w:val="nil"/>
              <w:left w:val="nil"/>
              <w:bottom w:val="nil"/>
              <w:right w:val="nil"/>
            </w:tcBorders>
            <w:shd w:val="clear" w:color="auto" w:fill="auto"/>
            <w:noWrap/>
            <w:hideMark/>
          </w:tcPr>
          <w:p w14:paraId="12E1DBE5"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w:t>
            </w:r>
          </w:p>
        </w:tc>
        <w:tc>
          <w:tcPr>
            <w:tcW w:w="887" w:type="dxa"/>
            <w:tcBorders>
              <w:top w:val="nil"/>
              <w:left w:val="nil"/>
              <w:bottom w:val="nil"/>
              <w:right w:val="nil"/>
            </w:tcBorders>
            <w:shd w:val="clear" w:color="auto" w:fill="auto"/>
            <w:noWrap/>
            <w:hideMark/>
          </w:tcPr>
          <w:p w14:paraId="12E1DBE6"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 xml:space="preserve">0 to </w:t>
            </w:r>
            <w:r w:rsidRPr="00310886">
              <w:rPr>
                <w:rFonts w:ascii="Times New Roman" w:eastAsia="Times New Roman" w:hAnsi="Times New Roman" w:cs="Times New Roman"/>
                <w:color w:val="000000"/>
                <w:sz w:val="20"/>
                <w:szCs w:val="20"/>
                <w:lang w:eastAsia="es-MX"/>
              </w:rPr>
              <w:sym w:font="Symbol" w:char="F0A5"/>
            </w:r>
          </w:p>
        </w:tc>
        <w:tc>
          <w:tcPr>
            <w:tcW w:w="1403" w:type="dxa"/>
            <w:tcBorders>
              <w:top w:val="nil"/>
              <w:left w:val="nil"/>
              <w:bottom w:val="nil"/>
              <w:right w:val="nil"/>
            </w:tcBorders>
            <w:shd w:val="clear" w:color="auto" w:fill="auto"/>
            <w:hideMark/>
          </w:tcPr>
          <w:p w14:paraId="12E1DBE7"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Pesos/km</w:t>
            </w:r>
            <w:r w:rsidRPr="00310886">
              <w:rPr>
                <w:rFonts w:ascii="Times New Roman" w:eastAsia="Times New Roman" w:hAnsi="Times New Roman" w:cs="Times New Roman"/>
                <w:color w:val="000000"/>
                <w:sz w:val="20"/>
                <w:szCs w:val="20"/>
                <w:vertAlign w:val="superscript"/>
                <w:lang w:eastAsia="es-MX"/>
              </w:rPr>
              <w:t>2</w:t>
            </w:r>
          </w:p>
        </w:tc>
        <w:tc>
          <w:tcPr>
            <w:tcW w:w="3330" w:type="dxa"/>
            <w:tcBorders>
              <w:top w:val="nil"/>
              <w:left w:val="nil"/>
              <w:bottom w:val="nil"/>
              <w:right w:val="nil"/>
            </w:tcBorders>
            <w:shd w:val="clear" w:color="auto" w:fill="auto"/>
            <w:hideMark/>
          </w:tcPr>
          <w:p w14:paraId="12E1DBE8"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Amount of money per km</w:t>
            </w:r>
            <w:r w:rsidRPr="00310886">
              <w:rPr>
                <w:rFonts w:ascii="Times New Roman" w:eastAsia="Times New Roman" w:hAnsi="Times New Roman" w:cs="Times New Roman"/>
                <w:color w:val="000000"/>
                <w:sz w:val="20"/>
                <w:szCs w:val="20"/>
                <w:vertAlign w:val="superscript"/>
                <w:lang w:eastAsia="es-MX"/>
              </w:rPr>
              <w:t>2</w:t>
            </w:r>
            <w:r w:rsidRPr="00310886">
              <w:rPr>
                <w:rFonts w:ascii="Times New Roman" w:eastAsia="Times New Roman" w:hAnsi="Times New Roman" w:cs="Times New Roman"/>
                <w:color w:val="000000"/>
                <w:sz w:val="20"/>
                <w:szCs w:val="20"/>
                <w:lang w:eastAsia="es-MX"/>
              </w:rPr>
              <w:t xml:space="preserve"> invested in </w:t>
            </w:r>
            <w:r w:rsidR="00C7353E" w:rsidRPr="00310886">
              <w:rPr>
                <w:rFonts w:ascii="Times New Roman" w:eastAsia="Times New Roman" w:hAnsi="Times New Roman" w:cs="Times New Roman"/>
                <w:color w:val="000000"/>
                <w:sz w:val="20"/>
                <w:szCs w:val="20"/>
                <w:lang w:eastAsia="es-MX"/>
              </w:rPr>
              <w:t xml:space="preserve">the </w:t>
            </w:r>
            <w:r w:rsidRPr="00310886">
              <w:rPr>
                <w:rFonts w:ascii="Times New Roman" w:eastAsia="Times New Roman" w:hAnsi="Times New Roman" w:cs="Times New Roman"/>
                <w:color w:val="000000"/>
                <w:sz w:val="20"/>
                <w:szCs w:val="20"/>
                <w:lang w:eastAsia="es-MX"/>
              </w:rPr>
              <w:t>municipality in the period.</w:t>
            </w:r>
          </w:p>
        </w:tc>
      </w:tr>
      <w:tr w:rsidR="00E51283" w:rsidRPr="00310886" w14:paraId="12E1DBF6" w14:textId="77777777" w:rsidTr="00E51283">
        <w:trPr>
          <w:trHeight w:val="600"/>
        </w:trPr>
        <w:tc>
          <w:tcPr>
            <w:tcW w:w="425" w:type="dxa"/>
            <w:tcBorders>
              <w:top w:val="nil"/>
              <w:left w:val="nil"/>
              <w:bottom w:val="nil"/>
              <w:right w:val="nil"/>
            </w:tcBorders>
            <w:shd w:val="clear" w:color="auto" w:fill="auto"/>
            <w:noWrap/>
            <w:hideMark/>
          </w:tcPr>
          <w:p w14:paraId="12E1DBEA" w14:textId="0194CF3F" w:rsidR="00E51283" w:rsidRPr="00310886" w:rsidRDefault="0075689E" w:rsidP="00E51283">
            <w:pPr>
              <w:spacing w:after="0" w:line="240" w:lineRule="auto"/>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8</w:t>
            </w:r>
          </w:p>
        </w:tc>
        <w:tc>
          <w:tcPr>
            <w:tcW w:w="1502" w:type="dxa"/>
            <w:tcBorders>
              <w:top w:val="nil"/>
              <w:left w:val="nil"/>
              <w:bottom w:val="nil"/>
              <w:right w:val="nil"/>
            </w:tcBorders>
            <w:shd w:val="clear" w:color="auto" w:fill="auto"/>
            <w:hideMark/>
          </w:tcPr>
          <w:p w14:paraId="12E1DBEB"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Distance to cities</w:t>
            </w:r>
          </w:p>
        </w:tc>
        <w:tc>
          <w:tcPr>
            <w:tcW w:w="1276" w:type="dxa"/>
            <w:tcBorders>
              <w:top w:val="nil"/>
              <w:left w:val="nil"/>
              <w:bottom w:val="nil"/>
              <w:right w:val="nil"/>
            </w:tcBorders>
          </w:tcPr>
          <w:p w14:paraId="12E1DBEC"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Economic</w:t>
            </w:r>
          </w:p>
        </w:tc>
        <w:tc>
          <w:tcPr>
            <w:tcW w:w="1276" w:type="dxa"/>
            <w:tcBorders>
              <w:top w:val="nil"/>
              <w:left w:val="nil"/>
              <w:bottom w:val="nil"/>
              <w:right w:val="nil"/>
            </w:tcBorders>
            <w:shd w:val="clear" w:color="auto" w:fill="auto"/>
            <w:hideMark/>
          </w:tcPr>
          <w:p w14:paraId="12E1DBED" w14:textId="03F893EC"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 xml:space="preserve">Derived from </w:t>
            </w:r>
            <w:r w:rsidR="00B73BB6" w:rsidRPr="00310886">
              <w:rPr>
                <w:rFonts w:ascii="Times New Roman" w:eastAsia="Times New Roman" w:hAnsi="Times New Roman" w:cs="Times New Roman"/>
                <w:color w:val="000000"/>
                <w:sz w:val="20"/>
                <w:szCs w:val="20"/>
                <w:lang w:eastAsia="es-MX"/>
              </w:rPr>
              <w:fldChar w:fldCharType="begin" w:fldLock="1"/>
            </w:r>
            <w:r w:rsidRPr="00310886">
              <w:rPr>
                <w:rFonts w:ascii="Times New Roman" w:eastAsia="Times New Roman" w:hAnsi="Times New Roman" w:cs="Times New Roman"/>
                <w:color w:val="000000"/>
                <w:sz w:val="20"/>
                <w:szCs w:val="20"/>
                <w:lang w:eastAsia="es-MX"/>
              </w:rPr>
              <w:instrText>ADDIN CSL_CITATION {"citationItems":[{"id":"ITEM-1","itemData":{"URL":"http://www.conabio.gob.mx/informacion/gis/","author":[{"dropping-particle":"","family":"CONABIO","given":"","non-dropping-particle":"","parse-names":false,"suffix":""}],"container-title":"Catálogo de metadatos geográficos. Comisión Nacional para el Conocimiento y Uso de la Biodiversidad","id":"ITEM-1","issued":{"date-parts":[["2002"]]},"title":"Localidades de la República Mexicana, 2000","type":"webpage"},"uris":["http://www.mendeley.com/documents/?uuid=113a6ee8-8137-4b1b-8e25-2d431de550ba"]}],"mendeley":{"formattedCitation":"(CONABIO, 2002)","manualFormatting":"CONABIO (2002)","plainTextFormattedCitation":"(CONABIO, 2002)","previouslyFormattedCitation":"(CONABIO, 2002)"},"properties":{"noteIndex":0},"schema":"https://github.com/citation-style-language/schema/raw/master/csl-citation.json"}</w:instrText>
            </w:r>
            <w:r w:rsidR="00B73BB6" w:rsidRPr="00310886">
              <w:rPr>
                <w:rFonts w:ascii="Times New Roman" w:eastAsia="Times New Roman" w:hAnsi="Times New Roman" w:cs="Times New Roman"/>
                <w:color w:val="000000"/>
                <w:sz w:val="20"/>
                <w:szCs w:val="20"/>
                <w:lang w:eastAsia="es-MX"/>
              </w:rPr>
              <w:fldChar w:fldCharType="separate"/>
            </w:r>
            <w:r w:rsidRPr="00310886">
              <w:rPr>
                <w:rFonts w:ascii="Times New Roman" w:eastAsia="Times New Roman" w:hAnsi="Times New Roman" w:cs="Times New Roman"/>
                <w:noProof/>
                <w:color w:val="000000"/>
                <w:sz w:val="20"/>
                <w:szCs w:val="20"/>
                <w:lang w:eastAsia="es-MX"/>
              </w:rPr>
              <w:t>CONABIO (2002)</w:t>
            </w:r>
            <w:r w:rsidR="00B73BB6" w:rsidRPr="00310886">
              <w:rPr>
                <w:rFonts w:ascii="Times New Roman" w:eastAsia="Times New Roman" w:hAnsi="Times New Roman" w:cs="Times New Roman"/>
                <w:color w:val="000000"/>
                <w:sz w:val="20"/>
                <w:szCs w:val="20"/>
                <w:lang w:eastAsia="es-MX"/>
              </w:rPr>
              <w:fldChar w:fldCharType="end"/>
            </w:r>
            <w:r w:rsidRPr="00310886">
              <w:rPr>
                <w:rFonts w:ascii="Times New Roman" w:eastAsia="Times New Roman" w:hAnsi="Times New Roman" w:cs="Times New Roman"/>
                <w:color w:val="000000"/>
                <w:sz w:val="20"/>
                <w:szCs w:val="20"/>
                <w:lang w:eastAsia="es-MX"/>
              </w:rPr>
              <w:t xml:space="preserve"> with information of INEGI</w:t>
            </w:r>
          </w:p>
          <w:p w14:paraId="12E1DBEE"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p>
        </w:tc>
        <w:tc>
          <w:tcPr>
            <w:tcW w:w="992" w:type="dxa"/>
            <w:tcBorders>
              <w:top w:val="nil"/>
              <w:left w:val="nil"/>
              <w:bottom w:val="nil"/>
              <w:right w:val="nil"/>
            </w:tcBorders>
            <w:shd w:val="clear" w:color="auto" w:fill="auto"/>
            <w:noWrap/>
            <w:hideMark/>
          </w:tcPr>
          <w:p w14:paraId="12E1DBEF"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2000</w:t>
            </w:r>
          </w:p>
        </w:tc>
        <w:tc>
          <w:tcPr>
            <w:tcW w:w="993" w:type="dxa"/>
            <w:tcBorders>
              <w:top w:val="nil"/>
              <w:left w:val="nil"/>
              <w:bottom w:val="nil"/>
              <w:right w:val="nil"/>
            </w:tcBorders>
            <w:shd w:val="clear" w:color="auto" w:fill="auto"/>
            <w:noWrap/>
            <w:hideMark/>
          </w:tcPr>
          <w:p w14:paraId="12E1DBF0"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Pixel</w:t>
            </w:r>
          </w:p>
        </w:tc>
        <w:tc>
          <w:tcPr>
            <w:tcW w:w="1097" w:type="dxa"/>
            <w:tcBorders>
              <w:top w:val="nil"/>
              <w:left w:val="nil"/>
              <w:bottom w:val="nil"/>
              <w:right w:val="nil"/>
            </w:tcBorders>
            <w:shd w:val="clear" w:color="auto" w:fill="auto"/>
            <w:noWrap/>
            <w:hideMark/>
          </w:tcPr>
          <w:p w14:paraId="12E1DBF1"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100m</w:t>
            </w:r>
          </w:p>
        </w:tc>
        <w:tc>
          <w:tcPr>
            <w:tcW w:w="887" w:type="dxa"/>
            <w:tcBorders>
              <w:top w:val="nil"/>
              <w:left w:val="nil"/>
              <w:bottom w:val="nil"/>
              <w:right w:val="nil"/>
            </w:tcBorders>
            <w:shd w:val="clear" w:color="auto" w:fill="auto"/>
            <w:noWrap/>
            <w:hideMark/>
          </w:tcPr>
          <w:p w14:paraId="12E1DBF2"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 xml:space="preserve">0 to </w:t>
            </w:r>
            <w:r w:rsidRPr="00310886">
              <w:rPr>
                <w:rFonts w:ascii="Times New Roman" w:eastAsia="Times New Roman" w:hAnsi="Times New Roman" w:cs="Times New Roman"/>
                <w:color w:val="000000"/>
                <w:sz w:val="20"/>
                <w:szCs w:val="20"/>
                <w:lang w:eastAsia="es-MX"/>
              </w:rPr>
              <w:sym w:font="Symbol" w:char="F0A5"/>
            </w:r>
          </w:p>
        </w:tc>
        <w:tc>
          <w:tcPr>
            <w:tcW w:w="1403" w:type="dxa"/>
            <w:tcBorders>
              <w:top w:val="nil"/>
              <w:left w:val="nil"/>
              <w:bottom w:val="nil"/>
              <w:right w:val="nil"/>
            </w:tcBorders>
            <w:shd w:val="clear" w:color="auto" w:fill="auto"/>
            <w:hideMark/>
          </w:tcPr>
          <w:p w14:paraId="12E1DBF3"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km</w:t>
            </w:r>
          </w:p>
        </w:tc>
        <w:tc>
          <w:tcPr>
            <w:tcW w:w="3330" w:type="dxa"/>
            <w:tcBorders>
              <w:top w:val="nil"/>
              <w:left w:val="nil"/>
              <w:bottom w:val="nil"/>
              <w:right w:val="nil"/>
            </w:tcBorders>
            <w:shd w:val="clear" w:color="auto" w:fill="auto"/>
            <w:hideMark/>
          </w:tcPr>
          <w:p w14:paraId="12E1DBF4" w14:textId="7EEA7788"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Distance to localities with 15,000 people or more. Distance to cities where there is a major market for trade in goods and services</w:t>
            </w:r>
          </w:p>
          <w:p w14:paraId="12E1DBF5"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p>
        </w:tc>
      </w:tr>
      <w:tr w:rsidR="00E51283" w:rsidRPr="00310886" w14:paraId="12E1DC02" w14:textId="77777777" w:rsidTr="00B673B3">
        <w:trPr>
          <w:trHeight w:val="600"/>
        </w:trPr>
        <w:tc>
          <w:tcPr>
            <w:tcW w:w="425" w:type="dxa"/>
            <w:tcBorders>
              <w:top w:val="nil"/>
              <w:left w:val="nil"/>
              <w:bottom w:val="single" w:sz="4" w:space="0" w:color="auto"/>
              <w:right w:val="nil"/>
            </w:tcBorders>
            <w:shd w:val="clear" w:color="auto" w:fill="auto"/>
            <w:noWrap/>
            <w:hideMark/>
          </w:tcPr>
          <w:p w14:paraId="12E1DBF7" w14:textId="47A5D6C5" w:rsidR="00E51283" w:rsidRPr="00310886" w:rsidRDefault="0075689E" w:rsidP="00E51283">
            <w:pPr>
              <w:spacing w:after="0" w:line="240" w:lineRule="auto"/>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9</w:t>
            </w:r>
          </w:p>
        </w:tc>
        <w:tc>
          <w:tcPr>
            <w:tcW w:w="1502" w:type="dxa"/>
            <w:tcBorders>
              <w:top w:val="nil"/>
              <w:left w:val="nil"/>
              <w:bottom w:val="single" w:sz="4" w:space="0" w:color="auto"/>
              <w:right w:val="nil"/>
            </w:tcBorders>
            <w:shd w:val="clear" w:color="auto" w:fill="auto"/>
            <w:hideMark/>
          </w:tcPr>
          <w:p w14:paraId="12E1DBF8"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Rural settlement density</w:t>
            </w:r>
          </w:p>
        </w:tc>
        <w:tc>
          <w:tcPr>
            <w:tcW w:w="1276" w:type="dxa"/>
            <w:tcBorders>
              <w:top w:val="nil"/>
              <w:left w:val="nil"/>
              <w:bottom w:val="single" w:sz="4" w:space="0" w:color="auto"/>
              <w:right w:val="nil"/>
            </w:tcBorders>
          </w:tcPr>
          <w:p w14:paraId="12E1DBF9"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18"/>
                <w:szCs w:val="20"/>
                <w:lang w:eastAsia="es-MX"/>
              </w:rPr>
              <w:t>Demographic</w:t>
            </w:r>
          </w:p>
        </w:tc>
        <w:tc>
          <w:tcPr>
            <w:tcW w:w="1276" w:type="dxa"/>
            <w:tcBorders>
              <w:top w:val="nil"/>
              <w:left w:val="nil"/>
              <w:bottom w:val="single" w:sz="4" w:space="0" w:color="auto"/>
              <w:right w:val="nil"/>
            </w:tcBorders>
            <w:shd w:val="clear" w:color="auto" w:fill="auto"/>
            <w:hideMark/>
          </w:tcPr>
          <w:p w14:paraId="12E1DBFA" w14:textId="182E8235"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 xml:space="preserve">Derived from </w:t>
            </w:r>
            <w:r w:rsidR="00B73BB6" w:rsidRPr="00310886">
              <w:rPr>
                <w:rFonts w:ascii="Times New Roman" w:eastAsia="Times New Roman" w:hAnsi="Times New Roman" w:cs="Times New Roman"/>
                <w:color w:val="000000"/>
                <w:sz w:val="20"/>
                <w:szCs w:val="20"/>
                <w:lang w:eastAsia="es-MX"/>
              </w:rPr>
              <w:fldChar w:fldCharType="begin" w:fldLock="1"/>
            </w:r>
            <w:r w:rsidRPr="00310886">
              <w:rPr>
                <w:rFonts w:ascii="Times New Roman" w:eastAsia="Times New Roman" w:hAnsi="Times New Roman" w:cs="Times New Roman"/>
                <w:color w:val="000000"/>
                <w:sz w:val="20"/>
                <w:szCs w:val="20"/>
                <w:lang w:eastAsia="es-MX"/>
              </w:rPr>
              <w:instrText>ADDIN CSL_CITATION {"citationItems":[{"id":"ITEM-1","itemData":{"URL":"http://www.conabio.gob.mx/informacion/gis/","author":[{"dropping-particle":"","family":"CONABIO","given":"","non-dropping-particle":"","parse-names":false,"suffix":""}],"container-title":"Catálogo de metadatos geográficos. Comisión Nacional para el Conocimiento y Uso de la Biodiversidad","id":"ITEM-1","issued":{"date-parts":[["2002"]]},"title":"Localidades de la República Mexicana, 2000","type":"webpage"},"uris":["http://www.mendeley.com/documents/?uuid=113a6ee8-8137-4b1b-8e25-2d431de550ba"]}],"mendeley":{"formattedCitation":"(CONABIO, 2002)","manualFormatting":"CONABIO (2002)","plainTextFormattedCitation":"(CONABIO, 2002)","previouslyFormattedCitation":"(CONABIO, 2002)"},"properties":{"noteIndex":0},"schema":"https://github.com/citation-style-language/schema/raw/master/csl-citation.json"}</w:instrText>
            </w:r>
            <w:r w:rsidR="00B73BB6" w:rsidRPr="00310886">
              <w:rPr>
                <w:rFonts w:ascii="Times New Roman" w:eastAsia="Times New Roman" w:hAnsi="Times New Roman" w:cs="Times New Roman"/>
                <w:color w:val="000000"/>
                <w:sz w:val="20"/>
                <w:szCs w:val="20"/>
                <w:lang w:eastAsia="es-MX"/>
              </w:rPr>
              <w:fldChar w:fldCharType="separate"/>
            </w:r>
            <w:r w:rsidRPr="00310886">
              <w:rPr>
                <w:rFonts w:ascii="Times New Roman" w:eastAsia="Times New Roman" w:hAnsi="Times New Roman" w:cs="Times New Roman"/>
                <w:noProof/>
                <w:color w:val="000000"/>
                <w:sz w:val="20"/>
                <w:szCs w:val="20"/>
                <w:lang w:eastAsia="es-MX"/>
              </w:rPr>
              <w:t>CONABIO (2002)</w:t>
            </w:r>
            <w:r w:rsidR="00B73BB6" w:rsidRPr="00310886">
              <w:rPr>
                <w:rFonts w:ascii="Times New Roman" w:eastAsia="Times New Roman" w:hAnsi="Times New Roman" w:cs="Times New Roman"/>
                <w:color w:val="000000"/>
                <w:sz w:val="20"/>
                <w:szCs w:val="20"/>
                <w:lang w:eastAsia="es-MX"/>
              </w:rPr>
              <w:fldChar w:fldCharType="end"/>
            </w:r>
            <w:r w:rsidRPr="00310886">
              <w:rPr>
                <w:rFonts w:ascii="Times New Roman" w:eastAsia="Times New Roman" w:hAnsi="Times New Roman" w:cs="Times New Roman"/>
                <w:color w:val="000000"/>
                <w:sz w:val="20"/>
                <w:szCs w:val="20"/>
                <w:lang w:eastAsia="es-MX"/>
              </w:rPr>
              <w:t xml:space="preserve"> with information of INEGI</w:t>
            </w:r>
          </w:p>
          <w:p w14:paraId="12E1DBFB"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p>
        </w:tc>
        <w:tc>
          <w:tcPr>
            <w:tcW w:w="992" w:type="dxa"/>
            <w:tcBorders>
              <w:top w:val="nil"/>
              <w:left w:val="nil"/>
              <w:bottom w:val="single" w:sz="4" w:space="0" w:color="auto"/>
              <w:right w:val="nil"/>
            </w:tcBorders>
            <w:shd w:val="clear" w:color="auto" w:fill="auto"/>
            <w:noWrap/>
            <w:hideMark/>
          </w:tcPr>
          <w:p w14:paraId="12E1DBFC"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2000</w:t>
            </w:r>
          </w:p>
        </w:tc>
        <w:tc>
          <w:tcPr>
            <w:tcW w:w="993" w:type="dxa"/>
            <w:tcBorders>
              <w:top w:val="nil"/>
              <w:left w:val="nil"/>
              <w:bottom w:val="single" w:sz="4" w:space="0" w:color="auto"/>
              <w:right w:val="nil"/>
            </w:tcBorders>
            <w:shd w:val="clear" w:color="auto" w:fill="auto"/>
            <w:noWrap/>
            <w:hideMark/>
          </w:tcPr>
          <w:p w14:paraId="12E1DBFD"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Pixel</w:t>
            </w:r>
          </w:p>
        </w:tc>
        <w:tc>
          <w:tcPr>
            <w:tcW w:w="1097" w:type="dxa"/>
            <w:tcBorders>
              <w:top w:val="nil"/>
              <w:left w:val="nil"/>
              <w:bottom w:val="single" w:sz="4" w:space="0" w:color="auto"/>
              <w:right w:val="nil"/>
            </w:tcBorders>
            <w:shd w:val="clear" w:color="auto" w:fill="auto"/>
            <w:noWrap/>
            <w:hideMark/>
          </w:tcPr>
          <w:p w14:paraId="12E1DBFE"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100m</w:t>
            </w:r>
          </w:p>
        </w:tc>
        <w:tc>
          <w:tcPr>
            <w:tcW w:w="887" w:type="dxa"/>
            <w:tcBorders>
              <w:top w:val="nil"/>
              <w:left w:val="nil"/>
              <w:bottom w:val="single" w:sz="4" w:space="0" w:color="auto"/>
              <w:right w:val="nil"/>
            </w:tcBorders>
            <w:shd w:val="clear" w:color="auto" w:fill="auto"/>
            <w:noWrap/>
            <w:hideMark/>
          </w:tcPr>
          <w:p w14:paraId="12E1DBFF"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 xml:space="preserve">0 to </w:t>
            </w:r>
            <w:r w:rsidRPr="00310886">
              <w:rPr>
                <w:rFonts w:ascii="Times New Roman" w:eastAsia="Times New Roman" w:hAnsi="Times New Roman" w:cs="Times New Roman"/>
                <w:color w:val="000000"/>
                <w:sz w:val="20"/>
                <w:szCs w:val="20"/>
                <w:lang w:eastAsia="es-MX"/>
              </w:rPr>
              <w:sym w:font="Symbol" w:char="F0A5"/>
            </w:r>
          </w:p>
        </w:tc>
        <w:tc>
          <w:tcPr>
            <w:tcW w:w="1403" w:type="dxa"/>
            <w:tcBorders>
              <w:top w:val="nil"/>
              <w:left w:val="nil"/>
              <w:bottom w:val="single" w:sz="4" w:space="0" w:color="auto"/>
              <w:right w:val="nil"/>
            </w:tcBorders>
            <w:shd w:val="clear" w:color="auto" w:fill="auto"/>
            <w:hideMark/>
          </w:tcPr>
          <w:p w14:paraId="12E1DC00" w14:textId="77777777" w:rsidR="00E51283" w:rsidRPr="00310886" w:rsidRDefault="00E51283" w:rsidP="00E51283">
            <w:pPr>
              <w:spacing w:after="0" w:line="240" w:lineRule="auto"/>
              <w:jc w:val="center"/>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Settlements/km</w:t>
            </w:r>
            <w:r w:rsidRPr="00310886">
              <w:rPr>
                <w:rFonts w:ascii="Times New Roman" w:eastAsia="Times New Roman" w:hAnsi="Times New Roman" w:cs="Times New Roman"/>
                <w:color w:val="000000"/>
                <w:sz w:val="20"/>
                <w:szCs w:val="20"/>
                <w:vertAlign w:val="superscript"/>
                <w:lang w:eastAsia="es-MX"/>
              </w:rPr>
              <w:t>2</w:t>
            </w:r>
          </w:p>
        </w:tc>
        <w:tc>
          <w:tcPr>
            <w:tcW w:w="3330" w:type="dxa"/>
            <w:tcBorders>
              <w:top w:val="nil"/>
              <w:left w:val="nil"/>
              <w:bottom w:val="single" w:sz="4" w:space="0" w:color="auto"/>
              <w:right w:val="nil"/>
            </w:tcBorders>
            <w:shd w:val="clear" w:color="auto" w:fill="auto"/>
            <w:hideMark/>
          </w:tcPr>
          <w:p w14:paraId="12E1DC01" w14:textId="77777777" w:rsidR="00E51283" w:rsidRPr="00310886" w:rsidRDefault="00E51283" w:rsidP="00E51283">
            <w:pPr>
              <w:spacing w:after="0" w:line="240" w:lineRule="auto"/>
              <w:rPr>
                <w:rFonts w:ascii="Times New Roman" w:eastAsia="Times New Roman" w:hAnsi="Times New Roman" w:cs="Times New Roman"/>
                <w:color w:val="000000"/>
                <w:sz w:val="20"/>
                <w:szCs w:val="20"/>
                <w:lang w:eastAsia="es-MX"/>
              </w:rPr>
            </w:pPr>
            <w:r w:rsidRPr="00310886">
              <w:rPr>
                <w:rFonts w:ascii="Times New Roman" w:eastAsia="Times New Roman" w:hAnsi="Times New Roman" w:cs="Times New Roman"/>
                <w:color w:val="000000"/>
                <w:sz w:val="20"/>
                <w:szCs w:val="20"/>
                <w:lang w:eastAsia="es-MX"/>
              </w:rPr>
              <w:t>Number of settlements per km</w:t>
            </w:r>
            <w:r w:rsidRPr="00310886">
              <w:rPr>
                <w:rFonts w:ascii="Times New Roman" w:eastAsia="Times New Roman" w:hAnsi="Times New Roman" w:cs="Times New Roman"/>
                <w:color w:val="000000"/>
                <w:sz w:val="20"/>
                <w:szCs w:val="20"/>
                <w:vertAlign w:val="superscript"/>
                <w:lang w:eastAsia="es-MX"/>
              </w:rPr>
              <w:t>2</w:t>
            </w:r>
          </w:p>
        </w:tc>
      </w:tr>
    </w:tbl>
    <w:p w14:paraId="12E1DC03" w14:textId="77777777" w:rsidR="003B4A2A" w:rsidRPr="006C21CF" w:rsidRDefault="003B4A2A" w:rsidP="006C21CF">
      <w:pPr>
        <w:sectPr w:rsidR="003B4A2A" w:rsidRPr="006C21CF" w:rsidSect="00E51283">
          <w:pgSz w:w="15840" w:h="12240" w:orient="landscape"/>
          <w:pgMar w:top="1701" w:right="1418" w:bottom="1701" w:left="1418" w:header="709" w:footer="709" w:gutter="0"/>
          <w:cols w:space="708"/>
          <w:docGrid w:linePitch="360"/>
        </w:sectPr>
      </w:pPr>
    </w:p>
    <w:p w14:paraId="12E1DC04" w14:textId="77777777" w:rsidR="00E51283" w:rsidRPr="00310886" w:rsidRDefault="00077510" w:rsidP="006C21CF">
      <w:pPr>
        <w:rPr>
          <w:rFonts w:ascii="Times New Roman" w:hAnsi="Times New Roman" w:cs="Times New Roman"/>
          <w:b/>
          <w:bCs/>
          <w:lang w:val="es-MX"/>
        </w:rPr>
      </w:pPr>
      <w:proofErr w:type="spellStart"/>
      <w:r w:rsidRPr="00310886">
        <w:rPr>
          <w:rFonts w:ascii="Times New Roman" w:hAnsi="Times New Roman" w:cs="Times New Roman"/>
          <w:b/>
          <w:bCs/>
          <w:lang w:val="es-MX"/>
        </w:rPr>
        <w:lastRenderedPageBreak/>
        <w:t>Supplementary</w:t>
      </w:r>
      <w:proofErr w:type="spellEnd"/>
      <w:r w:rsidRPr="00310886">
        <w:rPr>
          <w:rFonts w:ascii="Times New Roman" w:hAnsi="Times New Roman" w:cs="Times New Roman"/>
          <w:b/>
          <w:bCs/>
          <w:lang w:val="es-MX"/>
        </w:rPr>
        <w:t xml:space="preserve"> </w:t>
      </w:r>
      <w:proofErr w:type="spellStart"/>
      <w:r w:rsidRPr="00310886">
        <w:rPr>
          <w:rFonts w:ascii="Times New Roman" w:hAnsi="Times New Roman" w:cs="Times New Roman"/>
          <w:b/>
          <w:bCs/>
          <w:lang w:val="es-MX"/>
        </w:rPr>
        <w:t>references</w:t>
      </w:r>
      <w:proofErr w:type="spellEnd"/>
    </w:p>
    <w:p w14:paraId="16328C63" w14:textId="035B70EA" w:rsidR="00BD7DBE" w:rsidRPr="00BD7DBE" w:rsidRDefault="00B73BB6"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310886">
        <w:rPr>
          <w:rFonts w:ascii="Times New Roman" w:hAnsi="Times New Roman" w:cs="Times New Roman"/>
        </w:rPr>
        <w:fldChar w:fldCharType="begin" w:fldLock="1"/>
      </w:r>
      <w:r w:rsidR="00077510" w:rsidRPr="00310886">
        <w:rPr>
          <w:rFonts w:ascii="Times New Roman" w:hAnsi="Times New Roman" w:cs="Times New Roman"/>
          <w:lang w:val="es-MX"/>
        </w:rPr>
        <w:instrText xml:space="preserve">ADDIN Mendeley Bibliography CSL_BIBLIOGRAPHY </w:instrText>
      </w:r>
      <w:r w:rsidRPr="00310886">
        <w:rPr>
          <w:rFonts w:ascii="Times New Roman" w:hAnsi="Times New Roman" w:cs="Times New Roman"/>
        </w:rPr>
        <w:fldChar w:fldCharType="separate"/>
      </w:r>
      <w:r w:rsidR="00BD7DBE" w:rsidRPr="003757F9">
        <w:rPr>
          <w:rFonts w:ascii="Times New Roman" w:hAnsi="Times New Roman" w:cs="Times New Roman"/>
          <w:noProof/>
          <w:szCs w:val="24"/>
          <w:lang w:val="es-MX"/>
        </w:rPr>
        <w:t xml:space="preserve">CONABIO, 2014. Índice de desarrollo humano por municipio, 2000 [WWW Document]. Catálogo metadatos geográficos. Com. Nac. para el Conoc. y Uso la Biodivers. </w:t>
      </w:r>
      <w:r w:rsidR="00BD7DBE" w:rsidRPr="00BD7DBE">
        <w:rPr>
          <w:rFonts w:ascii="Times New Roman" w:hAnsi="Times New Roman" w:cs="Times New Roman"/>
          <w:noProof/>
          <w:szCs w:val="24"/>
        </w:rPr>
        <w:t>URL http://www.conabio.gob.mx/informacion/gis/ (accessed 4.1.20).</w:t>
      </w:r>
    </w:p>
    <w:p w14:paraId="2C406A2A" w14:textId="77777777" w:rsidR="00BD7DBE" w:rsidRPr="00BD7DBE"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BD7DBE">
        <w:rPr>
          <w:rFonts w:ascii="Times New Roman" w:hAnsi="Times New Roman" w:cs="Times New Roman"/>
          <w:noProof/>
          <w:szCs w:val="24"/>
        </w:rPr>
        <w:t xml:space="preserve">CONABIO, 2010a. </w:t>
      </w:r>
      <w:r w:rsidRPr="003757F9">
        <w:rPr>
          <w:rFonts w:ascii="Times New Roman" w:hAnsi="Times New Roman" w:cs="Times New Roman"/>
          <w:noProof/>
          <w:szCs w:val="24"/>
          <w:lang w:val="es-MX"/>
        </w:rPr>
        <w:t xml:space="preserve">Empleo en México por municipio, 2000 [WWW Document]. Catálogo metadatos geográficos. Com. Nac. para el Conoc. y Uso la Biodivers. </w:t>
      </w:r>
      <w:r w:rsidRPr="00BD7DBE">
        <w:rPr>
          <w:rFonts w:ascii="Times New Roman" w:hAnsi="Times New Roman" w:cs="Times New Roman"/>
          <w:noProof/>
          <w:szCs w:val="24"/>
        </w:rPr>
        <w:t>URL http://www.conabio.gob.mx/informacion/gis/ (accessed 4.1.10).</w:t>
      </w:r>
    </w:p>
    <w:p w14:paraId="3E358993" w14:textId="77777777" w:rsidR="00BD7DBE" w:rsidRPr="00BD7DBE"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BD7DBE">
        <w:rPr>
          <w:rFonts w:ascii="Times New Roman" w:hAnsi="Times New Roman" w:cs="Times New Roman"/>
          <w:noProof/>
          <w:szCs w:val="24"/>
        </w:rPr>
        <w:t xml:space="preserve">CONABIO, 2010b. </w:t>
      </w:r>
      <w:r w:rsidRPr="003757F9">
        <w:rPr>
          <w:rFonts w:ascii="Times New Roman" w:hAnsi="Times New Roman" w:cs="Times New Roman"/>
          <w:noProof/>
          <w:szCs w:val="24"/>
          <w:lang w:val="es-MX"/>
        </w:rPr>
        <w:t xml:space="preserve">Distribución de la población en México por municipio, 2000 [WWW Document]. Catálogo metadatos geográficos. Com. Nac. para el Conoc. y Uso la Biodivers. </w:t>
      </w:r>
      <w:r w:rsidRPr="00BD7DBE">
        <w:rPr>
          <w:rFonts w:ascii="Times New Roman" w:hAnsi="Times New Roman" w:cs="Times New Roman"/>
          <w:noProof/>
          <w:szCs w:val="24"/>
        </w:rPr>
        <w:t>URL http://www.conabio.gob.mx/informacion/gis/ (accessed 4.1.00).</w:t>
      </w:r>
    </w:p>
    <w:p w14:paraId="26EBAEB6" w14:textId="77777777" w:rsidR="00BD7DBE" w:rsidRPr="00BD7DBE"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BD7DBE">
        <w:rPr>
          <w:rFonts w:ascii="Times New Roman" w:hAnsi="Times New Roman" w:cs="Times New Roman"/>
          <w:noProof/>
          <w:szCs w:val="24"/>
        </w:rPr>
        <w:t xml:space="preserve">CONABIO, 2010c. </w:t>
      </w:r>
      <w:r w:rsidRPr="003757F9">
        <w:rPr>
          <w:rFonts w:ascii="Times New Roman" w:hAnsi="Times New Roman" w:cs="Times New Roman"/>
          <w:noProof/>
          <w:szCs w:val="24"/>
          <w:lang w:val="es-MX"/>
        </w:rPr>
        <w:t xml:space="preserve">Distribución de la población en México por municipio, 2010 [WWW Document]. Catálogo metadatos geográficos. Com. Nac. para el Conoc. y Uso la Biodivers. </w:t>
      </w:r>
      <w:r w:rsidRPr="00BD7DBE">
        <w:rPr>
          <w:rFonts w:ascii="Times New Roman" w:hAnsi="Times New Roman" w:cs="Times New Roman"/>
          <w:noProof/>
          <w:szCs w:val="24"/>
        </w:rPr>
        <w:t>URL http://www.conabio.gob.mx/informacion/gis/ (accessed 4.1.20).</w:t>
      </w:r>
    </w:p>
    <w:p w14:paraId="3A9A3B95" w14:textId="77777777" w:rsidR="00BD7DBE" w:rsidRPr="00BD7DBE"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BD7DBE">
        <w:rPr>
          <w:rFonts w:ascii="Times New Roman" w:hAnsi="Times New Roman" w:cs="Times New Roman"/>
          <w:noProof/>
          <w:szCs w:val="24"/>
        </w:rPr>
        <w:t xml:space="preserve">CONABIO, 2006. </w:t>
      </w:r>
      <w:r w:rsidRPr="003757F9">
        <w:rPr>
          <w:rFonts w:ascii="Times New Roman" w:hAnsi="Times New Roman" w:cs="Times New Roman"/>
          <w:noProof/>
          <w:szCs w:val="24"/>
          <w:lang w:val="es-MX"/>
        </w:rPr>
        <w:t xml:space="preserve">Grados de marginación a nivel localidad, 2000 [WWW Document]. Catálogo metadatos geográficos. Com. Nac. para el Conoc. y Uso la Biodivers. </w:t>
      </w:r>
      <w:r w:rsidRPr="00BD7DBE">
        <w:rPr>
          <w:rFonts w:ascii="Times New Roman" w:hAnsi="Times New Roman" w:cs="Times New Roman"/>
          <w:noProof/>
          <w:szCs w:val="24"/>
        </w:rPr>
        <w:t>URL http://www.conabio.gob.mx/informacion/gis/ (accessed 4.1.20).</w:t>
      </w:r>
    </w:p>
    <w:p w14:paraId="49EC9733" w14:textId="77777777" w:rsidR="00BD7DBE" w:rsidRPr="00BD7DBE"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BD7DBE">
        <w:rPr>
          <w:rFonts w:ascii="Times New Roman" w:hAnsi="Times New Roman" w:cs="Times New Roman"/>
          <w:noProof/>
          <w:szCs w:val="24"/>
        </w:rPr>
        <w:t xml:space="preserve">CONABIO, 2002. </w:t>
      </w:r>
      <w:r w:rsidRPr="003757F9">
        <w:rPr>
          <w:rFonts w:ascii="Times New Roman" w:hAnsi="Times New Roman" w:cs="Times New Roman"/>
          <w:noProof/>
          <w:szCs w:val="24"/>
          <w:lang w:val="es-MX"/>
        </w:rPr>
        <w:t xml:space="preserve">Localidades de la República Mexicana, 2000 [WWW Document]. Catálogo metadatos geográficos. Com. Nac. para el Conoc. y Uso la Biodivers. </w:t>
      </w:r>
      <w:r w:rsidRPr="00BD7DBE">
        <w:rPr>
          <w:rFonts w:ascii="Times New Roman" w:hAnsi="Times New Roman" w:cs="Times New Roman"/>
          <w:noProof/>
          <w:szCs w:val="24"/>
        </w:rPr>
        <w:t>URL http://www.conabio.gob.mx/informacion/gis/</w:t>
      </w:r>
    </w:p>
    <w:p w14:paraId="147151BA" w14:textId="77777777" w:rsidR="00BD7DBE" w:rsidRPr="00BD7DBE"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BD7DBE">
        <w:rPr>
          <w:rFonts w:ascii="Times New Roman" w:hAnsi="Times New Roman" w:cs="Times New Roman"/>
          <w:noProof/>
          <w:szCs w:val="24"/>
        </w:rPr>
        <w:t>Fick, S.E., Hijmans, R.J., 2017. WorldClim 2: new 1-km spatial resolution climate surfaces for global land areas. Int. J. Climatol. 37, 4302–4315. https://doi.org/10.1002/joc.5086</w:t>
      </w:r>
    </w:p>
    <w:p w14:paraId="5A590A03" w14:textId="77777777" w:rsidR="00BD7DBE" w:rsidRPr="00BD7DBE"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BD7DBE">
        <w:rPr>
          <w:rFonts w:ascii="Times New Roman" w:hAnsi="Times New Roman" w:cs="Times New Roman"/>
          <w:noProof/>
          <w:szCs w:val="24"/>
        </w:rPr>
        <w:t>Gorelick, N., Hancher, M., Dixon, M., Ilyushchenko, S., Thau, D., Moore, R., 2017. Google Earth Engine: Planetary-scale geospatial analysis for everyone. Remote Sens. Environ. 202, 18–27. https://doi.org/10.1016/j.rse.2017.06.031</w:t>
      </w:r>
    </w:p>
    <w:p w14:paraId="24E1ECD5" w14:textId="77777777" w:rsidR="00BD7DBE" w:rsidRPr="00BD7DBE"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BD7DBE">
        <w:rPr>
          <w:rFonts w:ascii="Times New Roman" w:hAnsi="Times New Roman" w:cs="Times New Roman"/>
          <w:noProof/>
          <w:szCs w:val="24"/>
        </w:rPr>
        <w:t>Hansen, M.C., Potapov, P. V., Moore, R., Hancher, M., Turubanova, S.A., Tyukavina, A., Thau, D., Stehman, S. V., Goetz, S.J., Loveland, T.R., Kommareddy, A., Egorov, A., Chini, L., Justice, C.O., Townshend, J.R.G., 2013. High-resolution global maps of 21st-century forest cover change. Science (80-. ). 342, 850–853. https://doi.org/10.1126/science.1244693</w:t>
      </w:r>
    </w:p>
    <w:p w14:paraId="0A4775C2" w14:textId="77777777" w:rsidR="00BD7DBE" w:rsidRPr="00BD7DBE"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BD7DBE">
        <w:rPr>
          <w:rFonts w:ascii="Times New Roman" w:hAnsi="Times New Roman" w:cs="Times New Roman"/>
          <w:noProof/>
          <w:szCs w:val="24"/>
        </w:rPr>
        <w:t>Hesselbarth, M.H.K., Sciaini, M., With, K.A., Wiegand, K., Nowosad, J., 2019. landscapemetrics: an open-source R tool to calculate landscape metrics. Ecography (Cop.). 42, 1648–1657. https://doi.org/10.1111/ecog.04617</w:t>
      </w:r>
    </w:p>
    <w:p w14:paraId="727D46CD" w14:textId="3F527EC7" w:rsidR="00BD7DBE" w:rsidRPr="003757F9"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lang w:val="es-MX"/>
        </w:rPr>
      </w:pPr>
      <w:r w:rsidRPr="00BD7DBE">
        <w:rPr>
          <w:rFonts w:ascii="Times New Roman" w:hAnsi="Times New Roman" w:cs="Times New Roman"/>
          <w:noProof/>
          <w:szCs w:val="24"/>
        </w:rPr>
        <w:t xml:space="preserve">Ho, D.E., King, G., Stuart, E.A., Imai, K., 2011. MatchIt : Nonparametric </w:t>
      </w:r>
      <w:r w:rsidR="000D166E">
        <w:rPr>
          <w:rFonts w:ascii="Times New Roman" w:hAnsi="Times New Roman" w:cs="Times New Roman"/>
          <w:noProof/>
          <w:szCs w:val="24"/>
        </w:rPr>
        <w:t>p</w:t>
      </w:r>
      <w:r w:rsidRPr="00BD7DBE">
        <w:rPr>
          <w:rFonts w:ascii="Times New Roman" w:hAnsi="Times New Roman" w:cs="Times New Roman"/>
          <w:noProof/>
          <w:szCs w:val="24"/>
        </w:rPr>
        <w:t xml:space="preserve">reprocessing for. J. Stat. </w:t>
      </w:r>
      <w:r w:rsidRPr="003757F9">
        <w:rPr>
          <w:rFonts w:ascii="Times New Roman" w:hAnsi="Times New Roman" w:cs="Times New Roman"/>
          <w:noProof/>
          <w:szCs w:val="24"/>
          <w:lang w:val="es-MX"/>
        </w:rPr>
        <w:t>Softw. 42, 1–28. https://doi.org/10.18637/jss.v042.i08</w:t>
      </w:r>
    </w:p>
    <w:p w14:paraId="4B121092" w14:textId="77777777" w:rsidR="00BD7DBE" w:rsidRPr="00BD7DBE"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3757F9">
        <w:rPr>
          <w:rFonts w:ascii="Times New Roman" w:hAnsi="Times New Roman" w:cs="Times New Roman"/>
          <w:noProof/>
          <w:szCs w:val="24"/>
          <w:lang w:val="es-MX"/>
        </w:rPr>
        <w:t xml:space="preserve">INEGI, 2018. Red nacional de caminos RCN. 2018 [WWW Document]. Inst. Nac. Estadística y Geogr. </w:t>
      </w:r>
      <w:r w:rsidRPr="00BD7DBE">
        <w:rPr>
          <w:rFonts w:ascii="Times New Roman" w:hAnsi="Times New Roman" w:cs="Times New Roman"/>
          <w:noProof/>
          <w:szCs w:val="24"/>
        </w:rPr>
        <w:t>URL https://www.inegi.org.mx/app/biblioteca/ficha.html?upc=889463674641 (accessed 11.15.19).</w:t>
      </w:r>
    </w:p>
    <w:p w14:paraId="0F1292AD" w14:textId="73379AB1" w:rsidR="00BD7DBE" w:rsidRPr="003757F9"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lang w:val="es-MX"/>
        </w:rPr>
      </w:pPr>
      <w:r w:rsidRPr="003757F9">
        <w:rPr>
          <w:rFonts w:ascii="Times New Roman" w:hAnsi="Times New Roman" w:cs="Times New Roman"/>
          <w:noProof/>
          <w:szCs w:val="24"/>
          <w:lang w:val="es-MX"/>
        </w:rPr>
        <w:t xml:space="preserve">INEGI, 2017. </w:t>
      </w:r>
      <w:r w:rsidRPr="00EB50F1">
        <w:rPr>
          <w:rFonts w:ascii="Times New Roman" w:hAnsi="Times New Roman" w:cs="Times New Roman"/>
          <w:noProof/>
          <w:szCs w:val="24"/>
          <w:lang w:val="es-MX"/>
        </w:rPr>
        <w:t xml:space="preserve">Conjunto de datos vectoriales de la carta de </w:t>
      </w:r>
      <w:r w:rsidR="00EB50F1" w:rsidRPr="00EB50F1">
        <w:rPr>
          <w:rFonts w:ascii="Times New Roman" w:hAnsi="Times New Roman" w:cs="Times New Roman"/>
          <w:noProof/>
          <w:szCs w:val="24"/>
          <w:lang w:val="es-MX"/>
        </w:rPr>
        <w:t>u</w:t>
      </w:r>
      <w:r w:rsidRPr="00EB50F1">
        <w:rPr>
          <w:rFonts w:ascii="Times New Roman" w:hAnsi="Times New Roman" w:cs="Times New Roman"/>
          <w:noProof/>
          <w:szCs w:val="24"/>
          <w:lang w:val="es-MX"/>
        </w:rPr>
        <w:t xml:space="preserve">so del suelo y vegetación serie VI. </w:t>
      </w:r>
      <w:r w:rsidRPr="003757F9">
        <w:rPr>
          <w:rFonts w:ascii="Times New Roman" w:hAnsi="Times New Roman" w:cs="Times New Roman"/>
          <w:noProof/>
          <w:szCs w:val="24"/>
          <w:lang w:val="es-MX"/>
        </w:rPr>
        <w:t>Conjunto Nacional [WWW Document]. Inst. Nac. Estadística y Geogr. URL https://www.inegi.org.mx/app/biblioteca/ficha.html?upc=889463598459 (accessed 9.1.17).</w:t>
      </w:r>
    </w:p>
    <w:p w14:paraId="56919DF6" w14:textId="79548A9A" w:rsidR="00BD7DBE" w:rsidRPr="003757F9"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lang w:val="es-MX"/>
        </w:rPr>
      </w:pPr>
      <w:r w:rsidRPr="003757F9">
        <w:rPr>
          <w:rFonts w:ascii="Times New Roman" w:hAnsi="Times New Roman" w:cs="Times New Roman"/>
          <w:noProof/>
          <w:szCs w:val="24"/>
          <w:lang w:val="es-MX"/>
        </w:rPr>
        <w:t xml:space="preserve">INEGI, 2013a. </w:t>
      </w:r>
      <w:r w:rsidRPr="00EB50F1">
        <w:rPr>
          <w:rFonts w:ascii="Times New Roman" w:hAnsi="Times New Roman" w:cs="Times New Roman"/>
          <w:noProof/>
          <w:szCs w:val="24"/>
          <w:lang w:val="es-MX"/>
        </w:rPr>
        <w:t xml:space="preserve">Conjunto de </w:t>
      </w:r>
      <w:r w:rsidR="00EB50F1" w:rsidRPr="00EB50F1">
        <w:rPr>
          <w:rFonts w:ascii="Times New Roman" w:hAnsi="Times New Roman" w:cs="Times New Roman"/>
          <w:noProof/>
          <w:szCs w:val="24"/>
          <w:lang w:val="es-MX"/>
        </w:rPr>
        <w:t>d</w:t>
      </w:r>
      <w:r w:rsidRPr="00EB50F1">
        <w:rPr>
          <w:rFonts w:ascii="Times New Roman" w:hAnsi="Times New Roman" w:cs="Times New Roman"/>
          <w:noProof/>
          <w:szCs w:val="24"/>
          <w:lang w:val="es-MX"/>
        </w:rPr>
        <w:t xml:space="preserve">atos de </w:t>
      </w:r>
      <w:r w:rsidR="00EB50F1" w:rsidRPr="00EB50F1">
        <w:rPr>
          <w:rFonts w:ascii="Times New Roman" w:hAnsi="Times New Roman" w:cs="Times New Roman"/>
          <w:noProof/>
          <w:szCs w:val="24"/>
          <w:lang w:val="es-MX"/>
        </w:rPr>
        <w:t>p</w:t>
      </w:r>
      <w:r w:rsidRPr="00EB50F1">
        <w:rPr>
          <w:rFonts w:ascii="Times New Roman" w:hAnsi="Times New Roman" w:cs="Times New Roman"/>
          <w:noProof/>
          <w:szCs w:val="24"/>
          <w:lang w:val="es-MX"/>
        </w:rPr>
        <w:t xml:space="preserve">erfiles de </w:t>
      </w:r>
      <w:r w:rsidR="00EB50F1" w:rsidRPr="00EB50F1">
        <w:rPr>
          <w:rFonts w:ascii="Times New Roman" w:hAnsi="Times New Roman" w:cs="Times New Roman"/>
          <w:noProof/>
          <w:szCs w:val="24"/>
          <w:lang w:val="es-MX"/>
        </w:rPr>
        <w:t>s</w:t>
      </w:r>
      <w:r w:rsidRPr="00EB50F1">
        <w:rPr>
          <w:rFonts w:ascii="Times New Roman" w:hAnsi="Times New Roman" w:cs="Times New Roman"/>
          <w:noProof/>
          <w:szCs w:val="24"/>
          <w:lang w:val="es-MX"/>
        </w:rPr>
        <w:t xml:space="preserve">uelos. </w:t>
      </w:r>
      <w:r w:rsidRPr="003757F9">
        <w:rPr>
          <w:rFonts w:ascii="Times New Roman" w:hAnsi="Times New Roman" w:cs="Times New Roman"/>
          <w:noProof/>
          <w:szCs w:val="24"/>
          <w:lang w:val="es-MX"/>
        </w:rPr>
        <w:t>Escala 1:250 000 Serie II. [WWW Document]. Inst. Nac. Estadística y Geogr. URL https://www.inegi.org.mx/temas/mapas/edafologia/ (accessed 5.20.19).</w:t>
      </w:r>
    </w:p>
    <w:p w14:paraId="2B65B92A" w14:textId="79B3E5DA" w:rsidR="00BD7DBE" w:rsidRPr="003757F9"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lang w:val="es-MX"/>
        </w:rPr>
      </w:pPr>
      <w:r w:rsidRPr="003757F9">
        <w:rPr>
          <w:rFonts w:ascii="Times New Roman" w:hAnsi="Times New Roman" w:cs="Times New Roman"/>
          <w:noProof/>
          <w:szCs w:val="24"/>
          <w:lang w:val="es-MX"/>
        </w:rPr>
        <w:lastRenderedPageBreak/>
        <w:t xml:space="preserve">INEGI, 2013b. </w:t>
      </w:r>
      <w:r w:rsidRPr="00EB50F1">
        <w:rPr>
          <w:rFonts w:ascii="Times New Roman" w:hAnsi="Times New Roman" w:cs="Times New Roman"/>
          <w:noProof/>
          <w:szCs w:val="24"/>
          <w:lang w:val="es-MX"/>
        </w:rPr>
        <w:t xml:space="preserve">Continúo de </w:t>
      </w:r>
      <w:r w:rsidR="00EB50F1" w:rsidRPr="00EB50F1">
        <w:rPr>
          <w:rFonts w:ascii="Times New Roman" w:hAnsi="Times New Roman" w:cs="Times New Roman"/>
          <w:noProof/>
          <w:szCs w:val="24"/>
          <w:lang w:val="es-MX"/>
        </w:rPr>
        <w:t>e</w:t>
      </w:r>
      <w:r w:rsidRPr="00EB50F1">
        <w:rPr>
          <w:rFonts w:ascii="Times New Roman" w:hAnsi="Times New Roman" w:cs="Times New Roman"/>
          <w:noProof/>
          <w:szCs w:val="24"/>
          <w:lang w:val="es-MX"/>
        </w:rPr>
        <w:t xml:space="preserve">levaciones </w:t>
      </w:r>
      <w:r w:rsidR="00EB50F1" w:rsidRPr="00EB50F1">
        <w:rPr>
          <w:rFonts w:ascii="Times New Roman" w:hAnsi="Times New Roman" w:cs="Times New Roman"/>
          <w:noProof/>
          <w:szCs w:val="24"/>
          <w:lang w:val="es-MX"/>
        </w:rPr>
        <w:t>m</w:t>
      </w:r>
      <w:r w:rsidRPr="00EB50F1">
        <w:rPr>
          <w:rFonts w:ascii="Times New Roman" w:hAnsi="Times New Roman" w:cs="Times New Roman"/>
          <w:noProof/>
          <w:szCs w:val="24"/>
          <w:lang w:val="es-MX"/>
        </w:rPr>
        <w:t xml:space="preserve">exicano 3.0 [WWW Document]. </w:t>
      </w:r>
      <w:r w:rsidRPr="003757F9">
        <w:rPr>
          <w:rFonts w:ascii="Times New Roman" w:hAnsi="Times New Roman" w:cs="Times New Roman"/>
          <w:noProof/>
          <w:szCs w:val="24"/>
          <w:lang w:val="es-MX"/>
        </w:rPr>
        <w:t>Inst. Nac. Estadística y Geogr. URL http://www.beta.inegi.org.mx/app/geo2/elevacionesmex/ (accessed 1.5.19).</w:t>
      </w:r>
    </w:p>
    <w:p w14:paraId="787D4F14" w14:textId="44AB2623" w:rsidR="00BD7DBE" w:rsidRPr="003757F9"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lang w:val="es-MX"/>
        </w:rPr>
      </w:pPr>
      <w:r w:rsidRPr="003757F9">
        <w:rPr>
          <w:rFonts w:ascii="Times New Roman" w:hAnsi="Times New Roman" w:cs="Times New Roman"/>
          <w:noProof/>
          <w:szCs w:val="24"/>
          <w:lang w:val="es-MX"/>
        </w:rPr>
        <w:t xml:space="preserve">INEGI, 2003. </w:t>
      </w:r>
      <w:r w:rsidRPr="00BD7DBE">
        <w:rPr>
          <w:rFonts w:ascii="Times New Roman" w:hAnsi="Times New Roman" w:cs="Times New Roman"/>
          <w:noProof/>
          <w:szCs w:val="24"/>
          <w:lang w:val="es-MX"/>
        </w:rPr>
        <w:t xml:space="preserve">Conjunto de datos vectoriales de la carta de uso del suelo y vegetación serie II. </w:t>
      </w:r>
      <w:r w:rsidRPr="003757F9">
        <w:rPr>
          <w:rFonts w:ascii="Times New Roman" w:hAnsi="Times New Roman" w:cs="Times New Roman"/>
          <w:noProof/>
          <w:szCs w:val="24"/>
          <w:lang w:val="es-MX"/>
        </w:rPr>
        <w:t>Continuo Nacional [WWW Document]. Inst. Nac. Estadística y Geogr. URL https://www.inegi.org.mx/app/biblioteca/ficha.html?upc=702825267865 (accessed 9.1.17).</w:t>
      </w:r>
    </w:p>
    <w:p w14:paraId="7A4FB5C3" w14:textId="77777777" w:rsidR="00BD7DBE" w:rsidRPr="00BD7DBE"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BD7DBE">
        <w:rPr>
          <w:rFonts w:ascii="Times New Roman" w:hAnsi="Times New Roman" w:cs="Times New Roman"/>
          <w:noProof/>
          <w:szCs w:val="24"/>
        </w:rPr>
        <w:t>Jost, L., 2006. Entropy and diversity. Oikos 113, 363–375.</w:t>
      </w:r>
    </w:p>
    <w:p w14:paraId="5EFCF1A6" w14:textId="77777777" w:rsidR="00BD7DBE" w:rsidRPr="00BD7DBE"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BD7DBE">
        <w:rPr>
          <w:rFonts w:ascii="Times New Roman" w:hAnsi="Times New Roman" w:cs="Times New Roman"/>
          <w:noProof/>
          <w:szCs w:val="24"/>
        </w:rPr>
        <w:t>Naimi, B., Araújo, M.B., 2016. Sdm: A reproducible and extensible R platform for species distribution modelling. Ecography (Cop.). 39, 368–375. https://doi.org/10.1111/ecog.01881</w:t>
      </w:r>
    </w:p>
    <w:p w14:paraId="28CF583B" w14:textId="7683CBF4" w:rsidR="00BD7DBE" w:rsidRPr="00BD7DBE" w:rsidRDefault="00BD7DBE" w:rsidP="00BD7DBE">
      <w:pPr>
        <w:widowControl w:val="0"/>
        <w:autoSpaceDE w:val="0"/>
        <w:autoSpaceDN w:val="0"/>
        <w:adjustRightInd w:val="0"/>
        <w:spacing w:line="240" w:lineRule="auto"/>
        <w:ind w:left="480" w:hanging="480"/>
        <w:rPr>
          <w:rFonts w:ascii="Times New Roman" w:hAnsi="Times New Roman" w:cs="Times New Roman"/>
          <w:noProof/>
          <w:szCs w:val="24"/>
        </w:rPr>
      </w:pPr>
      <w:r w:rsidRPr="00BD7DBE">
        <w:rPr>
          <w:rFonts w:ascii="Times New Roman" w:hAnsi="Times New Roman" w:cs="Times New Roman"/>
          <w:noProof/>
          <w:szCs w:val="24"/>
        </w:rPr>
        <w:t xml:space="preserve">R Core Team, 2021. R: A Language and </w:t>
      </w:r>
      <w:r>
        <w:rPr>
          <w:rFonts w:ascii="Times New Roman" w:hAnsi="Times New Roman" w:cs="Times New Roman"/>
          <w:noProof/>
          <w:szCs w:val="24"/>
        </w:rPr>
        <w:t>e</w:t>
      </w:r>
      <w:r w:rsidRPr="00BD7DBE">
        <w:rPr>
          <w:rFonts w:ascii="Times New Roman" w:hAnsi="Times New Roman" w:cs="Times New Roman"/>
          <w:noProof/>
          <w:szCs w:val="24"/>
        </w:rPr>
        <w:t xml:space="preserve">nvironment for </w:t>
      </w:r>
      <w:r>
        <w:rPr>
          <w:rFonts w:ascii="Times New Roman" w:hAnsi="Times New Roman" w:cs="Times New Roman"/>
          <w:noProof/>
          <w:szCs w:val="24"/>
        </w:rPr>
        <w:t>s</w:t>
      </w:r>
      <w:r w:rsidRPr="00BD7DBE">
        <w:rPr>
          <w:rFonts w:ascii="Times New Roman" w:hAnsi="Times New Roman" w:cs="Times New Roman"/>
          <w:noProof/>
          <w:szCs w:val="24"/>
        </w:rPr>
        <w:t xml:space="preserve">tatistical </w:t>
      </w:r>
      <w:r>
        <w:rPr>
          <w:rFonts w:ascii="Times New Roman" w:hAnsi="Times New Roman" w:cs="Times New Roman"/>
          <w:noProof/>
          <w:szCs w:val="24"/>
        </w:rPr>
        <w:t>c</w:t>
      </w:r>
      <w:r w:rsidRPr="00BD7DBE">
        <w:rPr>
          <w:rFonts w:ascii="Times New Roman" w:hAnsi="Times New Roman" w:cs="Times New Roman"/>
          <w:noProof/>
          <w:szCs w:val="24"/>
        </w:rPr>
        <w:t>omputing.</w:t>
      </w:r>
    </w:p>
    <w:p w14:paraId="35788AA1" w14:textId="5A489D61" w:rsidR="00BD7DBE" w:rsidRPr="003757F9" w:rsidRDefault="00BD7DBE" w:rsidP="00BD7DBE">
      <w:pPr>
        <w:widowControl w:val="0"/>
        <w:autoSpaceDE w:val="0"/>
        <w:autoSpaceDN w:val="0"/>
        <w:adjustRightInd w:val="0"/>
        <w:spacing w:line="240" w:lineRule="auto"/>
        <w:ind w:left="480" w:hanging="480"/>
        <w:rPr>
          <w:rFonts w:ascii="Times New Roman" w:hAnsi="Times New Roman" w:cs="Times New Roman"/>
          <w:noProof/>
          <w:lang w:val="es-MX"/>
        </w:rPr>
      </w:pPr>
      <w:r w:rsidRPr="003757F9">
        <w:rPr>
          <w:rFonts w:ascii="Times New Roman" w:hAnsi="Times New Roman" w:cs="Times New Roman"/>
          <w:noProof/>
          <w:szCs w:val="24"/>
          <w:lang w:val="es-MX"/>
        </w:rPr>
        <w:t xml:space="preserve">SAGARPA, 2018. </w:t>
      </w:r>
      <w:r w:rsidRPr="00EB50F1">
        <w:rPr>
          <w:rFonts w:ascii="Times New Roman" w:hAnsi="Times New Roman" w:cs="Times New Roman"/>
          <w:noProof/>
          <w:szCs w:val="24"/>
          <w:lang w:val="es-MX"/>
        </w:rPr>
        <w:t xml:space="preserve">Listado de beneficiarios PROAGRO productivo [WWW Document]. </w:t>
      </w:r>
      <w:r w:rsidRPr="003757F9">
        <w:rPr>
          <w:rFonts w:ascii="Times New Roman" w:hAnsi="Times New Roman" w:cs="Times New Roman"/>
          <w:noProof/>
          <w:szCs w:val="24"/>
          <w:lang w:val="es-MX"/>
        </w:rPr>
        <w:t>Secr. Agric. Ganad. Desarro. Rural. Pesca y Aliment. URL http://www.sagarpa.mx/agricultura/Programas/proagro/Beneficiarios/Paginas/Beneficiarios.aspx (accessed 4.5.19).</w:t>
      </w:r>
    </w:p>
    <w:p w14:paraId="12E1DC1C" w14:textId="77777777" w:rsidR="00077510" w:rsidRDefault="00B73BB6" w:rsidP="006C21CF">
      <w:r w:rsidRPr="00310886">
        <w:rPr>
          <w:rFonts w:ascii="Times New Roman" w:hAnsi="Times New Roman" w:cs="Times New Roman"/>
        </w:rPr>
        <w:fldChar w:fldCharType="end"/>
      </w:r>
    </w:p>
    <w:sectPr w:rsidR="00077510" w:rsidSect="003B4A2A">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6733" w14:textId="77777777" w:rsidR="00942BB2" w:rsidRDefault="00942BB2" w:rsidP="00C91285">
      <w:pPr>
        <w:spacing w:after="0" w:line="240" w:lineRule="auto"/>
      </w:pPr>
      <w:r>
        <w:separator/>
      </w:r>
    </w:p>
  </w:endnote>
  <w:endnote w:type="continuationSeparator" w:id="0">
    <w:p w14:paraId="3BCA71EC" w14:textId="77777777" w:rsidR="00942BB2" w:rsidRDefault="00942BB2" w:rsidP="00C9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8281"/>
      <w:docPartObj>
        <w:docPartGallery w:val="Page Numbers (Bottom of Page)"/>
        <w:docPartUnique/>
      </w:docPartObj>
    </w:sdtPr>
    <w:sdtEndPr/>
    <w:sdtContent>
      <w:p w14:paraId="12E1DC54" w14:textId="77777777" w:rsidR="00C112B8" w:rsidRDefault="00C112B8">
        <w:pPr>
          <w:pStyle w:val="Piedepgina"/>
          <w:jc w:val="right"/>
        </w:pPr>
        <w:r>
          <w:fldChar w:fldCharType="begin"/>
        </w:r>
        <w:r>
          <w:instrText>PAGE   \* MERGEFORMAT</w:instrText>
        </w:r>
        <w:r>
          <w:fldChar w:fldCharType="separate"/>
        </w:r>
        <w:r w:rsidR="005D6D82" w:rsidRPr="005D6D82">
          <w:rPr>
            <w:noProof/>
            <w:lang w:val="es-ES"/>
          </w:rPr>
          <w:t>22</w:t>
        </w:r>
        <w:r>
          <w:rPr>
            <w:noProof/>
            <w:lang w:val="es-ES"/>
          </w:rPr>
          <w:fldChar w:fldCharType="end"/>
        </w:r>
      </w:p>
    </w:sdtContent>
  </w:sdt>
  <w:p w14:paraId="12E1DC55" w14:textId="77777777" w:rsidR="00C112B8" w:rsidRDefault="00C112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3C53" w14:textId="77777777" w:rsidR="00942BB2" w:rsidRDefault="00942BB2" w:rsidP="00C91285">
      <w:pPr>
        <w:spacing w:after="0" w:line="240" w:lineRule="auto"/>
      </w:pPr>
      <w:r>
        <w:separator/>
      </w:r>
    </w:p>
  </w:footnote>
  <w:footnote w:type="continuationSeparator" w:id="0">
    <w:p w14:paraId="0AEE4BE3" w14:textId="77777777" w:rsidR="00942BB2" w:rsidRDefault="00942BB2" w:rsidP="00C912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MTEyMDQ0MDYytLBQ0lEKTi0uzszPAykwMqoFANcuRTYtAAAA"/>
  </w:docVars>
  <w:rsids>
    <w:rsidRoot w:val="005D4D1D"/>
    <w:rsid w:val="00010F2D"/>
    <w:rsid w:val="00011C14"/>
    <w:rsid w:val="00012F18"/>
    <w:rsid w:val="00013128"/>
    <w:rsid w:val="000136B5"/>
    <w:rsid w:val="00014482"/>
    <w:rsid w:val="00014DE3"/>
    <w:rsid w:val="00015383"/>
    <w:rsid w:val="000206AB"/>
    <w:rsid w:val="000250E8"/>
    <w:rsid w:val="0002611C"/>
    <w:rsid w:val="00031B45"/>
    <w:rsid w:val="00033631"/>
    <w:rsid w:val="00040CCB"/>
    <w:rsid w:val="0004272C"/>
    <w:rsid w:val="00042761"/>
    <w:rsid w:val="000433A1"/>
    <w:rsid w:val="000439E4"/>
    <w:rsid w:val="00055B26"/>
    <w:rsid w:val="00061A9A"/>
    <w:rsid w:val="000669F6"/>
    <w:rsid w:val="00074561"/>
    <w:rsid w:val="00077510"/>
    <w:rsid w:val="0009313D"/>
    <w:rsid w:val="000A2AF6"/>
    <w:rsid w:val="000A3373"/>
    <w:rsid w:val="000A6269"/>
    <w:rsid w:val="000B4E09"/>
    <w:rsid w:val="000B71EB"/>
    <w:rsid w:val="000C2A94"/>
    <w:rsid w:val="000D166E"/>
    <w:rsid w:val="000D1D2B"/>
    <w:rsid w:val="000D7F45"/>
    <w:rsid w:val="000E6589"/>
    <w:rsid w:val="000E689D"/>
    <w:rsid w:val="000E7B2C"/>
    <w:rsid w:val="000F1549"/>
    <w:rsid w:val="000F1999"/>
    <w:rsid w:val="000F7144"/>
    <w:rsid w:val="0010184A"/>
    <w:rsid w:val="00112260"/>
    <w:rsid w:val="001142E7"/>
    <w:rsid w:val="00121B45"/>
    <w:rsid w:val="00122F77"/>
    <w:rsid w:val="0012311C"/>
    <w:rsid w:val="00127EC8"/>
    <w:rsid w:val="00133128"/>
    <w:rsid w:val="00137660"/>
    <w:rsid w:val="0014268D"/>
    <w:rsid w:val="0014735F"/>
    <w:rsid w:val="00165862"/>
    <w:rsid w:val="00166B6E"/>
    <w:rsid w:val="00170F4F"/>
    <w:rsid w:val="00171856"/>
    <w:rsid w:val="001718DA"/>
    <w:rsid w:val="001723E6"/>
    <w:rsid w:val="00172AE7"/>
    <w:rsid w:val="0017358D"/>
    <w:rsid w:val="00176419"/>
    <w:rsid w:val="00181D15"/>
    <w:rsid w:val="0018230A"/>
    <w:rsid w:val="001833FB"/>
    <w:rsid w:val="001870C1"/>
    <w:rsid w:val="00190C40"/>
    <w:rsid w:val="00194357"/>
    <w:rsid w:val="001A2C66"/>
    <w:rsid w:val="001A60EB"/>
    <w:rsid w:val="001B2446"/>
    <w:rsid w:val="001B54B4"/>
    <w:rsid w:val="001B7B93"/>
    <w:rsid w:val="001C0AA5"/>
    <w:rsid w:val="001C228A"/>
    <w:rsid w:val="001C7624"/>
    <w:rsid w:val="001E0FF1"/>
    <w:rsid w:val="001E2EAE"/>
    <w:rsid w:val="001E471C"/>
    <w:rsid w:val="001E6599"/>
    <w:rsid w:val="001F3FD3"/>
    <w:rsid w:val="001F56C2"/>
    <w:rsid w:val="001F67BB"/>
    <w:rsid w:val="001F7EF9"/>
    <w:rsid w:val="002053C1"/>
    <w:rsid w:val="00212049"/>
    <w:rsid w:val="00213BDE"/>
    <w:rsid w:val="00216EC5"/>
    <w:rsid w:val="0022272E"/>
    <w:rsid w:val="00225B94"/>
    <w:rsid w:val="00226FC9"/>
    <w:rsid w:val="00235BE3"/>
    <w:rsid w:val="00243AF4"/>
    <w:rsid w:val="00247A92"/>
    <w:rsid w:val="00251B90"/>
    <w:rsid w:val="0025276A"/>
    <w:rsid w:val="002538E6"/>
    <w:rsid w:val="00262A88"/>
    <w:rsid w:val="002726E6"/>
    <w:rsid w:val="00285B31"/>
    <w:rsid w:val="00285F29"/>
    <w:rsid w:val="00286D27"/>
    <w:rsid w:val="00287CF2"/>
    <w:rsid w:val="00287E05"/>
    <w:rsid w:val="0029099E"/>
    <w:rsid w:val="00292E31"/>
    <w:rsid w:val="0029630D"/>
    <w:rsid w:val="002A17EB"/>
    <w:rsid w:val="002B7070"/>
    <w:rsid w:val="002B7718"/>
    <w:rsid w:val="002B7D7B"/>
    <w:rsid w:val="002C6AAD"/>
    <w:rsid w:val="002D459E"/>
    <w:rsid w:val="002D607C"/>
    <w:rsid w:val="002E0533"/>
    <w:rsid w:val="002E174E"/>
    <w:rsid w:val="002E2E69"/>
    <w:rsid w:val="002E5FF8"/>
    <w:rsid w:val="002F5975"/>
    <w:rsid w:val="00300C53"/>
    <w:rsid w:val="003045B5"/>
    <w:rsid w:val="00306630"/>
    <w:rsid w:val="003071AA"/>
    <w:rsid w:val="003074D7"/>
    <w:rsid w:val="00310886"/>
    <w:rsid w:val="0031679E"/>
    <w:rsid w:val="003204DA"/>
    <w:rsid w:val="0032176A"/>
    <w:rsid w:val="00327832"/>
    <w:rsid w:val="0033086E"/>
    <w:rsid w:val="00331208"/>
    <w:rsid w:val="00331C1D"/>
    <w:rsid w:val="0033244C"/>
    <w:rsid w:val="00343068"/>
    <w:rsid w:val="003519B7"/>
    <w:rsid w:val="00354007"/>
    <w:rsid w:val="00360ED3"/>
    <w:rsid w:val="00362540"/>
    <w:rsid w:val="00362FA3"/>
    <w:rsid w:val="00366F77"/>
    <w:rsid w:val="0037169D"/>
    <w:rsid w:val="00374E8C"/>
    <w:rsid w:val="003757F9"/>
    <w:rsid w:val="00375A53"/>
    <w:rsid w:val="00382A8C"/>
    <w:rsid w:val="003852C4"/>
    <w:rsid w:val="00385D51"/>
    <w:rsid w:val="00387E8E"/>
    <w:rsid w:val="003921EF"/>
    <w:rsid w:val="00393252"/>
    <w:rsid w:val="003A0C52"/>
    <w:rsid w:val="003A10E5"/>
    <w:rsid w:val="003A23EA"/>
    <w:rsid w:val="003B105B"/>
    <w:rsid w:val="003B4A2A"/>
    <w:rsid w:val="003B5C13"/>
    <w:rsid w:val="003B743A"/>
    <w:rsid w:val="003B74D6"/>
    <w:rsid w:val="003C7732"/>
    <w:rsid w:val="003D0E64"/>
    <w:rsid w:val="003D11AE"/>
    <w:rsid w:val="003D1D88"/>
    <w:rsid w:val="003D3851"/>
    <w:rsid w:val="003D5D94"/>
    <w:rsid w:val="003E4069"/>
    <w:rsid w:val="003E70BB"/>
    <w:rsid w:val="003E710A"/>
    <w:rsid w:val="003F100F"/>
    <w:rsid w:val="003F67F4"/>
    <w:rsid w:val="004059C2"/>
    <w:rsid w:val="00407809"/>
    <w:rsid w:val="0041086F"/>
    <w:rsid w:val="0041267E"/>
    <w:rsid w:val="00432D46"/>
    <w:rsid w:val="004335FB"/>
    <w:rsid w:val="00437383"/>
    <w:rsid w:val="00437C3E"/>
    <w:rsid w:val="00445C90"/>
    <w:rsid w:val="0044694D"/>
    <w:rsid w:val="00457F95"/>
    <w:rsid w:val="00461F3D"/>
    <w:rsid w:val="00464B4C"/>
    <w:rsid w:val="00472BC4"/>
    <w:rsid w:val="00476D17"/>
    <w:rsid w:val="00477142"/>
    <w:rsid w:val="00484869"/>
    <w:rsid w:val="004904DB"/>
    <w:rsid w:val="00491775"/>
    <w:rsid w:val="0049273F"/>
    <w:rsid w:val="004A5D0C"/>
    <w:rsid w:val="004B303C"/>
    <w:rsid w:val="004C1A9B"/>
    <w:rsid w:val="004C2CFD"/>
    <w:rsid w:val="004C3005"/>
    <w:rsid w:val="004D2FFC"/>
    <w:rsid w:val="004D5C28"/>
    <w:rsid w:val="004E3CBF"/>
    <w:rsid w:val="004E5703"/>
    <w:rsid w:val="004F06BE"/>
    <w:rsid w:val="004F4491"/>
    <w:rsid w:val="004F6A55"/>
    <w:rsid w:val="005038D7"/>
    <w:rsid w:val="005060CD"/>
    <w:rsid w:val="00506D3C"/>
    <w:rsid w:val="00506E78"/>
    <w:rsid w:val="0051107F"/>
    <w:rsid w:val="005111F2"/>
    <w:rsid w:val="00511431"/>
    <w:rsid w:val="0051472F"/>
    <w:rsid w:val="00516166"/>
    <w:rsid w:val="005230C4"/>
    <w:rsid w:val="00527FB2"/>
    <w:rsid w:val="0053236E"/>
    <w:rsid w:val="00532F92"/>
    <w:rsid w:val="00534E19"/>
    <w:rsid w:val="00541D4C"/>
    <w:rsid w:val="00542600"/>
    <w:rsid w:val="00544223"/>
    <w:rsid w:val="0055214D"/>
    <w:rsid w:val="005542BD"/>
    <w:rsid w:val="00560FA1"/>
    <w:rsid w:val="00566E03"/>
    <w:rsid w:val="00567454"/>
    <w:rsid w:val="005679DA"/>
    <w:rsid w:val="00571674"/>
    <w:rsid w:val="00571CF7"/>
    <w:rsid w:val="0058011B"/>
    <w:rsid w:val="00581BE7"/>
    <w:rsid w:val="0058428F"/>
    <w:rsid w:val="00586B15"/>
    <w:rsid w:val="005914E5"/>
    <w:rsid w:val="0059256A"/>
    <w:rsid w:val="005925BD"/>
    <w:rsid w:val="005925D9"/>
    <w:rsid w:val="00593142"/>
    <w:rsid w:val="005957B2"/>
    <w:rsid w:val="005A4699"/>
    <w:rsid w:val="005A6ECF"/>
    <w:rsid w:val="005A7485"/>
    <w:rsid w:val="005A748F"/>
    <w:rsid w:val="005B41F6"/>
    <w:rsid w:val="005B43D9"/>
    <w:rsid w:val="005C0C91"/>
    <w:rsid w:val="005C67C3"/>
    <w:rsid w:val="005C6CBE"/>
    <w:rsid w:val="005D4D1D"/>
    <w:rsid w:val="005D6D82"/>
    <w:rsid w:val="005D769C"/>
    <w:rsid w:val="005D7E8E"/>
    <w:rsid w:val="005E3B12"/>
    <w:rsid w:val="005E74C3"/>
    <w:rsid w:val="005F25E7"/>
    <w:rsid w:val="005F2EA2"/>
    <w:rsid w:val="005F6A16"/>
    <w:rsid w:val="00601AD1"/>
    <w:rsid w:val="00601FDA"/>
    <w:rsid w:val="00605EAE"/>
    <w:rsid w:val="00606ADB"/>
    <w:rsid w:val="0060749D"/>
    <w:rsid w:val="00607FD8"/>
    <w:rsid w:val="00611DE7"/>
    <w:rsid w:val="00612399"/>
    <w:rsid w:val="00612E8F"/>
    <w:rsid w:val="00613420"/>
    <w:rsid w:val="00613E54"/>
    <w:rsid w:val="00614D30"/>
    <w:rsid w:val="00616DE0"/>
    <w:rsid w:val="00617307"/>
    <w:rsid w:val="00624506"/>
    <w:rsid w:val="0062553A"/>
    <w:rsid w:val="006255AC"/>
    <w:rsid w:val="006268AA"/>
    <w:rsid w:val="00626A55"/>
    <w:rsid w:val="006428E7"/>
    <w:rsid w:val="00642B6A"/>
    <w:rsid w:val="0065198D"/>
    <w:rsid w:val="00652549"/>
    <w:rsid w:val="006537AE"/>
    <w:rsid w:val="006608E5"/>
    <w:rsid w:val="00661AD7"/>
    <w:rsid w:val="00671874"/>
    <w:rsid w:val="0067499C"/>
    <w:rsid w:val="00677873"/>
    <w:rsid w:val="00680382"/>
    <w:rsid w:val="00682B5B"/>
    <w:rsid w:val="0068621F"/>
    <w:rsid w:val="0068663C"/>
    <w:rsid w:val="00691C3F"/>
    <w:rsid w:val="006932E8"/>
    <w:rsid w:val="00694177"/>
    <w:rsid w:val="006971A5"/>
    <w:rsid w:val="006A087A"/>
    <w:rsid w:val="006A233B"/>
    <w:rsid w:val="006A5AB1"/>
    <w:rsid w:val="006A5DCA"/>
    <w:rsid w:val="006B0575"/>
    <w:rsid w:val="006C1097"/>
    <w:rsid w:val="006C21CF"/>
    <w:rsid w:val="006C798C"/>
    <w:rsid w:val="006D35E7"/>
    <w:rsid w:val="006D61F0"/>
    <w:rsid w:val="006E19BB"/>
    <w:rsid w:val="006E1AA8"/>
    <w:rsid w:val="006E26D5"/>
    <w:rsid w:val="006E44E1"/>
    <w:rsid w:val="006E6CD4"/>
    <w:rsid w:val="006F10B1"/>
    <w:rsid w:val="006F3995"/>
    <w:rsid w:val="00707661"/>
    <w:rsid w:val="0070766F"/>
    <w:rsid w:val="00711143"/>
    <w:rsid w:val="007114A0"/>
    <w:rsid w:val="007136B4"/>
    <w:rsid w:val="00713D37"/>
    <w:rsid w:val="007153DD"/>
    <w:rsid w:val="00722029"/>
    <w:rsid w:val="00726D81"/>
    <w:rsid w:val="00733304"/>
    <w:rsid w:val="00741D28"/>
    <w:rsid w:val="00745C23"/>
    <w:rsid w:val="007467E7"/>
    <w:rsid w:val="0075402E"/>
    <w:rsid w:val="007559C7"/>
    <w:rsid w:val="0075689E"/>
    <w:rsid w:val="0076315E"/>
    <w:rsid w:val="0076621B"/>
    <w:rsid w:val="00767DA1"/>
    <w:rsid w:val="00771122"/>
    <w:rsid w:val="00774F32"/>
    <w:rsid w:val="0077682A"/>
    <w:rsid w:val="00780DCD"/>
    <w:rsid w:val="00781610"/>
    <w:rsid w:val="007820D1"/>
    <w:rsid w:val="00784508"/>
    <w:rsid w:val="007914CD"/>
    <w:rsid w:val="0079493D"/>
    <w:rsid w:val="007A05CE"/>
    <w:rsid w:val="007A61B6"/>
    <w:rsid w:val="007A7DE6"/>
    <w:rsid w:val="007C4E0F"/>
    <w:rsid w:val="007C7057"/>
    <w:rsid w:val="007D6727"/>
    <w:rsid w:val="007D6EB7"/>
    <w:rsid w:val="007E1AE4"/>
    <w:rsid w:val="007F2163"/>
    <w:rsid w:val="007F26C8"/>
    <w:rsid w:val="007F2BE9"/>
    <w:rsid w:val="007F416B"/>
    <w:rsid w:val="007F55E6"/>
    <w:rsid w:val="007F6704"/>
    <w:rsid w:val="007F67ED"/>
    <w:rsid w:val="00800DD7"/>
    <w:rsid w:val="00802B24"/>
    <w:rsid w:val="00804193"/>
    <w:rsid w:val="00807456"/>
    <w:rsid w:val="008074AD"/>
    <w:rsid w:val="008169AE"/>
    <w:rsid w:val="0082292E"/>
    <w:rsid w:val="00822ACE"/>
    <w:rsid w:val="00823153"/>
    <w:rsid w:val="008232D0"/>
    <w:rsid w:val="0082513A"/>
    <w:rsid w:val="00825553"/>
    <w:rsid w:val="00827EA2"/>
    <w:rsid w:val="0083215F"/>
    <w:rsid w:val="008333F5"/>
    <w:rsid w:val="008337C1"/>
    <w:rsid w:val="00833850"/>
    <w:rsid w:val="008355C0"/>
    <w:rsid w:val="008475F5"/>
    <w:rsid w:val="0085472B"/>
    <w:rsid w:val="0085594D"/>
    <w:rsid w:val="00857FC6"/>
    <w:rsid w:val="00860BAD"/>
    <w:rsid w:val="00864F02"/>
    <w:rsid w:val="00865925"/>
    <w:rsid w:val="00866218"/>
    <w:rsid w:val="008665DE"/>
    <w:rsid w:val="0087084E"/>
    <w:rsid w:val="008750CB"/>
    <w:rsid w:val="00875D91"/>
    <w:rsid w:val="00880A8A"/>
    <w:rsid w:val="00883BAC"/>
    <w:rsid w:val="008921D1"/>
    <w:rsid w:val="00893380"/>
    <w:rsid w:val="00893EC5"/>
    <w:rsid w:val="00896C0B"/>
    <w:rsid w:val="008A203F"/>
    <w:rsid w:val="008B64F4"/>
    <w:rsid w:val="008B6983"/>
    <w:rsid w:val="008E27E0"/>
    <w:rsid w:val="008E5EB3"/>
    <w:rsid w:val="008F3012"/>
    <w:rsid w:val="008F4B2C"/>
    <w:rsid w:val="008F7B4E"/>
    <w:rsid w:val="0090149B"/>
    <w:rsid w:val="00907D54"/>
    <w:rsid w:val="0091080F"/>
    <w:rsid w:val="00910A2E"/>
    <w:rsid w:val="00911282"/>
    <w:rsid w:val="0091211C"/>
    <w:rsid w:val="00913771"/>
    <w:rsid w:val="009172AF"/>
    <w:rsid w:val="00920D1C"/>
    <w:rsid w:val="0092135F"/>
    <w:rsid w:val="00935EA3"/>
    <w:rsid w:val="00937A1B"/>
    <w:rsid w:val="00937BC3"/>
    <w:rsid w:val="00937D78"/>
    <w:rsid w:val="00941BF4"/>
    <w:rsid w:val="00942BB2"/>
    <w:rsid w:val="0094488D"/>
    <w:rsid w:val="00944C37"/>
    <w:rsid w:val="00944D83"/>
    <w:rsid w:val="00945BC0"/>
    <w:rsid w:val="00947656"/>
    <w:rsid w:val="009515D8"/>
    <w:rsid w:val="009530C9"/>
    <w:rsid w:val="009532C1"/>
    <w:rsid w:val="009540BB"/>
    <w:rsid w:val="00956BE1"/>
    <w:rsid w:val="00957F58"/>
    <w:rsid w:val="00965D82"/>
    <w:rsid w:val="00971827"/>
    <w:rsid w:val="00971892"/>
    <w:rsid w:val="00971F09"/>
    <w:rsid w:val="00977ED9"/>
    <w:rsid w:val="00980322"/>
    <w:rsid w:val="00991B0B"/>
    <w:rsid w:val="00991B52"/>
    <w:rsid w:val="00992195"/>
    <w:rsid w:val="0099487E"/>
    <w:rsid w:val="00997848"/>
    <w:rsid w:val="009A0D23"/>
    <w:rsid w:val="009A3D01"/>
    <w:rsid w:val="009A5C85"/>
    <w:rsid w:val="009A63AF"/>
    <w:rsid w:val="009A708C"/>
    <w:rsid w:val="009B1585"/>
    <w:rsid w:val="009C0D3B"/>
    <w:rsid w:val="009C11FE"/>
    <w:rsid w:val="009C1B2F"/>
    <w:rsid w:val="009C2283"/>
    <w:rsid w:val="009C5F75"/>
    <w:rsid w:val="009D1926"/>
    <w:rsid w:val="009D464B"/>
    <w:rsid w:val="009E15E4"/>
    <w:rsid w:val="009F268F"/>
    <w:rsid w:val="009F5EA8"/>
    <w:rsid w:val="00A053F2"/>
    <w:rsid w:val="00A0641A"/>
    <w:rsid w:val="00A078C6"/>
    <w:rsid w:val="00A11350"/>
    <w:rsid w:val="00A120CA"/>
    <w:rsid w:val="00A124C3"/>
    <w:rsid w:val="00A243DB"/>
    <w:rsid w:val="00A273C5"/>
    <w:rsid w:val="00A27F9C"/>
    <w:rsid w:val="00A332BD"/>
    <w:rsid w:val="00A355A7"/>
    <w:rsid w:val="00A44301"/>
    <w:rsid w:val="00A4741C"/>
    <w:rsid w:val="00A518C8"/>
    <w:rsid w:val="00A5191E"/>
    <w:rsid w:val="00A52EFA"/>
    <w:rsid w:val="00A5478E"/>
    <w:rsid w:val="00A54794"/>
    <w:rsid w:val="00A6020E"/>
    <w:rsid w:val="00A60434"/>
    <w:rsid w:val="00A617C9"/>
    <w:rsid w:val="00A619C9"/>
    <w:rsid w:val="00A647DE"/>
    <w:rsid w:val="00A66103"/>
    <w:rsid w:val="00A76101"/>
    <w:rsid w:val="00A83422"/>
    <w:rsid w:val="00A87BBA"/>
    <w:rsid w:val="00A91602"/>
    <w:rsid w:val="00A961F9"/>
    <w:rsid w:val="00A974D1"/>
    <w:rsid w:val="00AA143F"/>
    <w:rsid w:val="00AA5A07"/>
    <w:rsid w:val="00AB400D"/>
    <w:rsid w:val="00AB41D6"/>
    <w:rsid w:val="00AB4248"/>
    <w:rsid w:val="00AC269F"/>
    <w:rsid w:val="00AD0A44"/>
    <w:rsid w:val="00AD1F25"/>
    <w:rsid w:val="00AD4896"/>
    <w:rsid w:val="00AF4AB0"/>
    <w:rsid w:val="00AF54B7"/>
    <w:rsid w:val="00B0464D"/>
    <w:rsid w:val="00B06954"/>
    <w:rsid w:val="00B1069F"/>
    <w:rsid w:val="00B21357"/>
    <w:rsid w:val="00B22254"/>
    <w:rsid w:val="00B30805"/>
    <w:rsid w:val="00B32BE7"/>
    <w:rsid w:val="00B353AE"/>
    <w:rsid w:val="00B406D0"/>
    <w:rsid w:val="00B42643"/>
    <w:rsid w:val="00B439FF"/>
    <w:rsid w:val="00B44250"/>
    <w:rsid w:val="00B47D5F"/>
    <w:rsid w:val="00B54AC5"/>
    <w:rsid w:val="00B55DEE"/>
    <w:rsid w:val="00B61F40"/>
    <w:rsid w:val="00B6705B"/>
    <w:rsid w:val="00B673B3"/>
    <w:rsid w:val="00B73BB6"/>
    <w:rsid w:val="00B741E9"/>
    <w:rsid w:val="00B75FCE"/>
    <w:rsid w:val="00B82343"/>
    <w:rsid w:val="00B86DF9"/>
    <w:rsid w:val="00B91D83"/>
    <w:rsid w:val="00B93D51"/>
    <w:rsid w:val="00B9588D"/>
    <w:rsid w:val="00B95BB1"/>
    <w:rsid w:val="00BA0889"/>
    <w:rsid w:val="00BA200D"/>
    <w:rsid w:val="00BA5075"/>
    <w:rsid w:val="00BB40B1"/>
    <w:rsid w:val="00BB4D18"/>
    <w:rsid w:val="00BC041F"/>
    <w:rsid w:val="00BD4578"/>
    <w:rsid w:val="00BD4792"/>
    <w:rsid w:val="00BD7378"/>
    <w:rsid w:val="00BD7DBE"/>
    <w:rsid w:val="00BE0A9C"/>
    <w:rsid w:val="00BE3C3D"/>
    <w:rsid w:val="00BF0789"/>
    <w:rsid w:val="00BF1AA4"/>
    <w:rsid w:val="00C00E67"/>
    <w:rsid w:val="00C05AF3"/>
    <w:rsid w:val="00C10C0F"/>
    <w:rsid w:val="00C112B8"/>
    <w:rsid w:val="00C12687"/>
    <w:rsid w:val="00C201C4"/>
    <w:rsid w:val="00C20702"/>
    <w:rsid w:val="00C2427A"/>
    <w:rsid w:val="00C26DCF"/>
    <w:rsid w:val="00C308BC"/>
    <w:rsid w:val="00C33DC0"/>
    <w:rsid w:val="00C35238"/>
    <w:rsid w:val="00C3551E"/>
    <w:rsid w:val="00C401C8"/>
    <w:rsid w:val="00C44327"/>
    <w:rsid w:val="00C50F17"/>
    <w:rsid w:val="00C53E8F"/>
    <w:rsid w:val="00C603A6"/>
    <w:rsid w:val="00C607CB"/>
    <w:rsid w:val="00C61996"/>
    <w:rsid w:val="00C632ED"/>
    <w:rsid w:val="00C67A81"/>
    <w:rsid w:val="00C7323C"/>
    <w:rsid w:val="00C7353E"/>
    <w:rsid w:val="00C74112"/>
    <w:rsid w:val="00C74996"/>
    <w:rsid w:val="00C74EC8"/>
    <w:rsid w:val="00C8170B"/>
    <w:rsid w:val="00C81BAC"/>
    <w:rsid w:val="00C82AAD"/>
    <w:rsid w:val="00C87520"/>
    <w:rsid w:val="00C90306"/>
    <w:rsid w:val="00C91285"/>
    <w:rsid w:val="00C92610"/>
    <w:rsid w:val="00CA1878"/>
    <w:rsid w:val="00CB06CD"/>
    <w:rsid w:val="00CB071F"/>
    <w:rsid w:val="00CB1265"/>
    <w:rsid w:val="00CB1D81"/>
    <w:rsid w:val="00CC4577"/>
    <w:rsid w:val="00CC4DCF"/>
    <w:rsid w:val="00CC77B4"/>
    <w:rsid w:val="00CD18B7"/>
    <w:rsid w:val="00CD2A51"/>
    <w:rsid w:val="00CD3E0E"/>
    <w:rsid w:val="00CD6C63"/>
    <w:rsid w:val="00CD75B2"/>
    <w:rsid w:val="00CE074F"/>
    <w:rsid w:val="00CE4D81"/>
    <w:rsid w:val="00CE6B3E"/>
    <w:rsid w:val="00CF2805"/>
    <w:rsid w:val="00CF3A98"/>
    <w:rsid w:val="00D019B4"/>
    <w:rsid w:val="00D04575"/>
    <w:rsid w:val="00D04B48"/>
    <w:rsid w:val="00D07CAD"/>
    <w:rsid w:val="00D11C1C"/>
    <w:rsid w:val="00D12112"/>
    <w:rsid w:val="00D21B07"/>
    <w:rsid w:val="00D221D6"/>
    <w:rsid w:val="00D2269A"/>
    <w:rsid w:val="00D227C8"/>
    <w:rsid w:val="00D2559A"/>
    <w:rsid w:val="00D26512"/>
    <w:rsid w:val="00D268D4"/>
    <w:rsid w:val="00D31C13"/>
    <w:rsid w:val="00D3497A"/>
    <w:rsid w:val="00D40C0F"/>
    <w:rsid w:val="00D42DA5"/>
    <w:rsid w:val="00D43589"/>
    <w:rsid w:val="00D4470B"/>
    <w:rsid w:val="00D4642C"/>
    <w:rsid w:val="00D46E4F"/>
    <w:rsid w:val="00D5356A"/>
    <w:rsid w:val="00D54C46"/>
    <w:rsid w:val="00D61E92"/>
    <w:rsid w:val="00D62A19"/>
    <w:rsid w:val="00D7462D"/>
    <w:rsid w:val="00D76E55"/>
    <w:rsid w:val="00D83550"/>
    <w:rsid w:val="00D86549"/>
    <w:rsid w:val="00D878E5"/>
    <w:rsid w:val="00D87ADB"/>
    <w:rsid w:val="00D91529"/>
    <w:rsid w:val="00DA79CE"/>
    <w:rsid w:val="00DB0AAB"/>
    <w:rsid w:val="00DB1A04"/>
    <w:rsid w:val="00DB4116"/>
    <w:rsid w:val="00DB4CEB"/>
    <w:rsid w:val="00DB77BA"/>
    <w:rsid w:val="00DC29F5"/>
    <w:rsid w:val="00DC51FC"/>
    <w:rsid w:val="00DC62EA"/>
    <w:rsid w:val="00DD342B"/>
    <w:rsid w:val="00DD3AF8"/>
    <w:rsid w:val="00DD4C70"/>
    <w:rsid w:val="00DD5D9E"/>
    <w:rsid w:val="00DF3AD0"/>
    <w:rsid w:val="00DF53EA"/>
    <w:rsid w:val="00E025E8"/>
    <w:rsid w:val="00E10AFE"/>
    <w:rsid w:val="00E11C00"/>
    <w:rsid w:val="00E1258A"/>
    <w:rsid w:val="00E27BBD"/>
    <w:rsid w:val="00E3224D"/>
    <w:rsid w:val="00E33919"/>
    <w:rsid w:val="00E33F77"/>
    <w:rsid w:val="00E4102D"/>
    <w:rsid w:val="00E41BD8"/>
    <w:rsid w:val="00E441F8"/>
    <w:rsid w:val="00E5065F"/>
    <w:rsid w:val="00E50A2B"/>
    <w:rsid w:val="00E51283"/>
    <w:rsid w:val="00E52B88"/>
    <w:rsid w:val="00E56502"/>
    <w:rsid w:val="00E62187"/>
    <w:rsid w:val="00E62D20"/>
    <w:rsid w:val="00E72591"/>
    <w:rsid w:val="00E75348"/>
    <w:rsid w:val="00E86E6E"/>
    <w:rsid w:val="00E90EDB"/>
    <w:rsid w:val="00E94E7D"/>
    <w:rsid w:val="00EA07D9"/>
    <w:rsid w:val="00EA1623"/>
    <w:rsid w:val="00EA7382"/>
    <w:rsid w:val="00EB048A"/>
    <w:rsid w:val="00EB32F5"/>
    <w:rsid w:val="00EB50F1"/>
    <w:rsid w:val="00EC552B"/>
    <w:rsid w:val="00EC79D0"/>
    <w:rsid w:val="00ED18AD"/>
    <w:rsid w:val="00ED30C4"/>
    <w:rsid w:val="00EE082D"/>
    <w:rsid w:val="00EE583F"/>
    <w:rsid w:val="00EF0C20"/>
    <w:rsid w:val="00EF24E2"/>
    <w:rsid w:val="00EF4604"/>
    <w:rsid w:val="00EF7FB7"/>
    <w:rsid w:val="00F07380"/>
    <w:rsid w:val="00F20AC0"/>
    <w:rsid w:val="00F22021"/>
    <w:rsid w:val="00F23769"/>
    <w:rsid w:val="00F26D9B"/>
    <w:rsid w:val="00F322DD"/>
    <w:rsid w:val="00F3733F"/>
    <w:rsid w:val="00F47B83"/>
    <w:rsid w:val="00F52A3B"/>
    <w:rsid w:val="00F546A7"/>
    <w:rsid w:val="00F76E5D"/>
    <w:rsid w:val="00F84809"/>
    <w:rsid w:val="00F911AA"/>
    <w:rsid w:val="00F93B8D"/>
    <w:rsid w:val="00FA1D88"/>
    <w:rsid w:val="00FB154E"/>
    <w:rsid w:val="00FB520E"/>
    <w:rsid w:val="00FB6EB2"/>
    <w:rsid w:val="00FC0D85"/>
    <w:rsid w:val="00FC1400"/>
    <w:rsid w:val="00FC4AC3"/>
    <w:rsid w:val="00FD35EE"/>
    <w:rsid w:val="00FD6B51"/>
    <w:rsid w:val="00FE057F"/>
    <w:rsid w:val="00FE754E"/>
    <w:rsid w:val="00FE7E53"/>
    <w:rsid w:val="00FF33C7"/>
    <w:rsid w:val="00FF5D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1D8B0"/>
  <w15:docId w15:val="{8E2926A0-5C0B-4BC9-A229-8039926D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1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12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285"/>
  </w:style>
  <w:style w:type="paragraph" w:styleId="Piedepgina">
    <w:name w:val="footer"/>
    <w:basedOn w:val="Normal"/>
    <w:link w:val="PiedepginaCar"/>
    <w:uiPriority w:val="99"/>
    <w:unhideWhenUsed/>
    <w:rsid w:val="00C912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285"/>
  </w:style>
  <w:style w:type="paragraph" w:styleId="Textodeglobo">
    <w:name w:val="Balloon Text"/>
    <w:basedOn w:val="Normal"/>
    <w:link w:val="TextodegloboCar"/>
    <w:uiPriority w:val="99"/>
    <w:semiHidden/>
    <w:unhideWhenUsed/>
    <w:rsid w:val="005A74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7485"/>
    <w:rPr>
      <w:rFonts w:ascii="Segoe UI" w:hAnsi="Segoe UI" w:cs="Segoe UI"/>
      <w:sz w:val="18"/>
      <w:szCs w:val="18"/>
    </w:rPr>
  </w:style>
  <w:style w:type="character" w:styleId="Refdecomentario">
    <w:name w:val="annotation reference"/>
    <w:basedOn w:val="Fuentedeprrafopredeter"/>
    <w:uiPriority w:val="99"/>
    <w:semiHidden/>
    <w:unhideWhenUsed/>
    <w:rsid w:val="0087084E"/>
    <w:rPr>
      <w:sz w:val="16"/>
      <w:szCs w:val="16"/>
    </w:rPr>
  </w:style>
  <w:style w:type="paragraph" w:styleId="Textocomentario">
    <w:name w:val="annotation text"/>
    <w:basedOn w:val="Normal"/>
    <w:link w:val="TextocomentarioCar"/>
    <w:uiPriority w:val="99"/>
    <w:semiHidden/>
    <w:unhideWhenUsed/>
    <w:rsid w:val="008708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084E"/>
    <w:rPr>
      <w:sz w:val="20"/>
      <w:szCs w:val="20"/>
    </w:rPr>
  </w:style>
  <w:style w:type="paragraph" w:styleId="Asuntodelcomentario">
    <w:name w:val="annotation subject"/>
    <w:basedOn w:val="Textocomentario"/>
    <w:next w:val="Textocomentario"/>
    <w:link w:val="AsuntodelcomentarioCar"/>
    <w:uiPriority w:val="99"/>
    <w:semiHidden/>
    <w:unhideWhenUsed/>
    <w:rsid w:val="0087084E"/>
    <w:rPr>
      <w:b/>
      <w:bCs/>
    </w:rPr>
  </w:style>
  <w:style w:type="character" w:customStyle="1" w:styleId="AsuntodelcomentarioCar">
    <w:name w:val="Asunto del comentario Car"/>
    <w:basedOn w:val="TextocomentarioCar"/>
    <w:link w:val="Asuntodelcomentario"/>
    <w:uiPriority w:val="99"/>
    <w:semiHidden/>
    <w:rsid w:val="0087084E"/>
    <w:rPr>
      <w:b/>
      <w:bCs/>
      <w:sz w:val="20"/>
      <w:szCs w:val="20"/>
    </w:rPr>
  </w:style>
  <w:style w:type="paragraph" w:styleId="Revisin">
    <w:name w:val="Revision"/>
    <w:hidden/>
    <w:uiPriority w:val="99"/>
    <w:semiHidden/>
    <w:rsid w:val="00941BF4"/>
    <w:pPr>
      <w:spacing w:after="0" w:line="240" w:lineRule="auto"/>
    </w:pPr>
  </w:style>
  <w:style w:type="paragraph" w:styleId="Prrafodelista">
    <w:name w:val="List Paragraph"/>
    <w:basedOn w:val="Normal"/>
    <w:uiPriority w:val="34"/>
    <w:qFormat/>
    <w:rsid w:val="00DD3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3434">
      <w:bodyDiv w:val="1"/>
      <w:marLeft w:val="0"/>
      <w:marRight w:val="0"/>
      <w:marTop w:val="0"/>
      <w:marBottom w:val="0"/>
      <w:divBdr>
        <w:top w:val="none" w:sz="0" w:space="0" w:color="auto"/>
        <w:left w:val="none" w:sz="0" w:space="0" w:color="auto"/>
        <w:bottom w:val="none" w:sz="0" w:space="0" w:color="auto"/>
        <w:right w:val="none" w:sz="0" w:space="0" w:color="auto"/>
      </w:divBdr>
    </w:div>
    <w:div w:id="172113655">
      <w:bodyDiv w:val="1"/>
      <w:marLeft w:val="0"/>
      <w:marRight w:val="0"/>
      <w:marTop w:val="0"/>
      <w:marBottom w:val="0"/>
      <w:divBdr>
        <w:top w:val="none" w:sz="0" w:space="0" w:color="auto"/>
        <w:left w:val="none" w:sz="0" w:space="0" w:color="auto"/>
        <w:bottom w:val="none" w:sz="0" w:space="0" w:color="auto"/>
        <w:right w:val="none" w:sz="0" w:space="0" w:color="auto"/>
      </w:divBdr>
    </w:div>
    <w:div w:id="940605181">
      <w:bodyDiv w:val="1"/>
      <w:marLeft w:val="0"/>
      <w:marRight w:val="0"/>
      <w:marTop w:val="0"/>
      <w:marBottom w:val="0"/>
      <w:divBdr>
        <w:top w:val="none" w:sz="0" w:space="0" w:color="auto"/>
        <w:left w:val="none" w:sz="0" w:space="0" w:color="auto"/>
        <w:bottom w:val="none" w:sz="0" w:space="0" w:color="auto"/>
        <w:right w:val="none" w:sz="0" w:space="0" w:color="auto"/>
      </w:divBdr>
    </w:div>
    <w:div w:id="1025062986">
      <w:bodyDiv w:val="1"/>
      <w:marLeft w:val="0"/>
      <w:marRight w:val="0"/>
      <w:marTop w:val="0"/>
      <w:marBottom w:val="0"/>
      <w:divBdr>
        <w:top w:val="none" w:sz="0" w:space="0" w:color="auto"/>
        <w:left w:val="none" w:sz="0" w:space="0" w:color="auto"/>
        <w:bottom w:val="none" w:sz="0" w:space="0" w:color="auto"/>
        <w:right w:val="none" w:sz="0" w:space="0" w:color="auto"/>
      </w:divBdr>
    </w:div>
    <w:div w:id="1060056893">
      <w:bodyDiv w:val="1"/>
      <w:marLeft w:val="0"/>
      <w:marRight w:val="0"/>
      <w:marTop w:val="0"/>
      <w:marBottom w:val="0"/>
      <w:divBdr>
        <w:top w:val="none" w:sz="0" w:space="0" w:color="auto"/>
        <w:left w:val="none" w:sz="0" w:space="0" w:color="auto"/>
        <w:bottom w:val="none" w:sz="0" w:space="0" w:color="auto"/>
        <w:right w:val="none" w:sz="0" w:space="0" w:color="auto"/>
      </w:divBdr>
    </w:div>
    <w:div w:id="1224834007">
      <w:bodyDiv w:val="1"/>
      <w:marLeft w:val="0"/>
      <w:marRight w:val="0"/>
      <w:marTop w:val="0"/>
      <w:marBottom w:val="0"/>
      <w:divBdr>
        <w:top w:val="none" w:sz="0" w:space="0" w:color="auto"/>
        <w:left w:val="none" w:sz="0" w:space="0" w:color="auto"/>
        <w:bottom w:val="none" w:sz="0" w:space="0" w:color="auto"/>
        <w:right w:val="none" w:sz="0" w:space="0" w:color="auto"/>
      </w:divBdr>
    </w:div>
    <w:div w:id="1260524469">
      <w:bodyDiv w:val="1"/>
      <w:marLeft w:val="0"/>
      <w:marRight w:val="0"/>
      <w:marTop w:val="0"/>
      <w:marBottom w:val="0"/>
      <w:divBdr>
        <w:top w:val="none" w:sz="0" w:space="0" w:color="auto"/>
        <w:left w:val="none" w:sz="0" w:space="0" w:color="auto"/>
        <w:bottom w:val="none" w:sz="0" w:space="0" w:color="auto"/>
        <w:right w:val="none" w:sz="0" w:space="0" w:color="auto"/>
      </w:divBdr>
    </w:div>
    <w:div w:id="1273710483">
      <w:bodyDiv w:val="1"/>
      <w:marLeft w:val="0"/>
      <w:marRight w:val="0"/>
      <w:marTop w:val="0"/>
      <w:marBottom w:val="0"/>
      <w:divBdr>
        <w:top w:val="none" w:sz="0" w:space="0" w:color="auto"/>
        <w:left w:val="none" w:sz="0" w:space="0" w:color="auto"/>
        <w:bottom w:val="none" w:sz="0" w:space="0" w:color="auto"/>
        <w:right w:val="none" w:sz="0" w:space="0" w:color="auto"/>
      </w:divBdr>
    </w:div>
    <w:div w:id="1410157329">
      <w:bodyDiv w:val="1"/>
      <w:marLeft w:val="0"/>
      <w:marRight w:val="0"/>
      <w:marTop w:val="0"/>
      <w:marBottom w:val="0"/>
      <w:divBdr>
        <w:top w:val="none" w:sz="0" w:space="0" w:color="auto"/>
        <w:left w:val="none" w:sz="0" w:space="0" w:color="auto"/>
        <w:bottom w:val="none" w:sz="0" w:space="0" w:color="auto"/>
        <w:right w:val="none" w:sz="0" w:space="0" w:color="auto"/>
      </w:divBdr>
    </w:div>
    <w:div w:id="1419056460">
      <w:bodyDiv w:val="1"/>
      <w:marLeft w:val="0"/>
      <w:marRight w:val="0"/>
      <w:marTop w:val="0"/>
      <w:marBottom w:val="0"/>
      <w:divBdr>
        <w:top w:val="none" w:sz="0" w:space="0" w:color="auto"/>
        <w:left w:val="none" w:sz="0" w:space="0" w:color="auto"/>
        <w:bottom w:val="none" w:sz="0" w:space="0" w:color="auto"/>
        <w:right w:val="none" w:sz="0" w:space="0" w:color="auto"/>
      </w:divBdr>
    </w:div>
    <w:div w:id="1507013532">
      <w:bodyDiv w:val="1"/>
      <w:marLeft w:val="0"/>
      <w:marRight w:val="0"/>
      <w:marTop w:val="0"/>
      <w:marBottom w:val="0"/>
      <w:divBdr>
        <w:top w:val="none" w:sz="0" w:space="0" w:color="auto"/>
        <w:left w:val="none" w:sz="0" w:space="0" w:color="auto"/>
        <w:bottom w:val="none" w:sz="0" w:space="0" w:color="auto"/>
        <w:right w:val="none" w:sz="0" w:space="0" w:color="auto"/>
      </w:divBdr>
    </w:div>
    <w:div w:id="1676030720">
      <w:bodyDiv w:val="1"/>
      <w:marLeft w:val="0"/>
      <w:marRight w:val="0"/>
      <w:marTop w:val="0"/>
      <w:marBottom w:val="0"/>
      <w:divBdr>
        <w:top w:val="none" w:sz="0" w:space="0" w:color="auto"/>
        <w:left w:val="none" w:sz="0" w:space="0" w:color="auto"/>
        <w:bottom w:val="none" w:sz="0" w:space="0" w:color="auto"/>
        <w:right w:val="none" w:sz="0" w:space="0" w:color="auto"/>
      </w:divBdr>
    </w:div>
    <w:div w:id="1839997506">
      <w:bodyDiv w:val="1"/>
      <w:marLeft w:val="0"/>
      <w:marRight w:val="0"/>
      <w:marTop w:val="0"/>
      <w:marBottom w:val="0"/>
      <w:divBdr>
        <w:top w:val="none" w:sz="0" w:space="0" w:color="auto"/>
        <w:left w:val="none" w:sz="0" w:space="0" w:color="auto"/>
        <w:bottom w:val="none" w:sz="0" w:space="0" w:color="auto"/>
        <w:right w:val="none" w:sz="0" w:space="0" w:color="auto"/>
      </w:divBdr>
    </w:div>
    <w:div w:id="1997832084">
      <w:bodyDiv w:val="1"/>
      <w:marLeft w:val="0"/>
      <w:marRight w:val="0"/>
      <w:marTop w:val="0"/>
      <w:marBottom w:val="0"/>
      <w:divBdr>
        <w:top w:val="none" w:sz="0" w:space="0" w:color="auto"/>
        <w:left w:val="none" w:sz="0" w:space="0" w:color="auto"/>
        <w:bottom w:val="none" w:sz="0" w:space="0" w:color="auto"/>
        <w:right w:val="none" w:sz="0" w:space="0" w:color="auto"/>
      </w:divBdr>
    </w:div>
    <w:div w:id="2040472341">
      <w:bodyDiv w:val="1"/>
      <w:marLeft w:val="0"/>
      <w:marRight w:val="0"/>
      <w:marTop w:val="0"/>
      <w:marBottom w:val="0"/>
      <w:divBdr>
        <w:top w:val="none" w:sz="0" w:space="0" w:color="auto"/>
        <w:left w:val="none" w:sz="0" w:space="0" w:color="auto"/>
        <w:bottom w:val="none" w:sz="0" w:space="0" w:color="auto"/>
        <w:right w:val="none" w:sz="0" w:space="0" w:color="auto"/>
      </w:divBdr>
    </w:div>
    <w:div w:id="20474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A2552-98EB-4687-9B94-2FFCFF59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8010</Words>
  <Characters>44058</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 AULIZ ORTIZ</dc:creator>
  <cp:keywords/>
  <dc:description/>
  <cp:lastModifiedBy>DANIEL MARTIN AULIZ ORTIZ</cp:lastModifiedBy>
  <cp:revision>98</cp:revision>
  <dcterms:created xsi:type="dcterms:W3CDTF">2021-09-03T18:58:00Z</dcterms:created>
  <dcterms:modified xsi:type="dcterms:W3CDTF">2022-02-11T21:23:00Z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https://csl.mendeley.com/styles/16002653/apa-2</vt:lpwstr>
  </property>
  <property fmtid="{D5CDD505-2E9C-101B-9397-08002B2CF9AE}" pid="4" name="Mendeley Recent Style Name 0_1">
    <vt:lpwstr>American Psychological Association 6th edition - Daniel Martín Auliz-Ortiz, MSc</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http://www.zotero.org/styles/biological-conservation</vt:lpwstr>
  </property>
  <property fmtid="{D5CDD505-2E9C-101B-9397-08002B2CF9AE}" pid="8" name="Mendeley Recent Style Name 2_1">
    <vt:lpwstr>Biological Conservation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http://www.zotero.org/styles/perspectives-in-ecology-and-conservation</vt:lpwstr>
  </property>
  <property fmtid="{D5CDD505-2E9C-101B-9397-08002B2CF9AE}" pid="22" name="Mendeley Recent Style Name 9_1">
    <vt:lpwstr>Perspectives in Ecology and Conservation</vt:lpwstr>
  </property>
  <property fmtid="{D5CDD505-2E9C-101B-9397-08002B2CF9AE}" pid="23" name="Mendeley Unique User Id_1">
    <vt:lpwstr>04b9c148-e8ea-3764-bf49-8a0686ac095f</vt:lpwstr>
  </property>
  <property fmtid="{D5CDD505-2E9C-101B-9397-08002B2CF9AE}" pid="24" name="Mendeley Citation Style_1">
    <vt:lpwstr>http://www.zotero.org/styles/perspectives-in-ecology-and-conservation</vt:lpwstr>
  </property>
</Properties>
</file>