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BAF3C" w14:textId="0641D9F5" w:rsidR="002066BD" w:rsidRDefault="007C7182" w:rsidP="00DA1B2C">
      <w:pPr>
        <w:pStyle w:val="Heading1"/>
      </w:pPr>
      <w:bookmarkStart w:id="0" w:name="_GoBack"/>
      <w:bookmarkEnd w:id="0"/>
      <w:r>
        <w:t>Supporting</w:t>
      </w:r>
      <w:r w:rsidR="00617D40">
        <w:t xml:space="preserve"> </w:t>
      </w:r>
      <w:r>
        <w:t>information</w:t>
      </w:r>
    </w:p>
    <w:p w14:paraId="6E1FF30E" w14:textId="4EE57949" w:rsidR="00726E9E" w:rsidRDefault="00726E9E" w:rsidP="00726E9E">
      <w:pPr>
        <w:pStyle w:val="Heading2"/>
      </w:pPr>
      <w:r w:rsidRPr="00F65460">
        <w:t>S</w:t>
      </w:r>
      <w:r w:rsidR="00E1391D">
        <w:t>1</w:t>
      </w:r>
      <w:r>
        <w:t xml:space="preserve"> – Scenarios used in Population Viability Analysis (PVA)</w:t>
      </w:r>
    </w:p>
    <w:p w14:paraId="5ABC64EF" w14:textId="158DD014" w:rsidR="00726E9E" w:rsidRPr="001D7DF4" w:rsidRDefault="00726E9E" w:rsidP="00726E9E">
      <w:pPr>
        <w:pStyle w:val="NoSpacing"/>
      </w:pPr>
      <w:r w:rsidRPr="001D7DF4">
        <w:t>Table S</w:t>
      </w:r>
      <w:r w:rsidR="00E1391D">
        <w:t>1</w:t>
      </w:r>
      <w:r w:rsidRPr="001D7DF4">
        <w:t xml:space="preserve">.1 – Scenarios used in PVA simulations, varying the population density </w:t>
      </w:r>
      <w:r w:rsidR="00362078">
        <w:t xml:space="preserve">(and corresponding initial population size) </w:t>
      </w:r>
      <w:r w:rsidRPr="001D7DF4">
        <w:t>and the value of density weighted proportion (DWP) for estimating roadkill rate (i.e., the true number of roadkill events)</w:t>
      </w:r>
      <w:r w:rsidR="00362078">
        <w:t xml:space="preserve">. The proportion of harvesting by roadkill </w:t>
      </w:r>
      <w:r w:rsidR="003619DD">
        <w:t xml:space="preserve">(mean and 5-95% CI) </w:t>
      </w:r>
      <w:r w:rsidR="00362078">
        <w:t>is calculated based on estimates of total mortality and population abundance from empirical data.</w:t>
      </w:r>
    </w:p>
    <w:tbl>
      <w:tblPr>
        <w:tblW w:w="5245" w:type="dxa"/>
        <w:jc w:val="center"/>
        <w:tblBorders>
          <w:top w:val="single" w:sz="4" w:space="0" w:color="auto"/>
        </w:tblBorders>
        <w:tblLook w:val="04A0" w:firstRow="1" w:lastRow="0" w:firstColumn="1" w:lastColumn="0" w:noHBand="0" w:noVBand="1"/>
      </w:tblPr>
      <w:tblGrid>
        <w:gridCol w:w="1224"/>
        <w:gridCol w:w="1224"/>
        <w:gridCol w:w="1224"/>
        <w:gridCol w:w="1573"/>
      </w:tblGrid>
      <w:tr w:rsidR="00362078" w:rsidRPr="00CC5418" w14:paraId="00287D16" w14:textId="77777777" w:rsidTr="003619DD">
        <w:trPr>
          <w:trHeight w:val="320"/>
          <w:jc w:val="center"/>
        </w:trPr>
        <w:tc>
          <w:tcPr>
            <w:tcW w:w="1224" w:type="dxa"/>
            <w:tcBorders>
              <w:top w:val="single" w:sz="4" w:space="0" w:color="auto"/>
              <w:bottom w:val="single" w:sz="4" w:space="0" w:color="auto"/>
            </w:tcBorders>
            <w:vAlign w:val="bottom"/>
          </w:tcPr>
          <w:p w14:paraId="6664BBDD" w14:textId="5E502037" w:rsidR="00362078" w:rsidRPr="00362078" w:rsidRDefault="00362078" w:rsidP="00362078">
            <w:pPr>
              <w:spacing w:line="240" w:lineRule="auto"/>
              <w:jc w:val="center"/>
              <w:rPr>
                <w:sz w:val="20"/>
                <w:szCs w:val="20"/>
              </w:rPr>
            </w:pPr>
            <w:r w:rsidRPr="00362078">
              <w:rPr>
                <w:sz w:val="20"/>
                <w:szCs w:val="20"/>
              </w:rPr>
              <w:t>Density (ind./km2)</w:t>
            </w:r>
          </w:p>
        </w:tc>
        <w:tc>
          <w:tcPr>
            <w:tcW w:w="1224" w:type="dxa"/>
            <w:tcBorders>
              <w:top w:val="single" w:sz="4" w:space="0" w:color="auto"/>
              <w:bottom w:val="single" w:sz="4" w:space="0" w:color="auto"/>
            </w:tcBorders>
            <w:vAlign w:val="bottom"/>
          </w:tcPr>
          <w:p w14:paraId="33F1D8F4" w14:textId="4C852AD4" w:rsidR="00362078" w:rsidRPr="00362078" w:rsidRDefault="00362078" w:rsidP="00362078">
            <w:pPr>
              <w:spacing w:line="240" w:lineRule="auto"/>
              <w:jc w:val="center"/>
              <w:rPr>
                <w:sz w:val="20"/>
                <w:szCs w:val="20"/>
              </w:rPr>
            </w:pPr>
            <w:r>
              <w:rPr>
                <w:sz w:val="20"/>
                <w:szCs w:val="20"/>
              </w:rPr>
              <w:t>Population size</w:t>
            </w:r>
          </w:p>
        </w:tc>
        <w:tc>
          <w:tcPr>
            <w:tcW w:w="1224" w:type="dxa"/>
            <w:tcBorders>
              <w:top w:val="single" w:sz="4" w:space="0" w:color="auto"/>
              <w:bottom w:val="single" w:sz="4" w:space="0" w:color="auto"/>
            </w:tcBorders>
            <w:shd w:val="clear" w:color="auto" w:fill="auto"/>
            <w:noWrap/>
            <w:vAlign w:val="bottom"/>
            <w:hideMark/>
          </w:tcPr>
          <w:p w14:paraId="0879009D" w14:textId="037AB3C6" w:rsidR="00362078" w:rsidRPr="00362078" w:rsidRDefault="00362078" w:rsidP="00362078">
            <w:pPr>
              <w:spacing w:line="240" w:lineRule="auto"/>
              <w:jc w:val="center"/>
              <w:rPr>
                <w:sz w:val="20"/>
                <w:szCs w:val="20"/>
              </w:rPr>
            </w:pPr>
            <w:r>
              <w:rPr>
                <w:sz w:val="20"/>
                <w:szCs w:val="20"/>
              </w:rPr>
              <w:t xml:space="preserve">Roadkill </w:t>
            </w:r>
            <w:r w:rsidRPr="00362078">
              <w:rPr>
                <w:sz w:val="20"/>
                <w:szCs w:val="20"/>
              </w:rPr>
              <w:t>Scenario</w:t>
            </w:r>
          </w:p>
        </w:tc>
        <w:tc>
          <w:tcPr>
            <w:tcW w:w="1573" w:type="dxa"/>
            <w:tcBorders>
              <w:top w:val="single" w:sz="4" w:space="0" w:color="auto"/>
              <w:bottom w:val="single" w:sz="4" w:space="0" w:color="auto"/>
            </w:tcBorders>
            <w:shd w:val="clear" w:color="auto" w:fill="auto"/>
            <w:noWrap/>
            <w:vAlign w:val="bottom"/>
            <w:hideMark/>
          </w:tcPr>
          <w:p w14:paraId="3B5D2A31" w14:textId="420AA252" w:rsidR="00362078" w:rsidRPr="00362078" w:rsidRDefault="003619DD" w:rsidP="00362078">
            <w:pPr>
              <w:spacing w:line="240" w:lineRule="auto"/>
              <w:jc w:val="center"/>
              <w:rPr>
                <w:sz w:val="20"/>
                <w:szCs w:val="20"/>
              </w:rPr>
            </w:pPr>
            <w:r>
              <w:rPr>
                <w:sz w:val="20"/>
                <w:szCs w:val="20"/>
              </w:rPr>
              <w:t xml:space="preserve">Harvesting due to </w:t>
            </w:r>
            <w:r w:rsidR="00362078" w:rsidRPr="00362078">
              <w:rPr>
                <w:sz w:val="20"/>
                <w:szCs w:val="20"/>
              </w:rPr>
              <w:t>roadkill (%)</w:t>
            </w:r>
          </w:p>
        </w:tc>
      </w:tr>
      <w:tr w:rsidR="00362078" w:rsidRPr="003619DD" w14:paraId="4C57CD0D" w14:textId="77777777" w:rsidTr="003619DD">
        <w:trPr>
          <w:trHeight w:val="320"/>
          <w:jc w:val="center"/>
        </w:trPr>
        <w:tc>
          <w:tcPr>
            <w:tcW w:w="1224" w:type="dxa"/>
            <w:tcBorders>
              <w:top w:val="single" w:sz="4" w:space="0" w:color="auto"/>
            </w:tcBorders>
            <w:vAlign w:val="center"/>
          </w:tcPr>
          <w:p w14:paraId="1832EBD9" w14:textId="42F0D69D" w:rsidR="00362078" w:rsidRPr="00362078" w:rsidRDefault="00362078" w:rsidP="003619DD">
            <w:pPr>
              <w:spacing w:line="240" w:lineRule="auto"/>
              <w:jc w:val="center"/>
              <w:rPr>
                <w:sz w:val="20"/>
                <w:szCs w:val="20"/>
              </w:rPr>
            </w:pPr>
            <w:r w:rsidRPr="00362078">
              <w:rPr>
                <w:sz w:val="20"/>
                <w:szCs w:val="20"/>
              </w:rPr>
              <w:t>0.2</w:t>
            </w:r>
          </w:p>
        </w:tc>
        <w:tc>
          <w:tcPr>
            <w:tcW w:w="1224" w:type="dxa"/>
            <w:tcBorders>
              <w:top w:val="single" w:sz="4" w:space="0" w:color="auto"/>
            </w:tcBorders>
            <w:vAlign w:val="center"/>
          </w:tcPr>
          <w:p w14:paraId="4DD6299E" w14:textId="6C7D8E93" w:rsidR="00362078" w:rsidRPr="00362078" w:rsidRDefault="00362078" w:rsidP="003619DD">
            <w:pPr>
              <w:spacing w:line="240" w:lineRule="auto"/>
              <w:jc w:val="center"/>
              <w:rPr>
                <w:sz w:val="20"/>
                <w:szCs w:val="20"/>
              </w:rPr>
            </w:pPr>
            <w:r>
              <w:rPr>
                <w:sz w:val="20"/>
                <w:szCs w:val="20"/>
              </w:rPr>
              <w:t>160</w:t>
            </w:r>
          </w:p>
        </w:tc>
        <w:tc>
          <w:tcPr>
            <w:tcW w:w="1224" w:type="dxa"/>
            <w:tcBorders>
              <w:top w:val="single" w:sz="4" w:space="0" w:color="auto"/>
            </w:tcBorders>
            <w:shd w:val="clear" w:color="auto" w:fill="auto"/>
            <w:noWrap/>
            <w:vAlign w:val="center"/>
            <w:hideMark/>
          </w:tcPr>
          <w:p w14:paraId="2C535BF5" w14:textId="62A2E8BA" w:rsidR="00362078" w:rsidRPr="00362078" w:rsidRDefault="00362078" w:rsidP="003619DD">
            <w:pPr>
              <w:spacing w:line="240" w:lineRule="auto"/>
              <w:jc w:val="center"/>
              <w:rPr>
                <w:sz w:val="20"/>
                <w:szCs w:val="20"/>
              </w:rPr>
            </w:pPr>
            <w:r w:rsidRPr="00362078">
              <w:rPr>
                <w:sz w:val="20"/>
                <w:szCs w:val="20"/>
              </w:rPr>
              <w:t>Baseline</w:t>
            </w:r>
          </w:p>
        </w:tc>
        <w:tc>
          <w:tcPr>
            <w:tcW w:w="1573" w:type="dxa"/>
            <w:tcBorders>
              <w:top w:val="single" w:sz="4" w:space="0" w:color="auto"/>
            </w:tcBorders>
            <w:shd w:val="clear" w:color="auto" w:fill="auto"/>
            <w:noWrap/>
            <w:vAlign w:val="center"/>
            <w:hideMark/>
          </w:tcPr>
          <w:p w14:paraId="73B39B40" w14:textId="77777777" w:rsidR="00362078" w:rsidRPr="00362078" w:rsidRDefault="00362078" w:rsidP="003619DD">
            <w:pPr>
              <w:spacing w:line="240" w:lineRule="auto"/>
              <w:jc w:val="center"/>
              <w:rPr>
                <w:sz w:val="20"/>
                <w:szCs w:val="20"/>
              </w:rPr>
            </w:pPr>
            <w:r w:rsidRPr="00362078">
              <w:rPr>
                <w:sz w:val="20"/>
                <w:szCs w:val="20"/>
              </w:rPr>
              <w:t>0.0</w:t>
            </w:r>
          </w:p>
        </w:tc>
      </w:tr>
      <w:tr w:rsidR="003619DD" w:rsidRPr="003619DD" w14:paraId="7AF2E6B3" w14:textId="77777777" w:rsidTr="003619DD">
        <w:trPr>
          <w:trHeight w:val="320"/>
          <w:jc w:val="center"/>
        </w:trPr>
        <w:tc>
          <w:tcPr>
            <w:tcW w:w="1224" w:type="dxa"/>
            <w:vAlign w:val="center"/>
          </w:tcPr>
          <w:p w14:paraId="1F5AABD6" w14:textId="2C662FCF" w:rsidR="003619DD" w:rsidRPr="00362078" w:rsidRDefault="003619DD" w:rsidP="003619DD">
            <w:pPr>
              <w:spacing w:line="240" w:lineRule="auto"/>
              <w:jc w:val="center"/>
              <w:rPr>
                <w:sz w:val="20"/>
                <w:szCs w:val="20"/>
              </w:rPr>
            </w:pPr>
            <w:r w:rsidRPr="00362078">
              <w:rPr>
                <w:sz w:val="20"/>
                <w:szCs w:val="20"/>
              </w:rPr>
              <w:t>0.2</w:t>
            </w:r>
          </w:p>
        </w:tc>
        <w:tc>
          <w:tcPr>
            <w:tcW w:w="1224" w:type="dxa"/>
            <w:vAlign w:val="center"/>
          </w:tcPr>
          <w:p w14:paraId="31E1C814" w14:textId="27D38388" w:rsidR="003619DD" w:rsidRPr="00362078" w:rsidRDefault="003619DD" w:rsidP="003619DD">
            <w:pPr>
              <w:spacing w:line="240" w:lineRule="auto"/>
              <w:jc w:val="center"/>
              <w:rPr>
                <w:sz w:val="20"/>
                <w:szCs w:val="20"/>
              </w:rPr>
            </w:pPr>
            <w:r>
              <w:rPr>
                <w:sz w:val="20"/>
                <w:szCs w:val="20"/>
              </w:rPr>
              <w:t>160</w:t>
            </w:r>
          </w:p>
        </w:tc>
        <w:tc>
          <w:tcPr>
            <w:tcW w:w="1224" w:type="dxa"/>
            <w:shd w:val="clear" w:color="auto" w:fill="auto"/>
            <w:noWrap/>
            <w:vAlign w:val="center"/>
            <w:hideMark/>
          </w:tcPr>
          <w:p w14:paraId="3970554A" w14:textId="08C4BC42" w:rsidR="003619DD" w:rsidRPr="00362078" w:rsidRDefault="003619DD" w:rsidP="003619DD">
            <w:pPr>
              <w:spacing w:line="240" w:lineRule="auto"/>
              <w:jc w:val="center"/>
              <w:rPr>
                <w:sz w:val="20"/>
                <w:szCs w:val="20"/>
              </w:rPr>
            </w:pPr>
            <w:r w:rsidRPr="00362078">
              <w:rPr>
                <w:sz w:val="20"/>
                <w:szCs w:val="20"/>
              </w:rPr>
              <w:t>DWP=0.</w:t>
            </w:r>
            <w:r>
              <w:rPr>
                <w:sz w:val="20"/>
                <w:szCs w:val="20"/>
              </w:rPr>
              <w:t>8</w:t>
            </w:r>
            <w:r w:rsidRPr="00362078">
              <w:rPr>
                <w:sz w:val="20"/>
                <w:szCs w:val="20"/>
              </w:rPr>
              <w:t>0</w:t>
            </w:r>
          </w:p>
        </w:tc>
        <w:tc>
          <w:tcPr>
            <w:tcW w:w="1573" w:type="dxa"/>
            <w:shd w:val="clear" w:color="auto" w:fill="auto"/>
            <w:noWrap/>
            <w:vAlign w:val="center"/>
          </w:tcPr>
          <w:p w14:paraId="3F17465B" w14:textId="2691BB69" w:rsidR="003619DD" w:rsidRPr="00362078" w:rsidRDefault="003619DD" w:rsidP="003619DD">
            <w:pPr>
              <w:spacing w:line="240" w:lineRule="auto"/>
              <w:jc w:val="center"/>
              <w:rPr>
                <w:sz w:val="20"/>
                <w:szCs w:val="20"/>
              </w:rPr>
            </w:pPr>
            <w:r w:rsidRPr="003619DD">
              <w:rPr>
                <w:sz w:val="20"/>
                <w:szCs w:val="20"/>
              </w:rPr>
              <w:t>18.</w:t>
            </w:r>
            <w:r>
              <w:rPr>
                <w:sz w:val="20"/>
                <w:szCs w:val="20"/>
              </w:rPr>
              <w:t>8 (17.5-</w:t>
            </w:r>
            <w:r w:rsidR="006F6121">
              <w:rPr>
                <w:sz w:val="20"/>
                <w:szCs w:val="20"/>
              </w:rPr>
              <w:t>20.4)</w:t>
            </w:r>
          </w:p>
        </w:tc>
      </w:tr>
      <w:tr w:rsidR="003619DD" w:rsidRPr="003619DD" w14:paraId="534E5194" w14:textId="77777777" w:rsidTr="003619DD">
        <w:trPr>
          <w:trHeight w:val="320"/>
          <w:jc w:val="center"/>
        </w:trPr>
        <w:tc>
          <w:tcPr>
            <w:tcW w:w="1224" w:type="dxa"/>
            <w:vAlign w:val="center"/>
          </w:tcPr>
          <w:p w14:paraId="4589ED0C" w14:textId="6744EBD1" w:rsidR="003619DD" w:rsidRPr="00362078" w:rsidRDefault="003619DD" w:rsidP="003619DD">
            <w:pPr>
              <w:spacing w:line="240" w:lineRule="auto"/>
              <w:jc w:val="center"/>
              <w:rPr>
                <w:sz w:val="20"/>
                <w:szCs w:val="20"/>
              </w:rPr>
            </w:pPr>
            <w:r w:rsidRPr="00362078">
              <w:rPr>
                <w:sz w:val="20"/>
                <w:szCs w:val="20"/>
              </w:rPr>
              <w:t>0.2</w:t>
            </w:r>
          </w:p>
        </w:tc>
        <w:tc>
          <w:tcPr>
            <w:tcW w:w="1224" w:type="dxa"/>
            <w:vAlign w:val="center"/>
          </w:tcPr>
          <w:p w14:paraId="59E31DEA" w14:textId="7869C20F" w:rsidR="003619DD" w:rsidRPr="00362078" w:rsidRDefault="003619DD" w:rsidP="003619DD">
            <w:pPr>
              <w:spacing w:line="240" w:lineRule="auto"/>
              <w:jc w:val="center"/>
              <w:rPr>
                <w:sz w:val="20"/>
                <w:szCs w:val="20"/>
              </w:rPr>
            </w:pPr>
            <w:r>
              <w:rPr>
                <w:sz w:val="20"/>
                <w:szCs w:val="20"/>
              </w:rPr>
              <w:t>160</w:t>
            </w:r>
          </w:p>
        </w:tc>
        <w:tc>
          <w:tcPr>
            <w:tcW w:w="1224" w:type="dxa"/>
            <w:shd w:val="clear" w:color="auto" w:fill="auto"/>
            <w:noWrap/>
            <w:vAlign w:val="center"/>
            <w:hideMark/>
          </w:tcPr>
          <w:p w14:paraId="53895278" w14:textId="32AD230E" w:rsidR="003619DD" w:rsidRPr="00362078" w:rsidRDefault="003619DD" w:rsidP="003619DD">
            <w:pPr>
              <w:spacing w:line="240" w:lineRule="auto"/>
              <w:jc w:val="center"/>
              <w:rPr>
                <w:sz w:val="20"/>
                <w:szCs w:val="20"/>
              </w:rPr>
            </w:pPr>
            <w:r w:rsidRPr="00362078">
              <w:rPr>
                <w:sz w:val="20"/>
                <w:szCs w:val="20"/>
              </w:rPr>
              <w:t>DWP=0.50</w:t>
            </w:r>
          </w:p>
        </w:tc>
        <w:tc>
          <w:tcPr>
            <w:tcW w:w="1573" w:type="dxa"/>
            <w:shd w:val="clear" w:color="auto" w:fill="auto"/>
            <w:noWrap/>
            <w:vAlign w:val="center"/>
          </w:tcPr>
          <w:p w14:paraId="06465598" w14:textId="36DB86AB" w:rsidR="003619DD" w:rsidRPr="00362078" w:rsidRDefault="003619DD" w:rsidP="003619DD">
            <w:pPr>
              <w:spacing w:line="240" w:lineRule="auto"/>
              <w:jc w:val="center"/>
              <w:rPr>
                <w:sz w:val="20"/>
                <w:szCs w:val="20"/>
              </w:rPr>
            </w:pPr>
            <w:r w:rsidRPr="003619DD">
              <w:rPr>
                <w:sz w:val="20"/>
                <w:szCs w:val="20"/>
              </w:rPr>
              <w:t>30.0</w:t>
            </w:r>
            <w:r w:rsidR="006F6121">
              <w:rPr>
                <w:sz w:val="20"/>
                <w:szCs w:val="20"/>
              </w:rPr>
              <w:t xml:space="preserve"> (27.7-32.9)</w:t>
            </w:r>
          </w:p>
        </w:tc>
      </w:tr>
      <w:tr w:rsidR="003619DD" w:rsidRPr="003619DD" w14:paraId="1A9CAD7D" w14:textId="77777777" w:rsidTr="003619DD">
        <w:trPr>
          <w:trHeight w:val="320"/>
          <w:jc w:val="center"/>
        </w:trPr>
        <w:tc>
          <w:tcPr>
            <w:tcW w:w="1224" w:type="dxa"/>
            <w:vAlign w:val="center"/>
          </w:tcPr>
          <w:p w14:paraId="5BE75DDB" w14:textId="5A17A60A" w:rsidR="003619DD" w:rsidRPr="00362078" w:rsidRDefault="003619DD" w:rsidP="003619DD">
            <w:pPr>
              <w:spacing w:line="240" w:lineRule="auto"/>
              <w:jc w:val="center"/>
              <w:rPr>
                <w:sz w:val="20"/>
                <w:szCs w:val="20"/>
              </w:rPr>
            </w:pPr>
            <w:r w:rsidRPr="00362078">
              <w:rPr>
                <w:sz w:val="20"/>
                <w:szCs w:val="20"/>
              </w:rPr>
              <w:t>0.3</w:t>
            </w:r>
          </w:p>
        </w:tc>
        <w:tc>
          <w:tcPr>
            <w:tcW w:w="1224" w:type="dxa"/>
            <w:vAlign w:val="center"/>
          </w:tcPr>
          <w:p w14:paraId="7D790191" w14:textId="0C46A87F" w:rsidR="003619DD" w:rsidRPr="00362078" w:rsidRDefault="003619DD" w:rsidP="003619DD">
            <w:pPr>
              <w:spacing w:line="240" w:lineRule="auto"/>
              <w:jc w:val="center"/>
              <w:rPr>
                <w:sz w:val="20"/>
                <w:szCs w:val="20"/>
              </w:rPr>
            </w:pPr>
            <w:r>
              <w:rPr>
                <w:sz w:val="20"/>
                <w:szCs w:val="20"/>
              </w:rPr>
              <w:t>240</w:t>
            </w:r>
          </w:p>
        </w:tc>
        <w:tc>
          <w:tcPr>
            <w:tcW w:w="1224" w:type="dxa"/>
            <w:shd w:val="clear" w:color="auto" w:fill="auto"/>
            <w:noWrap/>
            <w:vAlign w:val="center"/>
            <w:hideMark/>
          </w:tcPr>
          <w:p w14:paraId="7B0609D3" w14:textId="5EB6D8C6" w:rsidR="003619DD" w:rsidRPr="00362078" w:rsidRDefault="003619DD" w:rsidP="003619DD">
            <w:pPr>
              <w:spacing w:line="240" w:lineRule="auto"/>
              <w:jc w:val="center"/>
              <w:rPr>
                <w:sz w:val="20"/>
                <w:szCs w:val="20"/>
              </w:rPr>
            </w:pPr>
            <w:r w:rsidRPr="00362078">
              <w:rPr>
                <w:sz w:val="20"/>
                <w:szCs w:val="20"/>
              </w:rPr>
              <w:t>DWP=0.</w:t>
            </w:r>
            <w:r>
              <w:rPr>
                <w:sz w:val="20"/>
                <w:szCs w:val="20"/>
              </w:rPr>
              <w:t>8</w:t>
            </w:r>
            <w:r w:rsidRPr="00362078">
              <w:rPr>
                <w:sz w:val="20"/>
                <w:szCs w:val="20"/>
              </w:rPr>
              <w:t>0</w:t>
            </w:r>
          </w:p>
        </w:tc>
        <w:tc>
          <w:tcPr>
            <w:tcW w:w="1573" w:type="dxa"/>
            <w:shd w:val="clear" w:color="auto" w:fill="auto"/>
            <w:noWrap/>
            <w:vAlign w:val="center"/>
          </w:tcPr>
          <w:p w14:paraId="7ED709B7" w14:textId="5158E31C" w:rsidR="003619DD" w:rsidRPr="00362078" w:rsidRDefault="003619DD" w:rsidP="003619DD">
            <w:pPr>
              <w:spacing w:line="240" w:lineRule="auto"/>
              <w:jc w:val="center"/>
              <w:rPr>
                <w:sz w:val="20"/>
                <w:szCs w:val="20"/>
              </w:rPr>
            </w:pPr>
            <w:r w:rsidRPr="003619DD">
              <w:rPr>
                <w:sz w:val="20"/>
                <w:szCs w:val="20"/>
              </w:rPr>
              <w:t>12.6</w:t>
            </w:r>
            <w:r w:rsidR="006F6121">
              <w:rPr>
                <w:sz w:val="20"/>
                <w:szCs w:val="20"/>
              </w:rPr>
              <w:t xml:space="preserve"> (11.6-13.6)</w:t>
            </w:r>
          </w:p>
        </w:tc>
      </w:tr>
      <w:tr w:rsidR="003619DD" w:rsidRPr="003619DD" w14:paraId="771D2C9F" w14:textId="77777777" w:rsidTr="003619DD">
        <w:trPr>
          <w:trHeight w:val="320"/>
          <w:jc w:val="center"/>
        </w:trPr>
        <w:tc>
          <w:tcPr>
            <w:tcW w:w="1224" w:type="dxa"/>
            <w:vAlign w:val="center"/>
          </w:tcPr>
          <w:p w14:paraId="1C91884D" w14:textId="5849A3CD" w:rsidR="003619DD" w:rsidRPr="00362078" w:rsidRDefault="003619DD" w:rsidP="003619DD">
            <w:pPr>
              <w:spacing w:line="240" w:lineRule="auto"/>
              <w:jc w:val="center"/>
              <w:rPr>
                <w:sz w:val="20"/>
                <w:szCs w:val="20"/>
              </w:rPr>
            </w:pPr>
            <w:r w:rsidRPr="00362078">
              <w:rPr>
                <w:sz w:val="20"/>
                <w:szCs w:val="20"/>
              </w:rPr>
              <w:t>0.3</w:t>
            </w:r>
          </w:p>
        </w:tc>
        <w:tc>
          <w:tcPr>
            <w:tcW w:w="1224" w:type="dxa"/>
            <w:vAlign w:val="center"/>
          </w:tcPr>
          <w:p w14:paraId="35F07274" w14:textId="0DBACB1C" w:rsidR="003619DD" w:rsidRPr="00362078" w:rsidRDefault="003619DD" w:rsidP="003619DD">
            <w:pPr>
              <w:spacing w:line="240" w:lineRule="auto"/>
              <w:jc w:val="center"/>
              <w:rPr>
                <w:sz w:val="20"/>
                <w:szCs w:val="20"/>
              </w:rPr>
            </w:pPr>
            <w:r>
              <w:rPr>
                <w:sz w:val="20"/>
                <w:szCs w:val="20"/>
              </w:rPr>
              <w:t>240</w:t>
            </w:r>
          </w:p>
        </w:tc>
        <w:tc>
          <w:tcPr>
            <w:tcW w:w="1224" w:type="dxa"/>
            <w:shd w:val="clear" w:color="auto" w:fill="auto"/>
            <w:noWrap/>
            <w:vAlign w:val="center"/>
            <w:hideMark/>
          </w:tcPr>
          <w:p w14:paraId="07B85F91" w14:textId="4BDE0630" w:rsidR="003619DD" w:rsidRPr="00362078" w:rsidRDefault="003619DD" w:rsidP="003619DD">
            <w:pPr>
              <w:spacing w:line="240" w:lineRule="auto"/>
              <w:jc w:val="center"/>
              <w:rPr>
                <w:sz w:val="20"/>
                <w:szCs w:val="20"/>
              </w:rPr>
            </w:pPr>
            <w:r w:rsidRPr="00362078">
              <w:rPr>
                <w:sz w:val="20"/>
                <w:szCs w:val="20"/>
              </w:rPr>
              <w:t>DWP=0.50</w:t>
            </w:r>
          </w:p>
        </w:tc>
        <w:tc>
          <w:tcPr>
            <w:tcW w:w="1573" w:type="dxa"/>
            <w:shd w:val="clear" w:color="auto" w:fill="auto"/>
            <w:noWrap/>
            <w:vAlign w:val="center"/>
          </w:tcPr>
          <w:p w14:paraId="6B3BFB1B" w14:textId="728D4A95" w:rsidR="003619DD" w:rsidRPr="00362078" w:rsidRDefault="003619DD" w:rsidP="003619DD">
            <w:pPr>
              <w:spacing w:line="240" w:lineRule="auto"/>
              <w:jc w:val="center"/>
              <w:rPr>
                <w:sz w:val="20"/>
                <w:szCs w:val="20"/>
              </w:rPr>
            </w:pPr>
            <w:r w:rsidRPr="003619DD">
              <w:rPr>
                <w:sz w:val="20"/>
                <w:szCs w:val="20"/>
              </w:rPr>
              <w:t>20.0</w:t>
            </w:r>
            <w:r>
              <w:rPr>
                <w:sz w:val="20"/>
                <w:szCs w:val="20"/>
              </w:rPr>
              <w:t xml:space="preserve"> (18.5-21.9)</w:t>
            </w:r>
          </w:p>
        </w:tc>
      </w:tr>
      <w:tr w:rsidR="003619DD" w:rsidRPr="003619DD" w14:paraId="4D93DE97" w14:textId="77777777" w:rsidTr="003619DD">
        <w:trPr>
          <w:trHeight w:val="320"/>
          <w:jc w:val="center"/>
        </w:trPr>
        <w:tc>
          <w:tcPr>
            <w:tcW w:w="1224" w:type="dxa"/>
            <w:tcBorders>
              <w:bottom w:val="nil"/>
            </w:tcBorders>
            <w:vAlign w:val="center"/>
          </w:tcPr>
          <w:p w14:paraId="634A0296" w14:textId="1C1DC4F8" w:rsidR="003619DD" w:rsidRPr="00362078" w:rsidRDefault="003619DD" w:rsidP="003619DD">
            <w:pPr>
              <w:spacing w:line="240" w:lineRule="auto"/>
              <w:jc w:val="center"/>
              <w:rPr>
                <w:sz w:val="20"/>
                <w:szCs w:val="20"/>
              </w:rPr>
            </w:pPr>
            <w:r w:rsidRPr="00362078">
              <w:rPr>
                <w:sz w:val="20"/>
                <w:szCs w:val="20"/>
              </w:rPr>
              <w:t>0.4</w:t>
            </w:r>
          </w:p>
        </w:tc>
        <w:tc>
          <w:tcPr>
            <w:tcW w:w="1224" w:type="dxa"/>
            <w:tcBorders>
              <w:bottom w:val="nil"/>
            </w:tcBorders>
            <w:vAlign w:val="center"/>
          </w:tcPr>
          <w:p w14:paraId="5C930EFC" w14:textId="520EA2C6" w:rsidR="003619DD" w:rsidRPr="00362078" w:rsidRDefault="003619DD" w:rsidP="003619DD">
            <w:pPr>
              <w:spacing w:line="240" w:lineRule="auto"/>
              <w:jc w:val="center"/>
              <w:rPr>
                <w:sz w:val="20"/>
                <w:szCs w:val="20"/>
              </w:rPr>
            </w:pPr>
            <w:r>
              <w:rPr>
                <w:sz w:val="20"/>
                <w:szCs w:val="20"/>
              </w:rPr>
              <w:t>320</w:t>
            </w:r>
          </w:p>
        </w:tc>
        <w:tc>
          <w:tcPr>
            <w:tcW w:w="1224" w:type="dxa"/>
            <w:tcBorders>
              <w:bottom w:val="nil"/>
            </w:tcBorders>
            <w:shd w:val="clear" w:color="auto" w:fill="auto"/>
            <w:noWrap/>
            <w:vAlign w:val="center"/>
            <w:hideMark/>
          </w:tcPr>
          <w:p w14:paraId="68BB3E29" w14:textId="605AAF1E" w:rsidR="003619DD" w:rsidRPr="00362078" w:rsidRDefault="003619DD" w:rsidP="003619DD">
            <w:pPr>
              <w:spacing w:line="240" w:lineRule="auto"/>
              <w:jc w:val="center"/>
              <w:rPr>
                <w:sz w:val="20"/>
                <w:szCs w:val="20"/>
              </w:rPr>
            </w:pPr>
            <w:r w:rsidRPr="00362078">
              <w:rPr>
                <w:sz w:val="20"/>
                <w:szCs w:val="20"/>
              </w:rPr>
              <w:t>DWP=0.</w:t>
            </w:r>
            <w:r>
              <w:rPr>
                <w:sz w:val="20"/>
                <w:szCs w:val="20"/>
              </w:rPr>
              <w:t>8</w:t>
            </w:r>
            <w:r w:rsidRPr="00362078">
              <w:rPr>
                <w:sz w:val="20"/>
                <w:szCs w:val="20"/>
              </w:rPr>
              <w:t>0</w:t>
            </w:r>
          </w:p>
        </w:tc>
        <w:tc>
          <w:tcPr>
            <w:tcW w:w="1573" w:type="dxa"/>
            <w:tcBorders>
              <w:bottom w:val="nil"/>
            </w:tcBorders>
            <w:shd w:val="clear" w:color="auto" w:fill="auto"/>
            <w:noWrap/>
            <w:vAlign w:val="center"/>
          </w:tcPr>
          <w:p w14:paraId="6D4D67CC" w14:textId="38015520" w:rsidR="003619DD" w:rsidRPr="00362078" w:rsidRDefault="003619DD" w:rsidP="003619DD">
            <w:pPr>
              <w:spacing w:line="240" w:lineRule="auto"/>
              <w:jc w:val="center"/>
              <w:rPr>
                <w:sz w:val="20"/>
                <w:szCs w:val="20"/>
              </w:rPr>
            </w:pPr>
            <w:r w:rsidRPr="003619DD">
              <w:rPr>
                <w:sz w:val="20"/>
                <w:szCs w:val="20"/>
              </w:rPr>
              <w:t>9.4</w:t>
            </w:r>
            <w:r w:rsidR="006F6121">
              <w:rPr>
                <w:sz w:val="20"/>
                <w:szCs w:val="20"/>
              </w:rPr>
              <w:t xml:space="preserve"> (8.7-10.2)</w:t>
            </w:r>
          </w:p>
        </w:tc>
      </w:tr>
      <w:tr w:rsidR="003619DD" w:rsidRPr="003619DD" w14:paraId="6CA0C7AA" w14:textId="77777777" w:rsidTr="003619DD">
        <w:trPr>
          <w:trHeight w:val="320"/>
          <w:jc w:val="center"/>
        </w:trPr>
        <w:tc>
          <w:tcPr>
            <w:tcW w:w="1224" w:type="dxa"/>
            <w:tcBorders>
              <w:top w:val="nil"/>
              <w:bottom w:val="single" w:sz="4" w:space="0" w:color="auto"/>
            </w:tcBorders>
            <w:vAlign w:val="center"/>
          </w:tcPr>
          <w:p w14:paraId="4E6F485B" w14:textId="3D1A1B3C" w:rsidR="003619DD" w:rsidRPr="00362078" w:rsidRDefault="003619DD" w:rsidP="003619DD">
            <w:pPr>
              <w:spacing w:line="240" w:lineRule="auto"/>
              <w:jc w:val="center"/>
              <w:rPr>
                <w:sz w:val="20"/>
                <w:szCs w:val="20"/>
              </w:rPr>
            </w:pPr>
            <w:r w:rsidRPr="00362078">
              <w:rPr>
                <w:sz w:val="20"/>
                <w:szCs w:val="20"/>
              </w:rPr>
              <w:t>0.4</w:t>
            </w:r>
          </w:p>
        </w:tc>
        <w:tc>
          <w:tcPr>
            <w:tcW w:w="1224" w:type="dxa"/>
            <w:tcBorders>
              <w:top w:val="nil"/>
              <w:bottom w:val="single" w:sz="4" w:space="0" w:color="auto"/>
            </w:tcBorders>
            <w:vAlign w:val="center"/>
          </w:tcPr>
          <w:p w14:paraId="35CBE9C8" w14:textId="16876936" w:rsidR="003619DD" w:rsidRPr="00362078" w:rsidRDefault="003619DD" w:rsidP="003619DD">
            <w:pPr>
              <w:spacing w:line="240" w:lineRule="auto"/>
              <w:jc w:val="center"/>
              <w:rPr>
                <w:sz w:val="20"/>
                <w:szCs w:val="20"/>
              </w:rPr>
            </w:pPr>
            <w:r>
              <w:rPr>
                <w:sz w:val="20"/>
                <w:szCs w:val="20"/>
              </w:rPr>
              <w:t>320</w:t>
            </w:r>
          </w:p>
        </w:tc>
        <w:tc>
          <w:tcPr>
            <w:tcW w:w="1224" w:type="dxa"/>
            <w:tcBorders>
              <w:top w:val="nil"/>
              <w:bottom w:val="single" w:sz="4" w:space="0" w:color="auto"/>
            </w:tcBorders>
            <w:shd w:val="clear" w:color="auto" w:fill="auto"/>
            <w:noWrap/>
            <w:vAlign w:val="center"/>
            <w:hideMark/>
          </w:tcPr>
          <w:p w14:paraId="3CCF2CD5" w14:textId="6EF05960" w:rsidR="003619DD" w:rsidRPr="00362078" w:rsidRDefault="003619DD" w:rsidP="003619DD">
            <w:pPr>
              <w:spacing w:line="240" w:lineRule="auto"/>
              <w:jc w:val="center"/>
              <w:rPr>
                <w:sz w:val="20"/>
                <w:szCs w:val="20"/>
              </w:rPr>
            </w:pPr>
            <w:r w:rsidRPr="00362078">
              <w:rPr>
                <w:sz w:val="20"/>
                <w:szCs w:val="20"/>
              </w:rPr>
              <w:t>DWP=0.50</w:t>
            </w:r>
          </w:p>
        </w:tc>
        <w:tc>
          <w:tcPr>
            <w:tcW w:w="1573" w:type="dxa"/>
            <w:tcBorders>
              <w:top w:val="nil"/>
              <w:bottom w:val="single" w:sz="4" w:space="0" w:color="auto"/>
            </w:tcBorders>
            <w:shd w:val="clear" w:color="auto" w:fill="auto"/>
            <w:noWrap/>
            <w:vAlign w:val="center"/>
          </w:tcPr>
          <w:p w14:paraId="38C4B000" w14:textId="34ECDB9D" w:rsidR="003619DD" w:rsidRPr="00362078" w:rsidRDefault="003619DD" w:rsidP="003619DD">
            <w:pPr>
              <w:spacing w:line="240" w:lineRule="auto"/>
              <w:jc w:val="center"/>
              <w:rPr>
                <w:sz w:val="20"/>
                <w:szCs w:val="20"/>
              </w:rPr>
            </w:pPr>
            <w:r w:rsidRPr="003619DD">
              <w:rPr>
                <w:sz w:val="20"/>
                <w:szCs w:val="20"/>
              </w:rPr>
              <w:t>15.0</w:t>
            </w:r>
            <w:r w:rsidR="006F6121">
              <w:rPr>
                <w:sz w:val="20"/>
                <w:szCs w:val="20"/>
              </w:rPr>
              <w:t xml:space="preserve"> (13.8-16.4)</w:t>
            </w:r>
          </w:p>
        </w:tc>
      </w:tr>
    </w:tbl>
    <w:p w14:paraId="4EFAD87A" w14:textId="77777777" w:rsidR="00726E9E" w:rsidRDefault="00726E9E" w:rsidP="00A135FB">
      <w:pPr>
        <w:pStyle w:val="Heading2"/>
      </w:pPr>
      <w:r>
        <w:br w:type="page"/>
      </w:r>
    </w:p>
    <w:p w14:paraId="4136FCB6" w14:textId="4E287663" w:rsidR="00617D40" w:rsidRDefault="00FC5181" w:rsidP="00A135FB">
      <w:pPr>
        <w:pStyle w:val="Heading2"/>
      </w:pPr>
      <w:r w:rsidRPr="00F65460">
        <w:lastRenderedPageBreak/>
        <w:t>S</w:t>
      </w:r>
      <w:r w:rsidR="00E1391D">
        <w:t>2</w:t>
      </w:r>
      <w:r w:rsidRPr="00F65460">
        <w:t xml:space="preserve"> </w:t>
      </w:r>
      <w:r w:rsidR="00F65460">
        <w:t>–</w:t>
      </w:r>
      <w:r w:rsidR="00726E9E">
        <w:t xml:space="preserve"> </w:t>
      </w:r>
      <w:r w:rsidRPr="00F65460">
        <w:t>VORTEX settings</w:t>
      </w:r>
    </w:p>
    <w:p w14:paraId="7D8C7F5A" w14:textId="58CEB5B8" w:rsidR="00F65460" w:rsidRPr="00B0658F" w:rsidRDefault="00F65460" w:rsidP="00DA1B2C">
      <w:pPr>
        <w:pStyle w:val="NoSpacing"/>
      </w:pPr>
      <w:r w:rsidRPr="00B0658F">
        <w:t xml:space="preserve">Table </w:t>
      </w:r>
      <w:r>
        <w:t>S</w:t>
      </w:r>
      <w:r w:rsidR="00726E9E">
        <w:t>3</w:t>
      </w:r>
      <w:r w:rsidR="00E1391D">
        <w:t>2</w:t>
      </w:r>
      <w:r>
        <w:t>1</w:t>
      </w:r>
      <w:r w:rsidRPr="00B0658F">
        <w:t xml:space="preserve">. </w:t>
      </w:r>
      <w:r w:rsidRPr="008348B2">
        <w:rPr>
          <w:i/>
          <w:smallCaps/>
          <w:sz w:val="24"/>
          <w:szCs w:val="24"/>
          <w:lang w:val="en-GB"/>
        </w:rPr>
        <w:t>Vortex</w:t>
      </w:r>
      <w:r w:rsidRPr="00B0658F">
        <w:t xml:space="preserve"> parameter inputs for the baseline </w:t>
      </w:r>
      <w:r>
        <w:t xml:space="preserve">of the </w:t>
      </w:r>
      <w:r w:rsidRPr="00B0658F">
        <w:t>giant anteater (</w:t>
      </w:r>
      <w:r w:rsidRPr="00B0658F">
        <w:rPr>
          <w:i/>
        </w:rPr>
        <w:t>Myrmecophaga tridactyla</w:t>
      </w:r>
      <w:r w:rsidRPr="00B0658F">
        <w:t>) population mode</w:t>
      </w:r>
      <w:r>
        <w:t>l, adapted from Desbiez et.al. (2021).</w:t>
      </w:r>
    </w:p>
    <w:tbl>
      <w:tblPr>
        <w:tblW w:w="6645" w:type="dxa"/>
        <w:tblLook w:val="04A0" w:firstRow="1" w:lastRow="0" w:firstColumn="1" w:lastColumn="0" w:noHBand="0" w:noVBand="1"/>
      </w:tblPr>
      <w:tblGrid>
        <w:gridCol w:w="4365"/>
        <w:gridCol w:w="2280"/>
      </w:tblGrid>
      <w:tr w:rsidR="00DA1B2C" w:rsidRPr="001B2718" w14:paraId="46A2C248" w14:textId="77777777" w:rsidTr="00DA1B2C">
        <w:trPr>
          <w:trHeight w:val="340"/>
        </w:trPr>
        <w:tc>
          <w:tcPr>
            <w:tcW w:w="4365" w:type="dxa"/>
            <w:tcBorders>
              <w:top w:val="single" w:sz="8" w:space="0" w:color="auto"/>
              <w:left w:val="nil"/>
              <w:bottom w:val="single" w:sz="8" w:space="0" w:color="auto"/>
              <w:right w:val="nil"/>
            </w:tcBorders>
            <w:shd w:val="clear" w:color="auto" w:fill="auto"/>
            <w:noWrap/>
            <w:vAlign w:val="center"/>
            <w:hideMark/>
          </w:tcPr>
          <w:p w14:paraId="36266058" w14:textId="77777777" w:rsidR="00DA1B2C" w:rsidRPr="001B2718" w:rsidRDefault="00DA1B2C" w:rsidP="001B2718">
            <w:pPr>
              <w:spacing w:line="240" w:lineRule="auto"/>
              <w:rPr>
                <w:b/>
                <w:bCs/>
                <w:sz w:val="20"/>
                <w:szCs w:val="20"/>
              </w:rPr>
            </w:pPr>
            <w:r w:rsidRPr="001B2718">
              <w:rPr>
                <w:b/>
                <w:bCs/>
                <w:sz w:val="20"/>
                <w:szCs w:val="20"/>
              </w:rPr>
              <w:t>Parameter</w:t>
            </w:r>
          </w:p>
        </w:tc>
        <w:tc>
          <w:tcPr>
            <w:tcW w:w="2280" w:type="dxa"/>
            <w:tcBorders>
              <w:top w:val="single" w:sz="8" w:space="0" w:color="auto"/>
              <w:left w:val="nil"/>
              <w:bottom w:val="single" w:sz="8" w:space="0" w:color="auto"/>
              <w:right w:val="nil"/>
            </w:tcBorders>
            <w:shd w:val="clear" w:color="auto" w:fill="auto"/>
            <w:vAlign w:val="center"/>
            <w:hideMark/>
          </w:tcPr>
          <w:p w14:paraId="794AD38D" w14:textId="77777777" w:rsidR="00DA1B2C" w:rsidRPr="001B2718" w:rsidRDefault="00DA1B2C" w:rsidP="001B2718">
            <w:pPr>
              <w:spacing w:line="240" w:lineRule="auto"/>
              <w:rPr>
                <w:b/>
                <w:bCs/>
                <w:sz w:val="20"/>
                <w:szCs w:val="20"/>
              </w:rPr>
            </w:pPr>
            <w:r w:rsidRPr="001B2718">
              <w:rPr>
                <w:b/>
                <w:bCs/>
                <w:sz w:val="20"/>
                <w:szCs w:val="20"/>
              </w:rPr>
              <w:t>Value</w:t>
            </w:r>
          </w:p>
        </w:tc>
      </w:tr>
      <w:tr w:rsidR="00DA1B2C" w:rsidRPr="001B2718" w14:paraId="5164584B" w14:textId="77777777" w:rsidTr="00DA1B2C">
        <w:trPr>
          <w:trHeight w:val="340"/>
        </w:trPr>
        <w:tc>
          <w:tcPr>
            <w:tcW w:w="6645" w:type="dxa"/>
            <w:gridSpan w:val="2"/>
            <w:tcBorders>
              <w:top w:val="single" w:sz="8" w:space="0" w:color="auto"/>
              <w:left w:val="nil"/>
              <w:right w:val="nil"/>
            </w:tcBorders>
            <w:shd w:val="clear" w:color="auto" w:fill="auto"/>
            <w:vAlign w:val="center"/>
            <w:hideMark/>
          </w:tcPr>
          <w:p w14:paraId="6D0419F2" w14:textId="77777777" w:rsidR="00DA1B2C" w:rsidRPr="001B2718" w:rsidRDefault="00DA1B2C" w:rsidP="001B2718">
            <w:pPr>
              <w:spacing w:line="240" w:lineRule="auto"/>
              <w:rPr>
                <w:b/>
                <w:bCs/>
                <w:sz w:val="20"/>
                <w:szCs w:val="20"/>
              </w:rPr>
            </w:pPr>
            <w:r w:rsidRPr="001B2718">
              <w:rPr>
                <w:b/>
                <w:bCs/>
                <w:sz w:val="20"/>
                <w:szCs w:val="20"/>
              </w:rPr>
              <w:t>Species description</w:t>
            </w:r>
          </w:p>
        </w:tc>
      </w:tr>
      <w:tr w:rsidR="00DA1B2C" w:rsidRPr="001B2718" w14:paraId="0A34F6F6" w14:textId="77777777" w:rsidTr="00DA1B2C">
        <w:trPr>
          <w:trHeight w:val="340"/>
        </w:trPr>
        <w:tc>
          <w:tcPr>
            <w:tcW w:w="4365" w:type="dxa"/>
            <w:tcBorders>
              <w:left w:val="nil"/>
              <w:right w:val="nil"/>
            </w:tcBorders>
            <w:shd w:val="clear" w:color="auto" w:fill="auto"/>
            <w:noWrap/>
            <w:vAlign w:val="center"/>
            <w:hideMark/>
          </w:tcPr>
          <w:p w14:paraId="119C06FF" w14:textId="77777777" w:rsidR="00DA1B2C" w:rsidRPr="001B2718" w:rsidRDefault="00DA1B2C" w:rsidP="001B2718">
            <w:pPr>
              <w:spacing w:line="240" w:lineRule="auto"/>
              <w:rPr>
                <w:sz w:val="20"/>
                <w:szCs w:val="20"/>
              </w:rPr>
            </w:pPr>
            <w:r w:rsidRPr="001B2718">
              <w:rPr>
                <w:sz w:val="20"/>
                <w:szCs w:val="20"/>
              </w:rPr>
              <w:t>Inbreeding Depression</w:t>
            </w:r>
          </w:p>
        </w:tc>
        <w:tc>
          <w:tcPr>
            <w:tcW w:w="2280" w:type="dxa"/>
            <w:tcBorders>
              <w:left w:val="nil"/>
              <w:right w:val="nil"/>
            </w:tcBorders>
            <w:shd w:val="clear" w:color="auto" w:fill="auto"/>
            <w:vAlign w:val="center"/>
            <w:hideMark/>
          </w:tcPr>
          <w:p w14:paraId="29C51EA2" w14:textId="77777777" w:rsidR="00DA1B2C" w:rsidRPr="001B2718" w:rsidRDefault="00DA1B2C" w:rsidP="001B2718">
            <w:pPr>
              <w:spacing w:line="240" w:lineRule="auto"/>
              <w:rPr>
                <w:sz w:val="20"/>
                <w:szCs w:val="20"/>
              </w:rPr>
            </w:pPr>
            <w:r w:rsidRPr="001B2718">
              <w:rPr>
                <w:sz w:val="20"/>
                <w:szCs w:val="20"/>
              </w:rPr>
              <w:t> </w:t>
            </w:r>
          </w:p>
        </w:tc>
      </w:tr>
      <w:tr w:rsidR="00DA1B2C" w:rsidRPr="001B2718" w14:paraId="11B9DA7B" w14:textId="77777777" w:rsidTr="00DA1B2C">
        <w:trPr>
          <w:trHeight w:val="340"/>
        </w:trPr>
        <w:tc>
          <w:tcPr>
            <w:tcW w:w="4365" w:type="dxa"/>
            <w:tcBorders>
              <w:left w:val="nil"/>
              <w:right w:val="nil"/>
            </w:tcBorders>
            <w:shd w:val="clear" w:color="auto" w:fill="auto"/>
            <w:noWrap/>
            <w:vAlign w:val="center"/>
            <w:hideMark/>
          </w:tcPr>
          <w:p w14:paraId="2CF2E122" w14:textId="77777777" w:rsidR="00DA1B2C" w:rsidRPr="001B2718" w:rsidRDefault="00DA1B2C" w:rsidP="001B2718">
            <w:pPr>
              <w:spacing w:line="240" w:lineRule="auto"/>
              <w:rPr>
                <w:sz w:val="20"/>
                <w:szCs w:val="20"/>
              </w:rPr>
            </w:pPr>
            <w:r w:rsidRPr="001B2718">
              <w:rPr>
                <w:sz w:val="20"/>
                <w:szCs w:val="20"/>
              </w:rPr>
              <w:t xml:space="preserve">Lethal Equivalent </w:t>
            </w:r>
          </w:p>
        </w:tc>
        <w:tc>
          <w:tcPr>
            <w:tcW w:w="2280" w:type="dxa"/>
            <w:tcBorders>
              <w:left w:val="nil"/>
              <w:right w:val="nil"/>
            </w:tcBorders>
            <w:shd w:val="clear" w:color="auto" w:fill="auto"/>
            <w:vAlign w:val="center"/>
            <w:hideMark/>
          </w:tcPr>
          <w:p w14:paraId="7CB39DCE" w14:textId="77777777" w:rsidR="00DA1B2C" w:rsidRPr="001B2718" w:rsidRDefault="00DA1B2C" w:rsidP="001B2718">
            <w:pPr>
              <w:spacing w:line="240" w:lineRule="auto"/>
              <w:rPr>
                <w:sz w:val="20"/>
                <w:szCs w:val="20"/>
              </w:rPr>
            </w:pPr>
            <w:r w:rsidRPr="001B2718">
              <w:rPr>
                <w:sz w:val="20"/>
                <w:szCs w:val="20"/>
              </w:rPr>
              <w:t>6.29</w:t>
            </w:r>
          </w:p>
        </w:tc>
      </w:tr>
      <w:tr w:rsidR="00DA1B2C" w:rsidRPr="001B2718" w14:paraId="2BECB2E1" w14:textId="77777777" w:rsidTr="00DA1B2C">
        <w:trPr>
          <w:trHeight w:val="340"/>
        </w:trPr>
        <w:tc>
          <w:tcPr>
            <w:tcW w:w="4365" w:type="dxa"/>
            <w:tcBorders>
              <w:left w:val="nil"/>
              <w:right w:val="nil"/>
            </w:tcBorders>
            <w:shd w:val="clear" w:color="auto" w:fill="auto"/>
            <w:noWrap/>
            <w:vAlign w:val="center"/>
            <w:hideMark/>
          </w:tcPr>
          <w:p w14:paraId="21FF50DD" w14:textId="06615742" w:rsidR="00DA1B2C" w:rsidRPr="001B2718" w:rsidRDefault="00DA1B2C" w:rsidP="001B2718">
            <w:pPr>
              <w:spacing w:line="240" w:lineRule="auto"/>
              <w:rPr>
                <w:sz w:val="20"/>
                <w:szCs w:val="20"/>
              </w:rPr>
            </w:pPr>
            <w:r w:rsidRPr="001B2718">
              <w:rPr>
                <w:sz w:val="20"/>
                <w:szCs w:val="20"/>
              </w:rPr>
              <w:t xml:space="preserve">% due to </w:t>
            </w:r>
            <w:r w:rsidR="001D7DF4" w:rsidRPr="001B2718">
              <w:rPr>
                <w:sz w:val="20"/>
                <w:szCs w:val="20"/>
              </w:rPr>
              <w:t xml:space="preserve">recessive </w:t>
            </w:r>
            <w:r w:rsidRPr="001B2718">
              <w:rPr>
                <w:sz w:val="20"/>
                <w:szCs w:val="20"/>
              </w:rPr>
              <w:t>lethal</w:t>
            </w:r>
          </w:p>
        </w:tc>
        <w:tc>
          <w:tcPr>
            <w:tcW w:w="2280" w:type="dxa"/>
            <w:tcBorders>
              <w:left w:val="nil"/>
              <w:right w:val="nil"/>
            </w:tcBorders>
            <w:shd w:val="clear" w:color="auto" w:fill="auto"/>
            <w:vAlign w:val="center"/>
            <w:hideMark/>
          </w:tcPr>
          <w:p w14:paraId="5ACE0041" w14:textId="77777777" w:rsidR="00DA1B2C" w:rsidRPr="001B2718" w:rsidRDefault="00DA1B2C" w:rsidP="001B2718">
            <w:pPr>
              <w:spacing w:line="240" w:lineRule="auto"/>
              <w:rPr>
                <w:sz w:val="20"/>
                <w:szCs w:val="20"/>
              </w:rPr>
            </w:pPr>
            <w:r w:rsidRPr="001B2718">
              <w:rPr>
                <w:sz w:val="20"/>
                <w:szCs w:val="20"/>
              </w:rPr>
              <w:t>50</w:t>
            </w:r>
          </w:p>
        </w:tc>
      </w:tr>
      <w:tr w:rsidR="00DA1B2C" w:rsidRPr="001B2718" w14:paraId="03D57B15" w14:textId="77777777" w:rsidTr="00DA1B2C">
        <w:trPr>
          <w:trHeight w:val="340"/>
        </w:trPr>
        <w:tc>
          <w:tcPr>
            <w:tcW w:w="4365" w:type="dxa"/>
            <w:tcBorders>
              <w:left w:val="nil"/>
              <w:bottom w:val="single" w:sz="8" w:space="0" w:color="auto"/>
              <w:right w:val="nil"/>
            </w:tcBorders>
            <w:shd w:val="clear" w:color="auto" w:fill="auto"/>
            <w:noWrap/>
            <w:vAlign w:val="center"/>
            <w:hideMark/>
          </w:tcPr>
          <w:p w14:paraId="32971F7B" w14:textId="77777777" w:rsidR="00DA1B2C" w:rsidRPr="001B2718" w:rsidRDefault="00DA1B2C" w:rsidP="001B2718">
            <w:pPr>
              <w:spacing w:line="240" w:lineRule="auto"/>
              <w:rPr>
                <w:sz w:val="20"/>
                <w:szCs w:val="20"/>
              </w:rPr>
            </w:pPr>
            <w:r w:rsidRPr="001B2718">
              <w:rPr>
                <w:sz w:val="20"/>
                <w:szCs w:val="20"/>
              </w:rPr>
              <w:t>EV Correlation between reproduction and survival</w:t>
            </w:r>
          </w:p>
        </w:tc>
        <w:tc>
          <w:tcPr>
            <w:tcW w:w="2280" w:type="dxa"/>
            <w:tcBorders>
              <w:left w:val="nil"/>
              <w:bottom w:val="single" w:sz="8" w:space="0" w:color="auto"/>
              <w:right w:val="nil"/>
            </w:tcBorders>
            <w:shd w:val="clear" w:color="auto" w:fill="auto"/>
            <w:vAlign w:val="center"/>
            <w:hideMark/>
          </w:tcPr>
          <w:p w14:paraId="6A9F7EEF" w14:textId="77777777" w:rsidR="00DA1B2C" w:rsidRPr="001B2718" w:rsidRDefault="00DA1B2C" w:rsidP="001B2718">
            <w:pPr>
              <w:spacing w:line="240" w:lineRule="auto"/>
              <w:rPr>
                <w:sz w:val="20"/>
                <w:szCs w:val="20"/>
              </w:rPr>
            </w:pPr>
            <w:r w:rsidRPr="001B2718">
              <w:rPr>
                <w:sz w:val="20"/>
                <w:szCs w:val="20"/>
              </w:rPr>
              <w:t>0.5</w:t>
            </w:r>
          </w:p>
        </w:tc>
      </w:tr>
      <w:tr w:rsidR="00DA1B2C" w:rsidRPr="001B2718" w14:paraId="2DA90327" w14:textId="77777777" w:rsidTr="00DA1B2C">
        <w:trPr>
          <w:trHeight w:val="340"/>
        </w:trPr>
        <w:tc>
          <w:tcPr>
            <w:tcW w:w="6645" w:type="dxa"/>
            <w:gridSpan w:val="2"/>
            <w:tcBorders>
              <w:top w:val="single" w:sz="8" w:space="0" w:color="auto"/>
              <w:left w:val="nil"/>
              <w:right w:val="nil"/>
            </w:tcBorders>
            <w:shd w:val="clear" w:color="auto" w:fill="auto"/>
            <w:vAlign w:val="center"/>
            <w:hideMark/>
          </w:tcPr>
          <w:p w14:paraId="2FDF8974" w14:textId="77777777" w:rsidR="00DA1B2C" w:rsidRPr="001B2718" w:rsidRDefault="00DA1B2C" w:rsidP="001B2718">
            <w:pPr>
              <w:spacing w:line="240" w:lineRule="auto"/>
              <w:rPr>
                <w:b/>
                <w:bCs/>
                <w:sz w:val="20"/>
                <w:szCs w:val="20"/>
              </w:rPr>
            </w:pPr>
            <w:r w:rsidRPr="001B2718">
              <w:rPr>
                <w:b/>
                <w:bCs/>
                <w:sz w:val="20"/>
                <w:szCs w:val="20"/>
              </w:rPr>
              <w:t>Reproductive System </w:t>
            </w:r>
          </w:p>
        </w:tc>
      </w:tr>
      <w:tr w:rsidR="00DA1B2C" w:rsidRPr="001B2718" w14:paraId="35C46E62" w14:textId="77777777" w:rsidTr="00DA1B2C">
        <w:trPr>
          <w:trHeight w:val="340"/>
        </w:trPr>
        <w:tc>
          <w:tcPr>
            <w:tcW w:w="4365" w:type="dxa"/>
            <w:tcBorders>
              <w:left w:val="nil"/>
              <w:right w:val="nil"/>
            </w:tcBorders>
            <w:shd w:val="clear" w:color="auto" w:fill="auto"/>
            <w:noWrap/>
            <w:vAlign w:val="center"/>
            <w:hideMark/>
          </w:tcPr>
          <w:p w14:paraId="47EACB1B" w14:textId="77777777" w:rsidR="00DA1B2C" w:rsidRPr="001B2718" w:rsidRDefault="00DA1B2C" w:rsidP="001B2718">
            <w:pPr>
              <w:spacing w:line="240" w:lineRule="auto"/>
              <w:rPr>
                <w:sz w:val="20"/>
                <w:szCs w:val="20"/>
              </w:rPr>
            </w:pPr>
            <w:r w:rsidRPr="001B2718">
              <w:rPr>
                <w:sz w:val="20"/>
                <w:szCs w:val="20"/>
              </w:rPr>
              <w:t xml:space="preserve">Reproductive System </w:t>
            </w:r>
          </w:p>
        </w:tc>
        <w:tc>
          <w:tcPr>
            <w:tcW w:w="2280" w:type="dxa"/>
            <w:tcBorders>
              <w:left w:val="nil"/>
              <w:right w:val="nil"/>
            </w:tcBorders>
            <w:shd w:val="clear" w:color="auto" w:fill="auto"/>
            <w:vAlign w:val="center"/>
            <w:hideMark/>
          </w:tcPr>
          <w:p w14:paraId="157E9FC8" w14:textId="77777777" w:rsidR="00DA1B2C" w:rsidRPr="001B2718" w:rsidRDefault="00DA1B2C" w:rsidP="001B2718">
            <w:pPr>
              <w:spacing w:line="240" w:lineRule="auto"/>
              <w:rPr>
                <w:sz w:val="20"/>
                <w:szCs w:val="20"/>
              </w:rPr>
            </w:pPr>
            <w:r w:rsidRPr="001B2718">
              <w:rPr>
                <w:sz w:val="20"/>
                <w:szCs w:val="20"/>
              </w:rPr>
              <w:t>Polygynous</w:t>
            </w:r>
          </w:p>
        </w:tc>
      </w:tr>
      <w:tr w:rsidR="00DA1B2C" w:rsidRPr="001B2718" w14:paraId="69E0D53C" w14:textId="77777777" w:rsidTr="00DA1B2C">
        <w:trPr>
          <w:trHeight w:val="340"/>
        </w:trPr>
        <w:tc>
          <w:tcPr>
            <w:tcW w:w="4365" w:type="dxa"/>
            <w:tcBorders>
              <w:left w:val="nil"/>
              <w:right w:val="nil"/>
            </w:tcBorders>
            <w:shd w:val="clear" w:color="auto" w:fill="auto"/>
            <w:noWrap/>
            <w:vAlign w:val="center"/>
            <w:hideMark/>
          </w:tcPr>
          <w:p w14:paraId="4BCB7E51" w14:textId="77777777" w:rsidR="00DA1B2C" w:rsidRPr="001B2718" w:rsidRDefault="00DA1B2C" w:rsidP="001B2718">
            <w:pPr>
              <w:spacing w:line="240" w:lineRule="auto"/>
              <w:rPr>
                <w:sz w:val="20"/>
                <w:szCs w:val="20"/>
              </w:rPr>
            </w:pPr>
            <w:r w:rsidRPr="001B2718">
              <w:rPr>
                <w:sz w:val="20"/>
                <w:szCs w:val="20"/>
              </w:rPr>
              <w:t xml:space="preserve">Age of 1st offspring females </w:t>
            </w:r>
          </w:p>
        </w:tc>
        <w:tc>
          <w:tcPr>
            <w:tcW w:w="2280" w:type="dxa"/>
            <w:tcBorders>
              <w:left w:val="nil"/>
              <w:right w:val="nil"/>
            </w:tcBorders>
            <w:shd w:val="clear" w:color="auto" w:fill="auto"/>
            <w:vAlign w:val="center"/>
            <w:hideMark/>
          </w:tcPr>
          <w:p w14:paraId="58B9C5A9" w14:textId="77777777" w:rsidR="00DA1B2C" w:rsidRPr="001B2718" w:rsidRDefault="00DA1B2C" w:rsidP="001B2718">
            <w:pPr>
              <w:spacing w:line="240" w:lineRule="auto"/>
              <w:rPr>
                <w:sz w:val="20"/>
                <w:szCs w:val="20"/>
              </w:rPr>
            </w:pPr>
            <w:r w:rsidRPr="001B2718">
              <w:rPr>
                <w:sz w:val="20"/>
                <w:szCs w:val="20"/>
              </w:rPr>
              <w:t>2 (limited by a function)</w:t>
            </w:r>
          </w:p>
        </w:tc>
      </w:tr>
      <w:tr w:rsidR="00DA1B2C" w:rsidRPr="001B2718" w14:paraId="0C280106" w14:textId="77777777" w:rsidTr="00DA1B2C">
        <w:trPr>
          <w:trHeight w:val="340"/>
        </w:trPr>
        <w:tc>
          <w:tcPr>
            <w:tcW w:w="4365" w:type="dxa"/>
            <w:tcBorders>
              <w:left w:val="nil"/>
              <w:right w:val="nil"/>
            </w:tcBorders>
            <w:shd w:val="clear" w:color="auto" w:fill="auto"/>
            <w:noWrap/>
            <w:vAlign w:val="center"/>
            <w:hideMark/>
          </w:tcPr>
          <w:p w14:paraId="71614DC3" w14:textId="77777777" w:rsidR="00DA1B2C" w:rsidRPr="001B2718" w:rsidRDefault="00DA1B2C" w:rsidP="001B2718">
            <w:pPr>
              <w:spacing w:line="240" w:lineRule="auto"/>
              <w:rPr>
                <w:sz w:val="20"/>
                <w:szCs w:val="20"/>
              </w:rPr>
            </w:pPr>
            <w:r w:rsidRPr="001B2718">
              <w:rPr>
                <w:sz w:val="20"/>
                <w:szCs w:val="20"/>
              </w:rPr>
              <w:t xml:space="preserve">Age of 1st offspring males </w:t>
            </w:r>
          </w:p>
        </w:tc>
        <w:tc>
          <w:tcPr>
            <w:tcW w:w="2280" w:type="dxa"/>
            <w:tcBorders>
              <w:left w:val="nil"/>
              <w:right w:val="nil"/>
            </w:tcBorders>
            <w:shd w:val="clear" w:color="auto" w:fill="auto"/>
            <w:vAlign w:val="center"/>
            <w:hideMark/>
          </w:tcPr>
          <w:p w14:paraId="3CF1326B" w14:textId="77777777" w:rsidR="00DA1B2C" w:rsidRPr="001B2718" w:rsidRDefault="00DA1B2C" w:rsidP="001B2718">
            <w:pPr>
              <w:spacing w:line="240" w:lineRule="auto"/>
              <w:rPr>
                <w:sz w:val="20"/>
                <w:szCs w:val="20"/>
              </w:rPr>
            </w:pPr>
            <w:r w:rsidRPr="001B2718">
              <w:rPr>
                <w:sz w:val="20"/>
                <w:szCs w:val="20"/>
              </w:rPr>
              <w:t>3</w:t>
            </w:r>
          </w:p>
        </w:tc>
      </w:tr>
      <w:tr w:rsidR="00DA1B2C" w:rsidRPr="001B2718" w14:paraId="5C64CB99" w14:textId="77777777" w:rsidTr="00DA1B2C">
        <w:trPr>
          <w:trHeight w:val="320"/>
        </w:trPr>
        <w:tc>
          <w:tcPr>
            <w:tcW w:w="4365" w:type="dxa"/>
            <w:tcBorders>
              <w:left w:val="nil"/>
              <w:right w:val="nil"/>
            </w:tcBorders>
            <w:shd w:val="clear" w:color="auto" w:fill="auto"/>
            <w:noWrap/>
            <w:vAlign w:val="center"/>
            <w:hideMark/>
          </w:tcPr>
          <w:p w14:paraId="75BC07F6" w14:textId="77777777" w:rsidR="00DA1B2C" w:rsidRPr="001B2718" w:rsidRDefault="00DA1B2C" w:rsidP="001B2718">
            <w:pPr>
              <w:spacing w:line="240" w:lineRule="auto"/>
              <w:rPr>
                <w:sz w:val="20"/>
                <w:szCs w:val="20"/>
              </w:rPr>
            </w:pPr>
            <w:r w:rsidRPr="001B2718">
              <w:rPr>
                <w:sz w:val="20"/>
                <w:szCs w:val="20"/>
              </w:rPr>
              <w:t>Maximum lifespan</w:t>
            </w:r>
          </w:p>
        </w:tc>
        <w:tc>
          <w:tcPr>
            <w:tcW w:w="2280" w:type="dxa"/>
            <w:tcBorders>
              <w:left w:val="nil"/>
              <w:right w:val="nil"/>
            </w:tcBorders>
            <w:shd w:val="clear" w:color="auto" w:fill="auto"/>
            <w:vAlign w:val="center"/>
            <w:hideMark/>
          </w:tcPr>
          <w:p w14:paraId="498A5ED4" w14:textId="77777777" w:rsidR="00DA1B2C" w:rsidRPr="001B2718" w:rsidRDefault="00DA1B2C" w:rsidP="001B2718">
            <w:pPr>
              <w:spacing w:line="240" w:lineRule="auto"/>
              <w:rPr>
                <w:sz w:val="20"/>
                <w:szCs w:val="20"/>
              </w:rPr>
            </w:pPr>
            <w:r w:rsidRPr="001B2718">
              <w:rPr>
                <w:sz w:val="20"/>
                <w:szCs w:val="20"/>
              </w:rPr>
              <w:t>15</w:t>
            </w:r>
          </w:p>
        </w:tc>
      </w:tr>
      <w:tr w:rsidR="00DA1B2C" w:rsidRPr="001B2718" w14:paraId="0B455E21" w14:textId="77777777" w:rsidTr="00DA1B2C">
        <w:trPr>
          <w:trHeight w:val="340"/>
        </w:trPr>
        <w:tc>
          <w:tcPr>
            <w:tcW w:w="4365" w:type="dxa"/>
            <w:tcBorders>
              <w:left w:val="nil"/>
              <w:right w:val="nil"/>
            </w:tcBorders>
            <w:shd w:val="clear" w:color="auto" w:fill="auto"/>
            <w:noWrap/>
            <w:vAlign w:val="center"/>
            <w:hideMark/>
          </w:tcPr>
          <w:p w14:paraId="21E38B98" w14:textId="77777777" w:rsidR="00DA1B2C" w:rsidRPr="001B2718" w:rsidRDefault="00DA1B2C" w:rsidP="001B2718">
            <w:pPr>
              <w:spacing w:line="240" w:lineRule="auto"/>
              <w:rPr>
                <w:sz w:val="20"/>
                <w:szCs w:val="20"/>
              </w:rPr>
            </w:pPr>
            <w:r w:rsidRPr="001B2718">
              <w:rPr>
                <w:sz w:val="20"/>
                <w:szCs w:val="20"/>
              </w:rPr>
              <w:t xml:space="preserve">Maximum # Broods/Year </w:t>
            </w:r>
          </w:p>
        </w:tc>
        <w:tc>
          <w:tcPr>
            <w:tcW w:w="2280" w:type="dxa"/>
            <w:tcBorders>
              <w:left w:val="nil"/>
              <w:right w:val="nil"/>
            </w:tcBorders>
            <w:shd w:val="clear" w:color="auto" w:fill="auto"/>
            <w:vAlign w:val="center"/>
            <w:hideMark/>
          </w:tcPr>
          <w:p w14:paraId="316F05FC" w14:textId="77777777" w:rsidR="00DA1B2C" w:rsidRPr="001B2718" w:rsidRDefault="00DA1B2C" w:rsidP="001B2718">
            <w:pPr>
              <w:spacing w:line="240" w:lineRule="auto"/>
              <w:rPr>
                <w:sz w:val="20"/>
                <w:szCs w:val="20"/>
              </w:rPr>
            </w:pPr>
            <w:r w:rsidRPr="001B2718">
              <w:rPr>
                <w:sz w:val="20"/>
                <w:szCs w:val="20"/>
              </w:rPr>
              <w:t>1</w:t>
            </w:r>
          </w:p>
        </w:tc>
      </w:tr>
      <w:tr w:rsidR="00DA1B2C" w:rsidRPr="001B2718" w14:paraId="20AEBF89" w14:textId="77777777" w:rsidTr="00DA1B2C">
        <w:trPr>
          <w:trHeight w:val="340"/>
        </w:trPr>
        <w:tc>
          <w:tcPr>
            <w:tcW w:w="4365" w:type="dxa"/>
            <w:tcBorders>
              <w:left w:val="nil"/>
              <w:right w:val="nil"/>
            </w:tcBorders>
            <w:shd w:val="clear" w:color="auto" w:fill="auto"/>
            <w:noWrap/>
            <w:vAlign w:val="center"/>
            <w:hideMark/>
          </w:tcPr>
          <w:p w14:paraId="7F38D9B2" w14:textId="77777777" w:rsidR="00DA1B2C" w:rsidRPr="001B2718" w:rsidRDefault="00DA1B2C" w:rsidP="001B2718">
            <w:pPr>
              <w:spacing w:line="240" w:lineRule="auto"/>
              <w:rPr>
                <w:sz w:val="20"/>
                <w:szCs w:val="20"/>
              </w:rPr>
            </w:pPr>
            <w:r w:rsidRPr="001B2718">
              <w:rPr>
                <w:sz w:val="20"/>
                <w:szCs w:val="20"/>
              </w:rPr>
              <w:t xml:space="preserve">Maximum # Progeny /Year </w:t>
            </w:r>
          </w:p>
        </w:tc>
        <w:tc>
          <w:tcPr>
            <w:tcW w:w="2280" w:type="dxa"/>
            <w:tcBorders>
              <w:left w:val="nil"/>
              <w:right w:val="nil"/>
            </w:tcBorders>
            <w:shd w:val="clear" w:color="auto" w:fill="auto"/>
            <w:vAlign w:val="center"/>
            <w:hideMark/>
          </w:tcPr>
          <w:p w14:paraId="43048D55" w14:textId="77777777" w:rsidR="00DA1B2C" w:rsidRPr="001B2718" w:rsidRDefault="00DA1B2C" w:rsidP="001B2718">
            <w:pPr>
              <w:spacing w:line="240" w:lineRule="auto"/>
              <w:rPr>
                <w:sz w:val="20"/>
                <w:szCs w:val="20"/>
              </w:rPr>
            </w:pPr>
            <w:r w:rsidRPr="001B2718">
              <w:rPr>
                <w:sz w:val="20"/>
                <w:szCs w:val="20"/>
              </w:rPr>
              <w:t>1</w:t>
            </w:r>
          </w:p>
        </w:tc>
      </w:tr>
      <w:tr w:rsidR="00DA1B2C" w:rsidRPr="001B2718" w14:paraId="18235E79" w14:textId="77777777" w:rsidTr="00DA1B2C">
        <w:trPr>
          <w:trHeight w:val="340"/>
        </w:trPr>
        <w:tc>
          <w:tcPr>
            <w:tcW w:w="4365" w:type="dxa"/>
            <w:tcBorders>
              <w:left w:val="nil"/>
              <w:right w:val="nil"/>
            </w:tcBorders>
            <w:shd w:val="clear" w:color="auto" w:fill="auto"/>
            <w:noWrap/>
            <w:vAlign w:val="center"/>
            <w:hideMark/>
          </w:tcPr>
          <w:p w14:paraId="6AF6B373" w14:textId="77777777" w:rsidR="00DA1B2C" w:rsidRPr="001B2718" w:rsidRDefault="00DA1B2C" w:rsidP="001B2718">
            <w:pPr>
              <w:spacing w:line="240" w:lineRule="auto"/>
              <w:rPr>
                <w:sz w:val="20"/>
                <w:szCs w:val="20"/>
              </w:rPr>
            </w:pPr>
            <w:r w:rsidRPr="001B2718">
              <w:rPr>
                <w:sz w:val="20"/>
                <w:szCs w:val="20"/>
              </w:rPr>
              <w:t>Sex Ratio at birth in % Males</w:t>
            </w:r>
          </w:p>
        </w:tc>
        <w:tc>
          <w:tcPr>
            <w:tcW w:w="2280" w:type="dxa"/>
            <w:tcBorders>
              <w:left w:val="nil"/>
              <w:right w:val="nil"/>
            </w:tcBorders>
            <w:shd w:val="clear" w:color="auto" w:fill="auto"/>
            <w:vAlign w:val="center"/>
            <w:hideMark/>
          </w:tcPr>
          <w:p w14:paraId="154F23F6" w14:textId="77777777" w:rsidR="00DA1B2C" w:rsidRPr="001B2718" w:rsidRDefault="00DA1B2C" w:rsidP="001B2718">
            <w:pPr>
              <w:spacing w:line="240" w:lineRule="auto"/>
              <w:rPr>
                <w:sz w:val="20"/>
                <w:szCs w:val="20"/>
              </w:rPr>
            </w:pPr>
            <w:r w:rsidRPr="001B2718">
              <w:rPr>
                <w:sz w:val="20"/>
                <w:szCs w:val="20"/>
              </w:rPr>
              <w:t>50</w:t>
            </w:r>
          </w:p>
        </w:tc>
      </w:tr>
      <w:tr w:rsidR="00DA1B2C" w:rsidRPr="001B2718" w14:paraId="1A0D000F" w14:textId="77777777" w:rsidTr="00DA1B2C">
        <w:trPr>
          <w:trHeight w:val="340"/>
        </w:trPr>
        <w:tc>
          <w:tcPr>
            <w:tcW w:w="4365" w:type="dxa"/>
            <w:tcBorders>
              <w:left w:val="nil"/>
              <w:bottom w:val="single" w:sz="8" w:space="0" w:color="auto"/>
              <w:right w:val="nil"/>
            </w:tcBorders>
            <w:shd w:val="clear" w:color="auto" w:fill="auto"/>
            <w:noWrap/>
            <w:vAlign w:val="center"/>
            <w:hideMark/>
          </w:tcPr>
          <w:p w14:paraId="1FEC1416" w14:textId="77777777" w:rsidR="00DA1B2C" w:rsidRPr="001B2718" w:rsidRDefault="00DA1B2C" w:rsidP="001B2718">
            <w:pPr>
              <w:spacing w:line="240" w:lineRule="auto"/>
              <w:rPr>
                <w:sz w:val="20"/>
                <w:szCs w:val="20"/>
              </w:rPr>
            </w:pPr>
            <w:r w:rsidRPr="001B2718">
              <w:rPr>
                <w:sz w:val="20"/>
                <w:szCs w:val="20"/>
              </w:rPr>
              <w:t>Density dependent reproduction</w:t>
            </w:r>
          </w:p>
        </w:tc>
        <w:tc>
          <w:tcPr>
            <w:tcW w:w="2280" w:type="dxa"/>
            <w:tcBorders>
              <w:left w:val="nil"/>
              <w:bottom w:val="single" w:sz="8" w:space="0" w:color="auto"/>
              <w:right w:val="nil"/>
            </w:tcBorders>
            <w:shd w:val="clear" w:color="auto" w:fill="auto"/>
            <w:vAlign w:val="center"/>
            <w:hideMark/>
          </w:tcPr>
          <w:p w14:paraId="3ECB5873" w14:textId="77777777" w:rsidR="00DA1B2C" w:rsidRPr="001B2718" w:rsidRDefault="00DA1B2C" w:rsidP="001B2718">
            <w:pPr>
              <w:spacing w:line="240" w:lineRule="auto"/>
              <w:rPr>
                <w:sz w:val="20"/>
                <w:szCs w:val="20"/>
              </w:rPr>
            </w:pPr>
            <w:r w:rsidRPr="001B2718">
              <w:rPr>
                <w:sz w:val="20"/>
                <w:szCs w:val="20"/>
              </w:rPr>
              <w:t>No</w:t>
            </w:r>
          </w:p>
        </w:tc>
      </w:tr>
      <w:tr w:rsidR="00DA1B2C" w:rsidRPr="001B2718" w14:paraId="57573AFC" w14:textId="77777777" w:rsidTr="00DA1B2C">
        <w:trPr>
          <w:trHeight w:val="340"/>
        </w:trPr>
        <w:tc>
          <w:tcPr>
            <w:tcW w:w="4365" w:type="dxa"/>
            <w:tcBorders>
              <w:top w:val="single" w:sz="8" w:space="0" w:color="auto"/>
              <w:left w:val="nil"/>
              <w:right w:val="nil"/>
            </w:tcBorders>
            <w:shd w:val="clear" w:color="auto" w:fill="auto"/>
            <w:vAlign w:val="center"/>
            <w:hideMark/>
          </w:tcPr>
          <w:p w14:paraId="7FC7EF7A" w14:textId="77777777" w:rsidR="00DA1B2C" w:rsidRPr="001B2718" w:rsidRDefault="00DA1B2C" w:rsidP="001B2718">
            <w:pPr>
              <w:spacing w:line="240" w:lineRule="auto"/>
              <w:rPr>
                <w:b/>
                <w:bCs/>
                <w:sz w:val="20"/>
                <w:szCs w:val="20"/>
              </w:rPr>
            </w:pPr>
            <w:r w:rsidRPr="001B2718">
              <w:rPr>
                <w:b/>
                <w:bCs/>
                <w:sz w:val="20"/>
                <w:szCs w:val="20"/>
              </w:rPr>
              <w:t>Reproductive Rates</w:t>
            </w:r>
          </w:p>
        </w:tc>
        <w:tc>
          <w:tcPr>
            <w:tcW w:w="2280" w:type="dxa"/>
            <w:tcBorders>
              <w:top w:val="single" w:sz="8" w:space="0" w:color="auto"/>
              <w:left w:val="nil"/>
              <w:right w:val="nil"/>
            </w:tcBorders>
            <w:shd w:val="clear" w:color="auto" w:fill="auto"/>
            <w:vAlign w:val="center"/>
            <w:hideMark/>
          </w:tcPr>
          <w:p w14:paraId="343B05B8" w14:textId="77777777" w:rsidR="00DA1B2C" w:rsidRPr="001B2718" w:rsidRDefault="00DA1B2C" w:rsidP="001B2718">
            <w:pPr>
              <w:spacing w:line="240" w:lineRule="auto"/>
              <w:rPr>
                <w:b/>
                <w:bCs/>
                <w:sz w:val="20"/>
                <w:szCs w:val="20"/>
              </w:rPr>
            </w:pPr>
            <w:r w:rsidRPr="001B2718">
              <w:rPr>
                <w:b/>
                <w:bCs/>
                <w:sz w:val="20"/>
                <w:szCs w:val="20"/>
              </w:rPr>
              <w:t> </w:t>
            </w:r>
          </w:p>
        </w:tc>
      </w:tr>
      <w:tr w:rsidR="00DA1B2C" w:rsidRPr="001B2718" w14:paraId="4793E0B8" w14:textId="77777777" w:rsidTr="00DA1B2C">
        <w:trPr>
          <w:trHeight w:val="320"/>
        </w:trPr>
        <w:tc>
          <w:tcPr>
            <w:tcW w:w="4365" w:type="dxa"/>
            <w:tcBorders>
              <w:left w:val="nil"/>
              <w:right w:val="nil"/>
            </w:tcBorders>
            <w:shd w:val="clear" w:color="auto" w:fill="auto"/>
            <w:noWrap/>
            <w:vAlign w:val="center"/>
            <w:hideMark/>
          </w:tcPr>
          <w:p w14:paraId="487EB8E7" w14:textId="77777777" w:rsidR="00DA1B2C" w:rsidRPr="001B2718" w:rsidRDefault="00DA1B2C" w:rsidP="001B2718">
            <w:pPr>
              <w:spacing w:line="240" w:lineRule="auto"/>
              <w:rPr>
                <w:sz w:val="20"/>
                <w:szCs w:val="20"/>
              </w:rPr>
            </w:pPr>
            <w:r w:rsidRPr="001B2718">
              <w:rPr>
                <w:sz w:val="20"/>
                <w:szCs w:val="20"/>
              </w:rPr>
              <w:t>Percentage of adult female breeding per year</w:t>
            </w:r>
          </w:p>
        </w:tc>
        <w:tc>
          <w:tcPr>
            <w:tcW w:w="2280" w:type="dxa"/>
            <w:tcBorders>
              <w:left w:val="nil"/>
              <w:right w:val="nil"/>
            </w:tcBorders>
            <w:shd w:val="clear" w:color="auto" w:fill="auto"/>
            <w:vAlign w:val="center"/>
            <w:hideMark/>
          </w:tcPr>
          <w:p w14:paraId="40884A36" w14:textId="77777777" w:rsidR="00DA1B2C" w:rsidRPr="001B2718" w:rsidRDefault="00DA1B2C" w:rsidP="001B2718">
            <w:pPr>
              <w:spacing w:line="240" w:lineRule="auto"/>
              <w:rPr>
                <w:sz w:val="20"/>
                <w:szCs w:val="20"/>
              </w:rPr>
            </w:pPr>
            <w:r w:rsidRPr="001B2718">
              <w:rPr>
                <w:sz w:val="20"/>
                <w:szCs w:val="20"/>
                <w:lang w:eastAsia="pt-BR"/>
              </w:rPr>
              <w:t>Age 2: 15; Age&gt;2: 60</w:t>
            </w:r>
          </w:p>
        </w:tc>
      </w:tr>
      <w:tr w:rsidR="00DA1B2C" w:rsidRPr="001B2718" w14:paraId="467638C6" w14:textId="77777777" w:rsidTr="00DA1B2C">
        <w:trPr>
          <w:trHeight w:val="340"/>
        </w:trPr>
        <w:tc>
          <w:tcPr>
            <w:tcW w:w="4365" w:type="dxa"/>
            <w:tcBorders>
              <w:left w:val="nil"/>
              <w:bottom w:val="single" w:sz="8" w:space="0" w:color="auto"/>
              <w:right w:val="nil"/>
            </w:tcBorders>
            <w:shd w:val="clear" w:color="auto" w:fill="auto"/>
            <w:noWrap/>
            <w:vAlign w:val="center"/>
            <w:hideMark/>
          </w:tcPr>
          <w:p w14:paraId="0F20CA4A" w14:textId="77777777" w:rsidR="00DA1B2C" w:rsidRPr="001B2718" w:rsidRDefault="00DA1B2C" w:rsidP="001B2718">
            <w:pPr>
              <w:spacing w:line="240" w:lineRule="auto"/>
              <w:rPr>
                <w:sz w:val="20"/>
                <w:szCs w:val="20"/>
              </w:rPr>
            </w:pPr>
            <w:r w:rsidRPr="001B2718">
              <w:rPr>
                <w:sz w:val="20"/>
                <w:szCs w:val="20"/>
              </w:rPr>
              <w:t>EV</w:t>
            </w:r>
          </w:p>
        </w:tc>
        <w:tc>
          <w:tcPr>
            <w:tcW w:w="2280" w:type="dxa"/>
            <w:tcBorders>
              <w:left w:val="nil"/>
              <w:bottom w:val="single" w:sz="8" w:space="0" w:color="auto"/>
              <w:right w:val="nil"/>
            </w:tcBorders>
            <w:shd w:val="clear" w:color="auto" w:fill="auto"/>
            <w:vAlign w:val="center"/>
            <w:hideMark/>
          </w:tcPr>
          <w:p w14:paraId="77FD2B62" w14:textId="77777777" w:rsidR="00DA1B2C" w:rsidRPr="001B2718" w:rsidRDefault="00DA1B2C" w:rsidP="001B2718">
            <w:pPr>
              <w:spacing w:line="240" w:lineRule="auto"/>
              <w:rPr>
                <w:sz w:val="20"/>
                <w:szCs w:val="20"/>
              </w:rPr>
            </w:pPr>
            <w:r w:rsidRPr="001B2718">
              <w:rPr>
                <w:sz w:val="20"/>
                <w:szCs w:val="20"/>
              </w:rPr>
              <w:t>5</w:t>
            </w:r>
          </w:p>
        </w:tc>
      </w:tr>
      <w:tr w:rsidR="00DA1B2C" w:rsidRPr="001B2718" w14:paraId="647A03E6" w14:textId="77777777" w:rsidTr="00DA1B2C">
        <w:trPr>
          <w:trHeight w:val="320"/>
        </w:trPr>
        <w:tc>
          <w:tcPr>
            <w:tcW w:w="4365" w:type="dxa"/>
            <w:tcBorders>
              <w:top w:val="single" w:sz="8" w:space="0" w:color="auto"/>
              <w:left w:val="nil"/>
              <w:right w:val="nil"/>
            </w:tcBorders>
            <w:shd w:val="clear" w:color="auto" w:fill="auto"/>
            <w:vAlign w:val="center"/>
            <w:hideMark/>
          </w:tcPr>
          <w:p w14:paraId="406CEC9B" w14:textId="77777777" w:rsidR="00DA1B2C" w:rsidRPr="001B2718" w:rsidRDefault="00DA1B2C" w:rsidP="001B2718">
            <w:pPr>
              <w:spacing w:line="240" w:lineRule="auto"/>
              <w:rPr>
                <w:b/>
                <w:bCs/>
                <w:sz w:val="20"/>
                <w:szCs w:val="20"/>
              </w:rPr>
            </w:pPr>
            <w:r w:rsidRPr="001B2718">
              <w:rPr>
                <w:b/>
                <w:bCs/>
                <w:sz w:val="20"/>
                <w:szCs w:val="20"/>
              </w:rPr>
              <w:t>Mortality Rates</w:t>
            </w:r>
          </w:p>
        </w:tc>
        <w:tc>
          <w:tcPr>
            <w:tcW w:w="2280" w:type="dxa"/>
            <w:tcBorders>
              <w:top w:val="single" w:sz="8" w:space="0" w:color="auto"/>
              <w:left w:val="nil"/>
              <w:right w:val="nil"/>
            </w:tcBorders>
            <w:shd w:val="clear" w:color="auto" w:fill="auto"/>
            <w:vAlign w:val="center"/>
            <w:hideMark/>
          </w:tcPr>
          <w:p w14:paraId="2DBDC6A2" w14:textId="77777777" w:rsidR="00DA1B2C" w:rsidRPr="001B2718" w:rsidRDefault="00DA1B2C" w:rsidP="001B2718">
            <w:pPr>
              <w:spacing w:line="240" w:lineRule="auto"/>
              <w:rPr>
                <w:b/>
                <w:bCs/>
                <w:sz w:val="20"/>
                <w:szCs w:val="20"/>
              </w:rPr>
            </w:pPr>
            <w:r w:rsidRPr="001B2718">
              <w:rPr>
                <w:b/>
                <w:bCs/>
                <w:sz w:val="20"/>
                <w:szCs w:val="20"/>
              </w:rPr>
              <w:t> </w:t>
            </w:r>
          </w:p>
        </w:tc>
      </w:tr>
      <w:tr w:rsidR="00DA1B2C" w:rsidRPr="001B2718" w14:paraId="34FFAFDC" w14:textId="77777777" w:rsidTr="00DA1B2C">
        <w:trPr>
          <w:trHeight w:val="340"/>
        </w:trPr>
        <w:tc>
          <w:tcPr>
            <w:tcW w:w="4365" w:type="dxa"/>
            <w:tcBorders>
              <w:left w:val="nil"/>
              <w:right w:val="nil"/>
            </w:tcBorders>
            <w:shd w:val="clear" w:color="auto" w:fill="auto"/>
            <w:noWrap/>
            <w:vAlign w:val="center"/>
            <w:hideMark/>
          </w:tcPr>
          <w:p w14:paraId="37F48099" w14:textId="77777777" w:rsidR="00DA1B2C" w:rsidRPr="001B2718" w:rsidRDefault="00DA1B2C" w:rsidP="001B2718">
            <w:pPr>
              <w:spacing w:line="240" w:lineRule="auto"/>
              <w:rPr>
                <w:sz w:val="20"/>
                <w:szCs w:val="20"/>
              </w:rPr>
            </w:pPr>
            <w:r w:rsidRPr="001B2718">
              <w:rPr>
                <w:sz w:val="20"/>
                <w:szCs w:val="20"/>
              </w:rPr>
              <w:t>Mortality from age 0 to 1</w:t>
            </w:r>
          </w:p>
        </w:tc>
        <w:tc>
          <w:tcPr>
            <w:tcW w:w="2280" w:type="dxa"/>
            <w:tcBorders>
              <w:left w:val="nil"/>
              <w:right w:val="nil"/>
            </w:tcBorders>
            <w:shd w:val="clear" w:color="auto" w:fill="auto"/>
            <w:vAlign w:val="center"/>
            <w:hideMark/>
          </w:tcPr>
          <w:p w14:paraId="39F63297" w14:textId="77777777" w:rsidR="00DA1B2C" w:rsidRPr="001B2718" w:rsidRDefault="00DA1B2C" w:rsidP="001B2718">
            <w:pPr>
              <w:spacing w:line="240" w:lineRule="auto"/>
              <w:rPr>
                <w:sz w:val="20"/>
                <w:szCs w:val="20"/>
              </w:rPr>
            </w:pPr>
            <w:r w:rsidRPr="001B2718">
              <w:rPr>
                <w:sz w:val="20"/>
                <w:szCs w:val="20"/>
              </w:rPr>
              <w:t>20</w:t>
            </w:r>
          </w:p>
        </w:tc>
      </w:tr>
      <w:tr w:rsidR="00DA1B2C" w:rsidRPr="001B2718" w14:paraId="19F7314B" w14:textId="77777777" w:rsidTr="00DA1B2C">
        <w:trPr>
          <w:trHeight w:val="340"/>
        </w:trPr>
        <w:tc>
          <w:tcPr>
            <w:tcW w:w="4365" w:type="dxa"/>
            <w:tcBorders>
              <w:left w:val="nil"/>
              <w:right w:val="nil"/>
            </w:tcBorders>
            <w:shd w:val="clear" w:color="auto" w:fill="auto"/>
            <w:noWrap/>
            <w:vAlign w:val="center"/>
            <w:hideMark/>
          </w:tcPr>
          <w:p w14:paraId="500A5F11" w14:textId="77777777" w:rsidR="00DA1B2C" w:rsidRPr="001B2718" w:rsidRDefault="00DA1B2C" w:rsidP="001B2718">
            <w:pPr>
              <w:spacing w:line="240" w:lineRule="auto"/>
              <w:rPr>
                <w:sz w:val="20"/>
                <w:szCs w:val="20"/>
              </w:rPr>
            </w:pPr>
            <w:r w:rsidRPr="001B2718">
              <w:rPr>
                <w:sz w:val="20"/>
                <w:szCs w:val="20"/>
              </w:rPr>
              <w:t>SD in 0 to 1 mortality due to EV</w:t>
            </w:r>
          </w:p>
        </w:tc>
        <w:tc>
          <w:tcPr>
            <w:tcW w:w="2280" w:type="dxa"/>
            <w:tcBorders>
              <w:left w:val="nil"/>
              <w:right w:val="nil"/>
            </w:tcBorders>
            <w:shd w:val="clear" w:color="auto" w:fill="auto"/>
            <w:vAlign w:val="center"/>
            <w:hideMark/>
          </w:tcPr>
          <w:p w14:paraId="38EDE857" w14:textId="77777777" w:rsidR="00DA1B2C" w:rsidRPr="001B2718" w:rsidRDefault="00DA1B2C" w:rsidP="001B2718">
            <w:pPr>
              <w:spacing w:line="240" w:lineRule="auto"/>
              <w:rPr>
                <w:sz w:val="20"/>
                <w:szCs w:val="20"/>
              </w:rPr>
            </w:pPr>
            <w:r w:rsidRPr="001B2718">
              <w:rPr>
                <w:sz w:val="20"/>
                <w:szCs w:val="20"/>
              </w:rPr>
              <w:t>5</w:t>
            </w:r>
          </w:p>
        </w:tc>
      </w:tr>
      <w:tr w:rsidR="00DA1B2C" w:rsidRPr="001B2718" w14:paraId="1A2894A5" w14:textId="77777777" w:rsidTr="00DA1B2C">
        <w:trPr>
          <w:trHeight w:val="340"/>
        </w:trPr>
        <w:tc>
          <w:tcPr>
            <w:tcW w:w="4365" w:type="dxa"/>
            <w:tcBorders>
              <w:left w:val="nil"/>
              <w:right w:val="nil"/>
            </w:tcBorders>
            <w:shd w:val="clear" w:color="auto" w:fill="auto"/>
            <w:noWrap/>
            <w:vAlign w:val="center"/>
            <w:hideMark/>
          </w:tcPr>
          <w:p w14:paraId="3B2ABC00" w14:textId="77777777" w:rsidR="00DA1B2C" w:rsidRPr="001B2718" w:rsidRDefault="00DA1B2C" w:rsidP="001B2718">
            <w:pPr>
              <w:spacing w:line="240" w:lineRule="auto"/>
              <w:rPr>
                <w:sz w:val="20"/>
                <w:szCs w:val="20"/>
              </w:rPr>
            </w:pPr>
            <w:r w:rsidRPr="001B2718">
              <w:rPr>
                <w:sz w:val="20"/>
                <w:szCs w:val="20"/>
              </w:rPr>
              <w:t>Mortality from age 1 to 2</w:t>
            </w:r>
          </w:p>
        </w:tc>
        <w:tc>
          <w:tcPr>
            <w:tcW w:w="2280" w:type="dxa"/>
            <w:tcBorders>
              <w:left w:val="nil"/>
              <w:right w:val="nil"/>
            </w:tcBorders>
            <w:shd w:val="clear" w:color="auto" w:fill="auto"/>
            <w:vAlign w:val="center"/>
            <w:hideMark/>
          </w:tcPr>
          <w:p w14:paraId="717B16DA" w14:textId="77777777" w:rsidR="00DA1B2C" w:rsidRPr="001B2718" w:rsidRDefault="00DA1B2C" w:rsidP="001B2718">
            <w:pPr>
              <w:spacing w:line="240" w:lineRule="auto"/>
              <w:rPr>
                <w:sz w:val="20"/>
                <w:szCs w:val="20"/>
              </w:rPr>
            </w:pPr>
            <w:r w:rsidRPr="001B2718">
              <w:rPr>
                <w:sz w:val="20"/>
                <w:szCs w:val="20"/>
              </w:rPr>
              <w:t>8</w:t>
            </w:r>
          </w:p>
        </w:tc>
      </w:tr>
      <w:tr w:rsidR="00DA1B2C" w:rsidRPr="001B2718" w14:paraId="4F5C4635" w14:textId="77777777" w:rsidTr="00DA1B2C">
        <w:trPr>
          <w:trHeight w:val="340"/>
        </w:trPr>
        <w:tc>
          <w:tcPr>
            <w:tcW w:w="4365" w:type="dxa"/>
            <w:tcBorders>
              <w:left w:val="nil"/>
              <w:right w:val="nil"/>
            </w:tcBorders>
            <w:shd w:val="clear" w:color="auto" w:fill="auto"/>
            <w:noWrap/>
            <w:vAlign w:val="center"/>
            <w:hideMark/>
          </w:tcPr>
          <w:p w14:paraId="21DB43B4" w14:textId="70043659" w:rsidR="00DA1B2C" w:rsidRPr="001B2718" w:rsidRDefault="00DA1B2C" w:rsidP="001B2718">
            <w:pPr>
              <w:spacing w:line="240" w:lineRule="auto"/>
              <w:rPr>
                <w:sz w:val="20"/>
                <w:szCs w:val="20"/>
              </w:rPr>
            </w:pPr>
            <w:r w:rsidRPr="001B2718">
              <w:rPr>
                <w:sz w:val="20"/>
                <w:szCs w:val="20"/>
              </w:rPr>
              <w:t>SD in 1 to 2 mortalities due to EV</w:t>
            </w:r>
          </w:p>
        </w:tc>
        <w:tc>
          <w:tcPr>
            <w:tcW w:w="2280" w:type="dxa"/>
            <w:tcBorders>
              <w:left w:val="nil"/>
              <w:right w:val="nil"/>
            </w:tcBorders>
            <w:shd w:val="clear" w:color="auto" w:fill="auto"/>
            <w:vAlign w:val="center"/>
            <w:hideMark/>
          </w:tcPr>
          <w:p w14:paraId="73C107FC" w14:textId="77777777" w:rsidR="00DA1B2C" w:rsidRPr="001B2718" w:rsidRDefault="00DA1B2C" w:rsidP="001B2718">
            <w:pPr>
              <w:spacing w:line="240" w:lineRule="auto"/>
              <w:rPr>
                <w:sz w:val="20"/>
                <w:szCs w:val="20"/>
              </w:rPr>
            </w:pPr>
            <w:r w:rsidRPr="001B2718">
              <w:rPr>
                <w:sz w:val="20"/>
                <w:szCs w:val="20"/>
              </w:rPr>
              <w:t>1.6</w:t>
            </w:r>
          </w:p>
        </w:tc>
      </w:tr>
      <w:tr w:rsidR="00DA1B2C" w:rsidRPr="001B2718" w14:paraId="5F0B7820" w14:textId="77777777" w:rsidTr="00DA1B2C">
        <w:trPr>
          <w:trHeight w:val="340"/>
        </w:trPr>
        <w:tc>
          <w:tcPr>
            <w:tcW w:w="4365" w:type="dxa"/>
            <w:tcBorders>
              <w:left w:val="nil"/>
              <w:right w:val="nil"/>
            </w:tcBorders>
            <w:shd w:val="clear" w:color="auto" w:fill="auto"/>
            <w:noWrap/>
            <w:vAlign w:val="center"/>
            <w:hideMark/>
          </w:tcPr>
          <w:p w14:paraId="21FE3C3E" w14:textId="77777777" w:rsidR="00DA1B2C" w:rsidRPr="001B2718" w:rsidRDefault="00DA1B2C" w:rsidP="001B2718">
            <w:pPr>
              <w:spacing w:line="240" w:lineRule="auto"/>
              <w:rPr>
                <w:sz w:val="20"/>
                <w:szCs w:val="20"/>
              </w:rPr>
            </w:pPr>
            <w:r w:rsidRPr="001B2718">
              <w:rPr>
                <w:sz w:val="20"/>
                <w:szCs w:val="20"/>
              </w:rPr>
              <w:t>Annual mortality after age 2</w:t>
            </w:r>
          </w:p>
        </w:tc>
        <w:tc>
          <w:tcPr>
            <w:tcW w:w="2280" w:type="dxa"/>
            <w:tcBorders>
              <w:left w:val="nil"/>
              <w:right w:val="nil"/>
            </w:tcBorders>
            <w:shd w:val="clear" w:color="auto" w:fill="auto"/>
            <w:vAlign w:val="center"/>
            <w:hideMark/>
          </w:tcPr>
          <w:p w14:paraId="3159D9F6" w14:textId="77777777" w:rsidR="00DA1B2C" w:rsidRPr="001B2718" w:rsidRDefault="00DA1B2C" w:rsidP="001B2718">
            <w:pPr>
              <w:spacing w:line="240" w:lineRule="auto"/>
              <w:rPr>
                <w:sz w:val="20"/>
                <w:szCs w:val="20"/>
              </w:rPr>
            </w:pPr>
            <w:r w:rsidRPr="001B2718">
              <w:rPr>
                <w:sz w:val="20"/>
                <w:szCs w:val="20"/>
              </w:rPr>
              <w:t> </w:t>
            </w:r>
          </w:p>
        </w:tc>
      </w:tr>
      <w:tr w:rsidR="00DA1B2C" w:rsidRPr="001B2718" w14:paraId="4EBB6A4B" w14:textId="77777777" w:rsidTr="00DA1B2C">
        <w:trPr>
          <w:trHeight w:val="340"/>
        </w:trPr>
        <w:tc>
          <w:tcPr>
            <w:tcW w:w="4365" w:type="dxa"/>
            <w:tcBorders>
              <w:left w:val="nil"/>
              <w:bottom w:val="single" w:sz="8" w:space="0" w:color="auto"/>
              <w:right w:val="nil"/>
            </w:tcBorders>
            <w:shd w:val="clear" w:color="auto" w:fill="auto"/>
            <w:noWrap/>
            <w:vAlign w:val="center"/>
            <w:hideMark/>
          </w:tcPr>
          <w:p w14:paraId="560C4196" w14:textId="77777777" w:rsidR="00DA1B2C" w:rsidRPr="001B2718" w:rsidRDefault="00DA1B2C" w:rsidP="001B2718">
            <w:pPr>
              <w:spacing w:line="240" w:lineRule="auto"/>
              <w:rPr>
                <w:sz w:val="20"/>
                <w:szCs w:val="20"/>
              </w:rPr>
            </w:pPr>
            <w:r w:rsidRPr="001B2718">
              <w:rPr>
                <w:sz w:val="20"/>
                <w:szCs w:val="20"/>
              </w:rPr>
              <w:t>SD in mortality after age 2</w:t>
            </w:r>
          </w:p>
        </w:tc>
        <w:tc>
          <w:tcPr>
            <w:tcW w:w="2280" w:type="dxa"/>
            <w:tcBorders>
              <w:left w:val="nil"/>
              <w:bottom w:val="single" w:sz="8" w:space="0" w:color="auto"/>
              <w:right w:val="nil"/>
            </w:tcBorders>
            <w:shd w:val="clear" w:color="auto" w:fill="auto"/>
            <w:vAlign w:val="center"/>
            <w:hideMark/>
          </w:tcPr>
          <w:p w14:paraId="2F3CE8CA" w14:textId="77777777" w:rsidR="00DA1B2C" w:rsidRPr="001B2718" w:rsidRDefault="00DA1B2C" w:rsidP="001B2718">
            <w:pPr>
              <w:spacing w:line="240" w:lineRule="auto"/>
              <w:rPr>
                <w:sz w:val="20"/>
                <w:szCs w:val="20"/>
              </w:rPr>
            </w:pPr>
            <w:r w:rsidRPr="001B2718">
              <w:rPr>
                <w:sz w:val="20"/>
                <w:szCs w:val="20"/>
              </w:rPr>
              <w:t>1.6</w:t>
            </w:r>
          </w:p>
        </w:tc>
      </w:tr>
      <w:tr w:rsidR="00DA1B2C" w:rsidRPr="001B2718" w14:paraId="0FAEA008" w14:textId="77777777" w:rsidTr="00DA1B2C">
        <w:trPr>
          <w:trHeight w:val="340"/>
        </w:trPr>
        <w:tc>
          <w:tcPr>
            <w:tcW w:w="4365" w:type="dxa"/>
            <w:tcBorders>
              <w:top w:val="nil"/>
              <w:left w:val="nil"/>
              <w:bottom w:val="single" w:sz="8" w:space="0" w:color="auto"/>
              <w:right w:val="nil"/>
            </w:tcBorders>
            <w:shd w:val="clear" w:color="auto" w:fill="auto"/>
            <w:noWrap/>
            <w:vAlign w:val="center"/>
            <w:hideMark/>
          </w:tcPr>
          <w:p w14:paraId="06E9A215" w14:textId="77777777" w:rsidR="00DA1B2C" w:rsidRPr="001B2718" w:rsidRDefault="00DA1B2C" w:rsidP="001B2718">
            <w:pPr>
              <w:spacing w:line="240" w:lineRule="auto"/>
              <w:rPr>
                <w:sz w:val="20"/>
                <w:szCs w:val="20"/>
              </w:rPr>
            </w:pPr>
            <w:r w:rsidRPr="001B2718">
              <w:rPr>
                <w:b/>
                <w:bCs/>
                <w:sz w:val="20"/>
                <w:szCs w:val="20"/>
              </w:rPr>
              <w:t>Catastrophes</w:t>
            </w:r>
          </w:p>
        </w:tc>
        <w:tc>
          <w:tcPr>
            <w:tcW w:w="2280" w:type="dxa"/>
            <w:tcBorders>
              <w:top w:val="nil"/>
              <w:left w:val="nil"/>
              <w:bottom w:val="single" w:sz="8" w:space="0" w:color="auto"/>
              <w:right w:val="nil"/>
            </w:tcBorders>
            <w:shd w:val="clear" w:color="auto" w:fill="auto"/>
            <w:vAlign w:val="center"/>
            <w:hideMark/>
          </w:tcPr>
          <w:p w14:paraId="4BFBA325" w14:textId="2FC0A9C0" w:rsidR="00DA1B2C" w:rsidRPr="001B2718" w:rsidRDefault="00B24B49" w:rsidP="001B2718">
            <w:pPr>
              <w:spacing w:line="240" w:lineRule="auto"/>
              <w:rPr>
                <w:sz w:val="20"/>
                <w:szCs w:val="20"/>
              </w:rPr>
            </w:pPr>
            <w:r>
              <w:rPr>
                <w:sz w:val="20"/>
                <w:szCs w:val="20"/>
              </w:rPr>
              <w:t>Yes/No</w:t>
            </w:r>
            <w:r w:rsidR="00DA1B2C" w:rsidRPr="001B2718">
              <w:rPr>
                <w:sz w:val="20"/>
                <w:szCs w:val="20"/>
              </w:rPr>
              <w:t xml:space="preserve"> </w:t>
            </w:r>
          </w:p>
        </w:tc>
      </w:tr>
      <w:tr w:rsidR="00DA1B2C" w:rsidRPr="001B2718" w14:paraId="62EE3325" w14:textId="77777777" w:rsidTr="00DA1B2C">
        <w:trPr>
          <w:trHeight w:val="440"/>
        </w:trPr>
        <w:tc>
          <w:tcPr>
            <w:tcW w:w="4365" w:type="dxa"/>
            <w:tcBorders>
              <w:top w:val="nil"/>
              <w:left w:val="nil"/>
              <w:bottom w:val="nil"/>
              <w:right w:val="nil"/>
            </w:tcBorders>
            <w:shd w:val="clear" w:color="auto" w:fill="auto"/>
            <w:vAlign w:val="center"/>
            <w:hideMark/>
          </w:tcPr>
          <w:p w14:paraId="393E015D" w14:textId="77777777" w:rsidR="00DA1B2C" w:rsidRPr="001B2718" w:rsidRDefault="00DA1B2C" w:rsidP="001B2718">
            <w:pPr>
              <w:spacing w:line="240" w:lineRule="auto"/>
              <w:rPr>
                <w:b/>
                <w:bCs/>
                <w:sz w:val="20"/>
                <w:szCs w:val="20"/>
              </w:rPr>
            </w:pPr>
            <w:r w:rsidRPr="001B2718">
              <w:rPr>
                <w:b/>
                <w:bCs/>
                <w:sz w:val="20"/>
                <w:szCs w:val="20"/>
              </w:rPr>
              <w:t>Mate monopolization</w:t>
            </w:r>
          </w:p>
        </w:tc>
        <w:tc>
          <w:tcPr>
            <w:tcW w:w="2280" w:type="dxa"/>
            <w:tcBorders>
              <w:top w:val="nil"/>
              <w:left w:val="nil"/>
              <w:bottom w:val="nil"/>
              <w:right w:val="nil"/>
            </w:tcBorders>
            <w:shd w:val="clear" w:color="auto" w:fill="auto"/>
            <w:vAlign w:val="center"/>
            <w:hideMark/>
          </w:tcPr>
          <w:p w14:paraId="1AC717F1" w14:textId="77777777" w:rsidR="00DA1B2C" w:rsidRPr="001B2718" w:rsidRDefault="00DA1B2C" w:rsidP="001B2718">
            <w:pPr>
              <w:spacing w:line="240" w:lineRule="auto"/>
              <w:rPr>
                <w:b/>
                <w:bCs/>
                <w:sz w:val="20"/>
                <w:szCs w:val="20"/>
              </w:rPr>
            </w:pPr>
            <w:r w:rsidRPr="001B2718">
              <w:rPr>
                <w:b/>
                <w:bCs/>
                <w:sz w:val="20"/>
                <w:szCs w:val="20"/>
              </w:rPr>
              <w:t> </w:t>
            </w:r>
          </w:p>
        </w:tc>
      </w:tr>
      <w:tr w:rsidR="00DA1B2C" w:rsidRPr="001B2718" w14:paraId="2E505300" w14:textId="77777777" w:rsidTr="00DA1B2C">
        <w:trPr>
          <w:trHeight w:val="340"/>
        </w:trPr>
        <w:tc>
          <w:tcPr>
            <w:tcW w:w="4365" w:type="dxa"/>
            <w:tcBorders>
              <w:top w:val="nil"/>
              <w:left w:val="nil"/>
              <w:bottom w:val="single" w:sz="8" w:space="0" w:color="auto"/>
              <w:right w:val="nil"/>
            </w:tcBorders>
            <w:shd w:val="clear" w:color="auto" w:fill="auto"/>
            <w:noWrap/>
            <w:vAlign w:val="center"/>
            <w:hideMark/>
          </w:tcPr>
          <w:p w14:paraId="672CEDED" w14:textId="77777777" w:rsidR="00DA1B2C" w:rsidRPr="001B2718" w:rsidRDefault="00DA1B2C" w:rsidP="001B2718">
            <w:pPr>
              <w:spacing w:line="240" w:lineRule="auto"/>
              <w:rPr>
                <w:sz w:val="20"/>
                <w:szCs w:val="20"/>
              </w:rPr>
            </w:pPr>
            <w:r w:rsidRPr="001B2718">
              <w:rPr>
                <w:sz w:val="20"/>
                <w:szCs w:val="20"/>
              </w:rPr>
              <w:t>% Males in breeding pool</w:t>
            </w:r>
          </w:p>
        </w:tc>
        <w:tc>
          <w:tcPr>
            <w:tcW w:w="2280" w:type="dxa"/>
            <w:tcBorders>
              <w:top w:val="nil"/>
              <w:left w:val="nil"/>
              <w:bottom w:val="single" w:sz="8" w:space="0" w:color="auto"/>
              <w:right w:val="nil"/>
            </w:tcBorders>
            <w:shd w:val="clear" w:color="auto" w:fill="auto"/>
            <w:vAlign w:val="center"/>
            <w:hideMark/>
          </w:tcPr>
          <w:p w14:paraId="41B094FC" w14:textId="77777777" w:rsidR="00DA1B2C" w:rsidRPr="001B2718" w:rsidRDefault="00DA1B2C" w:rsidP="001B2718">
            <w:pPr>
              <w:spacing w:line="240" w:lineRule="auto"/>
              <w:rPr>
                <w:sz w:val="20"/>
                <w:szCs w:val="20"/>
              </w:rPr>
            </w:pPr>
            <w:r w:rsidRPr="001B2718">
              <w:rPr>
                <w:sz w:val="20"/>
                <w:szCs w:val="20"/>
              </w:rPr>
              <w:t>100</w:t>
            </w:r>
          </w:p>
        </w:tc>
      </w:tr>
    </w:tbl>
    <w:p w14:paraId="7263717A" w14:textId="77777777" w:rsidR="001C6E63" w:rsidRDefault="001C6E63" w:rsidP="00DA1B2C">
      <w:pPr>
        <w:sectPr w:rsidR="001C6E63">
          <w:footerReference w:type="even" r:id="rId8"/>
          <w:footerReference w:type="default" r:id="rId9"/>
          <w:pgSz w:w="12240" w:h="15840"/>
          <w:pgMar w:top="1440" w:right="1440" w:bottom="1440" w:left="1440" w:header="720" w:footer="720" w:gutter="0"/>
          <w:cols w:space="720"/>
          <w:docGrid w:linePitch="360"/>
        </w:sectPr>
      </w:pPr>
    </w:p>
    <w:p w14:paraId="0D1E42E4" w14:textId="2A87BABB" w:rsidR="00E1391D" w:rsidRDefault="00E1391D" w:rsidP="00E1391D">
      <w:pPr>
        <w:pStyle w:val="Heading2"/>
      </w:pPr>
      <w:r>
        <w:lastRenderedPageBreak/>
        <w:t>S3 – Density estimates of giant anteater</w:t>
      </w:r>
    </w:p>
    <w:p w14:paraId="341350F5" w14:textId="3A192A38" w:rsidR="00D368C8" w:rsidRDefault="00D368C8" w:rsidP="00D368C8"/>
    <w:p w14:paraId="21BD717F" w14:textId="6BABFA2B" w:rsidR="00D368C8" w:rsidRDefault="00D368C8" w:rsidP="00D368C8">
      <w:pPr>
        <w:rPr>
          <w:lang w:val="pt-PT"/>
        </w:rPr>
      </w:pPr>
      <w:r>
        <w:t>T</w:t>
      </w:r>
      <w:r w:rsidRPr="005B6A1C">
        <w:t xml:space="preserve">he lowest density </w:t>
      </w:r>
      <w:r>
        <w:t xml:space="preserve">value </w:t>
      </w:r>
      <w:r w:rsidRPr="005B6A1C">
        <w:t>(0.1 ind./km</w:t>
      </w:r>
      <w:r w:rsidRPr="005B6A1C">
        <w:rPr>
          <w:vertAlign w:val="superscript"/>
        </w:rPr>
        <w:t>2</w:t>
      </w:r>
      <w:r w:rsidRPr="005B6A1C">
        <w:t xml:space="preserve">) </w:t>
      </w:r>
      <w:r>
        <w:t xml:space="preserve">was reported in two studies, one of which in areas with </w:t>
      </w:r>
      <w:r w:rsidRPr="005B6A1C">
        <w:t xml:space="preserve">small remnants of native vegetation within a matrix of </w:t>
      </w:r>
      <w:r>
        <w:t>production</w:t>
      </w:r>
      <w:r w:rsidRPr="005B6A1C">
        <w:t xml:space="preserve"> </w:t>
      </w:r>
      <w:r>
        <w:t>forestry (</w:t>
      </w:r>
      <w:r w:rsidRPr="00CF6C1F">
        <w:rPr>
          <w:i/>
          <w:iCs/>
        </w:rPr>
        <w:t>Pinus</w:t>
      </w:r>
      <w:r w:rsidRPr="005B6A1C">
        <w:t xml:space="preserve"> </w:t>
      </w:r>
      <w:r>
        <w:t xml:space="preserve">sp.) in an region where anteaters are rarely seen </w:t>
      </w:r>
      <w:r w:rsidRPr="005B6A1C">
        <w:t>(Braga 2010)</w:t>
      </w:r>
      <w:r>
        <w:t xml:space="preserve">; and the other was carried out in areas of open savannah adjoining plantations of </w:t>
      </w:r>
      <w:r w:rsidRPr="007D50CC">
        <w:rPr>
          <w:i/>
          <w:iCs/>
        </w:rPr>
        <w:t xml:space="preserve">Acacia </w:t>
      </w:r>
      <w:proofErr w:type="spellStart"/>
      <w:r w:rsidRPr="007D50CC">
        <w:rPr>
          <w:i/>
          <w:iCs/>
        </w:rPr>
        <w:t>mangium</w:t>
      </w:r>
      <w:proofErr w:type="spellEnd"/>
      <w:r>
        <w:t xml:space="preserve">, which apparently attracted anteaters to their interior given the higher density of anteaters found therein </w:t>
      </w:r>
      <w:r>
        <w:fldChar w:fldCharType="begin"/>
      </w:r>
      <w:r w:rsidR="00EF05C5">
        <w:instrText xml:space="preserve"> ADDIN ZOTERO_ITEM CSL_CITATION {"citationID":"ylfIsQKl","properties":{"formattedCitation":"(Kreutz et al., 2012)","plainCitation":"(Kreutz et al., 2012)","noteIndex":0},"citationItems":[{"id":2865,"uris":["http://zotero.org/users/2776138/items/UFB968TE"],"itemData":{"id":2865,"type":"article-journal","container-title":"mammalia","DOI":"10.1515/mammalia-2011-0049","ISSN":"1864-1547, 0025-1461","issue":"2","source":"DOI.org (Crossref)","title":"Timber plantations as favourite habitat for giant anteaters","URL":"https://www.degruyter.com/document/doi/10.1515/mammalia-2011-0049/html","volume":"76","author":[{"family":"Kreutz","given":"Kolja"},{"family":"Fischer","given":"Frauke"},{"family":"Linsenmair","given":"Karl Eduard"}],"accessed":{"date-parts":[["2021",7,1]]},"issued":{"date-parts":[["2012",1,1]]}}}],"schema":"https://github.com/citation-style-language/schema/raw/master/csl-citation.json"} </w:instrText>
      </w:r>
      <w:r>
        <w:fldChar w:fldCharType="separate"/>
      </w:r>
      <w:r w:rsidR="00BE77F5">
        <w:rPr>
          <w:noProof/>
        </w:rPr>
        <w:t>(Kreutz et al., 2012)</w:t>
      </w:r>
      <w:r>
        <w:fldChar w:fldCharType="end"/>
      </w:r>
      <w:r w:rsidRPr="005B6A1C">
        <w:t xml:space="preserve">. </w:t>
      </w:r>
      <w:r>
        <w:t xml:space="preserve">The lack of remnants seems to be related with the lower density of anteaters found outside plantations </w:t>
      </w:r>
      <w:r>
        <w:fldChar w:fldCharType="begin"/>
      </w:r>
      <w:r w:rsidR="00EF05C5">
        <w:instrText xml:space="preserve"> ADDIN ZOTERO_ITEM CSL_CITATION {"citationID":"0IKtqRJv","properties":{"formattedCitation":"(Kreutz et al., 2012)","plainCitation":"(Kreutz et al., 2012)","noteIndex":0},"citationItems":[{"id":2865,"uris":["http://zotero.org/users/2776138/items/UFB968TE"],"itemData":{"id":2865,"type":"article-journal","container-title":"mammalia","DOI":"10.1515/mammalia-2011-0049","ISSN":"1864-1547, 0025-1461","issue":"2","source":"DOI.org (Crossref)","title":"Timber plantations as favourite habitat for giant anteaters","URL":"https://www.degruyter.com/document/doi/10.1515/mammalia-2011-0049/html","volume":"76","author":[{"family":"Kreutz","given":"Kolja"},{"family":"Fischer","given":"Frauke"},{"family":"Linsenmair","given":"Karl Eduard"}],"accessed":{"date-parts":[["2021",7,1]]},"issued":{"date-parts":[["2012",1,1]]}}}],"schema":"https://github.com/citation-style-language/schema/raw/master/csl-citation.json"} </w:instrText>
      </w:r>
      <w:r>
        <w:fldChar w:fldCharType="separate"/>
      </w:r>
      <w:r w:rsidR="00BE77F5">
        <w:rPr>
          <w:noProof/>
        </w:rPr>
        <w:t>(Kreutz et al., 2012)</w:t>
      </w:r>
      <w:r>
        <w:fldChar w:fldCharType="end"/>
      </w:r>
      <w:r>
        <w:t xml:space="preserve">. On the other hand, the high density found in </w:t>
      </w:r>
      <w:r>
        <w:rPr>
          <w:noProof/>
        </w:rPr>
        <w:t xml:space="preserve">Kreutz et al. </w:t>
      </w:r>
      <w:r>
        <w:fldChar w:fldCharType="begin"/>
      </w:r>
      <w:r w:rsidR="00EF05C5">
        <w:instrText xml:space="preserve"> ADDIN ZOTERO_ITEM CSL_CITATION {"citationID":"QvFuIDXa","properties":{"formattedCitation":"(2012)","plainCitation":"(2012)","noteIndex":0},"citationItems":[{"id":2865,"uris":["http://zotero.org/users/2776138/items/UFB968TE"],"itemData":{"id":2865,"type":"article-journal","container-title":"mammalia","DOI":"10.1515/mammalia-2011-0049","ISSN":"1864-1547, 0025-1461","issue":"2","source":"DOI.org (Crossref)","title":"Timber plantations as favourite habitat for giant anteaters","URL":"https://www.degruyter.com/document/doi/10.1515/mammalia-2011-0049/html","volume":"76","author":[{"family":"Kreutz","given":"Kolja"},{"family":"Fischer","given":"Frauke"},{"family":"Linsenmair","given":"Karl Eduard"}],"accessed":{"date-parts":[["2021",7,1]]},"issued":{"date-parts":[["2012",1,1]]}},"suppress-author":true}],"schema":"https://github.com/citation-style-language/schema/raw/master/csl-citation.json"} </w:instrText>
      </w:r>
      <w:r>
        <w:fldChar w:fldCharType="separate"/>
      </w:r>
      <w:r w:rsidR="00BE77F5">
        <w:rPr>
          <w:noProof/>
        </w:rPr>
        <w:t>(2012)</w:t>
      </w:r>
      <w:r>
        <w:fldChar w:fldCharType="end"/>
      </w:r>
      <w:r>
        <w:t xml:space="preserve"> (2.9 anteaters/</w:t>
      </w:r>
      <w:r w:rsidRPr="00940C79">
        <w:t>km</w:t>
      </w:r>
      <w:r w:rsidRPr="00940C79">
        <w:rPr>
          <w:vertAlign w:val="superscript"/>
        </w:rPr>
        <w:t>2</w:t>
      </w:r>
      <w:r>
        <w:t>) had no</w:t>
      </w:r>
      <w:r w:rsidRPr="00A976E1">
        <w:t xml:space="preserve"> paralleled in any other study</w:t>
      </w:r>
      <w:r>
        <w:t xml:space="preserve">, and therefore is highly unlikely to be frequent across the giant anteater range. In fact, densities as high as 0.4 and higher were only reported in studies carried out in well conserved protected areas </w:t>
      </w:r>
      <w:r>
        <w:fldChar w:fldCharType="begin"/>
      </w:r>
      <w:r w:rsidR="00EF05C5">
        <w:instrText xml:space="preserve"> ADDIN ZOTERO_ITEM CSL_CITATION {"citationID":"5cCgrstY","properties":{"formattedCitation":"(Bertassoni et al., 2021; Bola\\uc0\\u241{}o et al., 2015; de Miranda et al., 2006; Desbiez and Medri, 2010)","plainCitation":"(Bertassoni et al., 2021; Bolaño et al., 2015; de Miranda et al., 2006; Desbiez and Medri, 2010)","noteIndex":0},"citationItems":[{"id":2886,"uris":["http://zotero.org/users/2776138/items/R63NIDCB"],"itemData":{"id":2886,"type":"article-journal","abstract":"Giant anteater (Myrmecophaga tridactyla) populations are decreasing throughout their range. We tested a methodology for individual identification using camera records and fur patterns to estimate the giant anteater population in a protected area of the Brazilian Cerrado. We identified 9 adult individuals and successfully modeled population abundance and density. Our models estimated an adult population of 16.8 (range = 15–19) giant anteaters through a mark-resight approach and 12.5 individuals (range = 9.7–25.5) through a spatially explicit capture-recapture approach. Density estimates were 0.3–0.4 animals/km2. Using these estimates, we performed a population viability analysis to understand and predict this population's future. We modeled scenarios without direct effects and models simulating a double carrying capacity and the supplementation and removal of individuals. Even in the more optimistic scenarios, the population is predicted to decreases over time, with ≤8 individuals remaining in 100 years. Given the study area surroundings, realistic models include removals of giant anteaters in the population. Identification of giant anteaters using cameras can inspire conservationists to acquire population data throughout its distribution and obtain population trends to evaluate the species' conservation status. Individual identification of giant anteaters using a motion-sensitive camera design is feasible, opens new avenues for population analyses, and allows the study of population trends in difficult regions. © 2021 The Wildlife Society.","container-title":"The Journal of Wildlife Management","DOI":"10.1002/jwmg.22123","ISSN":"1937-2817","language":"en","note":"_eprint: https://wildlife.onlinelibrary.wiley.com/doi/pdf/10.1002/jwmg.22123","source":"Wiley Online Library","title":"Giant Anteater Population Density Estimation and Viability Analysis Through Motion-Sensitive Camera Records","URL":"https://wildlife.onlinelibrary.wiley.com/doi/abs/10.1002/jwmg.22123","author":[{"family":"Bertassoni","given":"Alessandra"},{"family":"Bianchi","given":"Rita De Cassia"},{"family":"Desbiez","given":"Arnaud Leonard Jean"}],"accessed":{"date-parts":[["2021",8,30]]},"issued":{"date-parts":[["2021"]]}}},{"id":2866,"uris":["http://zotero.org/users/2776138/items/ENZA84KQ"],"itemData":{"id":2866,"type":"article-journal","container-title":"Revista Biodiversidad Neotropical","ISSN":"2027-8918","issue":"1","journalAbbreviation":"Revista Biodiversidad Neotropical","note":"publisher: Universidad Tecnológica del Chocó","page":"64-70","title":"Densidad poblacional del oso hormiguero gigante (&lt;i&gt;Myrmecophaga tridactyla&lt;/i&gt;) en sistemas ganaderos de Pore, Casanare","volume":"5","author":[{"family":"Bolaño","given":"César Rojano"},{"family":"Cortés","given":"Laura Miranda"},{"family":"Avilán","given":"Renzo Ávila"}],"issued":{"date-parts":[["2015"]]}}},{"id":2868,"uris":["http://zotero.org/users/2776138/items/YPSPX7P9"],"itemData":{"id":2868,"type":"article-journal","container-title":"Endangered Species Update","ISSN":"1081-3705","issue":"3","journalAbbreviation":"Endangered Species Update","note":"publisher: University of Michigan, School of Natural Resources","page":"96-104","title":"Giant anteater (Myrmecophaga tridactyla) population Survey in Emas National Park, Brazil--a proposed monitoring program","volume":"23","author":[{"family":"Miranda","given":"Guilherme HB","non-dropping-particle":"de"},{"family":"Tomas","given":"Walfrido M"},{"family":"Valladares-Padua","given":"Claudio B"},{"family":"Rodrigues","given":"Flavio HG"}],"issued":{"date-parts":[["2006"]]}}},{"id":116,"uris":["http://zotero.org/users/2776138/items/B5VLQ72R"],"itemData":{"id":116,"type":"article-journal","abstract":"Giant anteaters and southern tamanduas are often sympatric throughout t</w:instrText>
      </w:r>
      <w:r w:rsidR="00EF05C5" w:rsidRPr="00EF05C5">
        <w:rPr>
          <w:lang w:val="pt-PT"/>
        </w:rPr>
        <w:instrText xml:space="preserve">heir range and are both found in the Pantanal wetland. Density, habitat use, selection, and habitat overlap between both species were estimated in the central region of the Brazilian Pantanal. A total of 2,174 km of transects were walked through three different landscapes and five different habitat types. Using strip transect methods, densities of giant anteaters in the study area were estimated at 0.15 individuals/km2, and 0.34 individuals/km2 for southern tamanduas. Densities of both species were highest in forest landscapes. Southern tamanduas significantly selected the forest edge habitat. Scrub grasslands had the highest selection ratio for giant anteaters. Results from this study do not indicate that the two species partition habitat. Deforestation in the Pantanal is predicted to be detrimental to both species of anteaters.","container-title":"Edentata","DOI":"10.1896/020.011.0102","ISSN":"1413-4411","journalAbbreviation":"Edentata","page":"4-10","source":"bioone.org (Atypon)","title":"Density and Habitat use by Giant Anteaters (&lt;i&gt;Myrmecophaga tridactyla&lt;/i&gt;) and Southern Tamanduas (Tamandua tetradactyla) in the Pantanal Wetland, Brazil","URL":"http://www.bioone.org/doi/abs/10.1896/020.011.0102","author":[{"family":"Desbiez","given":"Arnaud Léonard Jean"},{"family":"Medri","given":"Ísis Meri"}],"accessed":{"date-parts":[["2018",8,21]]},"issued":{"date-parts":[["2010",11,1]]}}}],"schema":"https://github.com/citation-style-language/schema/raw/master/csl-citation.json"} </w:instrText>
      </w:r>
      <w:r>
        <w:fldChar w:fldCharType="separate"/>
      </w:r>
      <w:r w:rsidR="00BE77F5" w:rsidRPr="008D456E">
        <w:rPr>
          <w:lang w:val="pt-PT"/>
        </w:rPr>
        <w:t>(Bertassoni et al., 2021; Bolaño et al., 2015; de Miranda et al., 2006; Desbiez and Medri, 2010)</w:t>
      </w:r>
      <w:r>
        <w:fldChar w:fldCharType="end"/>
      </w:r>
      <w:r w:rsidRPr="00DC5435">
        <w:rPr>
          <w:lang w:val="pt-PT"/>
        </w:rPr>
        <w:t xml:space="preserve">. </w:t>
      </w:r>
    </w:p>
    <w:p w14:paraId="727586B3" w14:textId="77777777" w:rsidR="00D368C8" w:rsidRPr="00D368C8" w:rsidRDefault="00D368C8" w:rsidP="00D368C8">
      <w:pPr>
        <w:rPr>
          <w:lang w:val="pt-PT"/>
        </w:rPr>
      </w:pPr>
    </w:p>
    <w:p w14:paraId="5CF8EB1C" w14:textId="0BA95DF5" w:rsidR="00E1391D" w:rsidRDefault="00E1391D" w:rsidP="00E1391D">
      <w:pPr>
        <w:pStyle w:val="NoSpacing"/>
      </w:pPr>
      <w:r>
        <w:t>Table S3.1 – Studies reporting density estimates for giant anteaters.</w:t>
      </w:r>
    </w:p>
    <w:tbl>
      <w:tblPr>
        <w:tblW w:w="9829" w:type="dxa"/>
        <w:tblBorders>
          <w:top w:val="single" w:sz="4" w:space="0" w:color="auto"/>
          <w:bottom w:val="single" w:sz="4" w:space="0" w:color="auto"/>
          <w:insideH w:val="single" w:sz="4" w:space="0" w:color="auto"/>
        </w:tblBorders>
        <w:tblLook w:val="04A0" w:firstRow="1" w:lastRow="0" w:firstColumn="1" w:lastColumn="0" w:noHBand="0" w:noVBand="1"/>
      </w:tblPr>
      <w:tblGrid>
        <w:gridCol w:w="5376"/>
        <w:gridCol w:w="1665"/>
        <w:gridCol w:w="1549"/>
        <w:gridCol w:w="1239"/>
      </w:tblGrid>
      <w:tr w:rsidR="00E1391D" w:rsidRPr="001B2718" w14:paraId="7DDD16BB" w14:textId="77777777" w:rsidTr="00A24E16">
        <w:trPr>
          <w:trHeight w:val="340"/>
        </w:trPr>
        <w:tc>
          <w:tcPr>
            <w:tcW w:w="5376" w:type="dxa"/>
            <w:shd w:val="clear" w:color="auto" w:fill="auto"/>
            <w:vAlign w:val="center"/>
            <w:hideMark/>
          </w:tcPr>
          <w:p w14:paraId="5460798C" w14:textId="77777777" w:rsidR="00E1391D" w:rsidRPr="001B2718" w:rsidRDefault="00E1391D" w:rsidP="00A24E16">
            <w:pPr>
              <w:spacing w:line="240" w:lineRule="auto"/>
              <w:rPr>
                <w:sz w:val="20"/>
                <w:szCs w:val="20"/>
              </w:rPr>
            </w:pPr>
            <w:r w:rsidRPr="001B2718">
              <w:rPr>
                <w:sz w:val="20"/>
                <w:szCs w:val="20"/>
              </w:rPr>
              <w:t>Work</w:t>
            </w:r>
          </w:p>
        </w:tc>
        <w:tc>
          <w:tcPr>
            <w:tcW w:w="1665" w:type="dxa"/>
            <w:shd w:val="clear" w:color="auto" w:fill="auto"/>
            <w:noWrap/>
            <w:vAlign w:val="center"/>
            <w:hideMark/>
          </w:tcPr>
          <w:p w14:paraId="1423CAAD" w14:textId="77777777" w:rsidR="00E1391D" w:rsidRPr="001B2718" w:rsidRDefault="00E1391D" w:rsidP="00A24E16">
            <w:pPr>
              <w:spacing w:line="240" w:lineRule="auto"/>
              <w:rPr>
                <w:sz w:val="20"/>
                <w:szCs w:val="20"/>
              </w:rPr>
            </w:pPr>
            <w:r w:rsidRPr="001B2718">
              <w:rPr>
                <w:sz w:val="20"/>
                <w:szCs w:val="20"/>
              </w:rPr>
              <w:t>Densities (ind./km2)</w:t>
            </w:r>
          </w:p>
        </w:tc>
        <w:tc>
          <w:tcPr>
            <w:tcW w:w="1549" w:type="dxa"/>
            <w:shd w:val="clear" w:color="auto" w:fill="auto"/>
            <w:vAlign w:val="center"/>
            <w:hideMark/>
          </w:tcPr>
          <w:p w14:paraId="3C230805" w14:textId="77777777" w:rsidR="00E1391D" w:rsidRPr="001B2718" w:rsidRDefault="00E1391D" w:rsidP="00A24E16">
            <w:pPr>
              <w:spacing w:line="240" w:lineRule="auto"/>
              <w:rPr>
                <w:sz w:val="20"/>
                <w:szCs w:val="20"/>
              </w:rPr>
            </w:pPr>
            <w:r w:rsidRPr="001B2718">
              <w:rPr>
                <w:sz w:val="20"/>
                <w:szCs w:val="20"/>
              </w:rPr>
              <w:t>Methods</w:t>
            </w:r>
          </w:p>
        </w:tc>
        <w:tc>
          <w:tcPr>
            <w:tcW w:w="1239" w:type="dxa"/>
            <w:shd w:val="clear" w:color="auto" w:fill="auto"/>
            <w:vAlign w:val="center"/>
            <w:hideMark/>
          </w:tcPr>
          <w:p w14:paraId="26F771FF" w14:textId="77777777" w:rsidR="00E1391D" w:rsidRPr="001B2718" w:rsidRDefault="00E1391D" w:rsidP="00A24E16">
            <w:pPr>
              <w:spacing w:line="240" w:lineRule="auto"/>
              <w:rPr>
                <w:sz w:val="20"/>
                <w:szCs w:val="20"/>
              </w:rPr>
            </w:pPr>
            <w:r w:rsidRPr="001B2718">
              <w:rPr>
                <w:sz w:val="20"/>
                <w:szCs w:val="20"/>
              </w:rPr>
              <w:t>Dominant land cover</w:t>
            </w:r>
          </w:p>
        </w:tc>
      </w:tr>
      <w:tr w:rsidR="00E1391D" w:rsidRPr="001B2718" w14:paraId="53AE685F" w14:textId="77777777" w:rsidTr="00A24E16">
        <w:trPr>
          <w:trHeight w:val="1002"/>
        </w:trPr>
        <w:tc>
          <w:tcPr>
            <w:tcW w:w="5376" w:type="dxa"/>
            <w:shd w:val="clear" w:color="auto" w:fill="auto"/>
            <w:vAlign w:val="center"/>
            <w:hideMark/>
          </w:tcPr>
          <w:p w14:paraId="25BDEEA2" w14:textId="77777777" w:rsidR="00E1391D" w:rsidRPr="001B2718" w:rsidRDefault="00E1391D" w:rsidP="00A24E16">
            <w:pPr>
              <w:spacing w:line="240" w:lineRule="auto"/>
              <w:rPr>
                <w:sz w:val="20"/>
                <w:szCs w:val="20"/>
              </w:rPr>
            </w:pPr>
            <w:r w:rsidRPr="001B2718">
              <w:rPr>
                <w:sz w:val="20"/>
                <w:szCs w:val="20"/>
              </w:rPr>
              <w:t xml:space="preserve">Bertassoni, A., Bianchi, R., Desbiez, A., in press. Camera trap individual identification of giant anteaters to estimate population size and viability. J. </w:t>
            </w:r>
            <w:proofErr w:type="spellStart"/>
            <w:r w:rsidRPr="001B2718">
              <w:rPr>
                <w:sz w:val="20"/>
                <w:szCs w:val="20"/>
              </w:rPr>
              <w:t>Wildl</w:t>
            </w:r>
            <w:proofErr w:type="spellEnd"/>
            <w:r w:rsidRPr="001B2718">
              <w:rPr>
                <w:sz w:val="20"/>
                <w:szCs w:val="20"/>
              </w:rPr>
              <w:t xml:space="preserve">. </w:t>
            </w:r>
            <w:proofErr w:type="spellStart"/>
            <w:r w:rsidRPr="001B2718">
              <w:rPr>
                <w:sz w:val="20"/>
                <w:szCs w:val="20"/>
              </w:rPr>
              <w:t>Manag</w:t>
            </w:r>
            <w:proofErr w:type="spellEnd"/>
            <w:r w:rsidRPr="001B2718">
              <w:rPr>
                <w:sz w:val="20"/>
                <w:szCs w:val="20"/>
              </w:rPr>
              <w:t xml:space="preserve">. </w:t>
            </w:r>
            <w:proofErr w:type="spellStart"/>
            <w:r w:rsidRPr="001B2718">
              <w:rPr>
                <w:sz w:val="20"/>
                <w:szCs w:val="20"/>
              </w:rPr>
              <w:t>Wildl</w:t>
            </w:r>
            <w:proofErr w:type="spellEnd"/>
            <w:r w:rsidRPr="001B2718">
              <w:rPr>
                <w:sz w:val="20"/>
                <w:szCs w:val="20"/>
              </w:rPr>
              <w:t xml:space="preserve">. </w:t>
            </w:r>
            <w:proofErr w:type="spellStart"/>
            <w:r w:rsidRPr="001B2718">
              <w:rPr>
                <w:sz w:val="20"/>
                <w:szCs w:val="20"/>
              </w:rPr>
              <w:t>Monogr</w:t>
            </w:r>
            <w:proofErr w:type="spellEnd"/>
            <w:r w:rsidRPr="001B2718">
              <w:rPr>
                <w:sz w:val="20"/>
                <w:szCs w:val="20"/>
              </w:rPr>
              <w:t>.</w:t>
            </w:r>
          </w:p>
        </w:tc>
        <w:tc>
          <w:tcPr>
            <w:tcW w:w="1665" w:type="dxa"/>
            <w:shd w:val="clear" w:color="auto" w:fill="auto"/>
            <w:noWrap/>
            <w:vAlign w:val="center"/>
            <w:hideMark/>
          </w:tcPr>
          <w:p w14:paraId="02788982" w14:textId="77777777" w:rsidR="00E1391D" w:rsidRPr="001B2718" w:rsidRDefault="00E1391D" w:rsidP="00A24E16">
            <w:pPr>
              <w:spacing w:line="240" w:lineRule="auto"/>
              <w:rPr>
                <w:sz w:val="20"/>
                <w:szCs w:val="20"/>
              </w:rPr>
            </w:pPr>
            <w:r w:rsidRPr="001B2718">
              <w:rPr>
                <w:sz w:val="20"/>
                <w:szCs w:val="20"/>
              </w:rPr>
              <w:t>0.4</w:t>
            </w:r>
          </w:p>
        </w:tc>
        <w:tc>
          <w:tcPr>
            <w:tcW w:w="1549" w:type="dxa"/>
            <w:shd w:val="clear" w:color="auto" w:fill="auto"/>
            <w:vAlign w:val="center"/>
            <w:hideMark/>
          </w:tcPr>
          <w:p w14:paraId="653FECBB" w14:textId="77777777" w:rsidR="00E1391D" w:rsidRPr="001B2718" w:rsidRDefault="00E1391D" w:rsidP="00A24E16">
            <w:pPr>
              <w:spacing w:line="240" w:lineRule="auto"/>
              <w:rPr>
                <w:sz w:val="20"/>
                <w:szCs w:val="20"/>
                <w:lang w:val="pt-PT"/>
              </w:rPr>
            </w:pPr>
            <w:r w:rsidRPr="001B2718">
              <w:rPr>
                <w:sz w:val="20"/>
                <w:szCs w:val="20"/>
                <w:lang w:val="pt-PT"/>
              </w:rPr>
              <w:t>Camera-traps</w:t>
            </w:r>
          </w:p>
        </w:tc>
        <w:tc>
          <w:tcPr>
            <w:tcW w:w="1239" w:type="dxa"/>
            <w:shd w:val="clear" w:color="auto" w:fill="auto"/>
            <w:vAlign w:val="center"/>
            <w:hideMark/>
          </w:tcPr>
          <w:p w14:paraId="6069BE17" w14:textId="77777777" w:rsidR="00E1391D" w:rsidRPr="001B2718" w:rsidRDefault="00E1391D" w:rsidP="00A24E16">
            <w:pPr>
              <w:spacing w:line="240" w:lineRule="auto"/>
              <w:rPr>
                <w:sz w:val="20"/>
                <w:szCs w:val="20"/>
              </w:rPr>
            </w:pPr>
          </w:p>
        </w:tc>
      </w:tr>
      <w:tr w:rsidR="00E1391D" w:rsidRPr="001B2718" w14:paraId="2054219A" w14:textId="77777777" w:rsidTr="00A24E16">
        <w:trPr>
          <w:trHeight w:val="421"/>
        </w:trPr>
        <w:tc>
          <w:tcPr>
            <w:tcW w:w="5376" w:type="dxa"/>
            <w:shd w:val="clear" w:color="auto" w:fill="auto"/>
            <w:vAlign w:val="center"/>
            <w:hideMark/>
          </w:tcPr>
          <w:p w14:paraId="64E6F38E" w14:textId="77777777" w:rsidR="00E1391D" w:rsidRPr="001B2718" w:rsidRDefault="00E1391D" w:rsidP="00A24E16">
            <w:pPr>
              <w:spacing w:line="240" w:lineRule="auto"/>
              <w:rPr>
                <w:sz w:val="20"/>
                <w:szCs w:val="20"/>
                <w:lang w:val="pt-PT"/>
              </w:rPr>
            </w:pPr>
            <w:r w:rsidRPr="001B2718">
              <w:rPr>
                <w:sz w:val="20"/>
                <w:szCs w:val="20"/>
                <w:lang w:val="pt-PT"/>
              </w:rPr>
              <w:t>idem</w:t>
            </w:r>
          </w:p>
        </w:tc>
        <w:tc>
          <w:tcPr>
            <w:tcW w:w="1665" w:type="dxa"/>
            <w:shd w:val="clear" w:color="auto" w:fill="auto"/>
            <w:noWrap/>
            <w:vAlign w:val="center"/>
            <w:hideMark/>
          </w:tcPr>
          <w:p w14:paraId="0B1A6FC6" w14:textId="77777777" w:rsidR="00E1391D" w:rsidRPr="001B2718" w:rsidRDefault="00E1391D" w:rsidP="00A24E16">
            <w:pPr>
              <w:spacing w:line="240" w:lineRule="auto"/>
              <w:rPr>
                <w:sz w:val="20"/>
                <w:szCs w:val="20"/>
              </w:rPr>
            </w:pPr>
            <w:r w:rsidRPr="001B2718">
              <w:rPr>
                <w:sz w:val="20"/>
                <w:szCs w:val="20"/>
              </w:rPr>
              <w:t>0.3</w:t>
            </w:r>
          </w:p>
        </w:tc>
        <w:tc>
          <w:tcPr>
            <w:tcW w:w="1549" w:type="dxa"/>
            <w:shd w:val="clear" w:color="auto" w:fill="auto"/>
            <w:vAlign w:val="center"/>
            <w:hideMark/>
          </w:tcPr>
          <w:p w14:paraId="103EA299" w14:textId="77777777" w:rsidR="00E1391D" w:rsidRPr="001B2718" w:rsidRDefault="00E1391D" w:rsidP="00A24E16">
            <w:pPr>
              <w:spacing w:line="240" w:lineRule="auto"/>
              <w:rPr>
                <w:sz w:val="20"/>
                <w:szCs w:val="20"/>
              </w:rPr>
            </w:pPr>
            <w:r w:rsidRPr="001B2718">
              <w:rPr>
                <w:sz w:val="20"/>
                <w:szCs w:val="20"/>
                <w:lang w:val="pt-PT"/>
              </w:rPr>
              <w:t>Camera-traps</w:t>
            </w:r>
          </w:p>
        </w:tc>
        <w:tc>
          <w:tcPr>
            <w:tcW w:w="1239" w:type="dxa"/>
            <w:shd w:val="clear" w:color="auto" w:fill="auto"/>
            <w:vAlign w:val="center"/>
            <w:hideMark/>
          </w:tcPr>
          <w:p w14:paraId="4DF08CBE" w14:textId="77777777" w:rsidR="00E1391D" w:rsidRPr="001B2718" w:rsidRDefault="00E1391D" w:rsidP="00A24E16">
            <w:pPr>
              <w:spacing w:line="240" w:lineRule="auto"/>
              <w:rPr>
                <w:sz w:val="20"/>
                <w:szCs w:val="20"/>
              </w:rPr>
            </w:pPr>
          </w:p>
        </w:tc>
      </w:tr>
      <w:tr w:rsidR="00E1391D" w:rsidRPr="001B2718" w14:paraId="06376151" w14:textId="77777777" w:rsidTr="00A24E16">
        <w:trPr>
          <w:trHeight w:val="1127"/>
        </w:trPr>
        <w:tc>
          <w:tcPr>
            <w:tcW w:w="5376" w:type="dxa"/>
            <w:shd w:val="clear" w:color="auto" w:fill="auto"/>
            <w:vAlign w:val="center"/>
            <w:hideMark/>
          </w:tcPr>
          <w:p w14:paraId="5699DCD9" w14:textId="7FF44D44" w:rsidR="00E1391D" w:rsidRPr="00D368C8" w:rsidRDefault="00E1391D" w:rsidP="00A24E16">
            <w:pPr>
              <w:spacing w:line="240" w:lineRule="auto"/>
              <w:rPr>
                <w:sz w:val="20"/>
                <w:szCs w:val="20"/>
                <w:lang w:val="pt-PT"/>
              </w:rPr>
            </w:pPr>
            <w:r w:rsidRPr="001B2718">
              <w:rPr>
                <w:sz w:val="20"/>
                <w:szCs w:val="20"/>
                <w:lang w:val="pt-PT"/>
              </w:rPr>
              <w:t xml:space="preserve">Bolaño, C. R., Cortés, L. M., &amp; Avilán, R. Á. (2015). </w:t>
            </w:r>
            <w:r w:rsidR="00D368C8" w:rsidRPr="001B2718">
              <w:rPr>
                <w:sz w:val="20"/>
                <w:szCs w:val="20"/>
                <w:lang w:val="pt-PT"/>
              </w:rPr>
              <w:t xml:space="preserve">Densidad Poblacional del oso hormiguero gigante </w:t>
            </w:r>
            <w:r w:rsidRPr="001B2718">
              <w:rPr>
                <w:sz w:val="20"/>
                <w:szCs w:val="20"/>
                <w:lang w:val="pt-PT"/>
              </w:rPr>
              <w:t xml:space="preserve">(Myrmecophaga tridactyla) </w:t>
            </w:r>
            <w:r w:rsidR="00D368C8" w:rsidRPr="001B2718">
              <w:rPr>
                <w:sz w:val="20"/>
                <w:szCs w:val="20"/>
                <w:lang w:val="pt-PT"/>
              </w:rPr>
              <w:t>en sistemas ganaderos de pore, casanar</w:t>
            </w:r>
            <w:r w:rsidRPr="001B2718">
              <w:rPr>
                <w:sz w:val="20"/>
                <w:szCs w:val="20"/>
                <w:lang w:val="pt-PT"/>
              </w:rPr>
              <w:t xml:space="preserve">E. </w:t>
            </w:r>
            <w:r w:rsidRPr="00D368C8">
              <w:rPr>
                <w:sz w:val="20"/>
                <w:szCs w:val="20"/>
                <w:lang w:val="pt-PT"/>
              </w:rPr>
              <w:t>Revista Biodiversidad Neotropical, 5(1), 64-70.</w:t>
            </w:r>
          </w:p>
        </w:tc>
        <w:tc>
          <w:tcPr>
            <w:tcW w:w="1665" w:type="dxa"/>
            <w:shd w:val="clear" w:color="auto" w:fill="auto"/>
            <w:noWrap/>
            <w:vAlign w:val="center"/>
            <w:hideMark/>
          </w:tcPr>
          <w:p w14:paraId="67BA4ABE" w14:textId="77777777" w:rsidR="00E1391D" w:rsidRPr="001B2718" w:rsidRDefault="00E1391D" w:rsidP="00A24E16">
            <w:pPr>
              <w:spacing w:line="240" w:lineRule="auto"/>
              <w:rPr>
                <w:sz w:val="20"/>
                <w:szCs w:val="20"/>
              </w:rPr>
            </w:pPr>
            <w:r w:rsidRPr="001B2718">
              <w:rPr>
                <w:sz w:val="20"/>
                <w:szCs w:val="20"/>
              </w:rPr>
              <w:t>0.6</w:t>
            </w:r>
          </w:p>
        </w:tc>
        <w:tc>
          <w:tcPr>
            <w:tcW w:w="1549" w:type="dxa"/>
            <w:shd w:val="clear" w:color="auto" w:fill="auto"/>
            <w:vAlign w:val="center"/>
            <w:hideMark/>
          </w:tcPr>
          <w:p w14:paraId="70D25A06" w14:textId="77777777" w:rsidR="00E1391D" w:rsidRPr="001B2718" w:rsidRDefault="00E1391D" w:rsidP="00A24E16">
            <w:pPr>
              <w:spacing w:line="240" w:lineRule="auto"/>
              <w:rPr>
                <w:sz w:val="20"/>
                <w:szCs w:val="20"/>
              </w:rPr>
            </w:pPr>
            <w:r w:rsidRPr="001B2718">
              <w:rPr>
                <w:sz w:val="20"/>
                <w:szCs w:val="20"/>
              </w:rPr>
              <w:t>Linear terrestrial transects</w:t>
            </w:r>
          </w:p>
        </w:tc>
        <w:tc>
          <w:tcPr>
            <w:tcW w:w="1239" w:type="dxa"/>
            <w:shd w:val="clear" w:color="auto" w:fill="auto"/>
            <w:vAlign w:val="center"/>
            <w:hideMark/>
          </w:tcPr>
          <w:p w14:paraId="50D493D0" w14:textId="77777777" w:rsidR="00E1391D" w:rsidRPr="001B2718" w:rsidRDefault="00E1391D" w:rsidP="00A24E16">
            <w:pPr>
              <w:spacing w:line="240" w:lineRule="auto"/>
              <w:rPr>
                <w:sz w:val="20"/>
                <w:szCs w:val="20"/>
              </w:rPr>
            </w:pPr>
            <w:r w:rsidRPr="001B2718">
              <w:rPr>
                <w:sz w:val="20"/>
                <w:szCs w:val="20"/>
              </w:rPr>
              <w:t>All results</w:t>
            </w:r>
          </w:p>
        </w:tc>
      </w:tr>
      <w:tr w:rsidR="00E1391D" w:rsidRPr="001B2718" w14:paraId="4C2A4635" w14:textId="77777777" w:rsidTr="00A24E16">
        <w:trPr>
          <w:trHeight w:val="704"/>
        </w:trPr>
        <w:tc>
          <w:tcPr>
            <w:tcW w:w="5376" w:type="dxa"/>
            <w:shd w:val="clear" w:color="auto" w:fill="auto"/>
            <w:vAlign w:val="center"/>
            <w:hideMark/>
          </w:tcPr>
          <w:p w14:paraId="159D103C" w14:textId="77777777" w:rsidR="00E1391D" w:rsidRPr="001B2718" w:rsidRDefault="00E1391D" w:rsidP="00A24E16">
            <w:pPr>
              <w:spacing w:line="240" w:lineRule="auto"/>
              <w:rPr>
                <w:sz w:val="20"/>
                <w:szCs w:val="20"/>
                <w:lang w:val="pt-PT"/>
              </w:rPr>
            </w:pPr>
            <w:r w:rsidRPr="001B2718">
              <w:rPr>
                <w:sz w:val="20"/>
                <w:szCs w:val="20"/>
                <w:lang w:val="pt-PT"/>
              </w:rPr>
              <w:t>idem</w:t>
            </w:r>
          </w:p>
        </w:tc>
        <w:tc>
          <w:tcPr>
            <w:tcW w:w="1665" w:type="dxa"/>
            <w:shd w:val="clear" w:color="auto" w:fill="auto"/>
            <w:noWrap/>
            <w:vAlign w:val="center"/>
            <w:hideMark/>
          </w:tcPr>
          <w:p w14:paraId="45847CED" w14:textId="77777777" w:rsidR="00E1391D" w:rsidRPr="001B2718" w:rsidRDefault="00E1391D" w:rsidP="00A24E16">
            <w:pPr>
              <w:spacing w:line="240" w:lineRule="auto"/>
              <w:rPr>
                <w:sz w:val="20"/>
                <w:szCs w:val="20"/>
              </w:rPr>
            </w:pPr>
            <w:r w:rsidRPr="001B2718">
              <w:rPr>
                <w:sz w:val="20"/>
                <w:szCs w:val="20"/>
              </w:rPr>
              <w:t>1.0</w:t>
            </w:r>
          </w:p>
        </w:tc>
        <w:tc>
          <w:tcPr>
            <w:tcW w:w="1549" w:type="dxa"/>
            <w:shd w:val="clear" w:color="auto" w:fill="auto"/>
            <w:vAlign w:val="center"/>
            <w:hideMark/>
          </w:tcPr>
          <w:p w14:paraId="06B9739B" w14:textId="77777777" w:rsidR="00E1391D" w:rsidRPr="001B2718" w:rsidRDefault="00E1391D" w:rsidP="00A24E16">
            <w:pPr>
              <w:spacing w:line="240" w:lineRule="auto"/>
              <w:rPr>
                <w:sz w:val="20"/>
                <w:szCs w:val="20"/>
              </w:rPr>
            </w:pPr>
            <w:r w:rsidRPr="001B2718">
              <w:rPr>
                <w:sz w:val="20"/>
                <w:szCs w:val="20"/>
              </w:rPr>
              <w:t xml:space="preserve">Linear terrestrial transects </w:t>
            </w:r>
          </w:p>
        </w:tc>
        <w:tc>
          <w:tcPr>
            <w:tcW w:w="1239" w:type="dxa"/>
            <w:shd w:val="clear" w:color="auto" w:fill="auto"/>
            <w:vAlign w:val="center"/>
            <w:hideMark/>
          </w:tcPr>
          <w:p w14:paraId="1394BD2E" w14:textId="77777777" w:rsidR="00E1391D" w:rsidRPr="001B2718" w:rsidRDefault="00E1391D" w:rsidP="00A24E16">
            <w:pPr>
              <w:spacing w:line="240" w:lineRule="auto"/>
              <w:rPr>
                <w:sz w:val="20"/>
                <w:szCs w:val="20"/>
              </w:rPr>
            </w:pPr>
            <w:r w:rsidRPr="001B2718">
              <w:rPr>
                <w:sz w:val="20"/>
                <w:szCs w:val="20"/>
              </w:rPr>
              <w:t>Natural savanna</w:t>
            </w:r>
          </w:p>
        </w:tc>
      </w:tr>
      <w:tr w:rsidR="00E1391D" w:rsidRPr="001B2718" w14:paraId="59BD112C" w14:textId="77777777" w:rsidTr="00A24E16">
        <w:trPr>
          <w:trHeight w:val="545"/>
        </w:trPr>
        <w:tc>
          <w:tcPr>
            <w:tcW w:w="5376" w:type="dxa"/>
            <w:shd w:val="clear" w:color="auto" w:fill="auto"/>
            <w:vAlign w:val="center"/>
            <w:hideMark/>
          </w:tcPr>
          <w:p w14:paraId="0CD43773" w14:textId="77777777" w:rsidR="00E1391D" w:rsidRPr="001B2718" w:rsidRDefault="00E1391D" w:rsidP="00A24E16">
            <w:pPr>
              <w:spacing w:line="240" w:lineRule="auto"/>
              <w:rPr>
                <w:sz w:val="20"/>
                <w:szCs w:val="20"/>
                <w:lang w:val="pt-PT"/>
              </w:rPr>
            </w:pPr>
            <w:r w:rsidRPr="001B2718">
              <w:rPr>
                <w:sz w:val="20"/>
                <w:szCs w:val="20"/>
                <w:lang w:val="pt-PT"/>
              </w:rPr>
              <w:lastRenderedPageBreak/>
              <w:t>idem</w:t>
            </w:r>
          </w:p>
        </w:tc>
        <w:tc>
          <w:tcPr>
            <w:tcW w:w="1665" w:type="dxa"/>
            <w:shd w:val="clear" w:color="auto" w:fill="auto"/>
            <w:noWrap/>
            <w:vAlign w:val="center"/>
            <w:hideMark/>
          </w:tcPr>
          <w:p w14:paraId="445FE23C" w14:textId="77777777" w:rsidR="00E1391D" w:rsidRPr="001B2718" w:rsidRDefault="00E1391D" w:rsidP="00A24E16">
            <w:pPr>
              <w:spacing w:line="240" w:lineRule="auto"/>
              <w:rPr>
                <w:sz w:val="20"/>
                <w:szCs w:val="20"/>
              </w:rPr>
            </w:pPr>
            <w:r w:rsidRPr="001B2718">
              <w:rPr>
                <w:sz w:val="20"/>
                <w:szCs w:val="20"/>
              </w:rPr>
              <w:t>0.3</w:t>
            </w:r>
          </w:p>
        </w:tc>
        <w:tc>
          <w:tcPr>
            <w:tcW w:w="1549" w:type="dxa"/>
            <w:shd w:val="clear" w:color="auto" w:fill="auto"/>
            <w:vAlign w:val="center"/>
            <w:hideMark/>
          </w:tcPr>
          <w:p w14:paraId="2D76FF20" w14:textId="77777777" w:rsidR="00E1391D" w:rsidRPr="001B2718" w:rsidRDefault="00E1391D" w:rsidP="00A24E16">
            <w:pPr>
              <w:spacing w:line="240" w:lineRule="auto"/>
              <w:rPr>
                <w:sz w:val="20"/>
                <w:szCs w:val="20"/>
              </w:rPr>
            </w:pPr>
            <w:r w:rsidRPr="001B2718">
              <w:rPr>
                <w:sz w:val="20"/>
                <w:szCs w:val="20"/>
              </w:rPr>
              <w:t xml:space="preserve">Linear terrestrial transects </w:t>
            </w:r>
          </w:p>
        </w:tc>
        <w:tc>
          <w:tcPr>
            <w:tcW w:w="1239" w:type="dxa"/>
            <w:shd w:val="clear" w:color="auto" w:fill="auto"/>
            <w:vAlign w:val="center"/>
            <w:hideMark/>
          </w:tcPr>
          <w:p w14:paraId="4926349C" w14:textId="77777777" w:rsidR="00E1391D" w:rsidRPr="001B2718" w:rsidRDefault="00E1391D" w:rsidP="00A24E16">
            <w:pPr>
              <w:spacing w:line="240" w:lineRule="auto"/>
              <w:rPr>
                <w:sz w:val="20"/>
                <w:szCs w:val="20"/>
              </w:rPr>
            </w:pPr>
            <w:r w:rsidRPr="001B2718">
              <w:rPr>
                <w:sz w:val="20"/>
                <w:szCs w:val="20"/>
              </w:rPr>
              <w:t>Intervened landscapes</w:t>
            </w:r>
          </w:p>
        </w:tc>
      </w:tr>
      <w:tr w:rsidR="00E1391D" w:rsidRPr="001B2718" w14:paraId="7CC8E2EF" w14:textId="77777777" w:rsidTr="00A24E16">
        <w:trPr>
          <w:trHeight w:val="1276"/>
        </w:trPr>
        <w:tc>
          <w:tcPr>
            <w:tcW w:w="5376" w:type="dxa"/>
            <w:shd w:val="clear" w:color="auto" w:fill="auto"/>
            <w:vAlign w:val="center"/>
            <w:hideMark/>
          </w:tcPr>
          <w:p w14:paraId="4548B048" w14:textId="77777777" w:rsidR="00E1391D" w:rsidRPr="001B2718" w:rsidRDefault="00E1391D" w:rsidP="00A24E16">
            <w:pPr>
              <w:spacing w:line="240" w:lineRule="auto"/>
              <w:rPr>
                <w:sz w:val="20"/>
                <w:szCs w:val="20"/>
              </w:rPr>
            </w:pPr>
            <w:r w:rsidRPr="001B2718">
              <w:rPr>
                <w:sz w:val="20"/>
                <w:szCs w:val="20"/>
                <w:lang w:val="pt-PT"/>
              </w:rPr>
              <w:t xml:space="preserve">Braga, F.G. 2010. Ecologia e comportamento de tamanduá-bandeira Myrmecophaga tridactyla Linnaeus, 1758 no município de Jaguariaíva, Paraná. Tese (Doutorado em Engenharia Florestal). Centro de Ciências Florestais e da Madeira, Universidade Federal do Paraná, Curitiba. </w:t>
            </w:r>
            <w:r w:rsidRPr="001B2718">
              <w:rPr>
                <w:sz w:val="20"/>
                <w:szCs w:val="20"/>
              </w:rPr>
              <w:t>116p.</w:t>
            </w:r>
          </w:p>
        </w:tc>
        <w:tc>
          <w:tcPr>
            <w:tcW w:w="1665" w:type="dxa"/>
            <w:shd w:val="clear" w:color="auto" w:fill="auto"/>
            <w:noWrap/>
            <w:vAlign w:val="center"/>
            <w:hideMark/>
          </w:tcPr>
          <w:p w14:paraId="109F9832" w14:textId="77777777" w:rsidR="00E1391D" w:rsidRPr="001B2718" w:rsidRDefault="00E1391D" w:rsidP="00A24E16">
            <w:pPr>
              <w:spacing w:line="240" w:lineRule="auto"/>
              <w:rPr>
                <w:sz w:val="20"/>
                <w:szCs w:val="20"/>
              </w:rPr>
            </w:pPr>
            <w:r w:rsidRPr="001B2718">
              <w:rPr>
                <w:sz w:val="20"/>
                <w:szCs w:val="20"/>
              </w:rPr>
              <w:t>0.1</w:t>
            </w:r>
          </w:p>
        </w:tc>
        <w:tc>
          <w:tcPr>
            <w:tcW w:w="1549" w:type="dxa"/>
            <w:shd w:val="clear" w:color="auto" w:fill="auto"/>
            <w:vAlign w:val="center"/>
            <w:hideMark/>
          </w:tcPr>
          <w:p w14:paraId="559E6811" w14:textId="77777777" w:rsidR="00E1391D" w:rsidRPr="001B2718" w:rsidRDefault="00E1391D" w:rsidP="00A24E16">
            <w:pPr>
              <w:spacing w:line="240" w:lineRule="auto"/>
              <w:rPr>
                <w:sz w:val="20"/>
                <w:szCs w:val="20"/>
              </w:rPr>
            </w:pPr>
            <w:r w:rsidRPr="001B2718">
              <w:rPr>
                <w:sz w:val="20"/>
                <w:szCs w:val="20"/>
              </w:rPr>
              <w:t>Linear terrestrial transects</w:t>
            </w:r>
          </w:p>
        </w:tc>
        <w:tc>
          <w:tcPr>
            <w:tcW w:w="1239" w:type="dxa"/>
            <w:shd w:val="clear" w:color="auto" w:fill="auto"/>
            <w:vAlign w:val="center"/>
            <w:hideMark/>
          </w:tcPr>
          <w:p w14:paraId="390B2CF7" w14:textId="77777777" w:rsidR="00E1391D" w:rsidRPr="001B2718" w:rsidRDefault="00E1391D" w:rsidP="00A24E16">
            <w:pPr>
              <w:spacing w:line="240" w:lineRule="auto"/>
              <w:rPr>
                <w:sz w:val="20"/>
                <w:szCs w:val="20"/>
              </w:rPr>
            </w:pPr>
          </w:p>
        </w:tc>
      </w:tr>
      <w:tr w:rsidR="00E1391D" w:rsidRPr="001B2718" w14:paraId="338B94C1" w14:textId="77777777" w:rsidTr="00A24E16">
        <w:trPr>
          <w:trHeight w:val="1251"/>
        </w:trPr>
        <w:tc>
          <w:tcPr>
            <w:tcW w:w="5376" w:type="dxa"/>
            <w:shd w:val="clear" w:color="auto" w:fill="auto"/>
            <w:vAlign w:val="center"/>
            <w:hideMark/>
          </w:tcPr>
          <w:p w14:paraId="41B6D78C" w14:textId="77777777" w:rsidR="00E1391D" w:rsidRPr="001B2718" w:rsidRDefault="00E1391D" w:rsidP="00A24E16">
            <w:pPr>
              <w:spacing w:line="240" w:lineRule="auto"/>
              <w:rPr>
                <w:sz w:val="20"/>
                <w:szCs w:val="20"/>
              </w:rPr>
            </w:pPr>
            <w:r w:rsidRPr="001B2718">
              <w:rPr>
                <w:sz w:val="20"/>
                <w:szCs w:val="20"/>
                <w:lang w:val="pt-PT"/>
              </w:rPr>
              <w:t xml:space="preserve">de Miranda, G. H., Tomas, W. M., Valladares-Padua, C. B., &amp; Rodrigues, F. H. (2006). </w:t>
            </w:r>
            <w:r w:rsidRPr="001B2718">
              <w:rPr>
                <w:sz w:val="20"/>
                <w:szCs w:val="20"/>
              </w:rPr>
              <w:t xml:space="preserve">Giant anteater (Myrmecophaga tridactyla) population Survey in </w:t>
            </w:r>
            <w:proofErr w:type="spellStart"/>
            <w:r w:rsidRPr="001B2718">
              <w:rPr>
                <w:sz w:val="20"/>
                <w:szCs w:val="20"/>
              </w:rPr>
              <w:t>Emas</w:t>
            </w:r>
            <w:proofErr w:type="spellEnd"/>
            <w:r w:rsidRPr="001B2718">
              <w:rPr>
                <w:sz w:val="20"/>
                <w:szCs w:val="20"/>
              </w:rPr>
              <w:t xml:space="preserve"> National Park, Brazil--a proposed monitoring program. Endangered Species Update, 23(3), 96-104.</w:t>
            </w:r>
          </w:p>
        </w:tc>
        <w:tc>
          <w:tcPr>
            <w:tcW w:w="1665" w:type="dxa"/>
            <w:shd w:val="clear" w:color="auto" w:fill="auto"/>
            <w:noWrap/>
            <w:vAlign w:val="center"/>
            <w:hideMark/>
          </w:tcPr>
          <w:p w14:paraId="1E77DEEB" w14:textId="77777777" w:rsidR="00E1391D" w:rsidRPr="001B2718" w:rsidRDefault="00E1391D" w:rsidP="00A24E16">
            <w:pPr>
              <w:spacing w:line="240" w:lineRule="auto"/>
              <w:rPr>
                <w:sz w:val="20"/>
                <w:szCs w:val="20"/>
              </w:rPr>
            </w:pPr>
            <w:r w:rsidRPr="001B2718">
              <w:rPr>
                <w:sz w:val="20"/>
                <w:szCs w:val="20"/>
              </w:rPr>
              <w:t>0.4</w:t>
            </w:r>
          </w:p>
        </w:tc>
        <w:tc>
          <w:tcPr>
            <w:tcW w:w="1549" w:type="dxa"/>
            <w:shd w:val="clear" w:color="auto" w:fill="auto"/>
            <w:vAlign w:val="center"/>
            <w:hideMark/>
          </w:tcPr>
          <w:p w14:paraId="77AF94AA" w14:textId="77777777" w:rsidR="00E1391D" w:rsidRPr="001B2718" w:rsidRDefault="00E1391D" w:rsidP="00A24E16">
            <w:pPr>
              <w:spacing w:line="240" w:lineRule="auto"/>
              <w:rPr>
                <w:sz w:val="20"/>
                <w:szCs w:val="20"/>
              </w:rPr>
            </w:pPr>
            <w:r w:rsidRPr="001B2718">
              <w:rPr>
                <w:sz w:val="20"/>
                <w:szCs w:val="20"/>
              </w:rPr>
              <w:t>Linear terrestrial transects</w:t>
            </w:r>
          </w:p>
        </w:tc>
        <w:tc>
          <w:tcPr>
            <w:tcW w:w="1239" w:type="dxa"/>
            <w:shd w:val="clear" w:color="auto" w:fill="auto"/>
            <w:vAlign w:val="center"/>
            <w:hideMark/>
          </w:tcPr>
          <w:p w14:paraId="25E73FE9" w14:textId="77777777" w:rsidR="00E1391D" w:rsidRPr="001B2718" w:rsidRDefault="00E1391D" w:rsidP="00A24E16">
            <w:pPr>
              <w:spacing w:line="240" w:lineRule="auto"/>
              <w:rPr>
                <w:sz w:val="20"/>
                <w:szCs w:val="20"/>
              </w:rPr>
            </w:pPr>
          </w:p>
        </w:tc>
      </w:tr>
      <w:tr w:rsidR="00E1391D" w:rsidRPr="001B2718" w14:paraId="430FBC31" w14:textId="77777777" w:rsidTr="00A24E16">
        <w:trPr>
          <w:trHeight w:val="426"/>
        </w:trPr>
        <w:tc>
          <w:tcPr>
            <w:tcW w:w="5376" w:type="dxa"/>
            <w:shd w:val="clear" w:color="auto" w:fill="auto"/>
            <w:vAlign w:val="center"/>
            <w:hideMark/>
          </w:tcPr>
          <w:p w14:paraId="0CD6720E" w14:textId="77777777" w:rsidR="00E1391D" w:rsidRPr="001B2718" w:rsidRDefault="00E1391D" w:rsidP="00A24E16">
            <w:pPr>
              <w:spacing w:line="240" w:lineRule="auto"/>
              <w:rPr>
                <w:sz w:val="20"/>
                <w:szCs w:val="20"/>
                <w:lang w:val="pt-PT"/>
              </w:rPr>
            </w:pPr>
            <w:r w:rsidRPr="001B2718">
              <w:rPr>
                <w:sz w:val="20"/>
                <w:szCs w:val="20"/>
                <w:lang w:val="pt-PT"/>
              </w:rPr>
              <w:t>idem</w:t>
            </w:r>
          </w:p>
        </w:tc>
        <w:tc>
          <w:tcPr>
            <w:tcW w:w="1665" w:type="dxa"/>
            <w:shd w:val="clear" w:color="auto" w:fill="auto"/>
            <w:noWrap/>
            <w:vAlign w:val="center"/>
            <w:hideMark/>
          </w:tcPr>
          <w:p w14:paraId="19E23092" w14:textId="77777777" w:rsidR="00E1391D" w:rsidRPr="001B2718" w:rsidRDefault="00E1391D" w:rsidP="00A24E16">
            <w:pPr>
              <w:spacing w:line="240" w:lineRule="auto"/>
              <w:rPr>
                <w:sz w:val="20"/>
                <w:szCs w:val="20"/>
              </w:rPr>
            </w:pPr>
            <w:r w:rsidRPr="001B2718">
              <w:rPr>
                <w:sz w:val="20"/>
                <w:szCs w:val="20"/>
              </w:rPr>
              <w:t>0.2</w:t>
            </w:r>
          </w:p>
        </w:tc>
        <w:tc>
          <w:tcPr>
            <w:tcW w:w="1549" w:type="dxa"/>
            <w:shd w:val="clear" w:color="auto" w:fill="auto"/>
            <w:vAlign w:val="center"/>
            <w:hideMark/>
          </w:tcPr>
          <w:p w14:paraId="156E0E55" w14:textId="77777777" w:rsidR="00E1391D" w:rsidRPr="001B2718" w:rsidRDefault="00E1391D" w:rsidP="00A24E16">
            <w:pPr>
              <w:spacing w:line="240" w:lineRule="auto"/>
              <w:rPr>
                <w:sz w:val="20"/>
                <w:szCs w:val="20"/>
              </w:rPr>
            </w:pPr>
            <w:r w:rsidRPr="001B2718">
              <w:rPr>
                <w:sz w:val="20"/>
                <w:szCs w:val="20"/>
              </w:rPr>
              <w:t>Linear aerial transects</w:t>
            </w:r>
          </w:p>
        </w:tc>
        <w:tc>
          <w:tcPr>
            <w:tcW w:w="1239" w:type="dxa"/>
            <w:shd w:val="clear" w:color="auto" w:fill="auto"/>
            <w:vAlign w:val="center"/>
            <w:hideMark/>
          </w:tcPr>
          <w:p w14:paraId="3A289CAF" w14:textId="77777777" w:rsidR="00E1391D" w:rsidRPr="001B2718" w:rsidRDefault="00E1391D" w:rsidP="00A24E16">
            <w:pPr>
              <w:spacing w:line="240" w:lineRule="auto"/>
              <w:rPr>
                <w:sz w:val="20"/>
                <w:szCs w:val="20"/>
              </w:rPr>
            </w:pPr>
          </w:p>
        </w:tc>
      </w:tr>
      <w:tr w:rsidR="00E1391D" w:rsidRPr="001B2718" w14:paraId="5E63A508" w14:textId="77777777" w:rsidTr="00A24E16">
        <w:trPr>
          <w:trHeight w:val="979"/>
        </w:trPr>
        <w:tc>
          <w:tcPr>
            <w:tcW w:w="5376" w:type="dxa"/>
            <w:shd w:val="clear" w:color="auto" w:fill="auto"/>
            <w:vAlign w:val="center"/>
            <w:hideMark/>
          </w:tcPr>
          <w:p w14:paraId="4DB37CBD" w14:textId="77777777" w:rsidR="00E1391D" w:rsidRPr="001B2718" w:rsidRDefault="00E1391D" w:rsidP="00A24E16">
            <w:pPr>
              <w:spacing w:line="240" w:lineRule="auto"/>
              <w:rPr>
                <w:sz w:val="20"/>
                <w:szCs w:val="20"/>
              </w:rPr>
            </w:pPr>
            <w:r w:rsidRPr="001B2718">
              <w:rPr>
                <w:sz w:val="20"/>
                <w:szCs w:val="20"/>
                <w:lang w:val="pt-PT"/>
              </w:rPr>
              <w:t xml:space="preserve">Desbiez, A. L. J., &amp; Medri, Í. M. (2010). </w:t>
            </w:r>
            <w:r w:rsidRPr="001B2718">
              <w:rPr>
                <w:sz w:val="20"/>
                <w:szCs w:val="20"/>
              </w:rPr>
              <w:t>Density and habitat use by giant anteaters (Myrmecophaga tridactyla) and southern tamanduas (Tamandua tetradactyla) in the Pantanal wetland, Brazil. Edentata, 11(1), 4-10.</w:t>
            </w:r>
          </w:p>
        </w:tc>
        <w:tc>
          <w:tcPr>
            <w:tcW w:w="1665" w:type="dxa"/>
            <w:shd w:val="clear" w:color="auto" w:fill="auto"/>
            <w:noWrap/>
            <w:vAlign w:val="center"/>
            <w:hideMark/>
          </w:tcPr>
          <w:p w14:paraId="79C54FCC" w14:textId="77777777" w:rsidR="00E1391D" w:rsidRPr="001B2718" w:rsidRDefault="00E1391D" w:rsidP="00A24E16">
            <w:pPr>
              <w:spacing w:line="240" w:lineRule="auto"/>
              <w:rPr>
                <w:sz w:val="20"/>
                <w:szCs w:val="20"/>
              </w:rPr>
            </w:pPr>
            <w:r w:rsidRPr="001B2718">
              <w:rPr>
                <w:sz w:val="20"/>
                <w:szCs w:val="20"/>
              </w:rPr>
              <w:t>0.2</w:t>
            </w:r>
          </w:p>
        </w:tc>
        <w:tc>
          <w:tcPr>
            <w:tcW w:w="1549" w:type="dxa"/>
            <w:shd w:val="clear" w:color="auto" w:fill="auto"/>
            <w:vAlign w:val="center"/>
            <w:hideMark/>
          </w:tcPr>
          <w:p w14:paraId="21934FF4" w14:textId="77777777" w:rsidR="00E1391D" w:rsidRPr="001B2718" w:rsidRDefault="00E1391D" w:rsidP="00A24E16">
            <w:pPr>
              <w:spacing w:line="240" w:lineRule="auto"/>
              <w:rPr>
                <w:sz w:val="20"/>
                <w:szCs w:val="20"/>
              </w:rPr>
            </w:pPr>
            <w:r w:rsidRPr="001B2718">
              <w:rPr>
                <w:sz w:val="20"/>
                <w:szCs w:val="20"/>
              </w:rPr>
              <w:t xml:space="preserve">Linear terrestrial transects </w:t>
            </w:r>
          </w:p>
        </w:tc>
        <w:tc>
          <w:tcPr>
            <w:tcW w:w="1239" w:type="dxa"/>
            <w:shd w:val="clear" w:color="auto" w:fill="auto"/>
            <w:vAlign w:val="center"/>
            <w:hideMark/>
          </w:tcPr>
          <w:p w14:paraId="2B6F0D72" w14:textId="77777777" w:rsidR="00E1391D" w:rsidRPr="001B2718" w:rsidRDefault="00E1391D" w:rsidP="00A24E16">
            <w:pPr>
              <w:spacing w:line="240" w:lineRule="auto"/>
              <w:rPr>
                <w:sz w:val="20"/>
                <w:szCs w:val="20"/>
              </w:rPr>
            </w:pPr>
          </w:p>
        </w:tc>
      </w:tr>
      <w:tr w:rsidR="00E1391D" w:rsidRPr="001B2718" w14:paraId="232F3835" w14:textId="77777777" w:rsidTr="00A24E16">
        <w:trPr>
          <w:trHeight w:val="838"/>
        </w:trPr>
        <w:tc>
          <w:tcPr>
            <w:tcW w:w="5376" w:type="dxa"/>
            <w:shd w:val="clear" w:color="auto" w:fill="auto"/>
            <w:vAlign w:val="center"/>
            <w:hideMark/>
          </w:tcPr>
          <w:p w14:paraId="2FBEFCD9" w14:textId="77777777" w:rsidR="00E1391D" w:rsidRPr="001B2718" w:rsidRDefault="00E1391D" w:rsidP="00A24E16">
            <w:pPr>
              <w:spacing w:line="240" w:lineRule="auto"/>
              <w:rPr>
                <w:sz w:val="20"/>
                <w:szCs w:val="20"/>
              </w:rPr>
            </w:pPr>
            <w:r w:rsidRPr="001B2718">
              <w:rPr>
                <w:sz w:val="20"/>
                <w:szCs w:val="20"/>
              </w:rPr>
              <w:t xml:space="preserve">Kreutz, </w:t>
            </w:r>
            <w:proofErr w:type="gramStart"/>
            <w:r w:rsidRPr="001B2718">
              <w:rPr>
                <w:sz w:val="20"/>
                <w:szCs w:val="20"/>
              </w:rPr>
              <w:t>K. ,</w:t>
            </w:r>
            <w:proofErr w:type="gramEnd"/>
            <w:r w:rsidRPr="001B2718">
              <w:rPr>
                <w:sz w:val="20"/>
                <w:szCs w:val="20"/>
              </w:rPr>
              <w:t xml:space="preserve"> Fischer, F. , &amp; </w:t>
            </w:r>
            <w:proofErr w:type="spellStart"/>
            <w:r w:rsidRPr="001B2718">
              <w:rPr>
                <w:sz w:val="20"/>
                <w:szCs w:val="20"/>
              </w:rPr>
              <w:t>Linsenmair</w:t>
            </w:r>
            <w:proofErr w:type="spellEnd"/>
            <w:r w:rsidRPr="001B2718">
              <w:rPr>
                <w:sz w:val="20"/>
                <w:szCs w:val="20"/>
              </w:rPr>
              <w:t xml:space="preserve">, K. E. (2012). Timber plantations as </w:t>
            </w:r>
            <w:proofErr w:type="spellStart"/>
            <w:r w:rsidRPr="001B2718">
              <w:rPr>
                <w:sz w:val="20"/>
                <w:szCs w:val="20"/>
              </w:rPr>
              <w:t>favourite</w:t>
            </w:r>
            <w:proofErr w:type="spellEnd"/>
            <w:r w:rsidRPr="001B2718">
              <w:rPr>
                <w:sz w:val="20"/>
                <w:szCs w:val="20"/>
              </w:rPr>
              <w:t xml:space="preserve"> habitat for giant anteaters. Mammalia, 76, 137–142. 10.1515/mammalia-2011-0049</w:t>
            </w:r>
          </w:p>
        </w:tc>
        <w:tc>
          <w:tcPr>
            <w:tcW w:w="1665" w:type="dxa"/>
            <w:shd w:val="clear" w:color="auto" w:fill="auto"/>
            <w:vAlign w:val="center"/>
            <w:hideMark/>
          </w:tcPr>
          <w:p w14:paraId="4CF6DB9C" w14:textId="77777777" w:rsidR="00E1391D" w:rsidRPr="001B2718" w:rsidRDefault="00E1391D" w:rsidP="00A24E16">
            <w:pPr>
              <w:spacing w:line="240" w:lineRule="auto"/>
              <w:rPr>
                <w:sz w:val="20"/>
                <w:szCs w:val="20"/>
              </w:rPr>
            </w:pPr>
            <w:r w:rsidRPr="001B2718">
              <w:rPr>
                <w:sz w:val="20"/>
                <w:szCs w:val="20"/>
              </w:rPr>
              <w:t>0.1</w:t>
            </w:r>
          </w:p>
        </w:tc>
        <w:tc>
          <w:tcPr>
            <w:tcW w:w="1549" w:type="dxa"/>
            <w:shd w:val="clear" w:color="auto" w:fill="auto"/>
            <w:vAlign w:val="center"/>
            <w:hideMark/>
          </w:tcPr>
          <w:p w14:paraId="3553D427" w14:textId="77777777" w:rsidR="00E1391D" w:rsidRPr="001B2718" w:rsidRDefault="00E1391D" w:rsidP="00A24E16">
            <w:pPr>
              <w:spacing w:line="240" w:lineRule="auto"/>
              <w:rPr>
                <w:sz w:val="20"/>
                <w:szCs w:val="20"/>
              </w:rPr>
            </w:pPr>
            <w:r w:rsidRPr="001B2718">
              <w:rPr>
                <w:sz w:val="20"/>
                <w:szCs w:val="20"/>
              </w:rPr>
              <w:t>Road counts</w:t>
            </w:r>
          </w:p>
        </w:tc>
        <w:tc>
          <w:tcPr>
            <w:tcW w:w="1239" w:type="dxa"/>
            <w:shd w:val="clear" w:color="auto" w:fill="auto"/>
            <w:vAlign w:val="center"/>
            <w:hideMark/>
          </w:tcPr>
          <w:p w14:paraId="6BFEA5E5" w14:textId="77777777" w:rsidR="00E1391D" w:rsidRPr="001B2718" w:rsidRDefault="00E1391D" w:rsidP="00A24E16">
            <w:pPr>
              <w:spacing w:line="240" w:lineRule="auto"/>
              <w:rPr>
                <w:sz w:val="20"/>
                <w:szCs w:val="20"/>
              </w:rPr>
            </w:pPr>
            <w:r w:rsidRPr="001B2718">
              <w:rPr>
                <w:sz w:val="20"/>
                <w:szCs w:val="20"/>
              </w:rPr>
              <w:t>In savannah</w:t>
            </w:r>
          </w:p>
        </w:tc>
      </w:tr>
      <w:tr w:rsidR="00E1391D" w:rsidRPr="001B2718" w14:paraId="7AD1E499" w14:textId="77777777" w:rsidTr="00A24E16">
        <w:trPr>
          <w:trHeight w:val="416"/>
        </w:trPr>
        <w:tc>
          <w:tcPr>
            <w:tcW w:w="5376" w:type="dxa"/>
            <w:shd w:val="clear" w:color="auto" w:fill="auto"/>
            <w:vAlign w:val="center"/>
            <w:hideMark/>
          </w:tcPr>
          <w:p w14:paraId="658C0006" w14:textId="77777777" w:rsidR="00E1391D" w:rsidRPr="001B2718" w:rsidRDefault="00E1391D" w:rsidP="00A24E16">
            <w:pPr>
              <w:spacing w:line="240" w:lineRule="auto"/>
              <w:rPr>
                <w:sz w:val="20"/>
                <w:szCs w:val="20"/>
                <w:lang w:val="pt-PT"/>
              </w:rPr>
            </w:pPr>
            <w:r w:rsidRPr="001B2718">
              <w:rPr>
                <w:sz w:val="20"/>
                <w:szCs w:val="20"/>
                <w:lang w:val="pt-PT"/>
              </w:rPr>
              <w:t>idem</w:t>
            </w:r>
          </w:p>
        </w:tc>
        <w:tc>
          <w:tcPr>
            <w:tcW w:w="1665" w:type="dxa"/>
            <w:shd w:val="clear" w:color="auto" w:fill="auto"/>
            <w:vAlign w:val="center"/>
            <w:hideMark/>
          </w:tcPr>
          <w:p w14:paraId="46E9DDEA" w14:textId="77777777" w:rsidR="00E1391D" w:rsidRPr="001B2718" w:rsidRDefault="00E1391D" w:rsidP="00A24E16">
            <w:pPr>
              <w:spacing w:line="240" w:lineRule="auto"/>
              <w:rPr>
                <w:sz w:val="20"/>
                <w:szCs w:val="20"/>
              </w:rPr>
            </w:pPr>
            <w:r w:rsidRPr="001B2718">
              <w:rPr>
                <w:sz w:val="20"/>
                <w:szCs w:val="20"/>
              </w:rPr>
              <w:t>2.9</w:t>
            </w:r>
          </w:p>
        </w:tc>
        <w:tc>
          <w:tcPr>
            <w:tcW w:w="1549" w:type="dxa"/>
            <w:shd w:val="clear" w:color="auto" w:fill="auto"/>
            <w:vAlign w:val="center"/>
            <w:hideMark/>
          </w:tcPr>
          <w:p w14:paraId="14F33DE4" w14:textId="77777777" w:rsidR="00E1391D" w:rsidRPr="001B2718" w:rsidRDefault="00E1391D" w:rsidP="00A24E16">
            <w:pPr>
              <w:spacing w:line="240" w:lineRule="auto"/>
              <w:rPr>
                <w:sz w:val="20"/>
                <w:szCs w:val="20"/>
              </w:rPr>
            </w:pPr>
            <w:r w:rsidRPr="001B2718">
              <w:rPr>
                <w:sz w:val="20"/>
                <w:szCs w:val="20"/>
              </w:rPr>
              <w:t>Road counts</w:t>
            </w:r>
          </w:p>
        </w:tc>
        <w:tc>
          <w:tcPr>
            <w:tcW w:w="1239" w:type="dxa"/>
            <w:shd w:val="clear" w:color="auto" w:fill="auto"/>
            <w:vAlign w:val="center"/>
            <w:hideMark/>
          </w:tcPr>
          <w:p w14:paraId="529A0C2C" w14:textId="77777777" w:rsidR="00E1391D" w:rsidRPr="001B2718" w:rsidRDefault="00E1391D" w:rsidP="00A24E16">
            <w:pPr>
              <w:spacing w:line="240" w:lineRule="auto"/>
              <w:rPr>
                <w:sz w:val="20"/>
                <w:szCs w:val="20"/>
              </w:rPr>
            </w:pPr>
            <w:r w:rsidRPr="001B2718">
              <w:rPr>
                <w:sz w:val="20"/>
                <w:szCs w:val="20"/>
              </w:rPr>
              <w:t>In plantations</w:t>
            </w:r>
          </w:p>
        </w:tc>
      </w:tr>
      <w:tr w:rsidR="00E1391D" w:rsidRPr="001B2718" w14:paraId="1D30894F" w14:textId="77777777" w:rsidTr="00A24E16">
        <w:trPr>
          <w:trHeight w:val="1030"/>
        </w:trPr>
        <w:tc>
          <w:tcPr>
            <w:tcW w:w="5376" w:type="dxa"/>
            <w:shd w:val="clear" w:color="auto" w:fill="auto"/>
            <w:vAlign w:val="center"/>
            <w:hideMark/>
          </w:tcPr>
          <w:p w14:paraId="613BC202" w14:textId="77777777" w:rsidR="00E1391D" w:rsidRPr="001B2718" w:rsidRDefault="00E1391D" w:rsidP="00A24E16">
            <w:pPr>
              <w:spacing w:line="240" w:lineRule="auto"/>
              <w:rPr>
                <w:sz w:val="20"/>
                <w:szCs w:val="20"/>
              </w:rPr>
            </w:pPr>
            <w:r w:rsidRPr="001B2718">
              <w:rPr>
                <w:sz w:val="20"/>
                <w:szCs w:val="20"/>
              </w:rPr>
              <w:t xml:space="preserve">Polisar, J., </w:t>
            </w:r>
            <w:proofErr w:type="spellStart"/>
            <w:r w:rsidRPr="001B2718">
              <w:rPr>
                <w:sz w:val="20"/>
                <w:szCs w:val="20"/>
              </w:rPr>
              <w:t>Scognamillo</w:t>
            </w:r>
            <w:proofErr w:type="spellEnd"/>
            <w:r w:rsidRPr="001B2718">
              <w:rPr>
                <w:sz w:val="20"/>
                <w:szCs w:val="20"/>
              </w:rPr>
              <w:t xml:space="preserve">, D., </w:t>
            </w:r>
            <w:proofErr w:type="spellStart"/>
            <w:r w:rsidRPr="001B2718">
              <w:rPr>
                <w:sz w:val="20"/>
                <w:szCs w:val="20"/>
              </w:rPr>
              <w:t>Maxit</w:t>
            </w:r>
            <w:proofErr w:type="spellEnd"/>
            <w:r w:rsidRPr="001B2718">
              <w:rPr>
                <w:sz w:val="20"/>
                <w:szCs w:val="20"/>
              </w:rPr>
              <w:t xml:space="preserve">, I. E., &amp; </w:t>
            </w:r>
            <w:proofErr w:type="spellStart"/>
            <w:r w:rsidRPr="001B2718">
              <w:rPr>
                <w:sz w:val="20"/>
                <w:szCs w:val="20"/>
              </w:rPr>
              <w:t>Sunquist</w:t>
            </w:r>
            <w:proofErr w:type="spellEnd"/>
            <w:r w:rsidRPr="001B2718">
              <w:rPr>
                <w:sz w:val="20"/>
                <w:szCs w:val="20"/>
              </w:rPr>
              <w:t>, M. (2008). Patterns of vertebrate abundance in a tropical mosaic landscape. Studies on Neotropical Fauna and Environment, 43(2), 85-98.</w:t>
            </w:r>
          </w:p>
        </w:tc>
        <w:tc>
          <w:tcPr>
            <w:tcW w:w="1665" w:type="dxa"/>
            <w:shd w:val="clear" w:color="auto" w:fill="auto"/>
            <w:noWrap/>
            <w:vAlign w:val="center"/>
            <w:hideMark/>
          </w:tcPr>
          <w:p w14:paraId="4C8EAD74" w14:textId="77777777" w:rsidR="00E1391D" w:rsidRPr="001B2718" w:rsidRDefault="00E1391D" w:rsidP="00A24E16">
            <w:pPr>
              <w:spacing w:line="240" w:lineRule="auto"/>
              <w:rPr>
                <w:sz w:val="20"/>
                <w:szCs w:val="20"/>
              </w:rPr>
            </w:pPr>
            <w:r w:rsidRPr="001B2718">
              <w:rPr>
                <w:sz w:val="20"/>
                <w:szCs w:val="20"/>
              </w:rPr>
              <w:t>0.4</w:t>
            </w:r>
          </w:p>
        </w:tc>
        <w:tc>
          <w:tcPr>
            <w:tcW w:w="1549" w:type="dxa"/>
            <w:shd w:val="clear" w:color="auto" w:fill="auto"/>
            <w:vAlign w:val="center"/>
            <w:hideMark/>
          </w:tcPr>
          <w:p w14:paraId="18A1161B" w14:textId="77777777" w:rsidR="00E1391D" w:rsidRPr="001B2718" w:rsidRDefault="00E1391D" w:rsidP="00A24E16">
            <w:pPr>
              <w:spacing w:line="240" w:lineRule="auto"/>
              <w:rPr>
                <w:sz w:val="20"/>
                <w:szCs w:val="20"/>
              </w:rPr>
            </w:pPr>
            <w:r w:rsidRPr="001B2718">
              <w:rPr>
                <w:sz w:val="20"/>
                <w:szCs w:val="20"/>
              </w:rPr>
              <w:t xml:space="preserve">Linear terrestrial transects </w:t>
            </w:r>
          </w:p>
        </w:tc>
        <w:tc>
          <w:tcPr>
            <w:tcW w:w="1239" w:type="dxa"/>
            <w:shd w:val="clear" w:color="auto" w:fill="auto"/>
            <w:vAlign w:val="center"/>
            <w:hideMark/>
          </w:tcPr>
          <w:p w14:paraId="76D9D0EA" w14:textId="77777777" w:rsidR="00E1391D" w:rsidRPr="001B2718" w:rsidRDefault="00E1391D" w:rsidP="00A24E16">
            <w:pPr>
              <w:spacing w:line="240" w:lineRule="auto"/>
              <w:rPr>
                <w:sz w:val="20"/>
                <w:szCs w:val="20"/>
              </w:rPr>
            </w:pPr>
          </w:p>
        </w:tc>
      </w:tr>
    </w:tbl>
    <w:p w14:paraId="2858E33A" w14:textId="7511EBA7" w:rsidR="00D368C8" w:rsidRDefault="00D368C8" w:rsidP="00D368C8"/>
    <w:p w14:paraId="4B8A5FBA" w14:textId="2B962D52" w:rsidR="00D368C8" w:rsidRDefault="00D368C8" w:rsidP="00D368C8">
      <w:pPr>
        <w:rPr>
          <w:lang w:val="pt-PT"/>
        </w:rPr>
      </w:pPr>
      <w:r>
        <w:rPr>
          <w:lang w:val="pt-PT"/>
        </w:rPr>
        <w:br w:type="page"/>
      </w:r>
    </w:p>
    <w:p w14:paraId="4FCE5288" w14:textId="6415833F" w:rsidR="00877D41" w:rsidRDefault="00877D41" w:rsidP="00726E9E">
      <w:pPr>
        <w:pStyle w:val="Heading2"/>
      </w:pPr>
      <w:r w:rsidRPr="00F65460">
        <w:lastRenderedPageBreak/>
        <w:t>S</w:t>
      </w:r>
      <w:r w:rsidR="00A135FB">
        <w:t>4</w:t>
      </w:r>
      <w:r>
        <w:t xml:space="preserve"> – </w:t>
      </w:r>
      <w:r w:rsidR="00726E9E">
        <w:t xml:space="preserve">Population Viability Modelling – main results </w:t>
      </w:r>
    </w:p>
    <w:p w14:paraId="02E3125C" w14:textId="798CCDA1" w:rsidR="001C6E63" w:rsidRDefault="001C6E63" w:rsidP="00DA1B2C"/>
    <w:p w14:paraId="09856C56" w14:textId="1188A1ED" w:rsidR="001C6E63" w:rsidRDefault="006A0F71" w:rsidP="006A0F71">
      <w:pPr>
        <w:jc w:val="center"/>
      </w:pPr>
      <w:r>
        <w:rPr>
          <w:noProof/>
          <w:lang w:eastAsia="en-US"/>
        </w:rPr>
        <w:drawing>
          <wp:inline distT="0" distB="0" distL="0" distR="0" wp14:anchorId="41B8B4A6" wp14:editId="116EF7D4">
            <wp:extent cx="4163734" cy="3470223"/>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7131" cy="3498058"/>
                    </a:xfrm>
                    <a:prstGeom prst="rect">
                      <a:avLst/>
                    </a:prstGeom>
                  </pic:spPr>
                </pic:pic>
              </a:graphicData>
            </a:graphic>
          </wp:inline>
        </w:drawing>
      </w:r>
    </w:p>
    <w:p w14:paraId="31001EEB" w14:textId="749DD96F" w:rsidR="001D7DF4" w:rsidRPr="001D7DF4" w:rsidRDefault="001D7DF4" w:rsidP="001D7DF4">
      <w:pPr>
        <w:pStyle w:val="NoSpacing"/>
      </w:pPr>
      <w:r w:rsidRPr="001D7DF4">
        <w:t xml:space="preserve">Figure </w:t>
      </w:r>
      <w:r w:rsidR="000C1CBE">
        <w:t>4</w:t>
      </w:r>
      <w:r w:rsidRPr="001D7DF4">
        <w:t xml:space="preserve">.1 – Number of giant anteaters per year, as simulated in the population viability model </w:t>
      </w:r>
      <w:r w:rsidR="006A0F71">
        <w:t xml:space="preserve">without </w:t>
      </w:r>
      <w:r w:rsidRPr="001D7DF4">
        <w:t>catastrophes. Colors denote the population density used (i.e., initial population size)</w:t>
      </w:r>
      <w:r>
        <w:t>, ranging between 0.</w:t>
      </w:r>
      <w:r w:rsidR="006A0F71">
        <w:t>2</w:t>
      </w:r>
      <w:r>
        <w:t xml:space="preserve"> and 0.</w:t>
      </w:r>
      <w:r w:rsidR="006A0F71">
        <w:t>4</w:t>
      </w:r>
      <w:r>
        <w:t xml:space="preserve"> ind./km</w:t>
      </w:r>
      <w:r w:rsidRPr="001D7DF4">
        <w:rPr>
          <w:vertAlign w:val="superscript"/>
        </w:rPr>
        <w:t>2</w:t>
      </w:r>
      <w:r>
        <w:t>,</w:t>
      </w:r>
      <w:r w:rsidRPr="001D7DF4">
        <w:t xml:space="preserve"> and line shape indicate the value of density weighted proportion (DWP) for estimating roadkill rate (i.e., the true number of roadkill events)</w:t>
      </w:r>
      <w:r>
        <w:t xml:space="preserve">, ranging between 0.5 </w:t>
      </w:r>
      <w:r w:rsidR="006A0F71">
        <w:t xml:space="preserve">(dashed lines) </w:t>
      </w:r>
      <w:r>
        <w:t>and 0.</w:t>
      </w:r>
      <w:r w:rsidR="006A0F71">
        <w:t>8</w:t>
      </w:r>
      <w:r>
        <w:t>0</w:t>
      </w:r>
      <w:r w:rsidR="006A0F71">
        <w:t xml:space="preserve"> (dotted lines)</w:t>
      </w:r>
      <w:r w:rsidRPr="001D7DF4">
        <w:t xml:space="preserve">. </w:t>
      </w:r>
      <w:r w:rsidR="00334E31">
        <w:t>The solid line indicates the baseline scenario, without roadkill harvesting and using a population density of 0.2 ind./km</w:t>
      </w:r>
      <w:r w:rsidR="00334E31" w:rsidRPr="001D7DF4">
        <w:rPr>
          <w:vertAlign w:val="superscript"/>
        </w:rPr>
        <w:t>2</w:t>
      </w:r>
      <w:r w:rsidR="00334E31" w:rsidRPr="00334E31">
        <w:t xml:space="preserve">. </w:t>
      </w:r>
      <w:r w:rsidRPr="001D7DF4">
        <w:t>See main text for details.</w:t>
      </w:r>
    </w:p>
    <w:sectPr w:rsidR="001D7DF4" w:rsidRPr="001D7DF4" w:rsidSect="001C6E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9B660F" w14:textId="77777777" w:rsidR="003F7E79" w:rsidRDefault="003F7E79" w:rsidP="00DA1B2C">
      <w:r>
        <w:separator/>
      </w:r>
    </w:p>
  </w:endnote>
  <w:endnote w:type="continuationSeparator" w:id="0">
    <w:p w14:paraId="15690543" w14:textId="77777777" w:rsidR="003F7E79" w:rsidRDefault="003F7E79" w:rsidP="00DA1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51395498"/>
      <w:docPartObj>
        <w:docPartGallery w:val="Page Numbers (Bottom of Page)"/>
        <w:docPartUnique/>
      </w:docPartObj>
    </w:sdtPr>
    <w:sdtEndPr>
      <w:rPr>
        <w:rStyle w:val="PageNumber"/>
      </w:rPr>
    </w:sdtEndPr>
    <w:sdtContent>
      <w:p w14:paraId="00CF93C1" w14:textId="384EEA28" w:rsidR="002241F1" w:rsidRDefault="002241F1" w:rsidP="00DA1B2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D6783D" w14:textId="77777777" w:rsidR="002241F1" w:rsidRDefault="002241F1" w:rsidP="00DA1B2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91097660"/>
      <w:docPartObj>
        <w:docPartGallery w:val="Page Numbers (Bottom of Page)"/>
        <w:docPartUnique/>
      </w:docPartObj>
    </w:sdtPr>
    <w:sdtEndPr>
      <w:rPr>
        <w:rStyle w:val="PageNumber"/>
      </w:rPr>
    </w:sdtEndPr>
    <w:sdtContent>
      <w:p w14:paraId="503CE7D3" w14:textId="6B0AA40B" w:rsidR="002241F1" w:rsidRDefault="002241F1" w:rsidP="00DA1B2C">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27A6A">
          <w:rPr>
            <w:rStyle w:val="PageNumber"/>
            <w:noProof/>
          </w:rPr>
          <w:t>1</w:t>
        </w:r>
        <w:r>
          <w:rPr>
            <w:rStyle w:val="PageNumber"/>
          </w:rPr>
          <w:fldChar w:fldCharType="end"/>
        </w:r>
      </w:p>
    </w:sdtContent>
  </w:sdt>
  <w:p w14:paraId="7D7A19CE" w14:textId="77777777" w:rsidR="002241F1" w:rsidRDefault="002241F1" w:rsidP="00DA1B2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D199F" w14:textId="77777777" w:rsidR="003F7E79" w:rsidRDefault="003F7E79" w:rsidP="00DA1B2C">
      <w:r>
        <w:separator/>
      </w:r>
    </w:p>
  </w:footnote>
  <w:footnote w:type="continuationSeparator" w:id="0">
    <w:p w14:paraId="42E97FB1" w14:textId="77777777" w:rsidR="003F7E79" w:rsidRDefault="003F7E79" w:rsidP="00DA1B2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25F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4EB3F29"/>
    <w:multiLevelType w:val="hybridMultilevel"/>
    <w:tmpl w:val="B27A76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72103C"/>
    <w:multiLevelType w:val="hybridMultilevel"/>
    <w:tmpl w:val="83BC6C66"/>
    <w:lvl w:ilvl="0" w:tplc="4D0C1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E06869"/>
    <w:multiLevelType w:val="hybridMultilevel"/>
    <w:tmpl w:val="7CA2B8FC"/>
    <w:lvl w:ilvl="0" w:tplc="A1BAF0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2994753"/>
    <w:multiLevelType w:val="hybridMultilevel"/>
    <w:tmpl w:val="053E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B79AA"/>
    <w:multiLevelType w:val="hybridMultilevel"/>
    <w:tmpl w:val="6E7E3962"/>
    <w:lvl w:ilvl="0" w:tplc="E132BAD8">
      <w:start w:val="1"/>
      <w:numFmt w:val="bullet"/>
      <w:lvlText w:val="-"/>
      <w:lvlJc w:val="left"/>
      <w:pPr>
        <w:ind w:left="720" w:hanging="360"/>
      </w:pPr>
      <w:rPr>
        <w:rFonts w:ascii="Calibri" w:eastAsiaTheme="minorHAnsi" w:hAnsi="Calibri" w:cs="Calibri"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D558E3"/>
    <w:multiLevelType w:val="multilevel"/>
    <w:tmpl w:val="979EFE06"/>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06B3379"/>
    <w:multiLevelType w:val="hybridMultilevel"/>
    <w:tmpl w:val="D144DA3E"/>
    <w:lvl w:ilvl="0" w:tplc="F3BC3CD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1219B6"/>
    <w:multiLevelType w:val="hybridMultilevel"/>
    <w:tmpl w:val="39C6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943D91"/>
    <w:multiLevelType w:val="hybridMultilevel"/>
    <w:tmpl w:val="7C96F838"/>
    <w:lvl w:ilvl="0" w:tplc="F3BC3CD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 w:numId="8">
    <w:abstractNumId w:val="7"/>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D2"/>
    <w:rsid w:val="00002280"/>
    <w:rsid w:val="00003A43"/>
    <w:rsid w:val="00003E22"/>
    <w:rsid w:val="000041BD"/>
    <w:rsid w:val="00005049"/>
    <w:rsid w:val="00012B60"/>
    <w:rsid w:val="000154E0"/>
    <w:rsid w:val="00021FE6"/>
    <w:rsid w:val="0002648E"/>
    <w:rsid w:val="00032811"/>
    <w:rsid w:val="00032BA8"/>
    <w:rsid w:val="00042283"/>
    <w:rsid w:val="000423D4"/>
    <w:rsid w:val="000429F3"/>
    <w:rsid w:val="00042EC8"/>
    <w:rsid w:val="00042F40"/>
    <w:rsid w:val="000432F3"/>
    <w:rsid w:val="0004386E"/>
    <w:rsid w:val="00047574"/>
    <w:rsid w:val="0005059B"/>
    <w:rsid w:val="0005128A"/>
    <w:rsid w:val="00054368"/>
    <w:rsid w:val="00056E09"/>
    <w:rsid w:val="00064E64"/>
    <w:rsid w:val="000747A6"/>
    <w:rsid w:val="00075B41"/>
    <w:rsid w:val="000774F5"/>
    <w:rsid w:val="00080A61"/>
    <w:rsid w:val="0008166A"/>
    <w:rsid w:val="000839B8"/>
    <w:rsid w:val="0008634C"/>
    <w:rsid w:val="0008689C"/>
    <w:rsid w:val="0008719B"/>
    <w:rsid w:val="000A1821"/>
    <w:rsid w:val="000A30FE"/>
    <w:rsid w:val="000B4883"/>
    <w:rsid w:val="000B58F1"/>
    <w:rsid w:val="000B6AE6"/>
    <w:rsid w:val="000B74B1"/>
    <w:rsid w:val="000C06C9"/>
    <w:rsid w:val="000C1CBE"/>
    <w:rsid w:val="000C7DCA"/>
    <w:rsid w:val="000D0BF7"/>
    <w:rsid w:val="000D4ABB"/>
    <w:rsid w:val="000E14F3"/>
    <w:rsid w:val="000E479C"/>
    <w:rsid w:val="000E5FC9"/>
    <w:rsid w:val="000E6729"/>
    <w:rsid w:val="000F040F"/>
    <w:rsid w:val="000F1837"/>
    <w:rsid w:val="00104753"/>
    <w:rsid w:val="00107896"/>
    <w:rsid w:val="00112D85"/>
    <w:rsid w:val="001160AD"/>
    <w:rsid w:val="00116E40"/>
    <w:rsid w:val="00117C36"/>
    <w:rsid w:val="00125CC7"/>
    <w:rsid w:val="00127B6D"/>
    <w:rsid w:val="00130241"/>
    <w:rsid w:val="00135230"/>
    <w:rsid w:val="001368F1"/>
    <w:rsid w:val="00140B88"/>
    <w:rsid w:val="0014250E"/>
    <w:rsid w:val="00144035"/>
    <w:rsid w:val="00146D7C"/>
    <w:rsid w:val="001470D8"/>
    <w:rsid w:val="00155FD0"/>
    <w:rsid w:val="00157E25"/>
    <w:rsid w:val="0017651B"/>
    <w:rsid w:val="0018450F"/>
    <w:rsid w:val="001902A9"/>
    <w:rsid w:val="001961FE"/>
    <w:rsid w:val="0019696E"/>
    <w:rsid w:val="001A2E33"/>
    <w:rsid w:val="001A3D16"/>
    <w:rsid w:val="001A6155"/>
    <w:rsid w:val="001B2718"/>
    <w:rsid w:val="001B2857"/>
    <w:rsid w:val="001B31D2"/>
    <w:rsid w:val="001B3FA6"/>
    <w:rsid w:val="001B4A29"/>
    <w:rsid w:val="001B52CB"/>
    <w:rsid w:val="001C01D8"/>
    <w:rsid w:val="001C046D"/>
    <w:rsid w:val="001C6E63"/>
    <w:rsid w:val="001C728F"/>
    <w:rsid w:val="001D7DF4"/>
    <w:rsid w:val="001E1039"/>
    <w:rsid w:val="001E4239"/>
    <w:rsid w:val="001E4A82"/>
    <w:rsid w:val="001F1A8F"/>
    <w:rsid w:val="001F2EC1"/>
    <w:rsid w:val="001F3214"/>
    <w:rsid w:val="002066BD"/>
    <w:rsid w:val="00213C53"/>
    <w:rsid w:val="00213D5D"/>
    <w:rsid w:val="002162C6"/>
    <w:rsid w:val="002241F1"/>
    <w:rsid w:val="00225E49"/>
    <w:rsid w:val="0022692C"/>
    <w:rsid w:val="00226EE9"/>
    <w:rsid w:val="00234742"/>
    <w:rsid w:val="002421BD"/>
    <w:rsid w:val="0024505C"/>
    <w:rsid w:val="00245B29"/>
    <w:rsid w:val="00245D60"/>
    <w:rsid w:val="00246FEF"/>
    <w:rsid w:val="00251AA9"/>
    <w:rsid w:val="00262AD9"/>
    <w:rsid w:val="0026376F"/>
    <w:rsid w:val="00264C19"/>
    <w:rsid w:val="00265B35"/>
    <w:rsid w:val="00272E22"/>
    <w:rsid w:val="00274B04"/>
    <w:rsid w:val="002808ED"/>
    <w:rsid w:val="00282572"/>
    <w:rsid w:val="002841DD"/>
    <w:rsid w:val="00285335"/>
    <w:rsid w:val="00287FD6"/>
    <w:rsid w:val="00291249"/>
    <w:rsid w:val="002A6947"/>
    <w:rsid w:val="002A6FE9"/>
    <w:rsid w:val="002B2BE2"/>
    <w:rsid w:val="002B4E8B"/>
    <w:rsid w:val="002B50A0"/>
    <w:rsid w:val="002B5646"/>
    <w:rsid w:val="002C019E"/>
    <w:rsid w:val="002C2194"/>
    <w:rsid w:val="002C7862"/>
    <w:rsid w:val="002C7F52"/>
    <w:rsid w:val="002D0C86"/>
    <w:rsid w:val="002D69CE"/>
    <w:rsid w:val="002E3008"/>
    <w:rsid w:val="002E60DE"/>
    <w:rsid w:val="002E6968"/>
    <w:rsid w:val="00300C47"/>
    <w:rsid w:val="00301623"/>
    <w:rsid w:val="003060ED"/>
    <w:rsid w:val="003103DC"/>
    <w:rsid w:val="003142CA"/>
    <w:rsid w:val="00316140"/>
    <w:rsid w:val="003175D8"/>
    <w:rsid w:val="00326C83"/>
    <w:rsid w:val="003326B9"/>
    <w:rsid w:val="00334E31"/>
    <w:rsid w:val="00337570"/>
    <w:rsid w:val="00342CDF"/>
    <w:rsid w:val="00345143"/>
    <w:rsid w:val="00351CC9"/>
    <w:rsid w:val="003616C8"/>
    <w:rsid w:val="003619DD"/>
    <w:rsid w:val="00362078"/>
    <w:rsid w:val="00362FEC"/>
    <w:rsid w:val="00366E13"/>
    <w:rsid w:val="00367F27"/>
    <w:rsid w:val="00372A97"/>
    <w:rsid w:val="0037742E"/>
    <w:rsid w:val="0038174A"/>
    <w:rsid w:val="0038303D"/>
    <w:rsid w:val="00387254"/>
    <w:rsid w:val="003905B6"/>
    <w:rsid w:val="003924EC"/>
    <w:rsid w:val="00396D2E"/>
    <w:rsid w:val="003A7FD2"/>
    <w:rsid w:val="003B23F4"/>
    <w:rsid w:val="003B366A"/>
    <w:rsid w:val="003C5958"/>
    <w:rsid w:val="003D5727"/>
    <w:rsid w:val="003D70D1"/>
    <w:rsid w:val="003E693F"/>
    <w:rsid w:val="003E6AD2"/>
    <w:rsid w:val="003E6C1E"/>
    <w:rsid w:val="003E7830"/>
    <w:rsid w:val="003F164A"/>
    <w:rsid w:val="003F6825"/>
    <w:rsid w:val="003F7952"/>
    <w:rsid w:val="003F7B2B"/>
    <w:rsid w:val="003F7E79"/>
    <w:rsid w:val="004006BB"/>
    <w:rsid w:val="004217D7"/>
    <w:rsid w:val="004243F9"/>
    <w:rsid w:val="00431136"/>
    <w:rsid w:val="00435FE0"/>
    <w:rsid w:val="004455D7"/>
    <w:rsid w:val="00446606"/>
    <w:rsid w:val="004502AD"/>
    <w:rsid w:val="00453957"/>
    <w:rsid w:val="00475A78"/>
    <w:rsid w:val="00476708"/>
    <w:rsid w:val="0048284F"/>
    <w:rsid w:val="00482AB6"/>
    <w:rsid w:val="00483B34"/>
    <w:rsid w:val="004A0ED3"/>
    <w:rsid w:val="004A3C5E"/>
    <w:rsid w:val="004B051D"/>
    <w:rsid w:val="004B74CF"/>
    <w:rsid w:val="004D4CD3"/>
    <w:rsid w:val="004D7454"/>
    <w:rsid w:val="004D79AA"/>
    <w:rsid w:val="004E0999"/>
    <w:rsid w:val="004E22CC"/>
    <w:rsid w:val="004E6264"/>
    <w:rsid w:val="004E6CB8"/>
    <w:rsid w:val="004F3514"/>
    <w:rsid w:val="004F417E"/>
    <w:rsid w:val="004F535E"/>
    <w:rsid w:val="004F60B6"/>
    <w:rsid w:val="00500EC6"/>
    <w:rsid w:val="00501392"/>
    <w:rsid w:val="00502980"/>
    <w:rsid w:val="00507C82"/>
    <w:rsid w:val="00511871"/>
    <w:rsid w:val="005167A1"/>
    <w:rsid w:val="005170A5"/>
    <w:rsid w:val="00522C87"/>
    <w:rsid w:val="00524C0B"/>
    <w:rsid w:val="00527740"/>
    <w:rsid w:val="00530116"/>
    <w:rsid w:val="00545E78"/>
    <w:rsid w:val="005508B0"/>
    <w:rsid w:val="00550EEB"/>
    <w:rsid w:val="00555DD6"/>
    <w:rsid w:val="00560E22"/>
    <w:rsid w:val="00561BC7"/>
    <w:rsid w:val="005647A6"/>
    <w:rsid w:val="0057214F"/>
    <w:rsid w:val="0058138D"/>
    <w:rsid w:val="00581B3A"/>
    <w:rsid w:val="005930A2"/>
    <w:rsid w:val="0059498C"/>
    <w:rsid w:val="005973A0"/>
    <w:rsid w:val="005A20E4"/>
    <w:rsid w:val="005A2DFB"/>
    <w:rsid w:val="005A3288"/>
    <w:rsid w:val="005A6FDF"/>
    <w:rsid w:val="005B6236"/>
    <w:rsid w:val="005B6741"/>
    <w:rsid w:val="005B6A1C"/>
    <w:rsid w:val="005D04E4"/>
    <w:rsid w:val="005D0BF1"/>
    <w:rsid w:val="005D1027"/>
    <w:rsid w:val="005D6968"/>
    <w:rsid w:val="005F31E5"/>
    <w:rsid w:val="005F4FB3"/>
    <w:rsid w:val="006024D3"/>
    <w:rsid w:val="00603BEC"/>
    <w:rsid w:val="0060465D"/>
    <w:rsid w:val="00605BE3"/>
    <w:rsid w:val="0060730A"/>
    <w:rsid w:val="0061394F"/>
    <w:rsid w:val="00616871"/>
    <w:rsid w:val="00616992"/>
    <w:rsid w:val="00617D40"/>
    <w:rsid w:val="00630C4E"/>
    <w:rsid w:val="00636E22"/>
    <w:rsid w:val="006453B6"/>
    <w:rsid w:val="00656624"/>
    <w:rsid w:val="0066332C"/>
    <w:rsid w:val="00663F45"/>
    <w:rsid w:val="00663FEB"/>
    <w:rsid w:val="0067054C"/>
    <w:rsid w:val="00670FF0"/>
    <w:rsid w:val="00674BFE"/>
    <w:rsid w:val="00683491"/>
    <w:rsid w:val="00687016"/>
    <w:rsid w:val="00691D59"/>
    <w:rsid w:val="00692DAC"/>
    <w:rsid w:val="006A0F71"/>
    <w:rsid w:val="006A18E3"/>
    <w:rsid w:val="006B3233"/>
    <w:rsid w:val="006B7E64"/>
    <w:rsid w:val="006C36A7"/>
    <w:rsid w:val="006C7287"/>
    <w:rsid w:val="006D5493"/>
    <w:rsid w:val="006E1438"/>
    <w:rsid w:val="006E4DF9"/>
    <w:rsid w:val="006F02B0"/>
    <w:rsid w:val="006F0B0B"/>
    <w:rsid w:val="006F3B9F"/>
    <w:rsid w:val="006F6121"/>
    <w:rsid w:val="00703A5D"/>
    <w:rsid w:val="00705EED"/>
    <w:rsid w:val="00711624"/>
    <w:rsid w:val="00714BF6"/>
    <w:rsid w:val="00715E96"/>
    <w:rsid w:val="007169AD"/>
    <w:rsid w:val="00726651"/>
    <w:rsid w:val="00726E9E"/>
    <w:rsid w:val="00736979"/>
    <w:rsid w:val="0075320A"/>
    <w:rsid w:val="0075463C"/>
    <w:rsid w:val="00755F0C"/>
    <w:rsid w:val="00765E89"/>
    <w:rsid w:val="00770FB7"/>
    <w:rsid w:val="00772174"/>
    <w:rsid w:val="007801CD"/>
    <w:rsid w:val="00786474"/>
    <w:rsid w:val="007942BA"/>
    <w:rsid w:val="007A0909"/>
    <w:rsid w:val="007A2D7C"/>
    <w:rsid w:val="007B54D2"/>
    <w:rsid w:val="007C07D9"/>
    <w:rsid w:val="007C7182"/>
    <w:rsid w:val="007D0F1E"/>
    <w:rsid w:val="007D295B"/>
    <w:rsid w:val="007D50CC"/>
    <w:rsid w:val="007E0D5C"/>
    <w:rsid w:val="007E22C5"/>
    <w:rsid w:val="007E4D81"/>
    <w:rsid w:val="007F2DA3"/>
    <w:rsid w:val="007F444A"/>
    <w:rsid w:val="007F4FFC"/>
    <w:rsid w:val="008010D3"/>
    <w:rsid w:val="00804C71"/>
    <w:rsid w:val="008053EB"/>
    <w:rsid w:val="00807ED6"/>
    <w:rsid w:val="00815145"/>
    <w:rsid w:val="00827A6A"/>
    <w:rsid w:val="0084275A"/>
    <w:rsid w:val="00845E92"/>
    <w:rsid w:val="00846E00"/>
    <w:rsid w:val="00852DAD"/>
    <w:rsid w:val="008532BF"/>
    <w:rsid w:val="0085454C"/>
    <w:rsid w:val="00855617"/>
    <w:rsid w:val="00856B0B"/>
    <w:rsid w:val="008621EE"/>
    <w:rsid w:val="00866405"/>
    <w:rsid w:val="00871EB3"/>
    <w:rsid w:val="00873245"/>
    <w:rsid w:val="008740AA"/>
    <w:rsid w:val="00876D7C"/>
    <w:rsid w:val="00876EAB"/>
    <w:rsid w:val="00877D41"/>
    <w:rsid w:val="008805FF"/>
    <w:rsid w:val="00880CC5"/>
    <w:rsid w:val="00880F94"/>
    <w:rsid w:val="00883101"/>
    <w:rsid w:val="00885EC5"/>
    <w:rsid w:val="00886414"/>
    <w:rsid w:val="00893BFD"/>
    <w:rsid w:val="00897549"/>
    <w:rsid w:val="008A00A0"/>
    <w:rsid w:val="008A2180"/>
    <w:rsid w:val="008A6662"/>
    <w:rsid w:val="008A7234"/>
    <w:rsid w:val="008B18AB"/>
    <w:rsid w:val="008B3A44"/>
    <w:rsid w:val="008B595B"/>
    <w:rsid w:val="008B63E0"/>
    <w:rsid w:val="008B7149"/>
    <w:rsid w:val="008C10C1"/>
    <w:rsid w:val="008C2809"/>
    <w:rsid w:val="008C4984"/>
    <w:rsid w:val="008D0547"/>
    <w:rsid w:val="008D456E"/>
    <w:rsid w:val="008D4B6C"/>
    <w:rsid w:val="008D4DBB"/>
    <w:rsid w:val="008D5191"/>
    <w:rsid w:val="008E015F"/>
    <w:rsid w:val="008E349A"/>
    <w:rsid w:val="008E47ED"/>
    <w:rsid w:val="00902099"/>
    <w:rsid w:val="0091283E"/>
    <w:rsid w:val="0091371B"/>
    <w:rsid w:val="00916986"/>
    <w:rsid w:val="009242FB"/>
    <w:rsid w:val="00924EB4"/>
    <w:rsid w:val="00925B23"/>
    <w:rsid w:val="00925E82"/>
    <w:rsid w:val="0093269B"/>
    <w:rsid w:val="009379B9"/>
    <w:rsid w:val="00940C79"/>
    <w:rsid w:val="009424E3"/>
    <w:rsid w:val="00946A33"/>
    <w:rsid w:val="00951472"/>
    <w:rsid w:val="00951CC8"/>
    <w:rsid w:val="0095333C"/>
    <w:rsid w:val="00955553"/>
    <w:rsid w:val="00955A5A"/>
    <w:rsid w:val="00956E68"/>
    <w:rsid w:val="00980EEA"/>
    <w:rsid w:val="00987A9F"/>
    <w:rsid w:val="00987D75"/>
    <w:rsid w:val="00991B42"/>
    <w:rsid w:val="00995268"/>
    <w:rsid w:val="009B5EB4"/>
    <w:rsid w:val="009B6C12"/>
    <w:rsid w:val="009B7A99"/>
    <w:rsid w:val="009C14EC"/>
    <w:rsid w:val="009D1F7E"/>
    <w:rsid w:val="009D2447"/>
    <w:rsid w:val="009E112F"/>
    <w:rsid w:val="009E1EF0"/>
    <w:rsid w:val="009E366B"/>
    <w:rsid w:val="009F07C4"/>
    <w:rsid w:val="009F2153"/>
    <w:rsid w:val="009F6B04"/>
    <w:rsid w:val="00A0108B"/>
    <w:rsid w:val="00A035EA"/>
    <w:rsid w:val="00A078E3"/>
    <w:rsid w:val="00A135FB"/>
    <w:rsid w:val="00A16D3E"/>
    <w:rsid w:val="00A30A86"/>
    <w:rsid w:val="00A46FBE"/>
    <w:rsid w:val="00A46FCA"/>
    <w:rsid w:val="00A50139"/>
    <w:rsid w:val="00A5172C"/>
    <w:rsid w:val="00A519F3"/>
    <w:rsid w:val="00A5301B"/>
    <w:rsid w:val="00A57874"/>
    <w:rsid w:val="00A63749"/>
    <w:rsid w:val="00A705F2"/>
    <w:rsid w:val="00A70A0B"/>
    <w:rsid w:val="00A8258B"/>
    <w:rsid w:val="00A83521"/>
    <w:rsid w:val="00A840CA"/>
    <w:rsid w:val="00A919F5"/>
    <w:rsid w:val="00A976E1"/>
    <w:rsid w:val="00AA0412"/>
    <w:rsid w:val="00AA6A3E"/>
    <w:rsid w:val="00AB2C5C"/>
    <w:rsid w:val="00AB627E"/>
    <w:rsid w:val="00AB707E"/>
    <w:rsid w:val="00AB77ED"/>
    <w:rsid w:val="00AC09B8"/>
    <w:rsid w:val="00AC4EA2"/>
    <w:rsid w:val="00AD122B"/>
    <w:rsid w:val="00AD2622"/>
    <w:rsid w:val="00AD3753"/>
    <w:rsid w:val="00AD3DE3"/>
    <w:rsid w:val="00AD3F7B"/>
    <w:rsid w:val="00AD41D4"/>
    <w:rsid w:val="00AE11B7"/>
    <w:rsid w:val="00AE23B9"/>
    <w:rsid w:val="00AE3690"/>
    <w:rsid w:val="00AE4F0D"/>
    <w:rsid w:val="00AE7CDF"/>
    <w:rsid w:val="00AF5AD0"/>
    <w:rsid w:val="00AF770E"/>
    <w:rsid w:val="00AF7A1F"/>
    <w:rsid w:val="00B044AF"/>
    <w:rsid w:val="00B07E18"/>
    <w:rsid w:val="00B12FC2"/>
    <w:rsid w:val="00B1344E"/>
    <w:rsid w:val="00B14B52"/>
    <w:rsid w:val="00B20733"/>
    <w:rsid w:val="00B22D4E"/>
    <w:rsid w:val="00B23D21"/>
    <w:rsid w:val="00B24B49"/>
    <w:rsid w:val="00B32AE5"/>
    <w:rsid w:val="00B36709"/>
    <w:rsid w:val="00B36AC6"/>
    <w:rsid w:val="00B4621E"/>
    <w:rsid w:val="00B54A08"/>
    <w:rsid w:val="00B64F4D"/>
    <w:rsid w:val="00B80300"/>
    <w:rsid w:val="00B81C5C"/>
    <w:rsid w:val="00B8496D"/>
    <w:rsid w:val="00B94E35"/>
    <w:rsid w:val="00B957DF"/>
    <w:rsid w:val="00BA0C5E"/>
    <w:rsid w:val="00BA2650"/>
    <w:rsid w:val="00BC7B78"/>
    <w:rsid w:val="00BD6B56"/>
    <w:rsid w:val="00BE18B7"/>
    <w:rsid w:val="00BE4BDB"/>
    <w:rsid w:val="00BE4F29"/>
    <w:rsid w:val="00BE5D41"/>
    <w:rsid w:val="00BE768E"/>
    <w:rsid w:val="00BE77F5"/>
    <w:rsid w:val="00BF0D84"/>
    <w:rsid w:val="00BF6E99"/>
    <w:rsid w:val="00BF7336"/>
    <w:rsid w:val="00C0036C"/>
    <w:rsid w:val="00C074DA"/>
    <w:rsid w:val="00C14BBE"/>
    <w:rsid w:val="00C2058A"/>
    <w:rsid w:val="00C20D3F"/>
    <w:rsid w:val="00C20DB0"/>
    <w:rsid w:val="00C21EBD"/>
    <w:rsid w:val="00C25293"/>
    <w:rsid w:val="00C35865"/>
    <w:rsid w:val="00C3693C"/>
    <w:rsid w:val="00C4022C"/>
    <w:rsid w:val="00C443E4"/>
    <w:rsid w:val="00C4545F"/>
    <w:rsid w:val="00C539D8"/>
    <w:rsid w:val="00C54497"/>
    <w:rsid w:val="00C55A99"/>
    <w:rsid w:val="00C62E50"/>
    <w:rsid w:val="00C705F4"/>
    <w:rsid w:val="00C73892"/>
    <w:rsid w:val="00C80634"/>
    <w:rsid w:val="00C80749"/>
    <w:rsid w:val="00C81683"/>
    <w:rsid w:val="00C834B1"/>
    <w:rsid w:val="00C8434D"/>
    <w:rsid w:val="00C85B1F"/>
    <w:rsid w:val="00C93F54"/>
    <w:rsid w:val="00C95458"/>
    <w:rsid w:val="00CA3394"/>
    <w:rsid w:val="00CB74EC"/>
    <w:rsid w:val="00CC0D3D"/>
    <w:rsid w:val="00CC5418"/>
    <w:rsid w:val="00CC7C18"/>
    <w:rsid w:val="00CE17A0"/>
    <w:rsid w:val="00CE3594"/>
    <w:rsid w:val="00CE5920"/>
    <w:rsid w:val="00CF30AE"/>
    <w:rsid w:val="00CF3A4E"/>
    <w:rsid w:val="00CF6C1F"/>
    <w:rsid w:val="00D029AF"/>
    <w:rsid w:val="00D0395E"/>
    <w:rsid w:val="00D055F0"/>
    <w:rsid w:val="00D07730"/>
    <w:rsid w:val="00D1018C"/>
    <w:rsid w:val="00D11679"/>
    <w:rsid w:val="00D11E26"/>
    <w:rsid w:val="00D14398"/>
    <w:rsid w:val="00D14B44"/>
    <w:rsid w:val="00D17F4F"/>
    <w:rsid w:val="00D251AF"/>
    <w:rsid w:val="00D26938"/>
    <w:rsid w:val="00D31C57"/>
    <w:rsid w:val="00D3245D"/>
    <w:rsid w:val="00D368C8"/>
    <w:rsid w:val="00D42A1E"/>
    <w:rsid w:val="00D43168"/>
    <w:rsid w:val="00D43564"/>
    <w:rsid w:val="00D45C58"/>
    <w:rsid w:val="00D547D2"/>
    <w:rsid w:val="00D55CC1"/>
    <w:rsid w:val="00D63790"/>
    <w:rsid w:val="00D858E9"/>
    <w:rsid w:val="00D93B1B"/>
    <w:rsid w:val="00DA0672"/>
    <w:rsid w:val="00DA19FF"/>
    <w:rsid w:val="00DA1B2C"/>
    <w:rsid w:val="00DA7D4D"/>
    <w:rsid w:val="00DB5746"/>
    <w:rsid w:val="00DC1A9D"/>
    <w:rsid w:val="00DC3E48"/>
    <w:rsid w:val="00DC4D5B"/>
    <w:rsid w:val="00DC5435"/>
    <w:rsid w:val="00DC61AF"/>
    <w:rsid w:val="00DC6292"/>
    <w:rsid w:val="00DD2019"/>
    <w:rsid w:val="00DD3342"/>
    <w:rsid w:val="00DD3684"/>
    <w:rsid w:val="00DE048A"/>
    <w:rsid w:val="00DE383C"/>
    <w:rsid w:val="00DE4BB1"/>
    <w:rsid w:val="00DE51FB"/>
    <w:rsid w:val="00DE568E"/>
    <w:rsid w:val="00DE68D7"/>
    <w:rsid w:val="00DE7109"/>
    <w:rsid w:val="00DE7BA3"/>
    <w:rsid w:val="00DF24D0"/>
    <w:rsid w:val="00DF2FFD"/>
    <w:rsid w:val="00DF3146"/>
    <w:rsid w:val="00DF6326"/>
    <w:rsid w:val="00DF65CF"/>
    <w:rsid w:val="00E00155"/>
    <w:rsid w:val="00E1391D"/>
    <w:rsid w:val="00E14033"/>
    <w:rsid w:val="00E14703"/>
    <w:rsid w:val="00E27C85"/>
    <w:rsid w:val="00E33037"/>
    <w:rsid w:val="00E40C2A"/>
    <w:rsid w:val="00E416A2"/>
    <w:rsid w:val="00E4416B"/>
    <w:rsid w:val="00E4658F"/>
    <w:rsid w:val="00E51A1B"/>
    <w:rsid w:val="00E53266"/>
    <w:rsid w:val="00E54C7C"/>
    <w:rsid w:val="00E55B04"/>
    <w:rsid w:val="00E57927"/>
    <w:rsid w:val="00E62F75"/>
    <w:rsid w:val="00E6523E"/>
    <w:rsid w:val="00E67086"/>
    <w:rsid w:val="00E7132C"/>
    <w:rsid w:val="00E76299"/>
    <w:rsid w:val="00E7678E"/>
    <w:rsid w:val="00E879BB"/>
    <w:rsid w:val="00E90454"/>
    <w:rsid w:val="00E9110F"/>
    <w:rsid w:val="00E95226"/>
    <w:rsid w:val="00E96792"/>
    <w:rsid w:val="00EA0BA1"/>
    <w:rsid w:val="00EB05ED"/>
    <w:rsid w:val="00EC2421"/>
    <w:rsid w:val="00EC4E68"/>
    <w:rsid w:val="00EC7A9C"/>
    <w:rsid w:val="00ED0EB5"/>
    <w:rsid w:val="00ED179D"/>
    <w:rsid w:val="00ED365F"/>
    <w:rsid w:val="00ED4852"/>
    <w:rsid w:val="00EE3636"/>
    <w:rsid w:val="00EE482B"/>
    <w:rsid w:val="00EE4EB2"/>
    <w:rsid w:val="00EE6332"/>
    <w:rsid w:val="00EF05C5"/>
    <w:rsid w:val="00F10C35"/>
    <w:rsid w:val="00F276E4"/>
    <w:rsid w:val="00F27B0D"/>
    <w:rsid w:val="00F31469"/>
    <w:rsid w:val="00F33232"/>
    <w:rsid w:val="00F4057F"/>
    <w:rsid w:val="00F42E65"/>
    <w:rsid w:val="00F44D19"/>
    <w:rsid w:val="00F46E44"/>
    <w:rsid w:val="00F574F9"/>
    <w:rsid w:val="00F600DE"/>
    <w:rsid w:val="00F61174"/>
    <w:rsid w:val="00F647F1"/>
    <w:rsid w:val="00F65460"/>
    <w:rsid w:val="00F661D9"/>
    <w:rsid w:val="00F71659"/>
    <w:rsid w:val="00F75DC8"/>
    <w:rsid w:val="00F7638E"/>
    <w:rsid w:val="00F82744"/>
    <w:rsid w:val="00F907AA"/>
    <w:rsid w:val="00F93A0A"/>
    <w:rsid w:val="00F96512"/>
    <w:rsid w:val="00FA2A11"/>
    <w:rsid w:val="00FA3EBC"/>
    <w:rsid w:val="00FA4EF1"/>
    <w:rsid w:val="00FB02D8"/>
    <w:rsid w:val="00FB0710"/>
    <w:rsid w:val="00FB2489"/>
    <w:rsid w:val="00FB42D8"/>
    <w:rsid w:val="00FC0575"/>
    <w:rsid w:val="00FC0FAA"/>
    <w:rsid w:val="00FC2517"/>
    <w:rsid w:val="00FC5181"/>
    <w:rsid w:val="00FC7EB0"/>
    <w:rsid w:val="00FD3548"/>
    <w:rsid w:val="00FD3683"/>
    <w:rsid w:val="00FE308C"/>
    <w:rsid w:val="00FE30C4"/>
    <w:rsid w:val="00FE3C18"/>
    <w:rsid w:val="00FE5EC1"/>
    <w:rsid w:val="00FE7E69"/>
    <w:rsid w:val="00FE7F25"/>
    <w:rsid w:val="00FF0521"/>
    <w:rsid w:val="00FF14F3"/>
    <w:rsid w:val="00FF6554"/>
    <w:rsid w:val="036B9A6B"/>
    <w:rsid w:val="49EFD223"/>
    <w:rsid w:val="4C5574DB"/>
    <w:rsid w:val="5AA2C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AFB9"/>
  <w15:chartTrackingRefBased/>
  <w15:docId w15:val="{CCB685A9-8FCA-4FBB-B6E5-CFD069F2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B2C"/>
    <w:pPr>
      <w:spacing w:after="0" w:line="48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A1B2C"/>
    <w:pPr>
      <w:keepNext/>
      <w:keepLines/>
      <w:tabs>
        <w:tab w:val="left" w:pos="284"/>
        <w:tab w:val="left" w:pos="426"/>
      </w:tabs>
      <w:spacing w:before="360" w:after="240" w:line="276" w:lineRule="auto"/>
      <w:outlineLvl w:val="0"/>
    </w:pPr>
    <w:rPr>
      <w:b/>
      <w:bCs/>
      <w:sz w:val="28"/>
      <w:szCs w:val="28"/>
    </w:rPr>
  </w:style>
  <w:style w:type="paragraph" w:styleId="Heading2">
    <w:name w:val="heading 2"/>
    <w:basedOn w:val="Heading1"/>
    <w:next w:val="Normal"/>
    <w:link w:val="Heading2Char"/>
    <w:uiPriority w:val="9"/>
    <w:unhideWhenUsed/>
    <w:qFormat/>
    <w:rsid w:val="007A2D7C"/>
    <w:pPr>
      <w:numPr>
        <w:ilvl w:val="1"/>
      </w:numPr>
      <w:tabs>
        <w:tab w:val="clear" w:pos="284"/>
      </w:tabs>
      <w:spacing w:line="360" w:lineRule="auto"/>
      <w:ind w:left="794" w:hanging="794"/>
      <w:outlineLvl w:val="1"/>
    </w:pPr>
    <w:rPr>
      <w:sz w:val="24"/>
      <w:szCs w:val="24"/>
    </w:rPr>
  </w:style>
  <w:style w:type="paragraph" w:styleId="Heading3">
    <w:name w:val="heading 3"/>
    <w:basedOn w:val="Heading2"/>
    <w:next w:val="Normal"/>
    <w:link w:val="Heading3Char"/>
    <w:uiPriority w:val="9"/>
    <w:unhideWhenUsed/>
    <w:qFormat/>
    <w:rsid w:val="007A2D7C"/>
    <w:pPr>
      <w:numPr>
        <w:ilvl w:val="2"/>
      </w:numPr>
      <w:tabs>
        <w:tab w:val="clear" w:pos="426"/>
        <w:tab w:val="left" w:pos="709"/>
      </w:tabs>
      <w:ind w:left="709" w:hanging="709"/>
      <w:outlineLvl w:val="2"/>
    </w:pPr>
  </w:style>
  <w:style w:type="paragraph" w:styleId="Heading4">
    <w:name w:val="heading 4"/>
    <w:basedOn w:val="Normal"/>
    <w:next w:val="Normal"/>
    <w:link w:val="Heading4Char"/>
    <w:uiPriority w:val="9"/>
    <w:unhideWhenUsed/>
    <w:qFormat/>
    <w:rsid w:val="000B4883"/>
    <w:pPr>
      <w:outlineLvl w:val="3"/>
    </w:pPr>
    <w:rPr>
      <w:i/>
      <w:iCs/>
    </w:rPr>
  </w:style>
  <w:style w:type="paragraph" w:styleId="Heading5">
    <w:name w:val="heading 5"/>
    <w:basedOn w:val="Normal"/>
    <w:next w:val="Normal"/>
    <w:link w:val="Heading5Char"/>
    <w:uiPriority w:val="9"/>
    <w:semiHidden/>
    <w:unhideWhenUsed/>
    <w:qFormat/>
    <w:rsid w:val="003924E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924E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24E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24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24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2C"/>
    <w:rPr>
      <w:rFonts w:ascii="Times New Roman" w:eastAsia="Times New Roman" w:hAnsi="Times New Roman" w:cs="Times New Roman"/>
      <w:b/>
      <w:bCs/>
      <w:sz w:val="28"/>
      <w:szCs w:val="28"/>
      <w:lang w:eastAsia="en-GB"/>
    </w:rPr>
  </w:style>
  <w:style w:type="character" w:customStyle="1" w:styleId="Heading2Char">
    <w:name w:val="Heading 2 Char"/>
    <w:basedOn w:val="DefaultParagraphFont"/>
    <w:link w:val="Heading2"/>
    <w:uiPriority w:val="9"/>
    <w:rsid w:val="007A2D7C"/>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7A2D7C"/>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0B4883"/>
    <w:rPr>
      <w:rFonts w:ascii="Times New Roman" w:eastAsia="Times New Roman" w:hAnsi="Times New Roman" w:cs="Times New Roman"/>
      <w:i/>
      <w:iCs/>
      <w:sz w:val="24"/>
      <w:szCs w:val="24"/>
      <w:lang w:eastAsia="en-GB"/>
    </w:rPr>
  </w:style>
  <w:style w:type="character" w:customStyle="1" w:styleId="Heading5Char">
    <w:name w:val="Heading 5 Char"/>
    <w:basedOn w:val="DefaultParagraphFont"/>
    <w:link w:val="Heading5"/>
    <w:uiPriority w:val="9"/>
    <w:semiHidden/>
    <w:rsid w:val="003924EC"/>
    <w:rPr>
      <w:rFonts w:asciiTheme="majorHAnsi" w:eastAsiaTheme="majorEastAsia" w:hAnsiTheme="majorHAnsi" w:cstheme="majorBidi"/>
      <w:color w:val="2F5496" w:themeColor="accent1" w:themeShade="BF"/>
      <w:sz w:val="24"/>
      <w:szCs w:val="24"/>
      <w:lang w:eastAsia="en-GB"/>
    </w:rPr>
  </w:style>
  <w:style w:type="character" w:customStyle="1" w:styleId="Heading6Char">
    <w:name w:val="Heading 6 Char"/>
    <w:basedOn w:val="DefaultParagraphFont"/>
    <w:link w:val="Heading6"/>
    <w:uiPriority w:val="9"/>
    <w:semiHidden/>
    <w:rsid w:val="003924EC"/>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3924EC"/>
    <w:rPr>
      <w:rFonts w:asciiTheme="majorHAnsi" w:eastAsiaTheme="majorEastAsia" w:hAnsiTheme="majorHAnsi" w:cstheme="majorBidi"/>
      <w:i/>
      <w:iCs/>
      <w:color w:val="1F3763" w:themeColor="accent1" w:themeShade="7F"/>
      <w:sz w:val="24"/>
      <w:szCs w:val="24"/>
      <w:lang w:eastAsia="en-GB"/>
    </w:rPr>
  </w:style>
  <w:style w:type="character" w:customStyle="1" w:styleId="Heading8Char">
    <w:name w:val="Heading 8 Char"/>
    <w:basedOn w:val="DefaultParagraphFont"/>
    <w:link w:val="Heading8"/>
    <w:uiPriority w:val="9"/>
    <w:semiHidden/>
    <w:rsid w:val="003924EC"/>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3924EC"/>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basedOn w:val="Normal"/>
    <w:uiPriority w:val="34"/>
    <w:qFormat/>
    <w:rsid w:val="008621EE"/>
    <w:pPr>
      <w:ind w:left="720"/>
      <w:contextualSpacing/>
    </w:pPr>
  </w:style>
  <w:style w:type="character" w:styleId="CommentReference">
    <w:name w:val="annotation reference"/>
    <w:basedOn w:val="DefaultParagraphFont"/>
    <w:uiPriority w:val="99"/>
    <w:semiHidden/>
    <w:unhideWhenUsed/>
    <w:rsid w:val="008621EE"/>
    <w:rPr>
      <w:sz w:val="16"/>
      <w:szCs w:val="16"/>
    </w:rPr>
  </w:style>
  <w:style w:type="paragraph" w:styleId="CommentText">
    <w:name w:val="annotation text"/>
    <w:basedOn w:val="Normal"/>
    <w:link w:val="CommentTextChar"/>
    <w:uiPriority w:val="99"/>
    <w:unhideWhenUsed/>
    <w:rsid w:val="008621EE"/>
    <w:pPr>
      <w:spacing w:before="60" w:after="60"/>
    </w:pPr>
    <w:rPr>
      <w:sz w:val="20"/>
      <w:szCs w:val="20"/>
    </w:rPr>
  </w:style>
  <w:style w:type="character" w:customStyle="1" w:styleId="CommentTextChar">
    <w:name w:val="Comment Text Char"/>
    <w:basedOn w:val="DefaultParagraphFont"/>
    <w:link w:val="CommentText"/>
    <w:uiPriority w:val="99"/>
    <w:rsid w:val="008621EE"/>
    <w:rPr>
      <w:sz w:val="20"/>
      <w:szCs w:val="20"/>
    </w:rPr>
  </w:style>
  <w:style w:type="paragraph" w:styleId="Title">
    <w:name w:val="Title"/>
    <w:basedOn w:val="Normal"/>
    <w:next w:val="Normal"/>
    <w:link w:val="TitleChar"/>
    <w:uiPriority w:val="10"/>
    <w:qFormat/>
    <w:rsid w:val="00670FF0"/>
    <w:pPr>
      <w:spacing w:line="276" w:lineRule="auto"/>
    </w:pPr>
    <w:rPr>
      <w:sz w:val="36"/>
      <w:szCs w:val="36"/>
    </w:rPr>
  </w:style>
  <w:style w:type="character" w:customStyle="1" w:styleId="TitleChar">
    <w:name w:val="Title Char"/>
    <w:basedOn w:val="DefaultParagraphFont"/>
    <w:link w:val="Title"/>
    <w:uiPriority w:val="10"/>
    <w:rsid w:val="00670FF0"/>
    <w:rPr>
      <w:rFonts w:ascii="Times New Roman" w:hAnsi="Times New Roman" w:cs="Times New Roman"/>
      <w:sz w:val="36"/>
      <w:szCs w:val="36"/>
    </w:rPr>
  </w:style>
  <w:style w:type="paragraph" w:styleId="NoSpacing">
    <w:name w:val="No Spacing"/>
    <w:basedOn w:val="Caption"/>
    <w:uiPriority w:val="1"/>
    <w:qFormat/>
    <w:rsid w:val="009E366B"/>
    <w:pPr>
      <w:spacing w:before="60" w:line="276" w:lineRule="auto"/>
    </w:pPr>
    <w:rPr>
      <w:i w:val="0"/>
      <w:iCs w:val="0"/>
      <w:color w:val="404040" w:themeColor="text1" w:themeTint="BF"/>
      <w:sz w:val="22"/>
      <w:szCs w:val="22"/>
    </w:rPr>
  </w:style>
  <w:style w:type="paragraph" w:styleId="Caption">
    <w:name w:val="caption"/>
    <w:basedOn w:val="Normal"/>
    <w:next w:val="Normal"/>
    <w:uiPriority w:val="35"/>
    <w:semiHidden/>
    <w:unhideWhenUsed/>
    <w:qFormat/>
    <w:rsid w:val="005D1027"/>
    <w:pPr>
      <w:spacing w:after="200" w:line="240" w:lineRule="auto"/>
    </w:pPr>
    <w:rPr>
      <w:i/>
      <w:iCs/>
      <w:color w:val="44546A" w:themeColor="text2"/>
      <w:sz w:val="18"/>
      <w:szCs w:val="18"/>
    </w:rPr>
  </w:style>
  <w:style w:type="character" w:styleId="SubtleEmphasis">
    <w:name w:val="Subtle Emphasis"/>
    <w:basedOn w:val="DefaultParagraphFont"/>
    <w:uiPriority w:val="19"/>
    <w:qFormat/>
    <w:rsid w:val="005D1027"/>
    <w:rPr>
      <w:i/>
      <w:iCs/>
      <w:color w:val="404040" w:themeColor="text1" w:themeTint="BF"/>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A0C5E"/>
    <w:pPr>
      <w:spacing w:line="240" w:lineRule="auto"/>
      <w:ind w:left="720" w:hanging="720"/>
    </w:pPr>
  </w:style>
  <w:style w:type="paragraph" w:styleId="Footer">
    <w:name w:val="footer"/>
    <w:basedOn w:val="Normal"/>
    <w:link w:val="FooterChar"/>
    <w:uiPriority w:val="99"/>
    <w:unhideWhenUsed/>
    <w:rsid w:val="002241F1"/>
    <w:pPr>
      <w:tabs>
        <w:tab w:val="center" w:pos="4513"/>
        <w:tab w:val="right" w:pos="9026"/>
      </w:tabs>
      <w:spacing w:line="240" w:lineRule="auto"/>
    </w:pPr>
  </w:style>
  <w:style w:type="character" w:customStyle="1" w:styleId="FooterChar">
    <w:name w:val="Footer Char"/>
    <w:basedOn w:val="DefaultParagraphFont"/>
    <w:link w:val="Footer"/>
    <w:uiPriority w:val="99"/>
    <w:rsid w:val="002241F1"/>
    <w:rPr>
      <w:rFonts w:ascii="Times New Roman" w:hAnsi="Times New Roman" w:cs="Times New Roman"/>
      <w:sz w:val="24"/>
      <w:szCs w:val="24"/>
    </w:rPr>
  </w:style>
  <w:style w:type="character" w:styleId="PageNumber">
    <w:name w:val="page number"/>
    <w:basedOn w:val="DefaultParagraphFont"/>
    <w:uiPriority w:val="99"/>
    <w:semiHidden/>
    <w:unhideWhenUsed/>
    <w:rsid w:val="002241F1"/>
  </w:style>
  <w:style w:type="character" w:styleId="Hyperlink">
    <w:name w:val="Hyperlink"/>
    <w:basedOn w:val="DefaultParagraphFont"/>
    <w:uiPriority w:val="99"/>
    <w:unhideWhenUsed/>
    <w:rsid w:val="00856B0B"/>
    <w:rPr>
      <w:color w:val="0563C1" w:themeColor="hyperlink"/>
      <w:u w:val="single"/>
    </w:rPr>
  </w:style>
  <w:style w:type="character" w:customStyle="1" w:styleId="UnresolvedMention">
    <w:name w:val="Unresolved Mention"/>
    <w:basedOn w:val="DefaultParagraphFont"/>
    <w:uiPriority w:val="99"/>
    <w:semiHidden/>
    <w:unhideWhenUsed/>
    <w:rsid w:val="00856B0B"/>
    <w:rPr>
      <w:color w:val="605E5C"/>
      <w:shd w:val="clear" w:color="auto" w:fill="E1DFDD"/>
    </w:rPr>
  </w:style>
  <w:style w:type="character" w:styleId="LineNumber">
    <w:name w:val="line number"/>
    <w:basedOn w:val="DefaultParagraphFont"/>
    <w:uiPriority w:val="99"/>
    <w:semiHidden/>
    <w:unhideWhenUsed/>
    <w:rsid w:val="005D04E4"/>
  </w:style>
  <w:style w:type="paragraph" w:styleId="CommentSubject">
    <w:name w:val="annotation subject"/>
    <w:basedOn w:val="CommentText"/>
    <w:next w:val="CommentText"/>
    <w:link w:val="CommentSubjectChar"/>
    <w:uiPriority w:val="99"/>
    <w:semiHidden/>
    <w:unhideWhenUsed/>
    <w:rsid w:val="00B20733"/>
    <w:pPr>
      <w:spacing w:before="0" w:after="160" w:line="240" w:lineRule="auto"/>
    </w:pPr>
    <w:rPr>
      <w:b/>
      <w:bCs/>
    </w:rPr>
  </w:style>
  <w:style w:type="character" w:customStyle="1" w:styleId="CommentSubjectChar">
    <w:name w:val="Comment Subject Char"/>
    <w:basedOn w:val="CommentTextChar"/>
    <w:link w:val="CommentSubject"/>
    <w:uiPriority w:val="99"/>
    <w:semiHidden/>
    <w:rsid w:val="00B20733"/>
    <w:rPr>
      <w:rFonts w:ascii="Times New Roman" w:hAnsi="Times New Roman" w:cs="Times New Roman"/>
      <w:b/>
      <w:bCs/>
      <w:sz w:val="20"/>
      <w:szCs w:val="20"/>
    </w:rPr>
  </w:style>
  <w:style w:type="paragraph" w:styleId="Header">
    <w:name w:val="header"/>
    <w:basedOn w:val="Normal"/>
    <w:link w:val="HeaderChar"/>
    <w:uiPriority w:val="99"/>
    <w:unhideWhenUsed/>
    <w:rsid w:val="00DA1B2C"/>
    <w:pPr>
      <w:tabs>
        <w:tab w:val="center" w:pos="4513"/>
        <w:tab w:val="right" w:pos="9026"/>
      </w:tabs>
      <w:spacing w:line="240" w:lineRule="auto"/>
    </w:pPr>
  </w:style>
  <w:style w:type="character" w:customStyle="1" w:styleId="HeaderChar">
    <w:name w:val="Header Char"/>
    <w:basedOn w:val="DefaultParagraphFont"/>
    <w:link w:val="Header"/>
    <w:uiPriority w:val="99"/>
    <w:rsid w:val="00DA1B2C"/>
    <w:rPr>
      <w:rFonts w:ascii="Times New Roman" w:eastAsia="Times New Roman" w:hAnsi="Times New Roman" w:cs="Times New Roman"/>
      <w:sz w:val="24"/>
      <w:szCs w:val="24"/>
      <w:lang w:eastAsia="en-GB"/>
    </w:rPr>
  </w:style>
  <w:style w:type="paragraph" w:styleId="Revision">
    <w:name w:val="Revision"/>
    <w:hidden/>
    <w:uiPriority w:val="99"/>
    <w:semiHidden/>
    <w:rsid w:val="00FF14F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4727">
      <w:bodyDiv w:val="1"/>
      <w:marLeft w:val="0"/>
      <w:marRight w:val="0"/>
      <w:marTop w:val="0"/>
      <w:marBottom w:val="0"/>
      <w:divBdr>
        <w:top w:val="none" w:sz="0" w:space="0" w:color="auto"/>
        <w:left w:val="none" w:sz="0" w:space="0" w:color="auto"/>
        <w:bottom w:val="none" w:sz="0" w:space="0" w:color="auto"/>
        <w:right w:val="none" w:sz="0" w:space="0" w:color="auto"/>
      </w:divBdr>
    </w:div>
    <w:div w:id="493187038">
      <w:bodyDiv w:val="1"/>
      <w:marLeft w:val="0"/>
      <w:marRight w:val="0"/>
      <w:marTop w:val="0"/>
      <w:marBottom w:val="0"/>
      <w:divBdr>
        <w:top w:val="none" w:sz="0" w:space="0" w:color="auto"/>
        <w:left w:val="none" w:sz="0" w:space="0" w:color="auto"/>
        <w:bottom w:val="none" w:sz="0" w:space="0" w:color="auto"/>
        <w:right w:val="none" w:sz="0" w:space="0" w:color="auto"/>
      </w:divBdr>
    </w:div>
    <w:div w:id="728191355">
      <w:bodyDiv w:val="1"/>
      <w:marLeft w:val="0"/>
      <w:marRight w:val="0"/>
      <w:marTop w:val="0"/>
      <w:marBottom w:val="0"/>
      <w:divBdr>
        <w:top w:val="none" w:sz="0" w:space="0" w:color="auto"/>
        <w:left w:val="none" w:sz="0" w:space="0" w:color="auto"/>
        <w:bottom w:val="none" w:sz="0" w:space="0" w:color="auto"/>
        <w:right w:val="none" w:sz="0" w:space="0" w:color="auto"/>
      </w:divBdr>
    </w:div>
    <w:div w:id="973021420">
      <w:bodyDiv w:val="1"/>
      <w:marLeft w:val="0"/>
      <w:marRight w:val="0"/>
      <w:marTop w:val="0"/>
      <w:marBottom w:val="0"/>
      <w:divBdr>
        <w:top w:val="none" w:sz="0" w:space="0" w:color="auto"/>
        <w:left w:val="none" w:sz="0" w:space="0" w:color="auto"/>
        <w:bottom w:val="none" w:sz="0" w:space="0" w:color="auto"/>
        <w:right w:val="none" w:sz="0" w:space="0" w:color="auto"/>
      </w:divBdr>
    </w:div>
    <w:div w:id="1089427589">
      <w:bodyDiv w:val="1"/>
      <w:marLeft w:val="0"/>
      <w:marRight w:val="0"/>
      <w:marTop w:val="0"/>
      <w:marBottom w:val="0"/>
      <w:divBdr>
        <w:top w:val="none" w:sz="0" w:space="0" w:color="auto"/>
        <w:left w:val="none" w:sz="0" w:space="0" w:color="auto"/>
        <w:bottom w:val="none" w:sz="0" w:space="0" w:color="auto"/>
        <w:right w:val="none" w:sz="0" w:space="0" w:color="auto"/>
      </w:divBdr>
    </w:div>
    <w:div w:id="1357123863">
      <w:bodyDiv w:val="1"/>
      <w:marLeft w:val="0"/>
      <w:marRight w:val="0"/>
      <w:marTop w:val="0"/>
      <w:marBottom w:val="0"/>
      <w:divBdr>
        <w:top w:val="none" w:sz="0" w:space="0" w:color="auto"/>
        <w:left w:val="none" w:sz="0" w:space="0" w:color="auto"/>
        <w:bottom w:val="none" w:sz="0" w:space="0" w:color="auto"/>
        <w:right w:val="none" w:sz="0" w:space="0" w:color="auto"/>
      </w:divBdr>
    </w:div>
    <w:div w:id="1385257440">
      <w:bodyDiv w:val="1"/>
      <w:marLeft w:val="0"/>
      <w:marRight w:val="0"/>
      <w:marTop w:val="0"/>
      <w:marBottom w:val="0"/>
      <w:divBdr>
        <w:top w:val="none" w:sz="0" w:space="0" w:color="auto"/>
        <w:left w:val="none" w:sz="0" w:space="0" w:color="auto"/>
        <w:bottom w:val="none" w:sz="0" w:space="0" w:color="auto"/>
        <w:right w:val="none" w:sz="0" w:space="0" w:color="auto"/>
      </w:divBdr>
    </w:div>
    <w:div w:id="1500659788">
      <w:bodyDiv w:val="1"/>
      <w:marLeft w:val="0"/>
      <w:marRight w:val="0"/>
      <w:marTop w:val="0"/>
      <w:marBottom w:val="0"/>
      <w:divBdr>
        <w:top w:val="none" w:sz="0" w:space="0" w:color="auto"/>
        <w:left w:val="none" w:sz="0" w:space="0" w:color="auto"/>
        <w:bottom w:val="none" w:sz="0" w:space="0" w:color="auto"/>
        <w:right w:val="none" w:sz="0" w:space="0" w:color="auto"/>
      </w:divBdr>
    </w:div>
    <w:div w:id="1719359490">
      <w:bodyDiv w:val="1"/>
      <w:marLeft w:val="0"/>
      <w:marRight w:val="0"/>
      <w:marTop w:val="0"/>
      <w:marBottom w:val="0"/>
      <w:divBdr>
        <w:top w:val="none" w:sz="0" w:space="0" w:color="auto"/>
        <w:left w:val="none" w:sz="0" w:space="0" w:color="auto"/>
        <w:bottom w:val="none" w:sz="0" w:space="0" w:color="auto"/>
        <w:right w:val="none" w:sz="0" w:space="0" w:color="auto"/>
      </w:divBdr>
    </w:div>
    <w:div w:id="1846554860">
      <w:bodyDiv w:val="1"/>
      <w:marLeft w:val="0"/>
      <w:marRight w:val="0"/>
      <w:marTop w:val="0"/>
      <w:marBottom w:val="0"/>
      <w:divBdr>
        <w:top w:val="none" w:sz="0" w:space="0" w:color="auto"/>
        <w:left w:val="none" w:sz="0" w:space="0" w:color="auto"/>
        <w:bottom w:val="none" w:sz="0" w:space="0" w:color="auto"/>
        <w:right w:val="none" w:sz="0" w:space="0" w:color="auto"/>
      </w:divBdr>
    </w:div>
    <w:div w:id="20641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A73B-FEFD-5948-8F55-F11579BF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2106</Words>
  <Characters>12006</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Desbiez</dc:creator>
  <cp:keywords/>
  <dc:description/>
  <cp:lastModifiedBy>Microsoft Office User</cp:lastModifiedBy>
  <cp:revision>5</cp:revision>
  <dcterms:created xsi:type="dcterms:W3CDTF">2022-04-23T21:34:00Z</dcterms:created>
  <dcterms:modified xsi:type="dcterms:W3CDTF">2022-05-30T05:11:00Z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id="wlmY5lUl"/&gt;&lt;style id="http://www.zotero.org/styles/perspectives-in-ecology-and-conservation" hasBibliography="1" bibliographyStyleHasBeenSet="1"/&gt;&lt;prefs&gt;&lt;pref name="fieldType" value="Field"/&gt;&lt;pref</vt:lpwstr>
  </property>
  <property fmtid="{D5CDD505-2E9C-101B-9397-08002B2CF9AE}" pid="3" name="ZOTERO_PREF_2">
    <vt:lpwstr> name="automaticJournalAbbreviations" value="true"/&gt;&lt;/prefs&gt;&lt;/data&gt;</vt:lpwstr>
  </property>
</Properties>
</file>