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DC69" w14:textId="775A30D3" w:rsidR="00D04DD4" w:rsidRPr="00107731" w:rsidRDefault="002C644E" w:rsidP="00107731">
      <w:pPr>
        <w:spacing w:line="360" w:lineRule="auto"/>
        <w:jc w:val="both"/>
        <w:rPr>
          <w:bCs/>
          <w:sz w:val="28"/>
          <w:szCs w:val="28"/>
        </w:rPr>
      </w:pPr>
      <w:r w:rsidRPr="00107731">
        <w:rPr>
          <w:bCs/>
          <w:sz w:val="28"/>
          <w:szCs w:val="28"/>
        </w:rPr>
        <w:t>Abordagem participativa para mapear áreas estratégicas para conservação e restauração em escala regional</w:t>
      </w:r>
    </w:p>
    <w:p w14:paraId="6A6D8148" w14:textId="77777777" w:rsidR="00C43A6A" w:rsidRPr="00107731" w:rsidRDefault="00C43A6A" w:rsidP="00107731">
      <w:pPr>
        <w:spacing w:line="360" w:lineRule="auto"/>
        <w:jc w:val="both"/>
        <w:rPr>
          <w:sz w:val="28"/>
          <w:szCs w:val="28"/>
        </w:rPr>
      </w:pPr>
    </w:p>
    <w:p w14:paraId="66CBFC7A" w14:textId="43B5B580" w:rsidR="0092018B" w:rsidRPr="00107731" w:rsidRDefault="0092018B" w:rsidP="00107731">
      <w:pPr>
        <w:spacing w:line="360" w:lineRule="auto"/>
        <w:jc w:val="both"/>
      </w:pPr>
      <w:r w:rsidRPr="00107731">
        <w:t xml:space="preserve">Luara </w:t>
      </w:r>
      <w:proofErr w:type="spellStart"/>
      <w:proofErr w:type="gramStart"/>
      <w:r w:rsidRPr="00107731">
        <w:t>Tourinho</w:t>
      </w:r>
      <w:r w:rsidRPr="00107731">
        <w:rPr>
          <w:vertAlign w:val="superscript"/>
        </w:rPr>
        <w:t>a</w:t>
      </w:r>
      <w:proofErr w:type="spellEnd"/>
      <w:r w:rsidRPr="00107731">
        <w:rPr>
          <w:vertAlign w:val="superscript"/>
        </w:rPr>
        <w:t>,*</w:t>
      </w:r>
      <w:proofErr w:type="gramEnd"/>
      <w:r w:rsidR="003B5E7E">
        <w:rPr>
          <w:vertAlign w:val="superscript"/>
        </w:rPr>
        <w:t>,1</w:t>
      </w:r>
      <w:r w:rsidRPr="00107731">
        <w:t xml:space="preserve">, Sara Maria de Brito </w:t>
      </w:r>
      <w:proofErr w:type="spellStart"/>
      <w:r w:rsidRPr="00107731">
        <w:t>Alves</w:t>
      </w:r>
      <w:r w:rsidRPr="00107731">
        <w:rPr>
          <w:vertAlign w:val="superscript"/>
        </w:rPr>
        <w:t>b</w:t>
      </w:r>
      <w:proofErr w:type="spellEnd"/>
      <w:r w:rsidRPr="00107731">
        <w:t xml:space="preserve">, Felipe Bastos Lobo da </w:t>
      </w:r>
      <w:proofErr w:type="spellStart"/>
      <w:r w:rsidRPr="00107731">
        <w:t>Silva</w:t>
      </w:r>
      <w:r w:rsidRPr="00107731">
        <w:rPr>
          <w:vertAlign w:val="superscript"/>
        </w:rPr>
        <w:t>c</w:t>
      </w:r>
      <w:proofErr w:type="spellEnd"/>
      <w:r w:rsidRPr="00107731">
        <w:t xml:space="preserve">, Marcio </w:t>
      </w:r>
      <w:proofErr w:type="spellStart"/>
      <w:r w:rsidRPr="00107731">
        <w:t>Verdi</w:t>
      </w:r>
      <w:r w:rsidRPr="00107731">
        <w:rPr>
          <w:vertAlign w:val="superscript"/>
        </w:rPr>
        <w:t>d,e</w:t>
      </w:r>
      <w:proofErr w:type="spellEnd"/>
      <w:r w:rsidRPr="00107731">
        <w:t xml:space="preserve">, Nádia </w:t>
      </w:r>
      <w:proofErr w:type="spellStart"/>
      <w:r w:rsidRPr="00107731">
        <w:t>Roque</w:t>
      </w:r>
      <w:r w:rsidRPr="00107731">
        <w:rPr>
          <w:vertAlign w:val="superscript"/>
        </w:rPr>
        <w:t>f</w:t>
      </w:r>
      <w:proofErr w:type="spellEnd"/>
      <w:r w:rsidRPr="00107731">
        <w:t xml:space="preserve">, Abel Augusto </w:t>
      </w:r>
      <w:proofErr w:type="spellStart"/>
      <w:r w:rsidRPr="00107731">
        <w:t>Conceição</w:t>
      </w:r>
      <w:r w:rsidRPr="00107731">
        <w:rPr>
          <w:vertAlign w:val="superscript"/>
        </w:rPr>
        <w:t>g</w:t>
      </w:r>
      <w:proofErr w:type="spellEnd"/>
      <w:r w:rsidRPr="00107731">
        <w:t xml:space="preserve">, </w:t>
      </w:r>
      <w:proofErr w:type="spellStart"/>
      <w:r w:rsidRPr="00107731">
        <w:t>Lidyanne</w:t>
      </w:r>
      <w:proofErr w:type="spellEnd"/>
      <w:r w:rsidRPr="00107731">
        <w:t xml:space="preserve"> Y.S. </w:t>
      </w:r>
      <w:proofErr w:type="spellStart"/>
      <w:r w:rsidRPr="00107731">
        <w:t>Aona</w:t>
      </w:r>
      <w:r w:rsidRPr="00107731">
        <w:rPr>
          <w:vertAlign w:val="superscript"/>
        </w:rPr>
        <w:t>h</w:t>
      </w:r>
      <w:proofErr w:type="spellEnd"/>
      <w:r w:rsidRPr="00107731">
        <w:t xml:space="preserve">, Guilherme de </w:t>
      </w:r>
      <w:proofErr w:type="spellStart"/>
      <w:r w:rsidRPr="00107731">
        <w:t>Oliveira</w:t>
      </w:r>
      <w:r w:rsidRPr="00107731">
        <w:rPr>
          <w:vertAlign w:val="superscript"/>
        </w:rPr>
        <w:t>i</w:t>
      </w:r>
      <w:proofErr w:type="spellEnd"/>
      <w:r w:rsidRPr="00107731">
        <w:t xml:space="preserve">, Alessandra Nasser </w:t>
      </w:r>
      <w:proofErr w:type="spellStart"/>
      <w:r w:rsidRPr="00107731">
        <w:t>Caiafa</w:t>
      </w:r>
      <w:r w:rsidRPr="00107731">
        <w:rPr>
          <w:vertAlign w:val="superscript"/>
        </w:rPr>
        <w:t>i</w:t>
      </w:r>
      <w:proofErr w:type="spellEnd"/>
      <w:r w:rsidRPr="00107731">
        <w:t xml:space="preserve">, Dary M. G. </w:t>
      </w:r>
      <w:proofErr w:type="spellStart"/>
      <w:r w:rsidRPr="00107731">
        <w:t>Rigueira</w:t>
      </w:r>
      <w:r w:rsidRPr="00107731">
        <w:rPr>
          <w:vertAlign w:val="superscript"/>
        </w:rPr>
        <w:t>b</w:t>
      </w:r>
      <w:proofErr w:type="spellEnd"/>
      <w:r w:rsidRPr="00107731">
        <w:t xml:space="preserve">, Tiago Jordão </w:t>
      </w:r>
      <w:proofErr w:type="spellStart"/>
      <w:r w:rsidRPr="00107731">
        <w:t>Porto</w:t>
      </w:r>
      <w:r w:rsidRPr="00107731">
        <w:rPr>
          <w:vertAlign w:val="superscript"/>
        </w:rPr>
        <w:t>c</w:t>
      </w:r>
      <w:proofErr w:type="spellEnd"/>
      <w:r w:rsidRPr="00107731">
        <w:t xml:space="preserve">, Ricardo </w:t>
      </w:r>
      <w:proofErr w:type="spellStart"/>
      <w:r w:rsidRPr="00107731">
        <w:t>Dobrovolski</w:t>
      </w:r>
      <w:r w:rsidRPr="00107731">
        <w:rPr>
          <w:vertAlign w:val="superscript"/>
        </w:rPr>
        <w:t>f</w:t>
      </w:r>
      <w:proofErr w:type="spellEnd"/>
      <w:r w:rsidRPr="00107731">
        <w:t xml:space="preserve">, Bruno </w:t>
      </w:r>
      <w:proofErr w:type="spellStart"/>
      <w:r w:rsidRPr="00107731">
        <w:t>Vilela</w:t>
      </w:r>
      <w:r w:rsidRPr="00107731">
        <w:rPr>
          <w:vertAlign w:val="superscript"/>
        </w:rPr>
        <w:t>f</w:t>
      </w:r>
      <w:proofErr w:type="spellEnd"/>
    </w:p>
    <w:p w14:paraId="3AA1B74D" w14:textId="77777777" w:rsidR="0092018B" w:rsidRPr="00107731" w:rsidRDefault="0092018B" w:rsidP="00107731">
      <w:pPr>
        <w:spacing w:line="360" w:lineRule="auto"/>
        <w:jc w:val="both"/>
      </w:pPr>
    </w:p>
    <w:p w14:paraId="6901DCC9" w14:textId="09FE6E8E" w:rsidR="0092018B" w:rsidRPr="00107731" w:rsidRDefault="0092018B" w:rsidP="00107731">
      <w:pPr>
        <w:spacing w:line="360" w:lineRule="auto"/>
        <w:jc w:val="both"/>
      </w:pPr>
      <w:r w:rsidRPr="00107731">
        <w:rPr>
          <w:vertAlign w:val="superscript"/>
        </w:rPr>
        <w:t>a</w:t>
      </w:r>
      <w:r w:rsidRPr="00107731">
        <w:t xml:space="preserve"> Programa de Pós-Graduação em Ecologia, Universidade Federal do Rio de Janeiro, Ilha do Fundão, 21941-970, Rio de Janeiro, </w:t>
      </w:r>
      <w:proofErr w:type="spellStart"/>
      <w:r w:rsidRPr="00107731">
        <w:t>Brazil</w:t>
      </w:r>
      <w:proofErr w:type="spellEnd"/>
      <w:r w:rsidRPr="00107731">
        <w:t>.</w:t>
      </w:r>
    </w:p>
    <w:p w14:paraId="078006BB" w14:textId="77777777" w:rsidR="0092018B" w:rsidRPr="00107731" w:rsidRDefault="0092018B" w:rsidP="00107731">
      <w:pPr>
        <w:spacing w:line="360" w:lineRule="auto"/>
        <w:jc w:val="both"/>
      </w:pPr>
      <w:r w:rsidRPr="00107731">
        <w:rPr>
          <w:vertAlign w:val="superscript"/>
        </w:rPr>
        <w:t>b</w:t>
      </w:r>
      <w:r w:rsidRPr="00107731">
        <w:t xml:space="preserve"> Instituto do Meio Ambiente e Recursos Hídricos da Bahia - INEMA, Governo da Bahia. Avenida Luís Viana Filho, 6ª Avenida, nº 600, CAB, CEP 41.745-900, Salvador, Bahia.</w:t>
      </w:r>
    </w:p>
    <w:p w14:paraId="558EE323" w14:textId="77777777" w:rsidR="0092018B" w:rsidRPr="00107731" w:rsidRDefault="0092018B" w:rsidP="00107731">
      <w:pPr>
        <w:spacing w:line="360" w:lineRule="auto"/>
        <w:jc w:val="both"/>
      </w:pPr>
      <w:r w:rsidRPr="00107731">
        <w:rPr>
          <w:vertAlign w:val="superscript"/>
        </w:rPr>
        <w:t>c</w:t>
      </w:r>
      <w:r w:rsidRPr="00107731">
        <w:t xml:space="preserve"> Secretaria do Meio Ambiente, Governo da Bahia. Avenida Luís Viana Filho, 6ª Avenida, nº 600, CAB, CEP 41.745-900, Salvador, Bahia.</w:t>
      </w:r>
    </w:p>
    <w:p w14:paraId="65ACA030" w14:textId="77777777" w:rsidR="0092018B" w:rsidRPr="00107731" w:rsidRDefault="0092018B" w:rsidP="00107731">
      <w:pPr>
        <w:spacing w:line="360" w:lineRule="auto"/>
        <w:jc w:val="both"/>
      </w:pPr>
      <w:r w:rsidRPr="00107731">
        <w:rPr>
          <w:vertAlign w:val="superscript"/>
        </w:rPr>
        <w:t>d</w:t>
      </w:r>
      <w:r w:rsidRPr="00107731">
        <w:t xml:space="preserve"> Centro Nacional de Conservação da Flora, Instituto de Pesquisa Jardim Botânico do Rio de Janeiro, Rua Pacheco Leão, 915, Jardim Botânico, 22460-030, Rio de Janeiro, </w:t>
      </w:r>
      <w:proofErr w:type="spellStart"/>
      <w:r w:rsidRPr="00107731">
        <w:t>Brazil</w:t>
      </w:r>
      <w:proofErr w:type="spellEnd"/>
      <w:r w:rsidRPr="00107731">
        <w:t>.</w:t>
      </w:r>
    </w:p>
    <w:p w14:paraId="2A8A2F8D" w14:textId="77777777" w:rsidR="0092018B" w:rsidRPr="00107731" w:rsidRDefault="0092018B" w:rsidP="00107731">
      <w:pPr>
        <w:spacing w:line="360" w:lineRule="auto"/>
        <w:jc w:val="both"/>
      </w:pPr>
      <w:r w:rsidRPr="00107731">
        <w:rPr>
          <w:vertAlign w:val="superscript"/>
        </w:rPr>
        <w:t>e</w:t>
      </w:r>
      <w:r w:rsidRPr="00107731">
        <w:t xml:space="preserve"> IUCN SSC </w:t>
      </w:r>
      <w:proofErr w:type="spellStart"/>
      <w:r w:rsidRPr="00107731">
        <w:t>Brazil</w:t>
      </w:r>
      <w:proofErr w:type="spellEnd"/>
      <w:r w:rsidRPr="00107731">
        <w:t xml:space="preserve"> Plant </w:t>
      </w:r>
      <w:proofErr w:type="spellStart"/>
      <w:r w:rsidRPr="00107731">
        <w:t>Red</w:t>
      </w:r>
      <w:proofErr w:type="spellEnd"/>
      <w:r w:rsidRPr="00107731">
        <w:t xml:space="preserve"> </w:t>
      </w:r>
      <w:proofErr w:type="spellStart"/>
      <w:r w:rsidRPr="00107731">
        <w:t>List</w:t>
      </w:r>
      <w:proofErr w:type="spellEnd"/>
      <w:r w:rsidRPr="00107731">
        <w:t xml:space="preserve"> </w:t>
      </w:r>
      <w:proofErr w:type="spellStart"/>
      <w:r w:rsidRPr="00107731">
        <w:t>Authority</w:t>
      </w:r>
      <w:proofErr w:type="spellEnd"/>
      <w:r w:rsidRPr="00107731">
        <w:t xml:space="preserve">, Rua Pacheco Leão, 915, Jardim Botânico, 22460-030, Rio de Janeiro, </w:t>
      </w:r>
      <w:proofErr w:type="spellStart"/>
      <w:r w:rsidRPr="00107731">
        <w:t>Brazil</w:t>
      </w:r>
      <w:proofErr w:type="spellEnd"/>
      <w:r w:rsidRPr="00107731">
        <w:t>.</w:t>
      </w:r>
    </w:p>
    <w:p w14:paraId="124EED19" w14:textId="77777777" w:rsidR="0092018B" w:rsidRPr="00107731" w:rsidRDefault="0092018B" w:rsidP="00107731">
      <w:pPr>
        <w:spacing w:line="360" w:lineRule="auto"/>
        <w:jc w:val="both"/>
      </w:pPr>
      <w:r w:rsidRPr="00107731">
        <w:rPr>
          <w:vertAlign w:val="superscript"/>
        </w:rPr>
        <w:t>f</w:t>
      </w:r>
      <w:r w:rsidRPr="00107731">
        <w:t xml:space="preserve"> Universidade Federal da Bahia, Rua Barão de Jeremoabo s/n, Campus Universitário, Ondina, 40171–970, Salvador, Bahia, </w:t>
      </w:r>
      <w:proofErr w:type="spellStart"/>
      <w:r w:rsidRPr="00107731">
        <w:t>Brazil</w:t>
      </w:r>
      <w:proofErr w:type="spellEnd"/>
      <w:r w:rsidRPr="00107731">
        <w:t>.</w:t>
      </w:r>
    </w:p>
    <w:p w14:paraId="78EA8662" w14:textId="77777777" w:rsidR="0092018B" w:rsidRPr="00107731" w:rsidRDefault="0092018B" w:rsidP="00107731">
      <w:pPr>
        <w:spacing w:line="360" w:lineRule="auto"/>
        <w:jc w:val="both"/>
      </w:pPr>
      <w:r w:rsidRPr="00107731">
        <w:rPr>
          <w:vertAlign w:val="superscript"/>
        </w:rPr>
        <w:t>g</w:t>
      </w:r>
      <w:r w:rsidRPr="00107731">
        <w:t xml:space="preserve"> Universidade Estadual de Feira de Santana, Av. Transnordestina s/n, 44036-900, Feira de Santana, Bahia, </w:t>
      </w:r>
      <w:proofErr w:type="spellStart"/>
      <w:r w:rsidRPr="00107731">
        <w:t>Brazil</w:t>
      </w:r>
      <w:proofErr w:type="spellEnd"/>
      <w:r w:rsidRPr="00107731">
        <w:t>.</w:t>
      </w:r>
    </w:p>
    <w:p w14:paraId="5832678B" w14:textId="77777777" w:rsidR="0092018B" w:rsidRPr="00107731" w:rsidRDefault="0092018B" w:rsidP="00107731">
      <w:pPr>
        <w:spacing w:line="360" w:lineRule="auto"/>
        <w:jc w:val="both"/>
      </w:pPr>
      <w:r w:rsidRPr="00107731">
        <w:rPr>
          <w:vertAlign w:val="superscript"/>
        </w:rPr>
        <w:t>h</w:t>
      </w:r>
      <w:r w:rsidRPr="00107731">
        <w:t xml:space="preserve"> Herbário do Recôncavo da Bahia. Universidade Federal do Recôncavo da Bahia, Centro de Ciências Agrárias, Ambientais e Biológicas, Rui Barbosa, 710, Centro. Cruz das Almas, Bahia, </w:t>
      </w:r>
      <w:proofErr w:type="spellStart"/>
      <w:r w:rsidRPr="00107731">
        <w:t>Brazil</w:t>
      </w:r>
      <w:proofErr w:type="spellEnd"/>
      <w:r w:rsidRPr="00107731">
        <w:t>.</w:t>
      </w:r>
    </w:p>
    <w:p w14:paraId="20BB28C6" w14:textId="77777777" w:rsidR="0092018B" w:rsidRPr="00107731" w:rsidRDefault="0092018B" w:rsidP="00107731">
      <w:pPr>
        <w:spacing w:line="360" w:lineRule="auto"/>
        <w:jc w:val="both"/>
      </w:pPr>
      <w:r w:rsidRPr="00107731">
        <w:rPr>
          <w:vertAlign w:val="superscript"/>
        </w:rPr>
        <w:t>i</w:t>
      </w:r>
      <w:r w:rsidRPr="00107731">
        <w:t xml:space="preserve"> Universidade Federal do Recôncavo da Bahia, Centro de Ciências Agrárias, Ambientais e biológicas, Rua Rui Barbosa, 710, Centro, Cruz das Almas, Bahia, </w:t>
      </w:r>
      <w:proofErr w:type="spellStart"/>
      <w:r w:rsidRPr="00107731">
        <w:t>Brazil</w:t>
      </w:r>
      <w:proofErr w:type="spellEnd"/>
      <w:r w:rsidRPr="00107731">
        <w:t>.</w:t>
      </w:r>
    </w:p>
    <w:p w14:paraId="4717EF46" w14:textId="77777777" w:rsidR="0092018B" w:rsidRPr="00107731" w:rsidRDefault="0092018B" w:rsidP="00107731">
      <w:pPr>
        <w:spacing w:line="360" w:lineRule="auto"/>
        <w:jc w:val="both"/>
      </w:pPr>
    </w:p>
    <w:p w14:paraId="5ADDE8C5" w14:textId="23EAC7BA" w:rsidR="0092018B" w:rsidRPr="00E91356" w:rsidRDefault="0092018B" w:rsidP="00107731">
      <w:pPr>
        <w:spacing w:line="360" w:lineRule="auto"/>
        <w:jc w:val="both"/>
      </w:pPr>
      <w:r w:rsidRPr="00E91356">
        <w:t>*</w:t>
      </w:r>
      <w:r w:rsidR="00E91356" w:rsidRPr="00E91356">
        <w:t>A</w:t>
      </w:r>
      <w:r w:rsidR="00E91356">
        <w:t>utora correspondente</w:t>
      </w:r>
      <w:r w:rsidRPr="00E91356">
        <w:t xml:space="preserve">. E-mail: </w:t>
      </w:r>
      <w:hyperlink r:id="rId8">
        <w:r w:rsidRPr="00E91356">
          <w:rPr>
            <w:rStyle w:val="InternetLink"/>
          </w:rPr>
          <w:t>loptourinho@gmail.com</w:t>
        </w:r>
      </w:hyperlink>
      <w:r w:rsidRPr="00E91356">
        <w:t>; Phone: +55 71 988055121</w:t>
      </w:r>
    </w:p>
    <w:p w14:paraId="786BE09B" w14:textId="598E4BBC" w:rsidR="003B5E7E" w:rsidRPr="003B5E7E" w:rsidRDefault="003B5E7E" w:rsidP="00107731">
      <w:pPr>
        <w:spacing w:line="360" w:lineRule="auto"/>
        <w:jc w:val="both"/>
        <w:rPr>
          <w:sz w:val="28"/>
          <w:szCs w:val="28"/>
        </w:rPr>
        <w:sectPr w:rsidR="003B5E7E" w:rsidRPr="003B5E7E" w:rsidSect="00BD65A8">
          <w:headerReference w:type="default" r:id="rId9"/>
          <w:pgSz w:w="11906" w:h="16838"/>
          <w:pgMar w:top="1701" w:right="1134" w:bottom="1134" w:left="1701" w:header="709" w:footer="0" w:gutter="0"/>
          <w:lnNumType w:countBy="1" w:restart="continuous"/>
          <w:cols w:space="720"/>
          <w:formProt w:val="0"/>
          <w:docGrid w:linePitch="360"/>
        </w:sectPr>
      </w:pPr>
      <w:r w:rsidRPr="00DE761F">
        <w:rPr>
          <w:vertAlign w:val="superscript"/>
        </w:rPr>
        <w:t>1</w:t>
      </w:r>
      <w:r w:rsidR="00E91356">
        <w:t>Endereço atual</w:t>
      </w:r>
      <w:r w:rsidRPr="00E1506A">
        <w:t>: Instituto de Estudos Avançados</w:t>
      </w:r>
      <w:r>
        <w:t>,</w:t>
      </w:r>
      <w:r w:rsidRPr="00E1506A">
        <w:t xml:space="preserve"> Universidade de São Paulo</w:t>
      </w:r>
      <w:r>
        <w:t xml:space="preserve">, </w:t>
      </w:r>
      <w:r w:rsidRPr="00B7661E">
        <w:t>R. do Anfiteatro, 513</w:t>
      </w:r>
      <w:r>
        <w:t>,</w:t>
      </w:r>
      <w:r w:rsidRPr="00B7661E">
        <w:t xml:space="preserve"> Butantã, São Paulo, 05508-060</w:t>
      </w:r>
      <w:r>
        <w:t xml:space="preserve">, SP, </w:t>
      </w:r>
      <w:proofErr w:type="spellStart"/>
      <w:r>
        <w:t>Brazil</w:t>
      </w:r>
      <w:proofErr w:type="spellEnd"/>
      <w:r>
        <w:t>.</w:t>
      </w:r>
    </w:p>
    <w:p w14:paraId="744FCFAF" w14:textId="765C89EB" w:rsidR="00BD65A8" w:rsidRPr="00107731" w:rsidRDefault="006356EA" w:rsidP="00107731">
      <w:pPr>
        <w:spacing w:line="480" w:lineRule="auto"/>
        <w:jc w:val="both"/>
        <w:rPr>
          <w:sz w:val="28"/>
          <w:szCs w:val="28"/>
        </w:rPr>
      </w:pPr>
      <w:r w:rsidRPr="00107731">
        <w:rPr>
          <w:sz w:val="28"/>
          <w:szCs w:val="28"/>
        </w:rPr>
        <w:lastRenderedPageBreak/>
        <w:t>Resumo</w:t>
      </w:r>
    </w:p>
    <w:p w14:paraId="20B69B52" w14:textId="57F3C51C" w:rsidR="00826AAE" w:rsidRDefault="00826AAE" w:rsidP="00107731">
      <w:pPr>
        <w:spacing w:line="480" w:lineRule="auto"/>
        <w:jc w:val="both"/>
        <w:rPr>
          <w:color w:val="000000"/>
        </w:rPr>
      </w:pPr>
    </w:p>
    <w:p w14:paraId="0E1ABB68" w14:textId="6708263A" w:rsidR="002C43C3" w:rsidRPr="00107731" w:rsidRDefault="002758BE" w:rsidP="00107731">
      <w:pPr>
        <w:spacing w:line="480" w:lineRule="auto"/>
        <w:jc w:val="both"/>
        <w:rPr>
          <w:color w:val="000000"/>
        </w:rPr>
      </w:pPr>
      <w:r w:rsidRPr="002758BE">
        <w:rPr>
          <w:color w:val="000000"/>
        </w:rPr>
        <w:t>A identificação e o mapeamento de áreas estratégicas para ações de conservação e restauração são essenciais para reduzir os impactos humanos sobre a biodiversidade. No</w:t>
      </w:r>
      <w:r w:rsidR="003B5E7E">
        <w:rPr>
          <w:color w:val="000000"/>
        </w:rPr>
        <w:t xml:space="preserve"> entanto</w:t>
      </w:r>
      <w:r w:rsidRPr="002758BE">
        <w:rPr>
          <w:color w:val="000000"/>
        </w:rPr>
        <w:t>, a</w:t>
      </w:r>
      <w:r w:rsidR="003B5E7E">
        <w:rPr>
          <w:color w:val="000000"/>
        </w:rPr>
        <w:t xml:space="preserve"> maioria das</w:t>
      </w:r>
      <w:r w:rsidRPr="002758BE">
        <w:rPr>
          <w:color w:val="000000"/>
        </w:rPr>
        <w:t xml:space="preserve"> priorizaç</w:t>
      </w:r>
      <w:r w:rsidR="003B5E7E">
        <w:rPr>
          <w:color w:val="000000"/>
        </w:rPr>
        <w:t>ões</w:t>
      </w:r>
      <w:r w:rsidRPr="002758BE">
        <w:rPr>
          <w:color w:val="000000"/>
        </w:rPr>
        <w:t xml:space="preserve"> espacia</w:t>
      </w:r>
      <w:r w:rsidR="003B5E7E">
        <w:rPr>
          <w:color w:val="000000"/>
        </w:rPr>
        <w:t>is</w:t>
      </w:r>
      <w:r w:rsidRPr="002758BE">
        <w:rPr>
          <w:color w:val="000000"/>
        </w:rPr>
        <w:t xml:space="preserve"> não envolve tomadores de decisão e partes interessadas, </w:t>
      </w:r>
      <w:r w:rsidR="003B5E7E">
        <w:rPr>
          <w:color w:val="000000"/>
        </w:rPr>
        <w:t>gerand</w:t>
      </w:r>
      <w:r w:rsidRPr="002758BE">
        <w:rPr>
          <w:color w:val="000000"/>
        </w:rPr>
        <w:t xml:space="preserve">o </w:t>
      </w:r>
      <w:r w:rsidR="003B5E7E">
        <w:rPr>
          <w:color w:val="000000"/>
        </w:rPr>
        <w:t>um</w:t>
      </w:r>
      <w:r w:rsidRPr="002758BE">
        <w:rPr>
          <w:color w:val="000000"/>
        </w:rPr>
        <w:t xml:space="preserve">a distância entre ciência e aplicação. Aqui descrevemos </w:t>
      </w:r>
      <w:r w:rsidR="003B5E7E">
        <w:rPr>
          <w:color w:val="000000"/>
        </w:rPr>
        <w:t>um passo a passo</w:t>
      </w:r>
      <w:r w:rsidRPr="002758BE">
        <w:rPr>
          <w:color w:val="000000"/>
        </w:rPr>
        <w:t xml:space="preserve"> de </w:t>
      </w:r>
      <w:r w:rsidR="003B5E7E">
        <w:rPr>
          <w:color w:val="000000"/>
        </w:rPr>
        <w:t xml:space="preserve">uma </w:t>
      </w:r>
      <w:r w:rsidRPr="002758BE">
        <w:rPr>
          <w:color w:val="000000"/>
        </w:rPr>
        <w:t xml:space="preserve">abordagem participativa para identificar e mapear áreas estratégicas para conservação de espécies e seus ecossistemas (SASC), bem como identificar áreas importantes para restauração (SAER) em uma região altamente </w:t>
      </w:r>
      <w:proofErr w:type="spellStart"/>
      <w:r w:rsidRPr="002758BE">
        <w:rPr>
          <w:color w:val="000000"/>
        </w:rPr>
        <w:t>biodiversa</w:t>
      </w:r>
      <w:proofErr w:type="spellEnd"/>
      <w:r w:rsidRPr="002758BE">
        <w:rPr>
          <w:color w:val="000000"/>
        </w:rPr>
        <w:t xml:space="preserve"> da Bahia, Brasil. </w:t>
      </w:r>
      <w:r w:rsidR="003B5E7E">
        <w:rPr>
          <w:color w:val="000000"/>
        </w:rPr>
        <w:t>T</w:t>
      </w:r>
      <w:r w:rsidRPr="002758BE">
        <w:rPr>
          <w:color w:val="000000"/>
        </w:rPr>
        <w:t xml:space="preserve">ivemos </w:t>
      </w:r>
      <w:r w:rsidR="003B5E7E">
        <w:rPr>
          <w:color w:val="000000"/>
        </w:rPr>
        <w:t>11</w:t>
      </w:r>
      <w:r w:rsidRPr="002758BE">
        <w:rPr>
          <w:color w:val="000000"/>
        </w:rPr>
        <w:t xml:space="preserve"> reuniões, nas quais cientistas, tomadores de decisão e partes interessadas discutiram e concordaram com </w:t>
      </w:r>
      <w:r w:rsidR="003B5E7E">
        <w:rPr>
          <w:color w:val="000000"/>
        </w:rPr>
        <w:t xml:space="preserve">o projeto e </w:t>
      </w:r>
      <w:r w:rsidRPr="002758BE">
        <w:rPr>
          <w:color w:val="000000"/>
        </w:rPr>
        <w:t>a metodologia. Os participantes escolheram cinco critérios de priorização: quantidade de habitat, adequabilidade ambiental, frequência de incêndios, quantidade de áreas de pr</w:t>
      </w:r>
      <w:r w:rsidR="007A3473">
        <w:rPr>
          <w:color w:val="000000"/>
        </w:rPr>
        <w:t>eservação</w:t>
      </w:r>
      <w:r w:rsidRPr="002758BE">
        <w:rPr>
          <w:color w:val="000000"/>
        </w:rPr>
        <w:t xml:space="preserve"> permanente</w:t>
      </w:r>
      <w:r w:rsidR="007A3473" w:rsidRPr="007A3473">
        <w:rPr>
          <w:color w:val="000000"/>
        </w:rPr>
        <w:t xml:space="preserve"> </w:t>
      </w:r>
      <w:r w:rsidR="007A3473" w:rsidRPr="002758BE">
        <w:rPr>
          <w:color w:val="000000"/>
        </w:rPr>
        <w:t>e diversidade de fitofisionomias</w:t>
      </w:r>
      <w:r w:rsidR="007A3473">
        <w:rPr>
          <w:color w:val="000000"/>
        </w:rPr>
        <w:t>, nesta ordem</w:t>
      </w:r>
      <w:r w:rsidRPr="002758BE">
        <w:rPr>
          <w:color w:val="000000"/>
        </w:rPr>
        <w:t xml:space="preserve">. </w:t>
      </w:r>
      <w:r w:rsidR="007A3473">
        <w:rPr>
          <w:color w:val="000000"/>
        </w:rPr>
        <w:t>Primeiro foi gerado</w:t>
      </w:r>
      <w:r w:rsidRPr="002758BE">
        <w:rPr>
          <w:color w:val="000000"/>
        </w:rPr>
        <w:t xml:space="preserve"> um mapa técnico com base nesses critérios, que foi </w:t>
      </w:r>
      <w:r w:rsidR="007A3473">
        <w:rPr>
          <w:color w:val="000000"/>
        </w:rPr>
        <w:t>ajust</w:t>
      </w:r>
      <w:r w:rsidRPr="002758BE">
        <w:rPr>
          <w:color w:val="000000"/>
        </w:rPr>
        <w:t xml:space="preserve">ado </w:t>
      </w:r>
      <w:r w:rsidR="007A3473" w:rsidRPr="002758BE">
        <w:rPr>
          <w:color w:val="000000"/>
        </w:rPr>
        <w:t>em 11 SASC e 12 SAER</w:t>
      </w:r>
      <w:r w:rsidR="007A3473">
        <w:rPr>
          <w:color w:val="000000"/>
        </w:rPr>
        <w:t>,</w:t>
      </w:r>
      <w:r w:rsidR="007A3473" w:rsidRPr="002758BE">
        <w:rPr>
          <w:color w:val="000000"/>
        </w:rPr>
        <w:t xml:space="preserve"> </w:t>
      </w:r>
      <w:r w:rsidRPr="002758BE">
        <w:rPr>
          <w:color w:val="000000"/>
        </w:rPr>
        <w:t xml:space="preserve">de acordo com as perspectivas dos </w:t>
      </w:r>
      <w:r w:rsidR="007A3473">
        <w:rPr>
          <w:color w:val="000000"/>
        </w:rPr>
        <w:t>participantes</w:t>
      </w:r>
      <w:r w:rsidRPr="002758BE">
        <w:rPr>
          <w:color w:val="000000"/>
        </w:rPr>
        <w:t xml:space="preserve">. </w:t>
      </w:r>
      <w:r w:rsidR="007A3473" w:rsidRPr="007A3473">
        <w:rPr>
          <w:color w:val="000000"/>
        </w:rPr>
        <w:t xml:space="preserve">Muitas decisões tomadas durante esse processo dificilmente seriam tomadas em um processo convencional de priorização acadêmica, pois algumas demandas surgiram dos participantes. </w:t>
      </w:r>
      <w:r w:rsidR="007A3473">
        <w:rPr>
          <w:color w:val="000000"/>
        </w:rPr>
        <w:t>As áreas estratégicas mapeadas neste estudo</w:t>
      </w:r>
      <w:r w:rsidR="007A3473" w:rsidRPr="007A3473">
        <w:rPr>
          <w:color w:val="000000"/>
        </w:rPr>
        <w:t xml:space="preserve"> s</w:t>
      </w:r>
      <w:r w:rsidR="007A3473">
        <w:rPr>
          <w:color w:val="000000"/>
        </w:rPr>
        <w:t>er</w:t>
      </w:r>
      <w:r w:rsidR="007A3473" w:rsidRPr="007A3473">
        <w:rPr>
          <w:color w:val="000000"/>
        </w:rPr>
        <w:t xml:space="preserve">ão o </w:t>
      </w:r>
      <w:r w:rsidR="007A3473">
        <w:rPr>
          <w:color w:val="000000"/>
        </w:rPr>
        <w:t>ponto de partida</w:t>
      </w:r>
      <w:r w:rsidR="007A3473" w:rsidRPr="007A3473">
        <w:rPr>
          <w:color w:val="000000"/>
        </w:rPr>
        <w:t xml:space="preserve"> para muitas ações de conservação posteriores (</w:t>
      </w:r>
      <w:r w:rsidR="007A3473">
        <w:rPr>
          <w:color w:val="000000"/>
        </w:rPr>
        <w:t>e.g.</w:t>
      </w:r>
      <w:r w:rsidR="007A3473" w:rsidRPr="007A3473">
        <w:rPr>
          <w:color w:val="000000"/>
        </w:rPr>
        <w:t xml:space="preserve"> redução de impactos agrícolas e comércio de espécies)</w:t>
      </w:r>
      <w:r w:rsidR="004705C6">
        <w:rPr>
          <w:color w:val="000000"/>
        </w:rPr>
        <w:t>. P</w:t>
      </w:r>
      <w:r w:rsidR="007A3473" w:rsidRPr="007A3473">
        <w:rPr>
          <w:color w:val="000000"/>
        </w:rPr>
        <w:t xml:space="preserve">ortanto, os resultados foram </w:t>
      </w:r>
      <w:r w:rsidR="004705C6">
        <w:rPr>
          <w:color w:val="000000"/>
        </w:rPr>
        <w:t>produzidos</w:t>
      </w:r>
      <w:r w:rsidR="007A3473" w:rsidRPr="007A3473">
        <w:rPr>
          <w:color w:val="000000"/>
        </w:rPr>
        <w:t xml:space="preserve"> </w:t>
      </w:r>
      <w:r w:rsidR="004705C6">
        <w:rPr>
          <w:color w:val="000000"/>
        </w:rPr>
        <w:t xml:space="preserve">de modo a facilitar seu entendimento </w:t>
      </w:r>
      <w:r w:rsidR="007A3473" w:rsidRPr="007A3473">
        <w:rPr>
          <w:color w:val="000000"/>
        </w:rPr>
        <w:t>ao público em geral. Esse processo proporcionou aos participantes um sentimento de apropriação do conhecimento, pois se tornaram agentes ativos no processo</w:t>
      </w:r>
      <w:r w:rsidR="002C43C3" w:rsidRPr="002C43C3">
        <w:rPr>
          <w:color w:val="000000"/>
        </w:rPr>
        <w:t>.</w:t>
      </w:r>
    </w:p>
    <w:p w14:paraId="18716A8A" w14:textId="77777777" w:rsidR="00826AAE" w:rsidRPr="00107731" w:rsidRDefault="00826AAE" w:rsidP="00107731">
      <w:pPr>
        <w:spacing w:line="480" w:lineRule="auto"/>
        <w:jc w:val="both"/>
      </w:pPr>
    </w:p>
    <w:p w14:paraId="5210EA20" w14:textId="5661DDF5" w:rsidR="00826AAE" w:rsidRPr="00107731" w:rsidRDefault="006356EA" w:rsidP="00107731">
      <w:pPr>
        <w:spacing w:line="480" w:lineRule="auto"/>
        <w:jc w:val="both"/>
        <w:rPr>
          <w:sz w:val="28"/>
          <w:szCs w:val="28"/>
        </w:rPr>
      </w:pPr>
      <w:r w:rsidRPr="00107731">
        <w:rPr>
          <w:sz w:val="28"/>
          <w:szCs w:val="28"/>
        </w:rPr>
        <w:t>Palavras-chave</w:t>
      </w:r>
    </w:p>
    <w:p w14:paraId="6DF2BE17" w14:textId="12405660" w:rsidR="00BD65A8" w:rsidRPr="00107731" w:rsidRDefault="001A0FEC" w:rsidP="00107731">
      <w:pPr>
        <w:spacing w:line="480" w:lineRule="auto"/>
        <w:jc w:val="both"/>
      </w:pPr>
      <w:r w:rsidRPr="00107731">
        <w:t>Planejamento sistemático. Priorização espacial. Processo de tomada de decisão. Partes interessadas. Gestores ambientais. Lacuna ciência e prática.</w:t>
      </w:r>
      <w:r w:rsidR="00F36651" w:rsidRPr="00107731">
        <w:br w:type="page"/>
      </w:r>
    </w:p>
    <w:p w14:paraId="14736AD9" w14:textId="6D2FB1E0" w:rsidR="00BD65A8" w:rsidRPr="00107731" w:rsidRDefault="00F36651" w:rsidP="00107731">
      <w:pPr>
        <w:spacing w:line="480" w:lineRule="auto"/>
        <w:jc w:val="both"/>
        <w:rPr>
          <w:bCs/>
          <w:sz w:val="28"/>
          <w:szCs w:val="28"/>
        </w:rPr>
      </w:pPr>
      <w:r w:rsidRPr="00107731">
        <w:rPr>
          <w:bCs/>
          <w:sz w:val="28"/>
          <w:szCs w:val="28"/>
        </w:rPr>
        <w:lastRenderedPageBreak/>
        <w:t>Introdu</w:t>
      </w:r>
      <w:r w:rsidR="00616971" w:rsidRPr="00107731">
        <w:rPr>
          <w:bCs/>
          <w:sz w:val="28"/>
          <w:szCs w:val="28"/>
        </w:rPr>
        <w:t>ção</w:t>
      </w:r>
    </w:p>
    <w:p w14:paraId="68794BA9" w14:textId="77777777" w:rsidR="00144884" w:rsidRPr="00107731" w:rsidRDefault="00144884" w:rsidP="00107731">
      <w:pPr>
        <w:spacing w:line="480" w:lineRule="auto"/>
        <w:jc w:val="both"/>
        <w:rPr>
          <w:b/>
        </w:rPr>
      </w:pPr>
    </w:p>
    <w:p w14:paraId="21718BD8" w14:textId="5396DB08" w:rsidR="00616971" w:rsidRPr="00107731" w:rsidRDefault="00616971" w:rsidP="00107731">
      <w:pPr>
        <w:spacing w:line="480" w:lineRule="auto"/>
        <w:jc w:val="both"/>
      </w:pPr>
      <w:r w:rsidRPr="00107731">
        <w:t>Diversas são as atividades humanas que ameaçam a biodiversidade e a integridade dos ecossistemas</w:t>
      </w:r>
      <w:r w:rsidR="00501289" w:rsidRPr="00107731">
        <w:t xml:space="preserve"> </w:t>
      </w:r>
      <w:r w:rsidR="00DF6A5C" w:rsidRPr="00107731">
        <w:fldChar w:fldCharType="begin" w:fldLock="1"/>
      </w:r>
      <w:r w:rsidR="00772CC1" w:rsidRPr="00107731">
        <w:instrText>ADDIN CSL_CITATION {"citationItems":[{"id":"ITEM-1","itemData":{"DOI":"10.1126/science.aax3100","ISSN":"0036-8075","abstract":"For decades, scientists have been raising calls for societal changes that will reduce our impacts on nature. Though much conservation has occurred, our natural environment continues to decline under the weight of our consumption. Humanity depends directly on the output of nature; thus, this decline will affect us, just as it does the other species with which we share this world. Díaz et al. review the findings of the largest assessment of the state of nature conducted as of yet. They report that the state of nature, and the state of the equitable distribution of nature's support, is in serious decline. Only immediate transformation of global business-as-usual economies and operations will sustain nature as we know it, and us, into the future.","author":[{"dropping-particle":"","family":"Díaz","given":"Sandra","non-dropping-particle":"","parse-names":false,"suffix":""},{"dropping-particle":"","family":"Settele","given":"Josef","non-dropping-particle":"","parse-names":false,"suffix":""},{"dropping-particle":"","family":"Brondízio","given":"Eduardo S.","non-dropping-particle":"","parse-names":false,"suffix":""},{"dropping-particle":"","family":"Ngo","given":"Hien T.","non-dropping-particle":"","parse-names":false,"suffix":""},{"dropping-particle":"","family":"Agard","given":"John","non-dropping-particle":"","parse-names":false,"suffix":""},{"dropping-particle":"","family":"Arneth","given":"Almut","non-dropping-particle":"","parse-names":false,"suffix":""},{"dropping-particle":"","family":"Balvanera","given":"Patricia","non-dropping-particle":"","parse-names":false,"suffix":""},{"dropping-particle":"","family":"Brauman","given":"Kate A.","non-dropping-particle":"","parse-names":false,"suffix":""},{"dropping-particle":"","family":"Butchart","given":"Stuart H. M.","non-dropping-particle":"","parse-names":false,"suffix":""},{"dropping-particle":"","family":"Chan","given":"Kai M. A.","non-dropping-particle":"","parse-names":false,"suffix":""},{"dropping-particle":"","family":"Garibaldi","given":"Lucas A.","non-dropping-particle":"","parse-names":false,"suffix":""},{"dropping-particle":"","family":"Ichii","given":"Kazuhito","non-dropping-particle":"","parse-names":false,"suffix":""},{"dropping-particle":"","family":"Liu","given":"Jianguo","non-dropping-particle":"","parse-names":false,"suffix":""},{"dropping-particle":"","family":"Subramanian","given":"Suneetha M.","non-dropping-particle":"","parse-names":false,"suffix":""},{"dropping-particle":"","family":"Midgley","given":"Guy F.","non-dropping-particle":"","parse-names":false,"suffix":""},{"dropping-particle":"","family":"Miloslavich","given":"Patricia","non-dropping-particle":"","parse-names":false,"suffix":""},{"dropping-particle":"","family":"Molnár","given":"Zsolt","non-dropping-particle":"","parse-names":false,"suffix":""},{"dropping-particle":"","family":"Obura","given":"David","non-dropping-particle":"","parse-names":false,"suffix":""},{"dropping-particle":"","family":"Pfaff","given":"Alexander","non-dropping-particle":"","parse-names":false,"suffix":""},{"dropping-particle":"","family":"Polasky","given":"Stephen","non-dropping-particle":"","parse-names":false,"suffix":""},{"dropping-particle":"","family":"Purvis","given":"Andy","non-dropping-particle":"","parse-names":false,"suffix":""},{"dropping-particle":"","family":"Razzaque","given":"Jona","non-dropping-particle":"","parse-names":false,"suffix":""},{"dropping-particle":"","family":"Reyers","given":"Belinda","non-dropping-particle":"","parse-names":false,"suffix":""},{"dropping-particle":"","family":"Chowdhury","given":"Rinku Roy","non-dropping-particle":"","parse-names":false,"suffix":""},{"dropping-particle":"","family":"Shin","given":"Yunne-Jai","non-dropping-particle":"","parse-names":false,"suffix":""},{"dropping-particle":"","family":"Visseren-Hamakers","given":"Ingrid","non-dropping-particle":"","parse-names":false,"suffix":""},{"dropping-particle":"","family":"Willis","given":"Katherine J.","non-dropping-particle":"","parse-names":false,"suffix":""},{"dropping-particle":"","family":"Zayas","given":"Cynthia N.","non-dropping-particle":"","parse-names":false,"suffix":""}],"container-title":"Science","id":"ITEM-1","issue":"6471","issued":{"date-parts":[["2019","12","13"]]},"title":"Pervasive human-driven decline of life on Earth points to the need for transformative change","type":"article-journal","volume":"366"},"uris":["http://www.mendeley.com/documents/?uuid=b5f8319c-5beb-40c6-98bb-a46cb4ff2ec4"]}],"mendeley":{"formattedCitation":"(Díaz et al., 2019)","plainTextFormattedCitation":"(Díaz et al., 2019)","previouslyFormattedCitation":"(Díaz et al., 2019)"},"properties":{"noteIndex":0},"schema":"https://github.com/citation-style-language/schema/raw/master/csl-citation.json"}</w:instrText>
      </w:r>
      <w:r w:rsidR="00DF6A5C" w:rsidRPr="00107731">
        <w:fldChar w:fldCharType="separate"/>
      </w:r>
      <w:r w:rsidR="00DF6A5C" w:rsidRPr="00107731">
        <w:rPr>
          <w:noProof/>
        </w:rPr>
        <w:t>(Díaz et al., 2019)</w:t>
      </w:r>
      <w:r w:rsidR="00DF6A5C" w:rsidRPr="00107731">
        <w:fldChar w:fldCharType="end"/>
      </w:r>
      <w:r w:rsidRPr="00107731">
        <w:t xml:space="preserve">. A intensidade e a importância de cada ameaça podem variar localmente, a depender da composição da biodiversidade e dos fatores socioeconômicos e políticos da região avaliada </w:t>
      </w:r>
      <w:r w:rsidR="00772CC1" w:rsidRPr="00107731">
        <w:fldChar w:fldCharType="begin" w:fldLock="1"/>
      </w:r>
      <w:r w:rsidR="00C601D3" w:rsidRPr="00107731">
        <w:instrText>ADDIN CSL_CITATION {"citationItems":[{"id":"ITEM-1","itemData":{"author":[{"dropping-particle":"","family":"Loyola","given":"Rafael","non-dropping-particle":"","parse-names":false,"suffix":""},{"dropping-particle":"","family":"Machado","given":"N.","non-dropping-particle":"","parse-names":false,"suffix":""},{"dropping-particle":"","family":"Ribeiro","given":"B. R.","non-dropping-particle":"","parse-names":false,"suffix":""},{"dropping-particle":"","family":"Martins","given":"E.","non-dropping-particle":"","parse-names":false,"suffix":""},{"dropping-particle":"","family":"Martinelli","given":"G.","non-dropping-particle":"","parse-names":false,"suffix":""}],"edition":"1","id":"ITEM-1","issued":{"date-parts":[["2018"]]},"number-of-pages":"64","publisher":"I Graficci Programação Visual","publisher-place":"Rio de Janeiro","title":"Áreas prioritárias para conservação da flora endêmica do estado do Rio de Janeiro","type":"book"},"uris":["http://www.mendeley.com/documents/?uuid=e4129367-f3c1-465a-aa9e-f11f24f4d933"]},{"id":"ITEM-2","itemData":{"DOI":"10.1126/science.1246752","ISSN":"0036-8075","abstract":"There has been substantial recent progress in determining the distributions and identity of vulnerable species, and in understanding how (and where) human activity is leading to extinctions. Pimm et al. review the current state of knowledge and ask what the future rates of species extinction will be, how well protected areas will slow extinction rates, and how the remaining gaps in knowledge might be filled.","author":[{"dropping-particle":"","family":"Pimm","given":"S. L.","non-dropping-particle":"","parse-names":false,"suffix":""},{"dropping-particle":"","family":"Jenkins","given":"C. N.","non-dropping-particle":"","parse-names":false,"suffix":""},{"dropping-particle":"","family":"Abell","given":"R.","non-dropping-particle":"","parse-names":false,"suffix":""},{"dropping-particle":"","family":"Brooks","given":"T. M.","non-dropping-particle":"","parse-names":false,"suffix":""},{"dropping-particle":"","family":"Gittleman","given":"J. L.","non-dropping-particle":"","parse-names":false,"suffix":""},{"dropping-particle":"","family":"Joppa","given":"L. N.","non-dropping-particle":"","parse-names":false,"suffix":""},{"dropping-particle":"","family":"Raven","given":"P. H.","non-dropping-particle":"","parse-names":false,"suffix":""},{"dropping-particle":"","family":"Roberts","given":"C. M.","non-dropping-particle":"","parse-names":false,"suffix":""},{"dropping-particle":"","family":"Sexton","given":"J. O.","non-dropping-particle":"","parse-names":false,"suffix":""}],"container-title":"Science","id":"ITEM-2","issue":"6187","issued":{"date-parts":[["2014","5","30"]]},"title":"The biodiversity of species and their rates of extinction, distribution, and protection","type":"article-journal","volume":"344"},"uris":["http://www.mendeley.com/documents/?uuid=733016b8-bc21-4c06-b3bf-ac70c07e2d47"]},{"id":"ITEM-3","itemData":{"DOI":"10.1038/s41559-018-0743-8","ISSN":"2397334X","PMID":"30568285","abstract":"International commitments for ecosystem restoration add up to one-quarter of the world’s arable land. Fulfilling them would ease global challenges such as climate change and biodiversity decline but could displace food production and impose financial costs on farmers. Here, we present a restoration prioritization approach capable of revealing these synergies and trade-offs, incorporating ecological and economic efficiencies of scale and modelling specific policy options. Using an actual large-scale restoration target of the Atlantic Forest hotspot, we show that our approach can deliver an eightfold increase in cost-effectiveness for biodiversity conservation compared with a baseline of non-systematic restoration. A compromise solution avoids 26% of the biome’s current extinction debt of 2,864 plant and animal species (an increase of 257% compared with the baseline). Moreover, this solution sequesters 1 billion tonnes of CO2-equivalent (a 105% increase) while reducing costs by US$28 billion (a 57% decrease). Seizing similar opportunities elsewhere would offer substantial contributions to some of the greatest challenges for humankind.","author":[{"dropping-particle":"","family":"Strassburg","given":"Bernardo B.N.","non-dropping-particle":"","parse-names":false,"suffix":""},{"dropping-particle":"","family":"Beyer","given":"Hawthorne L.","non-dropping-particle":"","parse-names":false,"suffix":""},{"dropping-particle":"","family":"Crouzeilles","given":"Renato","non-dropping-particle":"","parse-names":false,"suffix":""},{"dropping-particle":"","family":"Iribarrem","given":"Alvaro","non-dropping-particle":"","parse-names":false,"suffix":""},{"dropping-particle":"","family":"Barros","given":"Felipe","non-dropping-particle":"","parse-names":false,"suffix":""},{"dropping-particle":"","family":"Siqueira","given":"Marinez Ferreira","non-dropping-particle":"de","parse-names":false,"suffix":""},{"dropping-particle":"","family":"Sánchez-Tapia","given":"Andrea","non-dropping-particle":"","parse-names":false,"suffix":""},{"dropping-particle":"","family":"Balmford","given":"Andrew","non-dropping-particle":"","parse-names":false,"suffix":""},{"dropping-particle":"","family":"Sansevero","given":"Jerônimo Boelsums Barreto","non-dropping-particle":"","parse-names":false,"suffix":""},{"dropping-particle":"","family":"Brancalion","given":"Pedro Henrique Santin","non-dropping-particle":"","parse-names":false,"suffix":""},{"dropping-particle":"","family":"Broadbent","given":"Eben North","non-dropping-particle":"","parse-names":false,"suffix":""},{"dropping-particle":"","family":"Chazdon","given":"Robin L.","non-dropping-particle":"","parse-names":false,"suffix":""},{"dropping-particle":"","family":"Filho","given":"Ary Oliveira","non-dropping-particle":"","parse-names":false,"suffix":""},{"dropping-particle":"","family":"Gardner","given":"Toby A.","non-dropping-particle":"","parse-names":false,"suffix":""},{"dropping-particle":"","family":"Gordon","given":"Ascelin","non-dropping-particle":"","parse-names":false,"suffix":""},{"dropping-particle":"","family":"Latawiec","given":"Agnieszka","non-dropping-particle":"","parse-names":false,"suffix":""},{"dropping-particle":"","family":"Loyola","given":"Rafael","non-dropping-particle":"","parse-names":false,"suffix":""},{"dropping-particle":"","family":"Metzger","given":"Jean Paul","non-dropping-particle":"","parse-names":false,"suffix":""},{"dropping-particle":"","family":"Mills","given":"Morena","non-dropping-particle":"","parse-names":false,"suffix":""},{"dropping-particle":"","family":"Possingham","given":"Hugh P.","non-dropping-particle":"","parse-names":false,"suffix":""},{"dropping-particle":"","family":"Rodrigues","given":"Ricardo Ribeiro","non-dropping-particle":"","parse-names":false,"suffix":""},{"dropping-particle":"","family":"Scaramuzza","given":"Carlos Alberto de Mattos","non-dropping-particle":"","parse-names":false,"suffix":""},{"dropping-particle":"","family":"Scarano","given":"Fabio Rubio","non-dropping-particle":"","parse-names":false,"suffix":""},{"dropping-particle":"","family":"Tambosi","given":"Leandro","non-dropping-particle":"","parse-names":false,"suffix":""},{"dropping-particle":"","family":"Uriarte","given":"Maria","non-dropping-particle":"","parse-names":false,"suffix":""}],"container-title":"Nature Ecology and Evolution","id":"ITEM-3","issue":"1","issued":{"date-parts":[["2019"]]},"page":"62-70","title":"Strategic approaches to restoring ecosystems can triple conservation gains and halve costs","type":"article-journal","volume":"3"},"uris":["http://www.mendeley.com/documents/?uuid=1cc77ede-cc1b-4c98-ac57-8e3257a16506"]}],"mendeley":{"formattedCitation":"(Loyola et al., 2018; Pimm et al., 2014; Strassburg et al., 2019)","plainTextFormattedCitation":"(Loyola et al., 2018; Pimm et al., 2014; Strassburg et al., 2019)","previouslyFormattedCitation":"(Loyola et al., 2018; Pimm et al., 2014; Strassburg et al., 2019)"},"properties":{"noteIndex":0},"schema":"https://github.com/citation-style-language/schema/raw/master/csl-citation.json"}</w:instrText>
      </w:r>
      <w:r w:rsidR="00772CC1" w:rsidRPr="00107731">
        <w:fldChar w:fldCharType="separate"/>
      </w:r>
      <w:r w:rsidR="00772CC1" w:rsidRPr="00107731">
        <w:rPr>
          <w:noProof/>
        </w:rPr>
        <w:t>(Loyola et al., 2018; Pimm et al., 2014; Strassburg et al., 2019)</w:t>
      </w:r>
      <w:r w:rsidR="00772CC1" w:rsidRPr="00107731">
        <w:fldChar w:fldCharType="end"/>
      </w:r>
      <w:r w:rsidRPr="00107731">
        <w:t xml:space="preserve">. Nesse sentido, </w:t>
      </w:r>
      <w:r w:rsidR="00D70A75" w:rsidRPr="00107731">
        <w:t>para conservar a biodiversidade</w:t>
      </w:r>
      <w:r w:rsidRPr="00107731">
        <w:t xml:space="preserve"> e obter os benefícios decorrentes dos processos ecossistêmicos, é fundamental identificar e mapear áreas estratégicas para a implementação de ações de conservação, restauração e gestão </w:t>
      </w:r>
      <w:r w:rsidR="00C601D3" w:rsidRPr="00107731">
        <w:fldChar w:fldCharType="begin" w:fldLock="1"/>
      </w:r>
      <w:r w:rsidR="00C601D3" w:rsidRPr="00107731">
        <w:instrText>ADDIN CSL_CITATION {"citationItems":[{"id":"ITEM-1","itemData":{"DOI":"10.1126/science.1246752","ISSN":"0036-8075","abstract":"There has been substantial recent progress in determining the distributions and identity of vulnerable species, and in understanding how (and where) human activity is leading to extinctions. Pimm et al. review the current state of knowledge and ask what the future rates of species extinction will be, how well protected areas will slow extinction rates, and how the remaining gaps in knowledge might be filled.","author":[{"dropping-particle":"","family":"Pimm","given":"S. L.","non-dropping-particle":"","parse-names":false,"suffix":""},{"dropping-particle":"","family":"Jenkins","given":"C. N.","non-dropping-particle":"","parse-names":false,"suffix":""},{"dropping-particle":"","family":"Abell","given":"R.","non-dropping-particle":"","parse-names":false,"suffix":""},{"dropping-particle":"","family":"Brooks","given":"T. M.","non-dropping-particle":"","parse-names":false,"suffix":""},{"dropping-particle":"","family":"Gittleman","given":"J. L.","non-dropping-particle":"","parse-names":false,"suffix":""},{"dropping-particle":"","family":"Joppa","given":"L. N.","non-dropping-particle":"","parse-names":false,"suffix":""},{"dropping-particle":"","family":"Raven","given":"P. H.","non-dropping-particle":"","parse-names":false,"suffix":""},{"dropping-particle":"","family":"Roberts","given":"C. M.","non-dropping-particle":"","parse-names":false,"suffix":""},{"dropping-particle":"","family":"Sexton","given":"J. O.","non-dropping-particle":"","parse-names":false,"suffix":""}],"container-title":"Science","id":"ITEM-1","issue":"6187","issued":{"date-parts":[["2014","5","30"]]},"title":"The biodiversity of species and their rates of extinction, distribution, and protection","type":"article-journal","volume":"344"},"uris":["http://www.mendeley.com/documents/?uuid=733016b8-bc21-4c06-b3bf-ac70c07e2d47"]},{"id":"ITEM-2","itemData":{"DOI":"10.1111/cobi.13112","ISSN":"0888-8892","author":[{"dropping-particle":"","family":"Akçakaya","given":"H. Resit","non-dropping-particle":"","parse-names":false,"suffix":""},{"dropping-particle":"","family":"Bennett","given":"Elizabeth L.","non-dropping-particle":"","parse-names":false,"suffix":""},{"dropping-particle":"","family":"Brooks","given":"Thomas M.","non-dropping-particle":"","parse-names":false,"suffix":""},{"dropping-particle":"","family":"Grace","given":"Molly K.","non-dropping-particle":"","parse-names":false,"suffix":""},{"dropping-particle":"","family":"Heath","given":"Anna","non-dropping-particle":"","parse-names":false,"suffix":""},{"dropping-particle":"","family":"Hedges","given":"Simon","non-dropping-particle":"","parse-names":false,"suffix":""},{"dropping-particle":"","family":"Hilton‐Taylor","given":"Craig","non-dropping-particle":"","parse-names":false,"suffix":""},{"dropping-particle":"","family":"Hoffmann","given":"Michael","non-dropping-particle":"","parse-names":false,"suffix":""},{"dropping-particle":"","family":"Keith","given":"David A.","non-dropping-particle":"","parse-names":false,"suffix":""},{"dropping-particle":"","family":"Long","given":"Barney","non-dropping-particle":"","parse-names":false,"suffix":""},{"dropping-particle":"","family":"Mallon","given":"David P.","non-dropping-particle":"","parse-names":false,"suffix":""},{"dropping-particle":"","family":"Meijaard","given":"Erik","non-dropping-particle":"","parse-names":false,"suffix":""},{"dropping-particle":"","family":"Milner‐Gulland","given":"E.J.","non-dropping-particle":"","parse-names":false,"suffix":""},{"dropping-particle":"","family":"Rodrigues","given":"Ana S.L.","non-dropping-particle":"","parse-names":false,"suffix":""},{"dropping-particle":"","family":"Rodriguez","given":"Jon Paul","non-dropping-particle":"","parse-names":false,"suffix":""},{"dropping-particle":"","family":"Stephenson","given":"P.J.","non-dropping-particle":"","parse-names":false,"suffix":""},{"dropping-particle":"","family":"Stuart","given":"Simon N.","non-dropping-particle":"","parse-names":false,"suffix":""},{"dropping-particle":"","family":"Young","given":"Richard P.","non-dropping-particle":"","parse-names":false,"suffix":""}],"container-title":"Conservation Biology","id":"ITEM-2","issue":"5","issued":{"date-parts":[["2018","10","18"]]},"page":"1128-1138","title":"Quantifying species recovery and conservation success to develop an IUCN Green List of Species","type":"article-journal","volume":"32"},"uris":["http://www.mendeley.com/documents/?uuid=b53f7015-2164-46d4-92e9-062e9d3c04a3"]},{"id":"ITEM-3","itemData":{"DOI":"10.1038/s41559-018-0743-8","ISSN":"2397334X","PMID":"30568285","abstract":"International commitments for ecosystem restoration add up to one-quarter of the world’s arable land. Fulfilling them would ease global challenges such as climate change and biodiversity decline but could displace food production and impose financial costs on farmers. Here, we present a restoration prioritization approach capable of revealing these synergies and trade-offs, incorporating ecological and economic efficiencies of scale and modelling specific policy options. Using an actual large-scale restoration target of the Atlantic Forest hotspot, we show that our approach can deliver an eightfold increase in cost-effectiveness for biodiversity conservation compared with a baseline of non-systematic restoration. A compromise solution avoids 26% of the biome’s current extinction debt of 2,864 plant and animal species (an increase of 257% compared with the baseline). Moreover, this solution sequesters 1 billion tonnes of CO2-equivalent (a 105% increase) while reducing costs by US$28 billion (a 57% decrease). Seizing similar opportunities elsewhere would offer substantial contributions to some of the greatest challenges for humankind.","author":[{"dropping-particle":"","family":"Strassburg","given":"Bernardo B.N.","non-dropping-particle":"","parse-names":false,"suffix":""},{"dropping-particle":"","family":"Beyer","given":"Hawthorne L.","non-dropping-particle":"","parse-names":false,"suffix":""},{"dropping-particle":"","family":"Crouzeilles","given":"Renato","non-dropping-particle":"","parse-names":false,"suffix":""},{"dropping-particle":"","family":"Iribarrem","given":"Alvaro","non-dropping-particle":"","parse-names":false,"suffix":""},{"dropping-particle":"","family":"Barros","given":"Felipe","non-dropping-particle":"","parse-names":false,"suffix":""},{"dropping-particle":"","family":"Siqueira","given":"Marinez Ferreira","non-dropping-particle":"de","parse-names":false,"suffix":""},{"dropping-particle":"","family":"Sánchez-Tapia","given":"Andrea","non-dropping-particle":"","parse-names":false,"suffix":""},{"dropping-particle":"","family":"Balmford","given":"Andrew","non-dropping-particle":"","parse-names":false,"suffix":""},{"dropping-particle":"","family":"Sansevero","given":"Jerônimo Boelsums Barreto","non-dropping-particle":"","parse-names":false,"suffix":""},{"dropping-particle":"","family":"Brancalion","given":"Pedro Henrique Santin","non-dropping-particle":"","parse-names":false,"suffix":""},{"dropping-particle":"","family":"Broadbent","given":"Eben North","non-dropping-particle":"","parse-names":false,"suffix":""},{"dropping-particle":"","family":"Chazdon","given":"Robin L.","non-dropping-particle":"","parse-names":false,"suffix":""},{"dropping-particle":"","family":"Filho","given":"Ary Oliveira","non-dropping-particle":"","parse-names":false,"suffix":""},{"dropping-particle":"","family":"Gardner","given":"Toby A.","non-dropping-particle":"","parse-names":false,"suffix":""},{"dropping-particle":"","family":"Gordon","given":"Ascelin","non-dropping-particle":"","parse-names":false,"suffix":""},{"dropping-particle":"","family":"Latawiec","given":"Agnieszka","non-dropping-particle":"","parse-names":false,"suffix":""},{"dropping-particle":"","family":"Loyola","given":"Rafael","non-dropping-particle":"","parse-names":false,"suffix":""},{"dropping-particle":"","family":"Metzger","given":"Jean Paul","non-dropping-particle":"","parse-names":false,"suffix":""},{"dropping-particle":"","family":"Mills","given":"Morena","non-dropping-particle":"","parse-names":false,"suffix":""},{"dropping-particle":"","family":"Possingham","given":"Hugh P.","non-dropping-particle":"","parse-names":false,"suffix":""},{"dropping-particle":"","family":"Rodrigues","given":"Ricardo Ribeiro","non-dropping-particle":"","parse-names":false,"suffix":""},{"dropping-particle":"","family":"Scaramuzza","given":"Carlos Alberto de Mattos","non-dropping-particle":"","parse-names":false,"suffix":""},{"dropping-particle":"","family":"Scarano","given":"Fabio Rubio","non-dropping-particle":"","parse-names":false,"suffix":""},{"dropping-particle":"","family":"Tambosi","given":"Leandro","non-dropping-particle":"","parse-names":false,"suffix":""},{"dropping-particle":"","family":"Uriarte","given":"Maria","non-dropping-particle":"","parse-names":false,"suffix":""}],"container-title":"Nature Ecology and Evolution","id":"ITEM-3","issue":"1","issued":{"date-parts":[["2019"]]},"page":"62-70","title":"Strategic approaches to restoring ecosystems can triple conservation gains and halve costs","type":"article-journal","volume":"3"},"uris":["http://www.mendeley.com/documents/?uuid=1cc77ede-cc1b-4c98-ac57-8e3257a16506"]}],"mendeley":{"formattedCitation":"(Akçakaya et al., 2018; Pimm et al., 2014; Strassburg et al., 2019)","plainTextFormattedCitation":"(Akçakaya et al., 2018; Pimm et al., 2014; Strassburg et al., 2019)","previouslyFormattedCitation":"(Akçakaya et al., 2018; Pimm et al., 2014; Strassburg et al., 2019)"},"properties":{"noteIndex":0},"schema":"https://github.com/citation-style-language/schema/raw/master/csl-citation.json"}</w:instrText>
      </w:r>
      <w:r w:rsidR="00C601D3" w:rsidRPr="00107731">
        <w:fldChar w:fldCharType="separate"/>
      </w:r>
      <w:r w:rsidR="00C601D3" w:rsidRPr="00107731">
        <w:rPr>
          <w:noProof/>
        </w:rPr>
        <w:t>(Akçakaya et al., 2018; Pimm et al., 2014; Strassburg et al., 2019)</w:t>
      </w:r>
      <w:r w:rsidR="00C601D3" w:rsidRPr="00107731">
        <w:fldChar w:fldCharType="end"/>
      </w:r>
      <w:r w:rsidRPr="00107731">
        <w:t xml:space="preserve">. </w:t>
      </w:r>
    </w:p>
    <w:p w14:paraId="1C0EA554" w14:textId="68CB9233" w:rsidR="00616971" w:rsidRPr="00107731" w:rsidRDefault="004705C6" w:rsidP="00107731">
      <w:pPr>
        <w:spacing w:line="480" w:lineRule="auto"/>
        <w:ind w:firstLine="708"/>
        <w:jc w:val="both"/>
      </w:pPr>
      <w:r w:rsidRPr="004705C6">
        <w:t>O mapeamento de áreas estratégicas é um dos primeiros passos dos planos de ação e gestão governamentais (</w:t>
      </w:r>
      <w:r w:rsidR="00B42335">
        <w:t>e.g.</w:t>
      </w:r>
      <w:r w:rsidRPr="004705C6">
        <w:t xml:space="preserve"> </w:t>
      </w:r>
      <w:proofErr w:type="spellStart"/>
      <w:r w:rsidRPr="004705C6">
        <w:t>ConsórcioGeoBahia</w:t>
      </w:r>
      <w:proofErr w:type="spellEnd"/>
      <w:r w:rsidRPr="004705C6">
        <w:t xml:space="preserve"> et al., 2018; INEMA et al., 2020; Rocha et al., 2019). Tais iniciativas costumam ter prazos curtos para elaboração e implementação, objetivos múltiplos e os recursos alocados tendem a ser muito limitados, principalmente em países em desenvolvimento e de baixa renda (Godoy e </w:t>
      </w:r>
      <w:proofErr w:type="spellStart"/>
      <w:r w:rsidRPr="004705C6">
        <w:t>Leuzinger</w:t>
      </w:r>
      <w:proofErr w:type="spellEnd"/>
      <w:r w:rsidRPr="004705C6">
        <w:t>, 2015). Nesse sentido, é importante que o mapeamento d</w:t>
      </w:r>
      <w:r w:rsidR="00B42335">
        <w:t>ess</w:t>
      </w:r>
      <w:r w:rsidRPr="004705C6">
        <w:t>as áreas adote: (i) uma metodologia de baixo custo, eficiente e rápida; (</w:t>
      </w:r>
      <w:proofErr w:type="spellStart"/>
      <w:r w:rsidRPr="004705C6">
        <w:t>ii</w:t>
      </w:r>
      <w:proofErr w:type="spellEnd"/>
      <w:r w:rsidRPr="004705C6">
        <w:t>) objetivos bem definidos; e (</w:t>
      </w:r>
      <w:proofErr w:type="spellStart"/>
      <w:r w:rsidRPr="004705C6">
        <w:t>iii</w:t>
      </w:r>
      <w:proofErr w:type="spellEnd"/>
      <w:r w:rsidRPr="004705C6">
        <w:t>) uma abordagem participativa, adaptável à realidade local. Embora existam muitos estudos de priorização com grande contribuição técnica (e</w:t>
      </w:r>
      <w:r w:rsidR="00B42335">
        <w:t>.g</w:t>
      </w:r>
      <w:r w:rsidRPr="004705C6">
        <w:t xml:space="preserve">. </w:t>
      </w:r>
      <w:r w:rsidR="00B42335">
        <w:fldChar w:fldCharType="begin" w:fldLock="1"/>
      </w:r>
      <w:r w:rsidR="00B42335" w:rsidRPr="00E91356">
        <w:instrText>ADDIN CSL_CITATION {"citationItems":[{"id":"ITEM-1","itemData":{"DOI":"10.1016/j.scitotenv.2019.135262","ISSN":"00489697","author":[{"dropping-particle":"","family":"Niemeyer","given":"Julia","non-dropping-particle":"","parse-names":false,"suffix":""},{"dropping-particle":"","family":"Barros","given":"Felipe S.M.","non-dropping-particle":"","parse-names":false,"suffix":""},{"dropping-particle":"","family":"Silva","given":"Daniel S.","non-dropping-particle":"","parse-names":false,"suffix":""},{"dropping-particle":"","family":"Crouzeilles","given":"Renato","non-dropping-particle":"","parse-names":false,"suffix":""},{"dropping-particle":"","family":"Vale","given":"Mariana M.","non-dropping-particle":"","parse-names":false,"suffix":""}],</w:instrText>
      </w:r>
      <w:r w:rsidR="00B42335" w:rsidRPr="00B42335">
        <w:instrText>"container-title":"Science of The Total Environment","id":"ITEM-1","issued":{"date-parts":[["2020","5"]]},"page":"135262","title":"Planning forest restoration within private land holdings with conservation co-benefits at the landscape scale","type":"article-journal","volume":"717"},"uris":["http://www.mendeley.com/documents/?uuid=55649faa-2cec-4250-bb27-b1d678522841"]},{"id":"ITEM-2","itemData":{"DOI":"10.1016/j.biocon.2020.108894","ISSN":"00063207","author":[{"dropping-particle":"","family":"Dória","given":"Thaís Andrade Ferreira","non-dropping-particle":"","parse-names":false,"suffix":""},{"dropping-particle":"","family":"Dobrovolski","given":"Ricardo","non-dropping-particle":"","parse-names":false,"suffix":""}],"container-title":"Biological Conservation","id":"ITEM-2","issued":{"date-parts":[["2021","1"]]},"page":"108894","title":"Improving post-2020 conservation of terrestrial vertebrates in Caatinga","type":"article-journal","volume":"253"},"uris":["http://www.mendeley.com/documents/?uuid=18519a1f-d9a0-407e-90cd-1b65c799db34"]}],"mendeley":{"formattedCitation":"(Dória and Dobrovolski, 2021; Niemeyer et al., 2020)","manualFormatting":"Dória and Dobrovolski, 2021; Niemeyer et al., 2020)","plainTextFormattedCitation":"(Dória and Dobrovolski, 2021; Niemeyer et al., 2020)","previouslyFormattedCitation":"(Dória and Dobrovolski, 2021; Niemeyer et al., 2020)"},"properties":{"noteIndex":0},"schema":"https://github.com/citation-style-language/schema/raw/master/csl-citation.json"}</w:instrText>
      </w:r>
      <w:r w:rsidR="00B42335">
        <w:fldChar w:fldCharType="separate"/>
      </w:r>
      <w:r w:rsidR="00B42335" w:rsidRPr="00B42335">
        <w:rPr>
          <w:noProof/>
        </w:rPr>
        <w:t>Dória and Dobrovolski, 2021; Niemeyer et al., 2020)</w:t>
      </w:r>
      <w:r w:rsidR="00B42335">
        <w:fldChar w:fldCharType="end"/>
      </w:r>
      <w:r w:rsidR="00B42335">
        <w:t xml:space="preserve">, </w:t>
      </w:r>
      <w:r w:rsidR="00B42335" w:rsidRPr="00B42335">
        <w:t xml:space="preserve">o não envolvimento de tomadores de decisão e </w:t>
      </w:r>
      <w:r w:rsidR="00B42335">
        <w:t>partes interessada</w:t>
      </w:r>
      <w:r w:rsidR="00B42335" w:rsidRPr="00B42335">
        <w:t xml:space="preserve">s nesses processos cria uma lacuna </w:t>
      </w:r>
      <w:r w:rsidR="00B42335">
        <w:t>entre a</w:t>
      </w:r>
      <w:r w:rsidR="00B42335" w:rsidRPr="00B42335">
        <w:t xml:space="preserve"> aplicação </w:t>
      </w:r>
      <w:r w:rsidR="00B42335">
        <w:t xml:space="preserve">e </w:t>
      </w:r>
      <w:r w:rsidR="00B42335" w:rsidRPr="00B42335">
        <w:t xml:space="preserve">a ciência, impossibilitando contribuições acadêmicas </w:t>
      </w:r>
      <w:r w:rsidR="00B42335">
        <w:t>à</w:t>
      </w:r>
      <w:r w:rsidR="00B42335" w:rsidRPr="00B42335">
        <w:t xml:space="preserve"> subsidiar estratégias governamentais </w:t>
      </w:r>
      <w:r w:rsidRPr="004705C6">
        <w:t>(</w:t>
      </w:r>
      <w:proofErr w:type="spellStart"/>
      <w:r w:rsidRPr="004705C6">
        <w:t>Bertuol</w:t>
      </w:r>
      <w:proofErr w:type="spellEnd"/>
      <w:r w:rsidRPr="004705C6">
        <w:t xml:space="preserve">-Garcia et al., 2018). O processo participativo durante o mapeamento é essencial, pois é nesta etapa que cientistas, tomadores de decisão e </w:t>
      </w:r>
      <w:r w:rsidR="00B42335">
        <w:t>partes interessada</w:t>
      </w:r>
      <w:r w:rsidRPr="004705C6">
        <w:t xml:space="preserve">s discutem as principais ameaças às espécies, os conflitos regionais e o custo de cada etapa, aumentando as chances de uma </w:t>
      </w:r>
      <w:r w:rsidRPr="004705C6">
        <w:lastRenderedPageBreak/>
        <w:t>solução proposta ser efetivamente adotad</w:t>
      </w:r>
      <w:r w:rsidR="00B42335">
        <w:t>a</w:t>
      </w:r>
      <w:r w:rsidRPr="004705C6">
        <w:t xml:space="preserve"> pelo governo e aceito pela comunidade local (Loyola et al., 2018; Pougy et al., 2015; </w:t>
      </w:r>
      <w:proofErr w:type="spellStart"/>
      <w:r w:rsidRPr="004705C6">
        <w:t>Strassburg</w:t>
      </w:r>
      <w:proofErr w:type="spellEnd"/>
      <w:r w:rsidRPr="004705C6">
        <w:t xml:space="preserve"> et al., 2019)</w:t>
      </w:r>
      <w:r w:rsidR="00616971" w:rsidRPr="00107731">
        <w:t>.</w:t>
      </w:r>
    </w:p>
    <w:p w14:paraId="27A58725" w14:textId="2F09A364" w:rsidR="00616971" w:rsidRPr="00107731" w:rsidRDefault="00821650" w:rsidP="00107731">
      <w:pPr>
        <w:spacing w:line="480" w:lineRule="auto"/>
        <w:ind w:firstLine="708"/>
        <w:jc w:val="both"/>
      </w:pPr>
      <w:r w:rsidRPr="00821650">
        <w:t>A região da Chapada Diamantina e Serra da Jiboia (Bahia, Brasil) é uma área muito importante para conservação, pois esta região possui alta biodiversidade, que fornece uma série de serviços ecossistêmicos à comunidade humana local</w:t>
      </w:r>
      <w:r w:rsidR="006D7719">
        <w:t xml:space="preserve"> (e.g. </w:t>
      </w:r>
      <w:r w:rsidR="006D7719" w:rsidRPr="006D7719">
        <w:t>estoque de carbono, segurança hídrica devido à mata ciliar e por ser uma das regiões de maior interesse turístico do país</w:t>
      </w:r>
      <w:r w:rsidR="006D7719">
        <w:t>)</w:t>
      </w:r>
      <w:r w:rsidR="00616971" w:rsidRPr="00107731">
        <w:t xml:space="preserve"> </w:t>
      </w:r>
      <w:r w:rsidR="006D7719">
        <w:rPr>
          <w:lang w:val="en-US"/>
        </w:rPr>
        <w:fldChar w:fldCharType="begin" w:fldLock="1"/>
      </w:r>
      <w:r w:rsidR="006D7719" w:rsidRPr="006D7719">
        <w:instrText>ADDIN CSL_CITATION {"citationItems":[{"id":"ITEM-1","itemData":{"author":[{"dropping-particle":"","family":"Giulietti","given":"A.M.","non-dropping-particle":"","parse-names":false,"suffix":""},{"dropping-particle":"","family":"Pirani","given":"J.R.","non-dropping-particle":"","parse-names":false,"suffix":""},{"dropping-particle":"","family":"Harley","given":"R.M.","non-dropping-particle":"","parse-names":false,"suffix":""}],"container-title":"A Guide and Strategy for Their Conservation. WWF and IUCN","editor":[{"dropping-particle":"","family":"Davis","given":"S.D.","non-dropping-particle":"","parse-names":false,"suffix":""},{"dropping-particle":"","family":"Heywood","given":"V.H.","non-dropping-particle":"","parse-names":false,"suffix":""},{"dropping-particle":"","family":"Herrera-MacBryde","given":"O.","non-dropping-particle":"","parse-names":false,"suffix":""},{"dropping-particle":"","family":"Villa-Lobos","given":"J.","non-dropping-particle":"","parse-names":false,"suffix":""},{"dropping-particle":"","family":"Hamilton","given":"A.C.","non-dropping-particle":"","parse-names":false,"suffix":""}],"id":"ITEM-1","issued":{"date-parts":[["1997"]]},"page":"397–404","publisher-place":"Cambridge, England","title":"Centres of Plant Diversity: Espinhaço Range Region eastern Brazil","type":"chapter"},"uris":["http://www.mendeley.com/documents/?uuid=52f5c616-1fbe-4ccb-8859-9deaefab3fae"]},{"id":"ITEM-2","itemData":{"abstract":"Portaria INEMA Nº 22.001 de 17 DE DEZEMBRO DE 2020","author":[{"dropping-particle":"","family":"INEMA","given":"","non-dropping-particle":"","parse-names":false,"suffix":""},{"dropping-particle":"","family":"SEMA","given":"","non-dropping-particle":"","parse-names":false,"suffix":""},{"dropping-particle":"","family":"WWF-Brasil","given":"","non-dropping-particle":"","parse-names":false,"suffix":""},{"dropping-particle":"","family":"CNCFlora","given":"","non-dropping-particle":"","parse-names":false,"suffix":""},{"dropping-particle":"","family":"JBRJ","given":"","non-dropping-particle":"","parse-names":false,"suffix":""},{"dropping-particle":"","family":"PRF","given":"","non-dropping-particle":"","parse-names":false,"suffix":""},{"dropping-particle":"","family":"ICMBIO","given":"","non-dropping-particle":"","parse-names":false,"suffix":""},{"dropping-particle":"","family":"UFBA","given":"","non-dropping-particle":"","parse-names":false,"suffix":""},{"dropping-particle":"","family":"UCSal","given":"","non-dropping-particle":"","parse-names":false,"suffix":""},{"dropping-particle":"","family":"UFRB","given":"","non-dropping-particle":"","parse-names":false,"suffix":""},{"dropping-</w:instrText>
      </w:r>
      <w:r w:rsidR="006D7719">
        <w:rPr>
          <w:lang w:val="en-US"/>
        </w:rPr>
        <w:instrText>particle":"","family":"UEFS","given":"","non-dropping-particle":"","parse-names":false,"suffix":""},{"dropping-particle":"","family":"INP","given":"","non-dropping-particle":"","parse-names":false,"suffix":""},{"dropping-particle":"","family":"Gambá","given":"","non-dropping-particle":"","parse-names":false,"suffix":""}],"id":"ITEM-2","issued":{"date-parts":[["2020"]]},"page":"1-25","publisher":"Governo da Bahia INEMA SEMA WWF-Brasil CNCFlora JBRJ PRF ICMBIO UFBA UCSal UFRB UEFS INP Gambá","publisher-place":"Bahia","title":"Plano de Ação Territorial para a Conservação de Espécies Ameaçadas do Território Chapada Diamantina-Serra da Jiboia - Sumário Executivo","type":"article"},"uris":["http://www.mendeley.com/documents/?uuid=21cc01a3-12bd-4828-935c-fc599e0136bd"]},{"id":"ITEM-3","itemData":{"DOI":"10.1016/j.pecon.2020.10.004","ISSN":"25300644","author":[{"dropping-particle":"","family":"Fernandes","given":"G. Wilson","non-dropping-particle":"","parse-names":false,"suffix":""},{"dropping-particle":"","family":"Arantes-Garcia","given":"Lucas","non-dropping-particle":"","parse-names":false,"suffix":""},{"dropping-particle":"","family":"Barbosa","given":"Milton","non-dropping-particle":"","parse-names":false,"suffix":""},{"dropping-particle":"","family":"Barbosa","given":"Newton P.U.","non-dropping-particle":"","parse-names":false,"suffix":""},{"dropping-particle":"","family":"Batista","given":"Eugênia K.L.","non-dropping-particle":"","parse-names":false,"suffix":""},{"dropping-particle":"","family":"Beiroz","given":"Wallace","non-dropping-particle":"","parse-names":false,"suffix":""},{"dropping-particle":"","family":"Resende","given":"Fernando M.","non-dropping-particle":"","parse-names":false,"suffix":""},{"dropping-particle":"","family":"Abrahão","given":"Anna","non-dropping-particle":"","parse-names":false,"suffix":""},{"dropping-particle":"","family":"Almada","given":"Emmanuel D.","non-dropping-particle":"","parse-names":false,"suffix":""},{"dropping-particle":"","family":"Alves","given":"Elaine","non-dropping-particle":"","parse-names":false,"suffix":""},{"dropping-particle":"","family":"Alves","given":"Natacha J.","non-dropping-particle":"","parse-names":false,"suffix":""},{"dropping-particle":"","family":"Angrisano","given":"Patrícia","non-dropping-particle":"","parse-names":false,"suffix":""},{"dropping-particle":"","family":"Arista","given":"Montserrat","non-dropping-particle":"","parse-names":false,"suffix":""},{"dropping-particle":"","family":"Arroyo","given":"Juan","non-dropping-particle":"","parse-names":false,"suffix":""},{"dropping-particle":"","family":"Arruda","given":"André Jardim","non-dropping-particle":"","parse-names":false,"suffix":""},{"dropping-particle":"","family":"Bahia","given":"Thaise de Oliveira","non-dropping-particle":"","parse-names":false,"suffix":""},{"dropping-particle":"","family":"Braga","given":"Laura","non-dropping-particle":"","parse-names":false,"suffix":""},{"dropping-particle":"","family":"Brito","given":"Lílian","non-dropping-particle":"","parse-names":false,"suffix":""},{"dropping-particle":"","family":"Callisto","given":"Marcos","non-dropping-particle":"","parse-names":false,"suffix":""},{"dropping-particle":"","family":"Caminha-Paiva","given":"Dario","non-dropping-particle":"","parse-names":false,"suffix":""},{"dropping-particle":"","family":"Carvalho","given":"Marília","non-dropping-particle":"","parse-names":false,"suffix":""},{"dropping-particle":"","family":"Conceição","given":"Abel Augusto","non-dropping-particle":"","parse-names":false,"suffix":""},{"dropping-particle":"","family":"Costa","given":"Leda N.","non-dropping-particle":"","parse-names":false,"suffix":""},{"dropping-particle":"","family":"Cruz","given":"Antonio","non-dropping-particle":"","parse-names":false,"suffix":""},{"dropping-particle":"","family":"Cunha-Blum","given":"Jessica","non-dropping-particle":"","parse-names":false,"suffix":""},{"dropping-particle":"","family":"Dagevos","given":"John","non-dropping-particle":"","parse-names":false,"suffix":""},{"dropping-particle":"","family":"Dias","given":"Braulio F.S.","non-dropping-particle":"","parse-names":false,"suffix":""},{"dropping-particle":"","family":"Pinto","given":"Victor D.","non-dropping-particle":"","parse-names":false,"suffix":""},{"dropping-particle":"","family":"Dirzo","given":"Rodolfo","non-dropping-particle":"","parse-names":false,"suffix":""},{"dropping-particle":"","family":"Domingos","given":"Daniel Quedes","non-dropping-particle":"","parse-names":false,"suffix":""},{"dropping-particle":"","family":"Echternacht","given":"Lívia","non-dropping-particle":"","parse-names":false,"suffix":""},{"dropping-particle":"","family":"Fernandes","given":"Stephannie","non-dropping-particle":"","parse-names":false,"suffix":""},{"dropping-particle":"","family":"Figueira","given":"Jose Eugenio C.","non-dropping-particle":"","parse-names":false,"suffix":""},{"dropping-particle":"","family":"Fiorini","given":"Cecilia F.","non-dropping-particle":"","parse-names":false,"suffix":""},{"dropping-particle":"","family":"Giulietti","given":"Ana Maria","non-dropping-particle":"","parse-names":false,"suffix":""},{"dropping-particle":"","family":"Gomes","given":"Augusto","non-dropping-particle":"","parse-names":false,"suffix":""},{"dropping-particle":"","family":"Gomes","given":"Vanessa M.","non-dropping-particle":"","parse-names":false,"suffix":""},{"dropping-particle":"","family":"Gontijo","given":"Bernardo","non-dropping-particle":"","parse-names":false,"suffix":""},{"dropping-particle":"","family":"Goulart","given":"Fernando","non-dropping-particle":"","parse-names":false,"suffix":""},{"dropping-particle":"","family":"Guerra","given":"Tadeu J.","non-dropping-particle":"","parse-names":false,"suffix":""},{"dropping-particle":"","family":"Junqueira","given":"Patrícia A.","non-dropping-particle":"","parse-names":false,"suffix":""},{"dropping-particle":"","family":"Lima-Santos","given":"Débora","non-dropping-particle":"","parse-names":false,"suffix":""},{"dropping-particle":"","family":"Marques","given":"Julia","non-dropping-particle":"","parse-names":false,"suffix":""},{"dropping-particle":"","family":"Meira-Neto","given":"Joao","non-dropping-particle":"","parse-names":false,"suffix":""},{"dropping-particle":"","family":"Miola","given":"Deise T.B.","non-dropping-particle":"","parse-names":false,"suffix":""},{"dropping-particle":"","family":"Morellato","given":"Leonor Patrícia C.","non-dropping-particle":"","parse-names":false,"suffix":""},{"dropping-particle":"","family":"Negreiros","given":"Daniel","non-dropping-particle":"","parse-names":false,"suffix":""},{"dropping-particle":"","family":"Neire","given":"Elizabeth","non-dropping-particle":"","parse-names":false,"suffix":""},{"dropping-particle":"","family":"Neves","given":"Ana Carolina","non-dropping-particle":"","parse-names":false,"suffix":""},{"dropping-particle":"","family":"Neves","given":"Frederico S.","non-dropping-particle":"","parse-names":false,"suffix":""},{"dropping-particle":"","family":"Novais","given":"Samuel","non-dropping-particle":"","parse-names":false,"suffix":""},{"dropping-particle":"","family":"Oki","given":"Yumi","non-dropping-particle":"","parse-names":false,"suffix":""},{"dropping-particle":"","family":"Oliveira","given":"Elizabeth","non-dropping-particle":"","parse-names":false,"suffix":""},{"dropping-particle":"","family":"Oliveira","given":"Rafael S.","non-dropping-particle":"","parse-names":false,"suffix":""},{"dropping-particle":"","family":"Pivari","given":"Marco O.","non-dropping-particle":"","parse-names":false,"suffix":""},{"dropping-particle":"","family":"Junior","given":"Euripedes Pontes","non-dropping-particle":"","parse-names":false,"suffix":""},{"dropping-particle":"","family":"Ranieri","given":"Bernardo D.","non-dropping-particle":"","parse-names":false,"suffix":""},{"dropping-particle":"","family":"Ribas","given":"Rodrigo Pinheiro","non-dropping-particle":"","parse-names":false,"suffix":""},{"dropping-particle":"","family":"Scariot","given":"Aldicir","non-dropping-particle":"","parse-names":false,"suffix":""},{"dropping-particle":"","family":"Schaefer","given":"Carlos E.","non-dropping-particle":"","parse-names":false,"suffix":""},{"dropping-particle":"","family":"Sena","given":"Letícia","non-dropping-particle":"","parse-names":false,"suffix":""},{"dropping-particle":"","family":"Silva","given":"Pedro G.","non-dropping-particle":"da","parse-names":false,"suffix":""},{"dropping-particle":"","family":"Siqueira","given":"Paulo R.","non-dropping-particle":"","parse-names":false,"suffix":""},{"dropping-particle":"","family":"Soares","given":"Natalia C.","non-dropping-particle":"","parse-names":false,"suffix":""},{"dropping-particle":"","family":"Soares-Filho","given":"Britaldo","non-dropping-particle":"","parse-names":false,"suffix":""},{"dropping-particle":"","family":"Solar","given":"Ricardo","non-dropping-particle":"","parse-names":false,"suffix":""},{"dropping-particle":"","family":"Tabarelli","given":"Marcelo","non-dropping-particle":"","parse-names":false,"suffix":""},{"dropping-particle":"","family":"Vasconcellos","given":"Rogério","non-dropping-particle":"","parse-names":false,"suffix":""},{"dropping-particle":"","family":"Vilela","given":"Evaldo","non-dropping-particle":"","parse-names":false,"suffix":""},{"dropping-particle":"","family":"Silveira","given":"Fernando A.O.","non-dropping-particle":"","parse-names":false,"suffix":""}],"container-title":"Perspectives in Ecology and Conservation","id":"ITEM-3","issue":"4","issued":{"date-parts":[["2020","10"]]},"page":"213-222","title":"Biodiversity and ecosystem services in the Campo Rupestre: A road map for the sustainability of the hottest Brazilian biodiversity hotspot","type":"article-journal","volume":"18"},"uris":["http://www.mendeley.com/documents/?uuid=6d606204-2</w:instrText>
      </w:r>
      <w:r w:rsidR="006D7719" w:rsidRPr="006D7719">
        <w:instrText>c66-4fc7-8630-6f66ba4f7a5c"]},{"id":"ITEM-4","itemData":{"author":[{"dropping-particle":"","family":"Blengini","given":"Isabelle Aparecida Dellela","non-dropping-particle":"","parse-names":false,"suffix":""},{"dropping-particle":"","family":"Cintra","given":"Maria Alice Martins de Ulhôa","non-dropping-particle":"","parse-names":false,"suffix":""},{"dropping-particle":"da","family":"Cunha","given":"Renato Pêgas Paes","non-dropping-particle":"","parse-names":false,"suffix":""},{"dropping-particle":"","family":"Caiafa","given":"Alessandra Nasser","non-dropping-particle":"","parse-names":false,"suffix":""},{"dropping-particle":"","family":"Al.","given":"Et","non-dropping-particle":"","parse-names":false,"suffix":""}],"id":"ITEM-4","issued":{"date-parts":[["2015"]]},"number-of-pages":"230","publisher-place":"Salvador, BA - Gambá","title":"Proposta de Unidade de Conservação da Serra da Jiboia","type":"book"},"uris":["http://www.mendeley.com/documents/?uuid=916813a3-a478-4451-9443-e3682a9465ec"]}],"mendeley":{"formattedCitation":"(Blengini et al., 2015; Fernandes et al., 2020; Giulietti et al., 1997; INEMA et al., 2020)","plainTextFormattedCitation":"(Blengini et al., 2015; Fernandes et al., 2020; Giulietti et al., 1997; INEMA et al., 2020)","previouslyFormattedCitation":"(Blengini et al., 2015; Fernandes et al., 2020; Giulietti et al., 1997; INEMA et al., 2020)"},"properties":{"noteIndex":0},"schema":"https://github.com/citation-style-language/schema/raw/master/csl-citation.json"}</w:instrText>
      </w:r>
      <w:r w:rsidR="006D7719">
        <w:rPr>
          <w:lang w:val="en-US"/>
        </w:rPr>
        <w:fldChar w:fldCharType="separate"/>
      </w:r>
      <w:r w:rsidR="006D7719" w:rsidRPr="006D7719">
        <w:rPr>
          <w:noProof/>
        </w:rPr>
        <w:t>(Blengini et al., 2015; Fernandes et al., 2020; Giulietti et al., 1997; INEMA et al., 2020)</w:t>
      </w:r>
      <w:r w:rsidR="006D7719">
        <w:rPr>
          <w:lang w:val="en-US"/>
        </w:rPr>
        <w:fldChar w:fldCharType="end"/>
      </w:r>
      <w:r w:rsidR="00616971" w:rsidRPr="00107731">
        <w:t xml:space="preserve">. </w:t>
      </w:r>
      <w:r w:rsidR="009219F9" w:rsidRPr="009219F9">
        <w:t xml:space="preserve">No entanto, </w:t>
      </w:r>
      <w:r w:rsidR="006D7719">
        <w:t>essas regiões s</w:t>
      </w:r>
      <w:r w:rsidR="006D7719" w:rsidRPr="006D7719">
        <w:t>ão altamente impactad</w:t>
      </w:r>
      <w:r w:rsidR="006D7719">
        <w:t>a</w:t>
      </w:r>
      <w:r w:rsidR="006D7719" w:rsidRPr="006D7719">
        <w:t>s por atividades humanas como turismo, mineração, urbanização, queimadas de vegetação nativa, monoculturas, pecuária, extração e coleta de flora e fauna para cultivo e exportação</w:t>
      </w:r>
      <w:r w:rsidR="006D7719">
        <w:t xml:space="preserve"> </w:t>
      </w:r>
      <w:r w:rsidR="006D7719">
        <w:rPr>
          <w:lang w:val="en-US"/>
        </w:rPr>
        <w:fldChar w:fldCharType="begin" w:fldLock="1"/>
      </w:r>
      <w:r w:rsidR="006D7719" w:rsidRPr="006D7719">
        <w:instrText>ADDIN CSL_CITATION {"citationItems":[{"id":"ITEM-1","itemData":{"author":[{"dropping-particle":"","family":"Blengini","given":"Isabelle Aparecida Dellela","non-dropping-particle":"","parse-names":false,"suffix":""},{"dropping-particle":"","family":"Cintra","given":"Maria Alice Martins de Ulhôa","non-dropping-particle":"","parse-names":false,"suffix":""},{"dropping-particle":"da","family":"Cunha","given":"Renato Pêgas Paes","non-dropping-particle":"","parse-names":false,"suffix":""},{"dropping-particle":"","family":"Caiafa","given":"Alessandra Nasser","non-dropping-particle":"","parse-names":false,"suffix":""},{"dropping-particle":"","family":"Al.","given":"Et","non-dropping-particle":"","parse-names":false,"suffix":""}],"id":"ITEM-1","issued":{"date-parts":[["2015"]]},"number-of-pages":"230","publisher-place":"Salvador, BA - Gambá","title":"Proposta de Unidade de Conservação da Serra da Jiboia","type":"book"},"uris":["http://www.mendeley.com/documents/?uuid=916813a3-a478-4451-9443-e3682a9465ec"]},{"id":"ITEM-2","itemData":{"abstract":"Portaria INEMA Nº 22.001 de 17 DE DEZEMBRO DE 2020","author":[{"dropping-particle":"","family":"INEMA","given":"","non-dropping-particle":"","parse-names":false,"suffix":""},{"dropping-particle":"","family":"SEMA","given":"","non-drop</w:instrText>
      </w:r>
      <w:r w:rsidR="006D7719">
        <w:rPr>
          <w:lang w:val="en-US"/>
        </w:rPr>
        <w:instrText>ping-particle":"","parse-names":false,"suffix":""},{"dropping-particle":"","family":"WWF-Brasil","given":"","non-dropping-particle":"","parse-names":false,"suffix":""},{"dropping-particle":"","family":"CNCFlora","given":"","non-dropping-particle":"","parse-names":false,"suffix":""},{"dropping-particle":"","family":"JBRJ","given":"","non-dropping-particle":"","parse-names":false,"suffix":""},{"dropping-particle":"","family":"PRF","given":"","non-dropping-particle":"","parse-names":false,"suffix":""},{"dropping-particle":"","family":"ICMBIO","given":"","non-dropping-particle":"","parse-names":false,"suffix":""},{"dropping-particle":"","family":"UFBA","given":"","non-dropping-particle":"","parse-names":false,"suffix":""},{"dropping-particle":"","family":"UCSal","given":"","non-dropping-particle":"","parse-names":false,"suffix":""},{"dropping-particle":"","family":"UFRB","given":"","non-dropping-particle":"","parse-names":false,"suffix":""},{"dropping-particle":"","family":"UEFS","given":"","non-dropping-particle":"","parse-names":false,"suffix":""},{"dropping-particle":"","family":"INP","given":"","non-dropping-particle":"","parse-names":false,"suffix"</w:instrText>
      </w:r>
      <w:r w:rsidR="006D7719" w:rsidRPr="006D7719">
        <w:instrText>:""},{"dropping-particle":"","family":"Gambá","given":"","non-dropping-particle":"","parse-names":false,"suffix":""}],"id":"ITEM-2","issued":{"date-parts":[["2020"]]},"page":"1-25","publisher":"Governo da Bahia INEMA SEMA WWF-Brasil CNCFlora JBRJ PRF ICMBIO UFBA UCSal UFRB UEFS INP Gambá","publisher-place":"Bahia","title":"Plano de Ação Territorial para a Conservação de Espécies Ameaçadas do Território Chapada Diamantina-Serra da Jiboia - Sumário Executivo","type":"article"},"uris":["http://www.mendeley.com/documents/?uuid=21cc01a3-12bd-4828-935c-fc599e0136bd"]},{"id":"ITEM-3","itemData":{"DOI":"10.1590/S0100-84042007000400005","ISSN":"0100-8404","author":[{"dropping-particle":"","family":"Martinelli","given":"Gustavo","non-dropping-particle":"","parse-names":false,"suffix":""}],"container-title":"Revista Brasileira de Botânica","id":"ITEM-3","issue":"4","issued":{"date-parts":[["2007","12"]]},"page":"587-597","title":"Mountain biodiversity in Brazil","type":"article-journal","volume":"30"},"uris":["http://www.mendeley.com/documents/?uuid=30738e0f-ed3a-42b4-b8f5-db8fbc4f778b"]}],"mendeley":{"formattedCitation":"(Blengini et al., 2015; INEMA et al., 2020; Martinelli, 2007)","plainTextFormattedCitation":"(Blengini et al., 2015; INEMA et al., 2020; Martinelli, 2007)","previouslyFormattedCitation":"(Blengini et al., 2015; INEMA et al., 2020; Martinelli, 2007)"},"properties":{"noteIndex":0},"schema":"https://github.com/citation-style-language/schema/raw/master/csl-citation.json"}</w:instrText>
      </w:r>
      <w:r w:rsidR="006D7719">
        <w:rPr>
          <w:lang w:val="en-US"/>
        </w:rPr>
        <w:fldChar w:fldCharType="separate"/>
      </w:r>
      <w:r w:rsidR="006D7719" w:rsidRPr="006D7719">
        <w:rPr>
          <w:noProof/>
        </w:rPr>
        <w:t>(Blengini et al., 2015; INEMA et al., 2020; Martinelli, 2007)</w:t>
      </w:r>
      <w:r w:rsidR="006D7719">
        <w:rPr>
          <w:lang w:val="en-US"/>
        </w:rPr>
        <w:fldChar w:fldCharType="end"/>
      </w:r>
      <w:r w:rsidR="00773ED1" w:rsidRPr="00773ED1">
        <w:t>.</w:t>
      </w:r>
      <w:r w:rsidR="00773ED1">
        <w:t xml:space="preserve"> </w:t>
      </w:r>
      <w:r w:rsidR="00616971" w:rsidRPr="00107731">
        <w:t xml:space="preserve">Entendendo que estas regiões carecem de ações de conservação e restauração urgentes, o Plano de Ação Territorial para a Conservação de Espécies Ameaçadas do Território Chapada Diamantina-Serra da Jiboia – PAT-CDSJ foi concebido para minimizar as pressões das atividades humanas sobre a biodiversidade e ecossistema desta região </w:t>
      </w:r>
      <w:r w:rsidR="0024519C" w:rsidRPr="00107731">
        <w:fldChar w:fldCharType="begin" w:fldLock="1"/>
      </w:r>
      <w:r w:rsidR="00CB70B8" w:rsidRPr="00107731">
        <w:instrText>ADDIN CSL_CITATION {"citationItems":[{"id":"ITEM-1","itemData":{"abstract":"Portaria INEMA Nº 22.001 de 17 DE DEZEMBRO DE 2020","author":[{"dropping-particle":"","family":"INEMA","given":"","non-dropping-particle":"","parse-names":false,"suffix":""},{"dropping-particle":"","family":"SEMA","given":"","non-dropping-particle":"","parse-names":false,"suffix":""},{"dropping-particle":"","family":"WWF-Brasil","given":"","non-dropping-particle":"","parse-names":false,"suffix":""},{"dropping-particle":"","family":"CNCFlora","given":"","non-dropping-particle":"","parse-names":false,"suffix":""},{"dropping-particle":"","family":"JBRJ","given":"","non-dropping-particle":"","parse-names":false,"suffix":""},{"dropping-particle":"","family":"PRF","given":"","non-dropping-particle":"","parse-names":false,"suffix":""},{"dropping-particle":"","family":"ICMBIO","given":"","non-dropping-particle":"","parse-names":false,"suffix":""},{"dropping-particle":"","family":"UFBA","given":"","non-dropping-particle":"","parse-names":false,"suffix":""},{"dropping-particle":"","family":"UCSal","given":"","non-dropping-particle":"","parse-names":false,"suffix":""},{"dropping-particle":"","family":"UFRB","given":"","non-dropping-particle":"","parse-names":false,"suffix":""},{"dropping-particle":"","family":"UEFS","given":"","non-dropping-particle":"","parse-names":false,"suffix":""},{"dropping-particle":"","family":"INP","given":"","non-dropping-particle":"","parse-names":false,"suffix":""},{"dropping-particle":"","family":"Gambá","given":"","non-dropping-particle":"","parse-names":false,"suffix":""}],"id":"ITEM-1","issued":{"date-parts":[["2020"]]},"page":"1-25","publisher":"Governo da Bahia INEMA SEMA WWF-Brasil CNCFlora JBRJ PRF ICMBIO UFBA UCSal UFRB UEFS INP Gambá","publisher-place":"Bahia","title":"Plano de Ação Territorial para a Conservação de Espécies Ameaçadas do Território Chapada Diamantina-Serra da Jiboia - Sumário Executivo","type":"article"},"uris":["http://www.mendeley.com/documents/?uuid=21cc01a3-12bd-4828-935c-fc599e0136bd"]}],"mendeley":{"formattedCitation":"(INEMA et al., 2020)","plainTextFormattedCitation":"(INEMA et al., 2020)","previouslyFormattedCitation":"(INEMA et al., 2020)"},"properties":{"noteIndex":0},"schema":"https://github.com/citation-style-language/schema/raw/master/csl-citation.json"}</w:instrText>
      </w:r>
      <w:r w:rsidR="0024519C" w:rsidRPr="00107731">
        <w:fldChar w:fldCharType="separate"/>
      </w:r>
      <w:r w:rsidR="0024519C" w:rsidRPr="00107731">
        <w:rPr>
          <w:noProof/>
        </w:rPr>
        <w:t>(INEMA et al., 2020)</w:t>
      </w:r>
      <w:r w:rsidR="0024519C" w:rsidRPr="00107731">
        <w:fldChar w:fldCharType="end"/>
      </w:r>
      <w:r w:rsidR="00616971" w:rsidRPr="00107731">
        <w:t xml:space="preserve">. </w:t>
      </w:r>
      <w:r w:rsidR="006D7719" w:rsidRPr="006D7719">
        <w:t xml:space="preserve">Dois dos principais alvos de conservação deste plano de ação são </w:t>
      </w:r>
      <w:r w:rsidR="006D7719">
        <w:t xml:space="preserve">(i) as </w:t>
      </w:r>
      <w:r w:rsidR="00616971" w:rsidRPr="00107731">
        <w:t>espécies Criticamente em Perigo de extinção (CR), que não ocorrem em nenhuma área de proteção ambiental e não eram contempladas por planos de ação</w:t>
      </w:r>
      <w:r w:rsidR="002F6174">
        <w:t xml:space="preserve"> </w:t>
      </w:r>
      <w:r w:rsidR="00616971" w:rsidRPr="00107731">
        <w:t xml:space="preserve">(chamadas de CR-Lacunas) e </w:t>
      </w:r>
      <w:r w:rsidR="006D7719">
        <w:t>(</w:t>
      </w:r>
      <w:proofErr w:type="spellStart"/>
      <w:r w:rsidR="006D7719">
        <w:t>ii</w:t>
      </w:r>
      <w:proofErr w:type="spellEnd"/>
      <w:r w:rsidR="006D7719">
        <w:t xml:space="preserve">) </w:t>
      </w:r>
      <w:r w:rsidR="00616971" w:rsidRPr="00107731">
        <w:t>seus ecossistemas.</w:t>
      </w:r>
    </w:p>
    <w:p w14:paraId="17E3C184" w14:textId="557043BB" w:rsidR="00BD65A8" w:rsidRPr="00107731" w:rsidRDefault="00C81602" w:rsidP="00107731">
      <w:pPr>
        <w:spacing w:line="480" w:lineRule="auto"/>
        <w:ind w:firstLine="708"/>
        <w:jc w:val="both"/>
      </w:pPr>
      <w:r>
        <w:t>Neste estudo</w:t>
      </w:r>
      <w:r w:rsidRPr="00C81602">
        <w:t>, fornecemos uma estrutura de priorização bem</w:t>
      </w:r>
      <w:r>
        <w:t>-sucedida</w:t>
      </w:r>
      <w:r w:rsidRPr="00C81602">
        <w:t xml:space="preserve"> aplicada ao PAT-CDSJ, com base em uma abordagem participativa. Identificamos e mapeamos áreas estratégicas para a conservação de espécies CR-</w:t>
      </w:r>
      <w:r w:rsidRPr="00107731">
        <w:t>Lacunas</w:t>
      </w:r>
      <w:r w:rsidRPr="00C81602">
        <w:t xml:space="preserve"> e seus ecossistemas (SASC) e áreas estratégicas para restauração de ecossistemas (SAER). A estrutura de mapeamento proposta foi inteiramente elaborada por cientistas, tomadores de decisão e partes interessadas</w:t>
      </w:r>
      <w:r>
        <w:t>. Essa estrutura i</w:t>
      </w:r>
      <w:r w:rsidRPr="00C81602">
        <w:t>nclui uma metodologia de baixo custo</w:t>
      </w:r>
      <w:r>
        <w:t>,</w:t>
      </w:r>
      <w:r w:rsidRPr="00C81602">
        <w:t xml:space="preserve"> rápido desenvolvimento</w:t>
      </w:r>
      <w:r>
        <w:t xml:space="preserve"> e,</w:t>
      </w:r>
      <w:r w:rsidRPr="00C81602">
        <w:t xml:space="preserve"> </w:t>
      </w:r>
      <w:r>
        <w:t>que pode</w:t>
      </w:r>
      <w:r w:rsidRPr="00C81602">
        <w:t xml:space="preserve"> ser aplicada a diferentes regiões quando ajustada aos objetivos e contextos locais</w:t>
      </w:r>
      <w:r w:rsidR="00616971" w:rsidRPr="00107731">
        <w:t>.</w:t>
      </w:r>
    </w:p>
    <w:p w14:paraId="67C839E5" w14:textId="77777777" w:rsidR="00616971" w:rsidRPr="00107731" w:rsidRDefault="00616971" w:rsidP="00107731">
      <w:pPr>
        <w:spacing w:line="480" w:lineRule="auto"/>
        <w:ind w:firstLine="708"/>
        <w:jc w:val="both"/>
      </w:pPr>
    </w:p>
    <w:p w14:paraId="27079F83" w14:textId="053DEFA7" w:rsidR="000908A4" w:rsidRPr="00107731" w:rsidRDefault="000908A4" w:rsidP="00107731">
      <w:pPr>
        <w:spacing w:line="480" w:lineRule="auto"/>
        <w:jc w:val="both"/>
        <w:rPr>
          <w:bCs/>
          <w:sz w:val="28"/>
          <w:szCs w:val="28"/>
        </w:rPr>
      </w:pPr>
      <w:r w:rsidRPr="00107731">
        <w:rPr>
          <w:bCs/>
          <w:sz w:val="28"/>
          <w:szCs w:val="28"/>
        </w:rPr>
        <w:lastRenderedPageBreak/>
        <w:t>M</w:t>
      </w:r>
      <w:r w:rsidR="00E3589E" w:rsidRPr="00107731">
        <w:rPr>
          <w:bCs/>
          <w:sz w:val="28"/>
          <w:szCs w:val="28"/>
        </w:rPr>
        <w:t>étodo</w:t>
      </w:r>
      <w:r w:rsidRPr="00107731">
        <w:rPr>
          <w:bCs/>
          <w:sz w:val="28"/>
          <w:szCs w:val="28"/>
        </w:rPr>
        <w:t>s</w:t>
      </w:r>
    </w:p>
    <w:p w14:paraId="1870AAA1" w14:textId="77777777" w:rsidR="00144884" w:rsidRPr="00107731" w:rsidRDefault="00144884" w:rsidP="00107731">
      <w:pPr>
        <w:spacing w:line="480" w:lineRule="auto"/>
        <w:jc w:val="both"/>
        <w:rPr>
          <w:b/>
        </w:rPr>
      </w:pPr>
    </w:p>
    <w:p w14:paraId="5C17CEED" w14:textId="3418D4BF" w:rsidR="00144884" w:rsidRPr="00107731" w:rsidRDefault="00C81602" w:rsidP="00107731">
      <w:pPr>
        <w:spacing w:line="480" w:lineRule="auto"/>
        <w:jc w:val="both"/>
        <w:rPr>
          <w:iCs/>
        </w:rPr>
      </w:pPr>
      <w:r w:rsidRPr="00C81602">
        <w:t>PAT-CDSJ</w:t>
      </w:r>
      <w:r>
        <w:t>,</w:t>
      </w:r>
      <w:r w:rsidRPr="00107731">
        <w:rPr>
          <w:iCs/>
        </w:rPr>
        <w:t xml:space="preserve"> </w:t>
      </w:r>
      <w:r>
        <w:rPr>
          <w:iCs/>
        </w:rPr>
        <w:t>á</w:t>
      </w:r>
      <w:r w:rsidR="00FC1598" w:rsidRPr="00107731">
        <w:rPr>
          <w:iCs/>
        </w:rPr>
        <w:t>rea de estudo e espécies alvo</w:t>
      </w:r>
    </w:p>
    <w:p w14:paraId="0128D036" w14:textId="1DB048F5" w:rsidR="00FC1598" w:rsidRDefault="00FC1598" w:rsidP="00107731">
      <w:pPr>
        <w:spacing w:line="480" w:lineRule="auto"/>
        <w:jc w:val="both"/>
      </w:pPr>
    </w:p>
    <w:p w14:paraId="0EEBAE82" w14:textId="22D3130A" w:rsidR="00C81602" w:rsidRPr="00107731" w:rsidRDefault="00C81602" w:rsidP="00107731">
      <w:pPr>
        <w:spacing w:line="480" w:lineRule="auto"/>
        <w:jc w:val="both"/>
      </w:pPr>
      <w:r w:rsidRPr="00C81602">
        <w:t xml:space="preserve">O PAT-CDSJ é um plano de ação construído pelo governo da Bahia em um processo participativo, incluindo tomadores de decisão, cientistas e </w:t>
      </w:r>
      <w:r>
        <w:t>partes interessada</w:t>
      </w:r>
      <w:r w:rsidRPr="00C81602">
        <w:t xml:space="preserve">s (INEMA et al., 2020). Este documento é um instrumento que ajuda a orientar as políticas públicas e colocá-las em prática. O PAT-CDSJ apresenta um conjunto de objetivos e ações propostas que irão solucionar problemas e minimizar ameaças às espécies e seus ecossistemas (ver detalhes do documento e ações do PAT-CDSJ no Material </w:t>
      </w:r>
      <w:r>
        <w:t>Su</w:t>
      </w:r>
      <w:r w:rsidRPr="00C81602">
        <w:t>plementar 1). A seleção de áreas estratégicas para conservação e restauração foi originalmente solicitada p</w:t>
      </w:r>
      <w:r w:rsidR="008E6DA4">
        <w:t>or</w:t>
      </w:r>
      <w:r w:rsidRPr="00C81602">
        <w:t xml:space="preserve"> tomadores de decisão </w:t>
      </w:r>
      <w:r w:rsidR="00E91356">
        <w:t xml:space="preserve">– </w:t>
      </w:r>
      <w:r w:rsidRPr="00C81602">
        <w:t>membros do governo regional</w:t>
      </w:r>
      <w:r w:rsidR="008E6DA4">
        <w:t xml:space="preserve"> (Bahia) </w:t>
      </w:r>
      <w:r w:rsidRPr="00C81602">
        <w:t>e responsáveis pelas ações do PAT-CDSJ. Assim, este estudo faz parte da primeira ação do PAT-CDSJ e subsidiará suas ações posteriores</w:t>
      </w:r>
      <w:r>
        <w:t>.</w:t>
      </w:r>
    </w:p>
    <w:p w14:paraId="2DEED972" w14:textId="71654AF3" w:rsidR="00294C4E" w:rsidRPr="00107731" w:rsidRDefault="00EC1D69" w:rsidP="00C81602">
      <w:pPr>
        <w:spacing w:line="480" w:lineRule="auto"/>
        <w:ind w:firstLine="1008"/>
        <w:jc w:val="both"/>
      </w:pPr>
      <w:r w:rsidRPr="00107731">
        <w:t>A área de estudo considera os limites definidos para o PAT-CDSJ, estendendo-se entre as regiões central e leste do estado da Bahia, Brasil (Fig</w:t>
      </w:r>
      <w:r w:rsidR="0036320F" w:rsidRPr="00107731">
        <w:t>.</w:t>
      </w:r>
      <w:r w:rsidRPr="00107731">
        <w:t xml:space="preserve"> 1). Os limites abrangem porções de 56 municípios e cobrem 3.918.743 </w:t>
      </w:r>
      <w:r w:rsidR="008E6DA4">
        <w:t xml:space="preserve">há </w:t>
      </w:r>
      <w:r w:rsidR="008E6DA4">
        <w:fldChar w:fldCharType="begin" w:fldLock="1"/>
      </w:r>
      <w:r w:rsidR="008E6DA4" w:rsidRPr="008E6DA4">
        <w:instrText>ADDIN CSL_CITATION {"citationItems":[{"id":"ITEM-1","itemData":{"abstract":"Portaria INEMA Nº 22.001 de 17 DE DEZEMBRO DE 2020","author":[{"dropping-particle":"","family":"INEMA","given":"","non-dropping-particle":"","parse-names":false,"suffix":""},{"dropping-particle":"","family":"SEMA","given":"","non-dropping-particle":"","parse-names":false,"suffix":""},{"dropping-particle":"","family":"WWF-Brasil","given":"","non-dropping-particle":"","parse-names":false,"suffix":""},{"dropping-particle":"","family":"CNCFlora","given":"","non-dropping-particle":"","parse-names":false,"suffix":""},{"dropping-particle":"","family":"JBRJ","given":"","non-dropping-particle":"","parse-names":false,"suffix":""},{"dropping-particle":"","family":"PRF","given":"","non-dropping-particle":"","parse-names":false,"suffix":""},{"dropping-particle":"","family":"ICMBIO","given":"","non-dropping-particle":"","parse-names":false,"suffix":""},{"dropping-particle":"","family":"UFBA","given":"","non-dropping-particle":"","parse-names":false,"suffix":""},{"dropping-particle":"","family":"UCSal","given":"","non-dropping-particle":"","parse-names":false,"suffix":""},{"dropping-particle":"","family":"UFRB","given":"","non-dropping-particle":"","parse-names":false,"suffix":""},{"dropping-particle":"","family":"UEFS","given":"","non-dropping-particle":"","parse-names":false,"suffix":""},{"dropping-particle":"","family":"INP","given":"","non-dropping-particle":"","parse-names":false,"suffix":""},{"dropping-particle":"","family":"Gambá","given":"","non-dropping-particle":"","parse-names":false,"suffix":""}],"id":"ITEM-1","issued":{"date-parts":[["2020"]]},"page":"1-25","publisher":"Governo da Bahia INEMA SEMA WWF-Brasil CNCFlora JBRJ PRF ICMBIO UFBA UCSal UFRB UEFS INP Gambá","publisher-place":"Bahia","title":"Plano de Ação Territorial para a Conservação de Espécies Ameaçadas do Território Chapada Diamantina-Serra da Jiboia - Sumário Executivo","type":"article"},"uris":["http://www.mendeley.com/documents/?uuid=21cc01a3-12bd-4828-935c-fc599e0136bd"]}],"mendeley":{"formattedCitation":"(INEMA et al., 2020)","plainTextFormattedCitation":"(INEMA et al., 2020)","previouslyFormattedCitation":"(INEMA et al., 2020)"},"properties":{"noteIndex":0},"schema":"https://github.com/citation-style-language/schema/raw/master/csl-citation.json"}</w:instrText>
      </w:r>
      <w:r w:rsidR="008E6DA4">
        <w:fldChar w:fldCharType="separate"/>
      </w:r>
      <w:r w:rsidR="008E6DA4" w:rsidRPr="008E6DA4">
        <w:rPr>
          <w:noProof/>
        </w:rPr>
        <w:t>(INEMA et al., 2020)</w:t>
      </w:r>
      <w:r w:rsidR="008E6DA4">
        <w:fldChar w:fldCharType="end"/>
      </w:r>
      <w:r w:rsidR="008E6DA4">
        <w:t xml:space="preserve">. </w:t>
      </w:r>
      <w:r w:rsidR="008E6DA4" w:rsidRPr="008E6DA4">
        <w:t xml:space="preserve">O objetivo do PAT-CDSJ é desenvolver políticas públicas em áreas desprotegidas, uma vez que as áreas protegidas já estão </w:t>
      </w:r>
      <w:r w:rsidR="008E6DA4">
        <w:t>asseguradas pela</w:t>
      </w:r>
      <w:r w:rsidR="008E6DA4" w:rsidRPr="008E6DA4">
        <w:t xml:space="preserve"> lei. A Chapada Diamantina ocorre principalmente no domínio brasileiro da Caatinga (</w:t>
      </w:r>
      <w:proofErr w:type="gramStart"/>
      <w:r w:rsidR="008E6DA4">
        <w:t>i.e.</w:t>
      </w:r>
      <w:proofErr w:type="gramEnd"/>
      <w:r w:rsidR="008E6DA4" w:rsidRPr="008E6DA4">
        <w:t xml:space="preserve"> vegetação semiárida), enquanto a Serra da Jiboia está dentro do domínio brasileiro da Mata Atlântica</w:t>
      </w:r>
      <w:r w:rsidRPr="00107731">
        <w:t>. Esta região é composta por uma grande variedade de condições climáticas, formações geológicas (com cadeias de montanhas)</w:t>
      </w:r>
      <w:r w:rsidR="00F14F0E">
        <w:t xml:space="preserve"> e</w:t>
      </w:r>
      <w:r w:rsidRPr="00107731">
        <w:t xml:space="preserve"> tipos de solo e vegetação</w:t>
      </w:r>
      <w:r w:rsidR="00F14F0E">
        <w:t xml:space="preserve"> </w:t>
      </w:r>
      <w:r w:rsidR="00F14F0E" w:rsidRPr="00F14F0E">
        <w:t xml:space="preserve">(Fig. 1 </w:t>
      </w:r>
      <w:proofErr w:type="spellStart"/>
      <w:r w:rsidR="00F14F0E" w:rsidRPr="00F14F0E">
        <w:t>and</w:t>
      </w:r>
      <w:proofErr w:type="spellEnd"/>
      <w:r w:rsidR="00F14F0E" w:rsidRPr="00F14F0E">
        <w:t xml:space="preserve"> S1)</w:t>
      </w:r>
      <w:r w:rsidR="008E6DA4">
        <w:t xml:space="preserve">, </w:t>
      </w:r>
      <w:r w:rsidR="008E6DA4" w:rsidRPr="008E6DA4">
        <w:t>alta diversidade e grau de endemismo (</w:t>
      </w:r>
      <w:proofErr w:type="spellStart"/>
      <w:r w:rsidR="008E6DA4" w:rsidRPr="008E6DA4">
        <w:t>Giulietti</w:t>
      </w:r>
      <w:proofErr w:type="spellEnd"/>
      <w:r w:rsidR="008E6DA4" w:rsidRPr="008E6DA4">
        <w:t xml:space="preserve"> et al., 1997; INEMA et al., 2020). A maioria das 27 espécies CR-</w:t>
      </w:r>
      <w:r w:rsidR="008E6DA4">
        <w:t>Lacunas</w:t>
      </w:r>
      <w:r w:rsidR="008E6DA4" w:rsidRPr="008E6DA4">
        <w:t xml:space="preserve"> (24 plantas e três invertebrados, Tabela S1) do PAT-DCSJ são endêmicas d</w:t>
      </w:r>
      <w:r w:rsidR="00536BB7">
        <w:t>as regiões montanhosas da</w:t>
      </w:r>
      <w:r w:rsidR="008E6DA4" w:rsidRPr="008E6DA4">
        <w:t xml:space="preserve"> Bahia, Brasil, de baixa densidade popula</w:t>
      </w:r>
      <w:r w:rsidR="00536BB7">
        <w:t>cional</w:t>
      </w:r>
      <w:r w:rsidR="008E6DA4" w:rsidRPr="008E6DA4">
        <w:t xml:space="preserve"> (INEMA et al., 2020; IUCN, 2022)</w:t>
      </w:r>
      <w:r w:rsidR="00F14F0E" w:rsidRPr="00F14F0E">
        <w:t>.</w:t>
      </w:r>
      <w:r w:rsidRPr="00107731">
        <w:t xml:space="preserve"> </w:t>
      </w:r>
    </w:p>
    <w:p w14:paraId="6D24E790" w14:textId="6D1E71A8" w:rsidR="00A140E6" w:rsidRDefault="00536BB7" w:rsidP="00107731">
      <w:pPr>
        <w:spacing w:line="480" w:lineRule="auto"/>
        <w:jc w:val="both"/>
        <w:rPr>
          <w:iCs/>
        </w:rPr>
      </w:pPr>
      <w:r>
        <w:rPr>
          <w:iCs/>
        </w:rPr>
        <w:lastRenderedPageBreak/>
        <w:t>Processo participativo</w:t>
      </w:r>
    </w:p>
    <w:p w14:paraId="2F3D107A" w14:textId="77777777" w:rsidR="00BD65A8" w:rsidRPr="00107731" w:rsidRDefault="00BD65A8" w:rsidP="00107731">
      <w:pPr>
        <w:spacing w:line="480" w:lineRule="auto"/>
        <w:jc w:val="both"/>
        <w:rPr>
          <w:b/>
        </w:rPr>
      </w:pPr>
    </w:p>
    <w:p w14:paraId="6C630FFE" w14:textId="13E984B3" w:rsidR="007060B2" w:rsidRPr="00107731" w:rsidRDefault="007060B2" w:rsidP="00107731">
      <w:pPr>
        <w:spacing w:line="480" w:lineRule="auto"/>
        <w:jc w:val="both"/>
        <w:rPr>
          <w:bCs/>
        </w:rPr>
      </w:pPr>
      <w:r w:rsidRPr="00107731">
        <w:rPr>
          <w:bCs/>
        </w:rPr>
        <w:t>Todas as etapas deste estudo foram fundamentadas e acordadas a partir de uma série de reuniões e oficinas participativas de construção e monitoramento</w:t>
      </w:r>
      <w:r w:rsidR="00ED0036">
        <w:rPr>
          <w:bCs/>
        </w:rPr>
        <w:t>, com</w:t>
      </w:r>
      <w:r w:rsidRPr="00107731">
        <w:rPr>
          <w:bCs/>
        </w:rPr>
        <w:t xml:space="preserve"> </w:t>
      </w:r>
      <w:r w:rsidR="00ED0036">
        <w:rPr>
          <w:bCs/>
        </w:rPr>
        <w:t>a participação de cientistas (de universidades estaduais e federais),</w:t>
      </w:r>
      <w:r w:rsidRPr="00107731">
        <w:rPr>
          <w:bCs/>
        </w:rPr>
        <w:t xml:space="preserve"> tomadores de decisão</w:t>
      </w:r>
      <w:r w:rsidR="00ED0036">
        <w:rPr>
          <w:bCs/>
        </w:rPr>
        <w:t xml:space="preserve"> (administradores do governo regional)</w:t>
      </w:r>
      <w:r w:rsidRPr="00107731">
        <w:rPr>
          <w:bCs/>
        </w:rPr>
        <w:t xml:space="preserve"> e partes interessadas (</w:t>
      </w:r>
      <w:proofErr w:type="gramStart"/>
      <w:r w:rsidRPr="00107731">
        <w:rPr>
          <w:bCs/>
        </w:rPr>
        <w:t>i.e.</w:t>
      </w:r>
      <w:proofErr w:type="gramEnd"/>
      <w:r w:rsidRPr="00107731">
        <w:rPr>
          <w:bCs/>
        </w:rPr>
        <w:t xml:space="preserve"> </w:t>
      </w:r>
      <w:r w:rsidR="00ED0036">
        <w:rPr>
          <w:bCs/>
        </w:rPr>
        <w:t xml:space="preserve">outros </w:t>
      </w:r>
      <w:r w:rsidRPr="00107731">
        <w:rPr>
          <w:bCs/>
        </w:rPr>
        <w:t xml:space="preserve">representantes do governo, </w:t>
      </w:r>
      <w:r w:rsidR="00ED0036">
        <w:rPr>
          <w:bCs/>
        </w:rPr>
        <w:t>gestores de unidades de conservação, e</w:t>
      </w:r>
      <w:r w:rsidRPr="00107731">
        <w:rPr>
          <w:bCs/>
        </w:rPr>
        <w:t xml:space="preserve"> organizações não-governamentais) (</w:t>
      </w:r>
      <w:r w:rsidR="00ED0036" w:rsidRPr="00107731">
        <w:rPr>
          <w:bCs/>
        </w:rPr>
        <w:t>Figura 2</w:t>
      </w:r>
      <w:r w:rsidR="00ED0036">
        <w:rPr>
          <w:bCs/>
        </w:rPr>
        <w:t xml:space="preserve">, </w:t>
      </w:r>
      <w:r w:rsidRPr="00107731">
        <w:rPr>
          <w:bCs/>
        </w:rPr>
        <w:t xml:space="preserve">Tabela S2). Na primeira etapa deste processo, os tomadores de decisão apresentaram o projeto PAT-CDSJ (INEMA et al., 2020) e as expectativas sobre o </w:t>
      </w:r>
      <w:proofErr w:type="gramStart"/>
      <w:r w:rsidRPr="00107731">
        <w:rPr>
          <w:bCs/>
        </w:rPr>
        <w:t>produto final</w:t>
      </w:r>
      <w:proofErr w:type="gramEnd"/>
      <w:r w:rsidRPr="00107731">
        <w:rPr>
          <w:bCs/>
        </w:rPr>
        <w:t xml:space="preserve"> (as Áreas Estratégicas para Conservação de Espécies - SASC e Áreas Estratégicas para a Restauração de Ecossistemas - SAER). </w:t>
      </w:r>
      <w:r w:rsidR="00ED0036">
        <w:rPr>
          <w:bCs/>
        </w:rPr>
        <w:t>Em seguida</w:t>
      </w:r>
      <w:r w:rsidR="00ED0036" w:rsidRPr="00ED0036">
        <w:rPr>
          <w:bCs/>
        </w:rPr>
        <w:t xml:space="preserve">, na primeira oficina participativa, </w:t>
      </w:r>
      <w:r w:rsidR="00ED0036">
        <w:rPr>
          <w:bCs/>
        </w:rPr>
        <w:t>a</w:t>
      </w:r>
      <w:r w:rsidR="00ED0036" w:rsidRPr="00ED0036">
        <w:rPr>
          <w:bCs/>
        </w:rPr>
        <w:t xml:space="preserve"> cientista responsável pelo mapeamento sugeriu um plano de trabalho. Utilizando o plano de trabalho como ponto de partida, os participantes definiram de forma consensual a metodologia e os dados que deveriam ser utilizados, considerando o contexto local, disponibilidade de dados, principais ameaças às espécies, viabilidade do projeto e a relevância e </w:t>
      </w:r>
      <w:r w:rsidR="009067A0">
        <w:rPr>
          <w:bCs/>
        </w:rPr>
        <w:t xml:space="preserve">o </w:t>
      </w:r>
      <w:r w:rsidR="00ED0036" w:rsidRPr="00ED0036">
        <w:rPr>
          <w:bCs/>
        </w:rPr>
        <w:t xml:space="preserve">custo de cada critério de mapeamento (veja detalhes abaixo). </w:t>
      </w:r>
      <w:r w:rsidR="009067A0">
        <w:rPr>
          <w:bCs/>
        </w:rPr>
        <w:t>A</w:t>
      </w:r>
      <w:r w:rsidR="00ED0036" w:rsidRPr="00ED0036">
        <w:rPr>
          <w:bCs/>
        </w:rPr>
        <w:t>pós a definição dos critérios, os participantes atribuíram pesos a cada um d</w:t>
      </w:r>
      <w:r w:rsidR="009067A0">
        <w:rPr>
          <w:bCs/>
        </w:rPr>
        <w:t>o</w:t>
      </w:r>
      <w:r w:rsidR="00ED0036" w:rsidRPr="00ED0036">
        <w:rPr>
          <w:bCs/>
        </w:rPr>
        <w:t>s</w:t>
      </w:r>
      <w:r w:rsidR="009067A0">
        <w:rPr>
          <w:bCs/>
        </w:rPr>
        <w:t xml:space="preserve"> critérios</w:t>
      </w:r>
      <w:r w:rsidR="00ED0036" w:rsidRPr="00ED0036">
        <w:rPr>
          <w:bCs/>
        </w:rPr>
        <w:t>.</w:t>
      </w:r>
    </w:p>
    <w:p w14:paraId="3831997B" w14:textId="05F4664E" w:rsidR="007060B2" w:rsidRDefault="009067A0" w:rsidP="00107731">
      <w:pPr>
        <w:spacing w:line="480" w:lineRule="auto"/>
        <w:ind w:firstLine="1008"/>
        <w:jc w:val="both"/>
        <w:rPr>
          <w:bCs/>
        </w:rPr>
      </w:pPr>
      <w:r w:rsidRPr="009067A0">
        <w:rPr>
          <w:bCs/>
        </w:rPr>
        <w:t>A intenção do plano de trabalho era ser inclusivo, considerando vários aspectos ambientais e socioeconômicos possíveis, para que os participantes pudessem discutir e decidir os melhores aspectos e estratégias.</w:t>
      </w:r>
      <w:r>
        <w:rPr>
          <w:bCs/>
        </w:rPr>
        <w:t xml:space="preserve"> De</w:t>
      </w:r>
      <w:r w:rsidRPr="009067A0">
        <w:rPr>
          <w:bCs/>
        </w:rPr>
        <w:t xml:space="preserve">ntre todos os possíveis aspectos favoráveis ​​e desfavoráveis ​​ao mapeamento, </w:t>
      </w:r>
      <w:r>
        <w:rPr>
          <w:bCs/>
        </w:rPr>
        <w:t>o</w:t>
      </w:r>
      <w:r w:rsidRPr="009067A0">
        <w:rPr>
          <w:bCs/>
        </w:rPr>
        <w:t xml:space="preserve"> objetivo do plano de trabalho era atingir um número reduzido de critérios para a seleção das áreas. Por exemplo, em relação às unidades de planejamento, os participantes discutiram se deveriam considerar a unidade de planejamento como um polígono regular (</w:t>
      </w:r>
      <w:r w:rsidR="0075342A">
        <w:rPr>
          <w:bCs/>
        </w:rPr>
        <w:t>e.g.</w:t>
      </w:r>
      <w:r w:rsidRPr="009067A0">
        <w:rPr>
          <w:bCs/>
        </w:rPr>
        <w:t xml:space="preserve"> hexágonos) ou microbacias, e qual nível de microbacia seria adotado. Em relação aos critérios, os participantes discutiram várias possibilidades de métricas de paisagem (</w:t>
      </w:r>
      <w:r w:rsidR="0075342A">
        <w:rPr>
          <w:bCs/>
        </w:rPr>
        <w:t xml:space="preserve">e.g. </w:t>
      </w:r>
      <w:r w:rsidR="0075342A">
        <w:rPr>
          <w:bCs/>
        </w:rPr>
        <w:lastRenderedPageBreak/>
        <w:t>quantidade de</w:t>
      </w:r>
      <w:r w:rsidRPr="009067A0">
        <w:rPr>
          <w:bCs/>
        </w:rPr>
        <w:t xml:space="preserve"> habitat, conectividade, distância entre fragmentos), pressões humanas (</w:t>
      </w:r>
      <w:r w:rsidR="0075342A">
        <w:rPr>
          <w:bCs/>
        </w:rPr>
        <w:t>e.g.</w:t>
      </w:r>
      <w:r w:rsidRPr="009067A0">
        <w:rPr>
          <w:bCs/>
        </w:rPr>
        <w:t xml:space="preserve"> proximidade de áreas de mineração, frequência de incêndios, </w:t>
      </w:r>
      <w:r w:rsidR="0075342A">
        <w:rPr>
          <w:bCs/>
        </w:rPr>
        <w:t xml:space="preserve">tipo </w:t>
      </w:r>
      <w:r w:rsidRPr="009067A0">
        <w:rPr>
          <w:bCs/>
        </w:rPr>
        <w:t>e proximidade d</w:t>
      </w:r>
      <w:r w:rsidR="0075342A">
        <w:rPr>
          <w:bCs/>
        </w:rPr>
        <w:t>as</w:t>
      </w:r>
      <w:r w:rsidRPr="009067A0">
        <w:rPr>
          <w:bCs/>
        </w:rPr>
        <w:t xml:space="preserve"> áreas agrícolas) e proximidade de áreas de preservação permanente (APP). Todos os participantes tiveram que justificar </w:t>
      </w:r>
      <w:r w:rsidR="0075342A">
        <w:rPr>
          <w:bCs/>
        </w:rPr>
        <w:t xml:space="preserve">o </w:t>
      </w:r>
      <w:r w:rsidR="0075342A" w:rsidRPr="009067A0">
        <w:rPr>
          <w:bCs/>
        </w:rPr>
        <w:t>porquê</w:t>
      </w:r>
      <w:r w:rsidRPr="009067A0">
        <w:rPr>
          <w:bCs/>
        </w:rPr>
        <w:t xml:space="preserve"> </w:t>
      </w:r>
      <w:r w:rsidR="0075342A">
        <w:rPr>
          <w:bCs/>
        </w:rPr>
        <w:t xml:space="preserve">de </w:t>
      </w:r>
      <w:r w:rsidRPr="009067A0">
        <w:rPr>
          <w:bCs/>
        </w:rPr>
        <w:t xml:space="preserve">cada decisão </w:t>
      </w:r>
      <w:r w:rsidR="0075342A">
        <w:rPr>
          <w:bCs/>
        </w:rPr>
        <w:t>e</w:t>
      </w:r>
      <w:r w:rsidRPr="009067A0">
        <w:rPr>
          <w:bCs/>
        </w:rPr>
        <w:t xml:space="preserve"> escolha metodológica</w:t>
      </w:r>
      <w:r w:rsidR="007060B2" w:rsidRPr="00107731">
        <w:rPr>
          <w:bCs/>
        </w:rPr>
        <w:t>.</w:t>
      </w:r>
    </w:p>
    <w:p w14:paraId="0C056527" w14:textId="14139632" w:rsidR="0075342A" w:rsidRDefault="0075342A" w:rsidP="00107731">
      <w:pPr>
        <w:spacing w:line="480" w:lineRule="auto"/>
        <w:ind w:firstLine="1008"/>
        <w:jc w:val="both"/>
        <w:rPr>
          <w:bCs/>
        </w:rPr>
      </w:pPr>
      <w:r>
        <w:rPr>
          <w:bCs/>
        </w:rPr>
        <w:t xml:space="preserve">A </w:t>
      </w:r>
      <w:r w:rsidRPr="0075342A">
        <w:rPr>
          <w:bCs/>
        </w:rPr>
        <w:t>cientista responsável pelo mapeamento</w:t>
      </w:r>
      <w:r w:rsidR="008E0254">
        <w:rPr>
          <w:bCs/>
        </w:rPr>
        <w:t xml:space="preserve"> </w:t>
      </w:r>
      <w:r w:rsidRPr="0075342A">
        <w:rPr>
          <w:bCs/>
        </w:rPr>
        <w:t>reuniu todos os dados</w:t>
      </w:r>
      <w:r w:rsidR="008E0254">
        <w:rPr>
          <w:bCs/>
        </w:rPr>
        <w:t xml:space="preserve"> para a produção do mapeamento</w:t>
      </w:r>
      <w:r w:rsidR="008E0254" w:rsidRPr="008E0254">
        <w:t xml:space="preserve"> – </w:t>
      </w:r>
      <w:r w:rsidRPr="0075342A">
        <w:rPr>
          <w:bCs/>
        </w:rPr>
        <w:t>parte compilados por bancos de dados online (</w:t>
      </w:r>
      <w:r w:rsidR="008E0254">
        <w:rPr>
          <w:bCs/>
        </w:rPr>
        <w:t>e.g.</w:t>
      </w:r>
      <w:r w:rsidRPr="0075342A">
        <w:rPr>
          <w:bCs/>
        </w:rPr>
        <w:t xml:space="preserve"> registros de ocorrências e variáveis ambientais), parte fornecidos pelos membros do governo regional (</w:t>
      </w:r>
      <w:r w:rsidR="008E0254">
        <w:rPr>
          <w:bCs/>
        </w:rPr>
        <w:t>e.g.</w:t>
      </w:r>
      <w:r w:rsidRPr="0075342A">
        <w:rPr>
          <w:bCs/>
        </w:rPr>
        <w:t xml:space="preserve"> limites do PAT-CDSJ e APP), e parte fornecidos por os outros cientistas (</w:t>
      </w:r>
      <w:r w:rsidR="008E0254">
        <w:rPr>
          <w:bCs/>
        </w:rPr>
        <w:t>e.g.</w:t>
      </w:r>
      <w:r w:rsidRPr="0075342A">
        <w:rPr>
          <w:bCs/>
        </w:rPr>
        <w:t xml:space="preserve"> registros de ocorrência e classificação </w:t>
      </w:r>
      <w:proofErr w:type="spellStart"/>
      <w:r w:rsidRPr="0075342A">
        <w:rPr>
          <w:bCs/>
        </w:rPr>
        <w:t>fitofisionômica</w:t>
      </w:r>
      <w:proofErr w:type="spellEnd"/>
      <w:r w:rsidRPr="0075342A">
        <w:rPr>
          <w:bCs/>
        </w:rPr>
        <w:t xml:space="preserve">). </w:t>
      </w:r>
      <w:r w:rsidR="008E0254">
        <w:rPr>
          <w:bCs/>
        </w:rPr>
        <w:t>A</w:t>
      </w:r>
      <w:r w:rsidRPr="0075342A">
        <w:rPr>
          <w:bCs/>
        </w:rPr>
        <w:t xml:space="preserve"> cientista responsável desenvolveu todos os procedimentos técnicos de mapeamento, porém, a maioria das etapas foi auxiliada por outros</w:t>
      </w:r>
      <w:r w:rsidR="008E0254">
        <w:rPr>
          <w:bCs/>
        </w:rPr>
        <w:t>(as)</w:t>
      </w:r>
      <w:r w:rsidRPr="0075342A">
        <w:rPr>
          <w:bCs/>
        </w:rPr>
        <w:t xml:space="preserve"> cientistas e tomadores de decisão em breves reuniões. Por exemplo: (i) </w:t>
      </w:r>
      <w:r w:rsidR="008E0254">
        <w:rPr>
          <w:bCs/>
        </w:rPr>
        <w:t>a</w:t>
      </w:r>
      <w:r w:rsidRPr="0075342A">
        <w:rPr>
          <w:bCs/>
        </w:rPr>
        <w:t xml:space="preserve"> cientista responsável compilou registros de ocorrências de bancos de dados e os</w:t>
      </w:r>
      <w:r w:rsidR="008E0254">
        <w:rPr>
          <w:bCs/>
        </w:rPr>
        <w:t>(as)</w:t>
      </w:r>
      <w:r w:rsidRPr="0075342A">
        <w:rPr>
          <w:bCs/>
        </w:rPr>
        <w:t xml:space="preserve"> taxonomistas os validaram, e (</w:t>
      </w:r>
      <w:proofErr w:type="spellStart"/>
      <w:r w:rsidRPr="0075342A">
        <w:rPr>
          <w:bCs/>
        </w:rPr>
        <w:t>ii</w:t>
      </w:r>
      <w:proofErr w:type="spellEnd"/>
      <w:r w:rsidRPr="0075342A">
        <w:rPr>
          <w:bCs/>
        </w:rPr>
        <w:t xml:space="preserve">) </w:t>
      </w:r>
      <w:r w:rsidR="008E0254">
        <w:rPr>
          <w:bCs/>
        </w:rPr>
        <w:t>a</w:t>
      </w:r>
      <w:r w:rsidRPr="0075342A">
        <w:rPr>
          <w:bCs/>
        </w:rPr>
        <w:t xml:space="preserve"> cientista responsável propôs um projeto de APP e um técnico de geografia do INEMA validou a proposta e forneceu dados adicionais (veja todos os detalhes no subseções abaixo).</w:t>
      </w:r>
    </w:p>
    <w:p w14:paraId="4E75ADD7" w14:textId="50B903D5" w:rsidR="008E0254" w:rsidRPr="00107731" w:rsidRDefault="008E0254" w:rsidP="00107731">
      <w:pPr>
        <w:spacing w:line="480" w:lineRule="auto"/>
        <w:ind w:firstLine="1008"/>
        <w:jc w:val="both"/>
        <w:rPr>
          <w:bCs/>
        </w:rPr>
      </w:pPr>
      <w:r w:rsidRPr="008E0254">
        <w:rPr>
          <w:bCs/>
        </w:rPr>
        <w:t xml:space="preserve">O mapeamento preliminar foi apresentado em uma segunda oficina participativa, onde os participantes deram sugestões para o mapeamento final. Os mapeamentos </w:t>
      </w:r>
      <w:r>
        <w:rPr>
          <w:bCs/>
        </w:rPr>
        <w:t xml:space="preserve">das </w:t>
      </w:r>
      <w:r w:rsidRPr="008E0254">
        <w:rPr>
          <w:bCs/>
        </w:rPr>
        <w:t xml:space="preserve">SASC e SAER também foram apresentados e discutidos em duas oficinas de monitoramento do projeto geral </w:t>
      </w:r>
      <w:r>
        <w:rPr>
          <w:bCs/>
        </w:rPr>
        <w:t xml:space="preserve">do </w:t>
      </w:r>
      <w:r w:rsidRPr="008E0254">
        <w:rPr>
          <w:bCs/>
        </w:rPr>
        <w:t>PAT-CDSJ, onde também foi apresentado o andamento das demais ações</w:t>
      </w:r>
      <w:r w:rsidR="00FC6683">
        <w:rPr>
          <w:bCs/>
        </w:rPr>
        <w:t xml:space="preserve"> por outros responsáveis</w:t>
      </w:r>
      <w:r w:rsidRPr="008E0254">
        <w:rPr>
          <w:bCs/>
        </w:rPr>
        <w:t>. Por fim, a nova proposta de mapeamento foi apresentada aos tomadores de decisão e, em seguida, enviada a todos os participantes para sugestões e aprovação final</w:t>
      </w:r>
      <w:r>
        <w:rPr>
          <w:bCs/>
        </w:rPr>
        <w:t>.</w:t>
      </w:r>
    </w:p>
    <w:p w14:paraId="734A96CC" w14:textId="77777777" w:rsidR="007060B2" w:rsidRPr="00107731" w:rsidRDefault="007060B2" w:rsidP="00107731">
      <w:pPr>
        <w:spacing w:line="480" w:lineRule="auto"/>
        <w:jc w:val="both"/>
        <w:rPr>
          <w:b/>
        </w:rPr>
      </w:pPr>
    </w:p>
    <w:p w14:paraId="3BD02CE4" w14:textId="77777777" w:rsidR="003C2124" w:rsidRPr="00107731" w:rsidRDefault="003C2124" w:rsidP="00107731">
      <w:pPr>
        <w:spacing w:line="480" w:lineRule="auto"/>
        <w:jc w:val="both"/>
        <w:rPr>
          <w:i/>
          <w:iCs/>
        </w:rPr>
      </w:pPr>
      <w:r w:rsidRPr="00107731">
        <w:rPr>
          <w:i/>
          <w:iCs/>
        </w:rPr>
        <w:t>Critérios do mapeamento</w:t>
      </w:r>
    </w:p>
    <w:p w14:paraId="3C570444" w14:textId="77777777" w:rsidR="003C2124" w:rsidRPr="00107731" w:rsidRDefault="003C2124" w:rsidP="00107731">
      <w:pPr>
        <w:spacing w:line="480" w:lineRule="auto"/>
        <w:jc w:val="both"/>
        <w:rPr>
          <w:i/>
        </w:rPr>
      </w:pPr>
    </w:p>
    <w:p w14:paraId="5D9F39B6" w14:textId="439E358E" w:rsidR="003C2124" w:rsidRPr="00107731" w:rsidRDefault="00FC6683" w:rsidP="00107731">
      <w:pPr>
        <w:spacing w:line="480" w:lineRule="auto"/>
        <w:jc w:val="both"/>
        <w:rPr>
          <w:iCs/>
        </w:rPr>
      </w:pPr>
      <w:r>
        <w:rPr>
          <w:iCs/>
        </w:rPr>
        <w:t>Consideramos</w:t>
      </w:r>
      <w:r w:rsidR="003C2124" w:rsidRPr="00107731">
        <w:rPr>
          <w:iCs/>
        </w:rPr>
        <w:t xml:space="preserve"> quatro e cinco critérios</w:t>
      </w:r>
      <w:r>
        <w:rPr>
          <w:iCs/>
        </w:rPr>
        <w:t xml:space="preserve"> para </w:t>
      </w:r>
      <w:r w:rsidRPr="00FC6683">
        <w:rPr>
          <w:iCs/>
        </w:rPr>
        <w:t>definir as áreas de conservação e restaur</w:t>
      </w:r>
      <w:r>
        <w:rPr>
          <w:iCs/>
        </w:rPr>
        <w:t>ação</w:t>
      </w:r>
      <w:r w:rsidR="003C2124" w:rsidRPr="00107731">
        <w:rPr>
          <w:iCs/>
        </w:rPr>
        <w:t>, respectivamente</w:t>
      </w:r>
      <w:r>
        <w:rPr>
          <w:iCs/>
        </w:rPr>
        <w:t xml:space="preserve"> (ver detalhes no Material Suplementar 1)</w:t>
      </w:r>
      <w:r w:rsidR="00911526" w:rsidRPr="00107731">
        <w:rPr>
          <w:iCs/>
        </w:rPr>
        <w:t xml:space="preserve">. </w:t>
      </w:r>
      <w:r w:rsidRPr="00FC6683">
        <w:rPr>
          <w:iCs/>
        </w:rPr>
        <w:t xml:space="preserve">Nesta ordem, os critérios mais </w:t>
      </w:r>
      <w:r w:rsidRPr="00FC6683">
        <w:rPr>
          <w:iCs/>
        </w:rPr>
        <w:lastRenderedPageBreak/>
        <w:t>relevantes foram</w:t>
      </w:r>
      <w:r w:rsidR="00911526" w:rsidRPr="00107731">
        <w:rPr>
          <w:iCs/>
        </w:rPr>
        <w:t xml:space="preserve">: </w:t>
      </w:r>
      <w:r w:rsidR="00EF245E" w:rsidRPr="00107731">
        <w:rPr>
          <w:iCs/>
        </w:rPr>
        <w:t>‘Quantidade de habitat’, ‘Adequabilidade ambiental’, ‘Foco de incêndio’, ‘Quantidade de área de proteção permanente’ (este foi usado apenas para SAER) e ‘Diversidade de fitofisionomia’</w:t>
      </w:r>
      <w:r w:rsidR="003C2124" w:rsidRPr="00107731">
        <w:rPr>
          <w:iCs/>
        </w:rPr>
        <w:t>.</w:t>
      </w:r>
      <w:r w:rsidRPr="00FC6683">
        <w:t xml:space="preserve"> </w:t>
      </w:r>
      <w:r w:rsidRPr="00FC6683">
        <w:rPr>
          <w:iCs/>
        </w:rPr>
        <w:t>Como unidades de planejamento (</w:t>
      </w:r>
      <w:proofErr w:type="spellStart"/>
      <w:r w:rsidRPr="00FC6683">
        <w:rPr>
          <w:iCs/>
        </w:rPr>
        <w:t>UPs</w:t>
      </w:r>
      <w:proofErr w:type="spellEnd"/>
      <w:r w:rsidRPr="00FC6683">
        <w:rPr>
          <w:iCs/>
        </w:rPr>
        <w:t xml:space="preserve">) utilizadas para avaliar cada critério, escolhemos os limites da microbacia estabelecidos pela Divisão Hidrográfica Nacional, nível 6 (ANA, 2015), dividindo o PAT-CDSJ em 314 </w:t>
      </w:r>
      <w:proofErr w:type="spellStart"/>
      <w:r w:rsidRPr="00FC6683">
        <w:rPr>
          <w:iCs/>
        </w:rPr>
        <w:t>UPs</w:t>
      </w:r>
      <w:proofErr w:type="spellEnd"/>
      <w:r w:rsidR="0037243B">
        <w:rPr>
          <w:iCs/>
        </w:rPr>
        <w:t xml:space="preserve"> </w:t>
      </w:r>
      <w:bookmarkStart w:id="0" w:name="_Hlk115162305"/>
      <w:r w:rsidR="0037243B">
        <w:rPr>
          <w:iCs/>
        </w:rPr>
        <w:t>– limites f</w:t>
      </w:r>
      <w:r w:rsidR="0037243B" w:rsidRPr="00107731">
        <w:rPr>
          <w:iCs/>
        </w:rPr>
        <w:t>requentemente utilizado</w:t>
      </w:r>
      <w:r w:rsidR="0037243B">
        <w:rPr>
          <w:iCs/>
        </w:rPr>
        <w:t>s</w:t>
      </w:r>
      <w:r w:rsidR="0037243B" w:rsidRPr="00107731">
        <w:rPr>
          <w:iCs/>
        </w:rPr>
        <w:t xml:space="preserve"> </w:t>
      </w:r>
      <w:r w:rsidR="0037243B">
        <w:rPr>
          <w:iCs/>
        </w:rPr>
        <w:t>e</w:t>
      </w:r>
      <w:r w:rsidR="0037243B" w:rsidRPr="00107731">
        <w:rPr>
          <w:iCs/>
        </w:rPr>
        <w:t xml:space="preserve">m outras políticas públicas já estabelecidas </w:t>
      </w:r>
      <w:r w:rsidR="0037243B" w:rsidRPr="00F6443D">
        <w:rPr>
          <w:iCs/>
        </w:rPr>
        <w:t xml:space="preserve">e pode ser uma barreira ecológica natural para algumas espécies ou populações de animais e plantas </w:t>
      </w:r>
      <w:r w:rsidR="0037243B" w:rsidRPr="00107731">
        <w:rPr>
          <w:iCs/>
        </w:rPr>
        <w:t xml:space="preserve">(e.g. </w:t>
      </w:r>
      <w:r w:rsidR="0037243B" w:rsidRPr="00107731">
        <w:rPr>
          <w:iCs/>
        </w:rPr>
        <w:fldChar w:fldCharType="begin" w:fldLock="1"/>
      </w:r>
      <w:r w:rsidR="0037243B" w:rsidRPr="00107731">
        <w:rPr>
          <w:iCs/>
        </w:rPr>
        <w:instrText>ADDIN CSL_CITATION {"citationItems":[{"id":"ITEM-1","itemData":{"author":[{"dropping-particle":"","family":"Loyola","given":"Rafael","non-dropping-particle":"","parse-names":false,"suffix":""},{"dropping-particle":"","family":"Machado","given":"N.","non-dropping-particle":"","parse-names":false,"suffix":""},{"dropping-particle":"","family":"Ribeiro","given":"B. R.","non-dropping-particle":"","parse-names":false,"suffix":""},{"dropping-particle":"","family":"Martins","given":"E.","non-dropping-particle":"","parse-names":false,"suffix":""},{"dropping-particle":"","family":"Martinelli","given":"G.","non-dropping-particle":"","parse-names":false,"suffix":""}],"edition":"1","id":"ITEM-1","issued":{"date-parts":[["2018"]]},"number-of-pages":"64","publisher":"I Graficci Programação Visual","publisher-place":"Rio de Janeiro","title":"Áreas prioritárias para conservação da flora endêmica do estado do Rio de Janeiro","type":"book"},"uris":["http://www.mendeley.com/documents/?uuid=e4129367-f3c1-465a-aa9e-f11f24f4d933"]},{"id":"ITEM-2","itemData":{"DOI":"10.1016/j.flora.2017.03.007","ISSN":"03672530","author":[{"dropping-particle":"","family":"Monteiro","given":"Lara","non-dropping-particle":"","parse-names":false,"suffix":""},{"dropping-particle":"","family":"Machado","given":"Nathália","non-dropping-particle":"","parse-names":false,"suffix":""},{"dropping-particle":"","family":"Martins","given":"Eline","non-dropping-particle":"","parse-names":false,"suffix":""},{"dropping-particle":"","family":"Pougy","given":"Nina","non-dropping-particle":"","parse-names":false,"suffix":""},{"dropping-particle":"","family":"Verdi","given":"Marcio","non-dropping-particle":"","parse-names":false,"suffix":""},{"dropping-particle":"","family":"Martinelli","given":"Gustavo","non-dropping-particle":"","parse-names":false,"suffix":""},{"dropping-particle":"","family":"Loyola","given":"Rafael","non-dropping-particle":"","parse-names":false,"suffix":""}],"container-title":"Flora","id":"ITEM-2","issued":{"date-parts":[["2018","1"]]},"page":"234-243","title":"Conservation priorities for the threatened flora of mountaintop grasslands in Brazil","type":"article-journal","volume":"238"},"uris":["http://www.mendeley.com/documents/?uuid=a7d9777c-0493-4cae-9a65-ebec0e991b85"]}],"mendeley":{"formattedCitation":"(Loyola et al., 2018; Monteiro et al., 2018)","manualFormatting":"Loyola et al., 2018; Monteiro et al., 2018)","plainTextFormattedCitation":"(Loyola et al., 2018; Monteiro et al., 2018)","previouslyFormattedCitation":"(Loyola et al., 2018; Monteiro et al., 2018)"},"properties":{"noteIndex":0},"schema":"https://github.com/citation-style-language/schema/raw/master/csl-citation.json"}</w:instrText>
      </w:r>
      <w:r w:rsidR="0037243B" w:rsidRPr="00107731">
        <w:rPr>
          <w:iCs/>
        </w:rPr>
        <w:fldChar w:fldCharType="separate"/>
      </w:r>
      <w:r w:rsidR="0037243B" w:rsidRPr="00107731">
        <w:rPr>
          <w:iCs/>
          <w:noProof/>
        </w:rPr>
        <w:t>Loyola et al., 2018; Monteiro et al., 2018)</w:t>
      </w:r>
      <w:r w:rsidR="0037243B" w:rsidRPr="00107731">
        <w:rPr>
          <w:iCs/>
        </w:rPr>
        <w:fldChar w:fldCharType="end"/>
      </w:r>
      <w:r w:rsidR="00EE72FF" w:rsidRPr="00EE72FF">
        <w:rPr>
          <w:iCs/>
        </w:rPr>
        <w:t>.</w:t>
      </w:r>
      <w:bookmarkEnd w:id="0"/>
    </w:p>
    <w:p w14:paraId="06F459AE" w14:textId="7FA4E890" w:rsidR="006741BB" w:rsidRPr="00107731" w:rsidRDefault="006741BB" w:rsidP="00107731">
      <w:pPr>
        <w:spacing w:line="480" w:lineRule="auto"/>
        <w:ind w:firstLine="1008"/>
        <w:jc w:val="both"/>
        <w:rPr>
          <w:iCs/>
        </w:rPr>
      </w:pPr>
      <w:r w:rsidRPr="00107731">
        <w:rPr>
          <w:i/>
        </w:rPr>
        <w:t>Quantidade de habitat.</w:t>
      </w:r>
      <w:r w:rsidR="007812FF" w:rsidRPr="00107731">
        <w:rPr>
          <w:iCs/>
        </w:rPr>
        <w:t xml:space="preserve"> </w:t>
      </w:r>
      <w:r w:rsidR="007C19BD" w:rsidRPr="00107731">
        <w:rPr>
          <w:iCs/>
        </w:rPr>
        <w:t xml:space="preserve">Utilizamos os dados do Projeto </w:t>
      </w:r>
      <w:proofErr w:type="spellStart"/>
      <w:r w:rsidR="007C19BD" w:rsidRPr="00107731">
        <w:rPr>
          <w:iCs/>
        </w:rPr>
        <w:t>MapBiomas</w:t>
      </w:r>
      <w:proofErr w:type="spellEnd"/>
      <w:r w:rsidR="007C19BD" w:rsidRPr="00107731">
        <w:rPr>
          <w:iCs/>
        </w:rPr>
        <w:t xml:space="preserve">, coleção 5.0, resolução 250 m </w:t>
      </w:r>
      <w:r w:rsidR="0074089A" w:rsidRPr="00107731">
        <w:rPr>
          <w:iCs/>
        </w:rPr>
        <w:fldChar w:fldCharType="begin" w:fldLock="1"/>
      </w:r>
      <w:r w:rsidR="00E521E5" w:rsidRPr="00107731">
        <w:rPr>
          <w:iCs/>
        </w:rPr>
        <w:instrText>ADDIN CSL_CITATION {"citationItems":[{"id":"ITEM-1","itemData":{"URL":"https://mapbiomas.org","accessed":{"date-parts":[["2021","8","31"]]},"author":[{"dropping-particle":"","family":"Mapbiomas","given":"","non-dropping-particle":"","parse-names":false,"suffix":""}],"id":"ITEM-1","issued":{"date-parts":[["2019"]]},"title":"MapBiomas Project - Collection 5.0 of the Annual Land Use Land Cover Maps of Brazil","type":"webpage"},"uris":["http://www.mendeley.com/documents/?uuid=36bb5239-ee90-4608-8e71-7d1b33d213cf"]}],"mendeley":{"formattedCitation":"(Mapbiomas, 2019)","plainTextFormattedCitation":"(Mapbiomas, 2019)","previouslyFormattedCitation":"(Mapbiomas, 2019)"},"properties":{"noteIndex":0},"schema":"https://github.com/citation-style-language/schema/raw/master/csl-citation.json"}</w:instrText>
      </w:r>
      <w:r w:rsidR="0074089A" w:rsidRPr="00107731">
        <w:rPr>
          <w:iCs/>
        </w:rPr>
        <w:fldChar w:fldCharType="separate"/>
      </w:r>
      <w:r w:rsidR="0074089A" w:rsidRPr="00107731">
        <w:rPr>
          <w:iCs/>
          <w:noProof/>
        </w:rPr>
        <w:t>(Mapbiomas, 2019)</w:t>
      </w:r>
      <w:r w:rsidR="0074089A" w:rsidRPr="00107731">
        <w:rPr>
          <w:iCs/>
        </w:rPr>
        <w:fldChar w:fldCharType="end"/>
      </w:r>
      <w:r w:rsidR="0074089A" w:rsidRPr="00107731">
        <w:rPr>
          <w:iCs/>
        </w:rPr>
        <w:t xml:space="preserve"> </w:t>
      </w:r>
      <w:r w:rsidR="007C19BD" w:rsidRPr="00107731">
        <w:rPr>
          <w:iCs/>
        </w:rPr>
        <w:t>para quantificar a quantidade de habitat de cada UP (i.e. porcentagem de cobertura de vegetação nativa). Reclassificamos o dado para que todos os pixels referentes à vegetação nativa fossem iguais a um e às áreas antropizadas fossem iguais a zero (Fig</w:t>
      </w:r>
      <w:r w:rsidR="001C224E">
        <w:rPr>
          <w:iCs/>
        </w:rPr>
        <w:t>.</w:t>
      </w:r>
      <w:r w:rsidR="007C19BD" w:rsidRPr="00107731">
        <w:rPr>
          <w:iCs/>
        </w:rPr>
        <w:t xml:space="preserve"> S2). Para o mapeamento das SASC, consideramos mais relevantes as </w:t>
      </w:r>
      <w:proofErr w:type="spellStart"/>
      <w:r w:rsidR="007C19BD" w:rsidRPr="00107731">
        <w:rPr>
          <w:iCs/>
        </w:rPr>
        <w:t>UPs</w:t>
      </w:r>
      <w:proofErr w:type="spellEnd"/>
      <w:r w:rsidR="007C19BD" w:rsidRPr="00107731">
        <w:rPr>
          <w:iCs/>
        </w:rPr>
        <w:t xml:space="preserve"> com maior quantidade de habitat. Para o mapeamento das SAER, definimos a relevância das </w:t>
      </w:r>
      <w:proofErr w:type="spellStart"/>
      <w:r w:rsidR="007C19BD" w:rsidRPr="00107731">
        <w:rPr>
          <w:iCs/>
        </w:rPr>
        <w:t>UPs</w:t>
      </w:r>
      <w:proofErr w:type="spellEnd"/>
      <w:r w:rsidR="007C19BD" w:rsidRPr="00107731">
        <w:rPr>
          <w:iCs/>
        </w:rPr>
        <w:t xml:space="preserve"> </w:t>
      </w:r>
      <w:r w:rsidR="008E14F0">
        <w:rPr>
          <w:iCs/>
        </w:rPr>
        <w:t>a partir de</w:t>
      </w:r>
      <w:r w:rsidR="007C19BD" w:rsidRPr="00107731">
        <w:rPr>
          <w:iCs/>
        </w:rPr>
        <w:t xml:space="preserve"> intervalos de </w:t>
      </w:r>
      <w:r w:rsidR="00C31A3B">
        <w:rPr>
          <w:iCs/>
        </w:rPr>
        <w:t>porcentagem de cobertura vegetal</w:t>
      </w:r>
      <w:r w:rsidR="002F0CEB">
        <w:rPr>
          <w:iCs/>
        </w:rPr>
        <w:t>,</w:t>
      </w:r>
      <w:r w:rsidR="007C19BD" w:rsidRPr="00107731">
        <w:rPr>
          <w:iCs/>
        </w:rPr>
        <w:t xml:space="preserve"> </w:t>
      </w:r>
      <w:r w:rsidR="008E14F0">
        <w:rPr>
          <w:iCs/>
        </w:rPr>
        <w:t>baseados</w:t>
      </w:r>
      <w:r w:rsidR="00F7083E">
        <w:rPr>
          <w:iCs/>
        </w:rPr>
        <w:t xml:space="preserve"> na </w:t>
      </w:r>
      <w:r w:rsidR="008E14F0">
        <w:rPr>
          <w:iCs/>
        </w:rPr>
        <w:t xml:space="preserve"> </w:t>
      </w:r>
      <w:r w:rsidR="002F0CEB">
        <w:rPr>
          <w:iCs/>
        </w:rPr>
        <w:t>hipótese de limiar de extinção</w:t>
      </w:r>
      <w:r w:rsidR="00F7083E">
        <w:rPr>
          <w:iCs/>
        </w:rPr>
        <w:t xml:space="preserve"> </w:t>
      </w:r>
      <w:r w:rsidR="00BD2CDD">
        <w:rPr>
          <w:iCs/>
        </w:rPr>
        <w:fldChar w:fldCharType="begin" w:fldLock="1"/>
      </w:r>
      <w:r w:rsidR="005C5603">
        <w:rPr>
          <w:iCs/>
        </w:rPr>
        <w:instrText>ADDIN CSL_CITATION {"citationItems":[{"id":"ITEM-1","itemData":{"DOI":"10.2307/3545823","ISSN":"00301299","author":[{"dropping-particle":"","family":"Andrén","given":"Henrik","non-dropping-particle":"","parse-names":false,"suffix":""}],"container-title":"Oikos","id":"ITEM-1","issue":"3","issued":{"date-parts":[["1994","12"]]},"page":"355","title":"Effects of Habitat Fragmentation on Birds and Mammals in Landscapes with Different Proportions of Suitable Habitat: A Review","type":"article-journal","volume":"71"},"uris":["http://www.mendeley.com/documents/?uuid=b881bbc2-a317-4a19-aef4-eb733f5c6a69"]}],"mendeley":{"formattedCitation":"(Andrén, 1994)","plainTextFormattedCitation":"(Andrén, 1994)","previouslyFormattedCitation":"(Andrén, 1994)"},"properties":{"noteIndex":0},"schema":"https://github.com/citation-style-language/schema/raw/master/csl-citation.json"}</w:instrText>
      </w:r>
      <w:r w:rsidR="00BD2CDD">
        <w:rPr>
          <w:iCs/>
        </w:rPr>
        <w:fldChar w:fldCharType="separate"/>
      </w:r>
      <w:r w:rsidR="00BD2CDD" w:rsidRPr="00BD2CDD">
        <w:rPr>
          <w:iCs/>
          <w:noProof/>
        </w:rPr>
        <w:t>(Andrén, 1994)</w:t>
      </w:r>
      <w:r w:rsidR="00BD2CDD">
        <w:rPr>
          <w:iCs/>
        </w:rPr>
        <w:fldChar w:fldCharType="end"/>
      </w:r>
      <w:r w:rsidR="00FE2227">
        <w:rPr>
          <w:iCs/>
        </w:rPr>
        <w:t>, onde as</w:t>
      </w:r>
      <w:r w:rsidR="006E0DF2">
        <w:rPr>
          <w:iCs/>
        </w:rPr>
        <w:t xml:space="preserve"> </w:t>
      </w:r>
      <w:proofErr w:type="spellStart"/>
      <w:r w:rsidR="00B92C5F">
        <w:rPr>
          <w:iCs/>
        </w:rPr>
        <w:t>UPs</w:t>
      </w:r>
      <w:proofErr w:type="spellEnd"/>
      <w:r w:rsidR="00B92C5F">
        <w:rPr>
          <w:iCs/>
        </w:rPr>
        <w:t xml:space="preserve"> com </w:t>
      </w:r>
      <w:r w:rsidR="00CD0FB6">
        <w:rPr>
          <w:iCs/>
        </w:rPr>
        <w:t xml:space="preserve">valores intermediários </w:t>
      </w:r>
      <w:r w:rsidR="00994216">
        <w:rPr>
          <w:iCs/>
        </w:rPr>
        <w:t>de quantidade de habitat</w:t>
      </w:r>
      <w:r w:rsidR="00CD0FB6">
        <w:rPr>
          <w:iCs/>
        </w:rPr>
        <w:t xml:space="preserve"> </w:t>
      </w:r>
      <w:r w:rsidR="00032D37">
        <w:rPr>
          <w:iCs/>
        </w:rPr>
        <w:t xml:space="preserve">seriam mais relevantes do que </w:t>
      </w:r>
      <w:r w:rsidR="00994216">
        <w:rPr>
          <w:iCs/>
        </w:rPr>
        <w:t xml:space="preserve">com </w:t>
      </w:r>
      <w:r w:rsidR="00032D37">
        <w:rPr>
          <w:iCs/>
        </w:rPr>
        <w:t>valores</w:t>
      </w:r>
      <w:r w:rsidR="00CD0FB6">
        <w:rPr>
          <w:iCs/>
        </w:rPr>
        <w:t xml:space="preserve"> extrem</w:t>
      </w:r>
      <w:r w:rsidR="00032D37">
        <w:rPr>
          <w:iCs/>
        </w:rPr>
        <w:t>o</w:t>
      </w:r>
      <w:r w:rsidR="00CD0FB6">
        <w:rPr>
          <w:iCs/>
        </w:rPr>
        <w:t xml:space="preserve">s </w:t>
      </w:r>
      <w:r w:rsidR="00CD0FB6" w:rsidRPr="00107731">
        <w:rPr>
          <w:iCs/>
        </w:rPr>
        <w:t>(</w:t>
      </w:r>
      <w:r w:rsidR="00CD0FB6">
        <w:rPr>
          <w:iCs/>
        </w:rPr>
        <w:t xml:space="preserve">i.e. </w:t>
      </w:r>
      <w:r w:rsidR="00FE2227" w:rsidRPr="00FE2227">
        <w:rPr>
          <w:iCs/>
        </w:rPr>
        <w:t xml:space="preserve">os valores mais relevantes variam de 20% a 40%, enquanto os menos relevantes foram 0% e 100%, veja </w:t>
      </w:r>
      <w:r w:rsidR="00FE2227">
        <w:rPr>
          <w:iCs/>
        </w:rPr>
        <w:t>mais detalhes n</w:t>
      </w:r>
      <w:r w:rsidR="00FE2227" w:rsidRPr="00FE2227">
        <w:rPr>
          <w:iCs/>
        </w:rPr>
        <w:t>o Material Complementar 1</w:t>
      </w:r>
      <w:r w:rsidR="007C19BD" w:rsidRPr="00107731">
        <w:rPr>
          <w:iCs/>
        </w:rPr>
        <w:t>)</w:t>
      </w:r>
      <w:r w:rsidR="00FE2227">
        <w:rPr>
          <w:iCs/>
        </w:rPr>
        <w:t>.</w:t>
      </w:r>
      <w:r w:rsidR="000A71E6">
        <w:rPr>
          <w:iCs/>
        </w:rPr>
        <w:t xml:space="preserve"> </w:t>
      </w:r>
      <w:r w:rsidR="00F516EA" w:rsidRPr="00F516EA">
        <w:rPr>
          <w:iCs/>
        </w:rPr>
        <w:t>Para incorporar a conectividade da paisagem nos mapeamentos (importante para a manutenção dos fluxos biológicos; Pascual-</w:t>
      </w:r>
      <w:proofErr w:type="spellStart"/>
      <w:r w:rsidR="00F516EA" w:rsidRPr="00F516EA">
        <w:rPr>
          <w:iCs/>
        </w:rPr>
        <w:t>Hortal</w:t>
      </w:r>
      <w:proofErr w:type="spellEnd"/>
      <w:r w:rsidR="00F516EA" w:rsidRPr="00F516EA">
        <w:rPr>
          <w:iCs/>
        </w:rPr>
        <w:t xml:space="preserve"> e Saura, 2007), calculamos a quantidade de habitat das </w:t>
      </w:r>
      <w:proofErr w:type="spellStart"/>
      <w:r w:rsidR="00F516EA" w:rsidRPr="00F516EA">
        <w:rPr>
          <w:iCs/>
        </w:rPr>
        <w:t>UPs</w:t>
      </w:r>
      <w:proofErr w:type="spellEnd"/>
      <w:r w:rsidR="00F516EA" w:rsidRPr="00F516EA">
        <w:rPr>
          <w:iCs/>
        </w:rPr>
        <w:t xml:space="preserve"> vizinhas ao redor da UP alvo e usamos sua média como um peso para </w:t>
      </w:r>
      <w:r w:rsidR="00F516EA">
        <w:rPr>
          <w:iCs/>
        </w:rPr>
        <w:t>a</w:t>
      </w:r>
      <w:r w:rsidR="00F516EA" w:rsidRPr="00F516EA">
        <w:rPr>
          <w:iCs/>
        </w:rPr>
        <w:t xml:space="preserve"> UP alvo (Fig. S3, Material </w:t>
      </w:r>
      <w:r w:rsidR="00F516EA">
        <w:rPr>
          <w:iCs/>
        </w:rPr>
        <w:t>Su</w:t>
      </w:r>
      <w:r w:rsidR="00F516EA" w:rsidRPr="00F516EA">
        <w:rPr>
          <w:iCs/>
        </w:rPr>
        <w:t>plementar 1)</w:t>
      </w:r>
      <w:r w:rsidR="00F516EA">
        <w:rPr>
          <w:iCs/>
        </w:rPr>
        <w:t>.</w:t>
      </w:r>
    </w:p>
    <w:p w14:paraId="6A764706" w14:textId="1FC735F5" w:rsidR="007812FF" w:rsidRPr="00107731" w:rsidRDefault="007A6591" w:rsidP="00107731">
      <w:pPr>
        <w:spacing w:line="480" w:lineRule="auto"/>
        <w:ind w:firstLine="1008"/>
        <w:jc w:val="both"/>
      </w:pPr>
      <w:r w:rsidRPr="00107731">
        <w:rPr>
          <w:i/>
        </w:rPr>
        <w:t>Adequabilidade ambiental.</w:t>
      </w:r>
      <w:r w:rsidR="00D1174B" w:rsidRPr="00107731">
        <w:rPr>
          <w:iCs/>
        </w:rPr>
        <w:t xml:space="preserve"> </w:t>
      </w:r>
      <w:r w:rsidR="002E4CE4" w:rsidRPr="00107731">
        <w:t xml:space="preserve">Compilamos os registros de ocorrência das espécies dos bancos de dados </w:t>
      </w:r>
      <w:r w:rsidR="002E4CE4" w:rsidRPr="00107731">
        <w:rPr>
          <w:i/>
        </w:rPr>
        <w:t>on-line</w:t>
      </w:r>
      <w:r w:rsidR="002E4CE4" w:rsidRPr="00107731">
        <w:t xml:space="preserve"> </w:t>
      </w:r>
      <w:r w:rsidR="00F516EA" w:rsidRPr="00F516EA">
        <w:t>e refin</w:t>
      </w:r>
      <w:r w:rsidR="00F516EA">
        <w:t>amos</w:t>
      </w:r>
      <w:r w:rsidR="00F516EA" w:rsidRPr="00F516EA">
        <w:t xml:space="preserve"> os registros removendo duplica</w:t>
      </w:r>
      <w:r w:rsidR="00F516EA">
        <w:t>d</w:t>
      </w:r>
      <w:r w:rsidR="00F516EA" w:rsidRPr="00F516EA">
        <w:t>as, viés espacial (</w:t>
      </w:r>
      <w:proofErr w:type="gramStart"/>
      <w:r w:rsidR="00F516EA">
        <w:t>i.e.</w:t>
      </w:r>
      <w:r w:rsidR="00E91356">
        <w:t xml:space="preserve"> </w:t>
      </w:r>
      <w:r w:rsidR="00F516EA" w:rsidRPr="00F516EA">
        <w:t>coordenadas</w:t>
      </w:r>
      <w:proofErr w:type="gramEnd"/>
      <w:r w:rsidR="00F516EA" w:rsidRPr="00F516EA">
        <w:t xml:space="preserve"> a menos de 1 km de distância</w:t>
      </w:r>
      <w:r w:rsidR="00F516EA">
        <w:t xml:space="preserve"> entre si</w:t>
      </w:r>
      <w:r w:rsidR="00F516EA" w:rsidRPr="00F516EA">
        <w:t>) e discrepâncias (</w:t>
      </w:r>
      <w:r w:rsidR="00F516EA">
        <w:t>e.g.</w:t>
      </w:r>
      <w:r w:rsidR="00F516EA" w:rsidRPr="00F516EA">
        <w:t xml:space="preserve"> coordenadas no mar)</w:t>
      </w:r>
      <w:r w:rsidR="002E4CE4" w:rsidRPr="00107731">
        <w:t xml:space="preserve">. </w:t>
      </w:r>
      <w:r w:rsidR="00F516EA">
        <w:t>U</w:t>
      </w:r>
      <w:r w:rsidR="002E4CE4" w:rsidRPr="00107731">
        <w:t xml:space="preserve">tilizamos como preditores as variáveis bioclimáticas (referentes à média entre 1979 a 2013; </w:t>
      </w:r>
      <w:r w:rsidR="00530CE7">
        <w:lastRenderedPageBreak/>
        <w:fldChar w:fldCharType="begin" w:fldLock="1"/>
      </w:r>
      <w:r w:rsidR="00A125B9">
        <w:instrText>ADDIN CSL_CITATION {"citationItems":[{"id":"ITEM-1","itemData":{"DOI":"10.1038/sdata.2017.122","ISSN":"20524463","PMID":"28872642","abstract":"High-resolution information on climatic conditions is essential to many applications in environmental and ecological sciences. Here we present the CHELSA (Climatologies at high resolution for the earth's land surface areas) data of downscaled model output temperature and precipitation estimates of the ERA-Interim climatic reanalysis to a high resolution of 30 arc sec. The temperature algorithm is based on statistical downscaling of atmospheric temperatures. The precipitation algorithm incorporates orographic predictors including wind fields, valley exposition, and boundary layer height, with a subsequent bias correction. The resulting data consist of a monthly temperature and precipitation climatology for the years 1979-2013. We compare the data derived from the CHELSA algorithm with other standard gridded products and station data from the Global Historical Climate Network. We compare the performance of the new climatologies in species distribution modelling and show that we can increase the accuracy of species range predictions. We further show that CHELSA climatological data has a similar accuracy as other products for temperature, but that its predictions of precipitation patterns are better.","author":[{"dropping-particle":"","family":"Karger","given":"Dirk Nikolaus","non-dropping-particle":"","parse-names":false,"suffix":""},{"dropping-particle":"","family":"Conrad","given":"Olaf","non-dropping-particle":"","parse-names":false,"suffix":""},{"dropping-particle":"","family":"Böhner","given":"Jürgen","non-dropping-particle":"","parse-names":false,"suffix":""},{"dropping-particle":"","family":"Kawohl","given":"Tobias","non-dropping-particle":"","parse-names":false,"suffix":""},{"dropping-particle":"","family":"Kreft","given":"Holger","non-dropping-particle":"","parse-names":false,"suffix":""},{"dropping-particle":"","family":"Soria-Auza","given":"Rodrigo Wilber","non-dropping-particle":"","parse-names":false,"suffix":""},{"dropping-particle":"","family":"Zimmermann","given":"Niklaus E.","non-dropping-particle":"","parse-names":false,"suffix":""},{"dropping-particle":"","family":"Linder","given":"H. Peter","non-dropping-particle":"","parse-names":false,"suffix":""},{"dropping-particle":"","family":"Kessler","given":"Michael","non-dropping-particle":"","parse-names":false,"suffix":""}],"container-title":"Scientific Data","id":"ITEM-1","issued":{"date-parts":[["2017"]]},"page":"1-20","publisher":"The Author(s)","title":"Climatologies at high resolution for the earth's land surface areas","type":"article-journal","volume":"4"},"uris":["http://www.mendeley.com/documents/?uuid=36f313f3-a7fe-4500-8c9f-cd6c3e97e8c0"]}],"mendeley":{"formattedCitation":"(Karger et al., 2017)","manualFormatting":"Karger et al., 2017)","plainTextFormattedCitation":"(Karger et al., 2017)","previouslyFormattedCitation":"(Karger et al., 2017)"},"properties":{"noteIndex":0},"schema":"https://github.com/citation-style-language/schema/raw/master/csl-citation.json"}</w:instrText>
      </w:r>
      <w:r w:rsidR="00530CE7">
        <w:fldChar w:fldCharType="separate"/>
      </w:r>
      <w:r w:rsidR="00530CE7" w:rsidRPr="00530CE7">
        <w:rPr>
          <w:noProof/>
        </w:rPr>
        <w:t>Karger et al., 2017)</w:t>
      </w:r>
      <w:r w:rsidR="00530CE7">
        <w:fldChar w:fldCharType="end"/>
      </w:r>
      <w:r w:rsidR="00530CE7">
        <w:t>,</w:t>
      </w:r>
      <w:r w:rsidR="002E4CE4" w:rsidRPr="00107731">
        <w:t xml:space="preserve"> de altitude </w:t>
      </w:r>
      <w:r w:rsidR="00A125B9">
        <w:fldChar w:fldCharType="begin" w:fldLock="1"/>
      </w:r>
      <w:r w:rsidR="00974AE4">
        <w:instrText>ADDIN CSL_CITATION {"citationItems":[{"id":"ITEM-1","itemData":{"DOI":"10.1002/joc.5086","ISSN":"0899-8418","author":[{"dropping-particle":"","family":"Fick","given":"Stephen E.","non-dropping-particle":"","parse-names":false,"suffix":""},{"dropping-particle":"","family":"Hijmans","given":"Robert J.","non-dropping-particle":"","parse-names":false,"suffix":""}],"container-title":"International Journal of Climatology","id":"ITEM-1","issue":"12","issued":{"date-parts":[["2017","10"]]},"page":"4302-4315","title":"WorldClim 2: new 1‐km spatial resolution climate surfaces for global land areas","type":"article-journal","volume":"37"},"uris":["http://www.mendeley.com/documents/?uuid=fac669c4-8152-438d-93b4-53ddd38ecd03"]}],"mendeley":{"formattedCitation":"(Fick and Hijmans, 2017)","plainTextFormattedCitation":"(Fick and Hijmans, 2017)","previouslyFormattedCitation":"(Fick and Hijmans, 2017)"},"properties":{"noteIndex":0},"schema":"https://github.com/citation-style-language/schema/raw/master/csl-citation.json"}</w:instrText>
      </w:r>
      <w:r w:rsidR="00A125B9">
        <w:fldChar w:fldCharType="separate"/>
      </w:r>
      <w:r w:rsidR="00A125B9" w:rsidRPr="00A125B9">
        <w:rPr>
          <w:noProof/>
        </w:rPr>
        <w:t>(Fick and Hijmans, 2017)</w:t>
      </w:r>
      <w:r w:rsidR="00A125B9">
        <w:fldChar w:fldCharType="end"/>
      </w:r>
      <w:r w:rsidR="00A125B9">
        <w:t xml:space="preserve"> </w:t>
      </w:r>
      <w:r w:rsidR="002E4CE4" w:rsidRPr="00107731">
        <w:t xml:space="preserve">e de qualidade de solo </w:t>
      </w:r>
      <w:r w:rsidR="00974AE4">
        <w:fldChar w:fldCharType="begin" w:fldLock="1"/>
      </w:r>
      <w:r w:rsidR="00C50396">
        <w:instrText>ADDIN CSL_CITATION {"citationItems":[{"id":"ITEM-1","itemData":{"author":[{"dropping-particle":"","family":"Fischer","given":"G.","non-dropping-particle":"","parse-names":false,"suffix":""},{"dropping-particle":"van","family":"Velthuizen","given":"H.","non-dropping-particle":"","parse-names":false,"suffix":""},{"dropping-particle":"","family":"Shah","given":"M.","non-dropping-particle":"","parse-names":false,"suffix":""},{"dropping-particle":"","family":"Nachtergaele","given":"F.","non-dropping-particle":"","parse-names":false,"suffix":""}],"container-title":"IIASA","id":"ITEM-1","issued":{"date-parts":[["2008"]]},"publisher":"IIASA/FAO","publisher-place":"Laxenburg, Austria","title":"Global agro-ecological zones assessment for agriculture in the 21st century: Methodology and results","type":"article"},"uris":["http://www.mendeley.com/documents/?uuid=4bc82d39-f65b-489e-93bb-30999937d327"]}],"mendeley":{"formattedCitation":"(Fischer et al., 2008)","plainTextFormattedCitation":"(Fischer et al., 2008)","previouslyFormattedCitation":"(Fischer et al., 2008)"},"properties":{"noteIndex":0},"schema":"https://github.com/citation-style-language/schema/raw/master/csl-citation.json"}</w:instrText>
      </w:r>
      <w:r w:rsidR="00974AE4">
        <w:fldChar w:fldCharType="separate"/>
      </w:r>
      <w:r w:rsidR="00974AE4" w:rsidRPr="00974AE4">
        <w:rPr>
          <w:noProof/>
        </w:rPr>
        <w:t>(Fischer et al., 2008)</w:t>
      </w:r>
      <w:r w:rsidR="00974AE4">
        <w:fldChar w:fldCharType="end"/>
      </w:r>
      <w:r w:rsidR="002E4CE4" w:rsidRPr="00107731">
        <w:t xml:space="preserve">, resolução 30 </w:t>
      </w:r>
      <w:proofErr w:type="spellStart"/>
      <w:r w:rsidR="002E4CE4" w:rsidRPr="00107731">
        <w:t>arcsec</w:t>
      </w:r>
      <w:proofErr w:type="spellEnd"/>
      <w:r w:rsidR="002E4CE4" w:rsidRPr="00107731">
        <w:t xml:space="preserve"> (Tabela S3).</w:t>
      </w:r>
      <w:r w:rsidR="002A419C">
        <w:t xml:space="preserve"> </w:t>
      </w:r>
      <w:r w:rsidR="00324330">
        <w:t>P</w:t>
      </w:r>
      <w:r w:rsidR="002E4CE4" w:rsidRPr="00107731">
        <w:t xml:space="preserve">ara espécies com mais de 20 registros de ocorrência, geramos um modelo consenso baseado nas previsões dos métodos: </w:t>
      </w:r>
      <w:proofErr w:type="spellStart"/>
      <w:r w:rsidR="002E4CE4" w:rsidRPr="00107731">
        <w:t>Bioclim</w:t>
      </w:r>
      <w:proofErr w:type="spellEnd"/>
      <w:r w:rsidR="002E4CE4" w:rsidRPr="00107731">
        <w:t xml:space="preserve">, </w:t>
      </w:r>
      <w:proofErr w:type="spellStart"/>
      <w:r w:rsidR="002E4CE4" w:rsidRPr="00107731">
        <w:t>Maximum</w:t>
      </w:r>
      <w:proofErr w:type="spellEnd"/>
      <w:r w:rsidR="002E4CE4" w:rsidRPr="00107731">
        <w:t xml:space="preserve"> </w:t>
      </w:r>
      <w:proofErr w:type="spellStart"/>
      <w:r w:rsidR="002E4CE4" w:rsidRPr="00107731">
        <w:t>Entropy</w:t>
      </w:r>
      <w:proofErr w:type="spellEnd"/>
      <w:r w:rsidR="002E4CE4" w:rsidRPr="00107731">
        <w:t xml:space="preserve">, </w:t>
      </w:r>
      <w:proofErr w:type="spellStart"/>
      <w:r w:rsidR="002E4CE4" w:rsidRPr="00107731">
        <w:t>Generalized</w:t>
      </w:r>
      <w:proofErr w:type="spellEnd"/>
      <w:r w:rsidR="002E4CE4" w:rsidRPr="00107731">
        <w:t xml:space="preserve"> Linear Model, </w:t>
      </w:r>
      <w:proofErr w:type="spellStart"/>
      <w:r w:rsidR="002E4CE4" w:rsidRPr="00107731">
        <w:t>Random</w:t>
      </w:r>
      <w:proofErr w:type="spellEnd"/>
      <w:r w:rsidR="002E4CE4" w:rsidRPr="00107731">
        <w:t xml:space="preserve"> Forest e </w:t>
      </w:r>
      <w:proofErr w:type="spellStart"/>
      <w:r w:rsidR="002E4CE4" w:rsidRPr="00107731">
        <w:t>Support</w:t>
      </w:r>
      <w:proofErr w:type="spellEnd"/>
      <w:r w:rsidR="002E4CE4" w:rsidRPr="00107731">
        <w:t xml:space="preserve"> Vector </w:t>
      </w:r>
      <w:proofErr w:type="spellStart"/>
      <w:r w:rsidR="002E4CE4" w:rsidRPr="00107731">
        <w:t>Machine</w:t>
      </w:r>
      <w:proofErr w:type="spellEnd"/>
      <w:r w:rsidR="002E4CE4" w:rsidRPr="00107731">
        <w:t>. Para as espécies raras e com poucos registros de ocorrência</w:t>
      </w:r>
      <w:r w:rsidR="00295EEC">
        <w:t>,</w:t>
      </w:r>
      <w:r w:rsidR="002E4CE4" w:rsidRPr="00107731">
        <w:t xml:space="preserve"> utilizamos o método Distância Euclidiana (DE) </w:t>
      </w:r>
      <w:r w:rsidR="00295EEC">
        <w:fldChar w:fldCharType="begin" w:fldLock="1"/>
      </w:r>
      <w:r w:rsidR="00D01239">
        <w:instrText>ADDIN CSL_CITATION {"citationItems":[{"id":"ITEM-1","itemData":{"DOI":"10.1016/j.jnc.2008.11.001","ISSN":"16171381","abstract":"We present a worked example of how geographic and computational tools can aid in discovery and documenting unknown or poorly known populations and distributions of rare plant species. Focusing on Byrsonima subterranea, a rare plant of the cerrado biome in Brazil, considered probably extinct in the state of São Paulo, we used a combination of a simple environmental matching approach to locate extant populations in the state, and then a more complex ecological niche modeling approach to predict distribution of the species over a broader area. These methodologies have the potential to assist in documenting distributions of many rare plant species. © 2008 Elsevier GmbH.","author":[{"dropping-particle":"de","family":"Siqueira","given":"Marinez Ferreira","non-dropping-particle":"","parse-names":false,"suffix":""},{"dropping-particle":"","family":"Durigan","given":"Giselda","non-dropping-particle":"","parse-names":false,"suffix":""},{"dropping-particle":"","family":"Marco Júnior","given":"Paulo","non-dropping-particle":"de","parse-names":false,"suffix":""},{"dropping-particle":"","family":"Peterson","given":"A. Townsend","non-dropping-particle":"","parse-names":false,"suffix":""}],"container-title":"Journal for Nature Conservation","id":"ITEM-1","issue":"1","issued":{"date-parts":[["2009"]]},"page":"25-32","publisher":"Elsevier","title":"Something from nothing: Using landscape similarity and ecological niche modeling to find rare plant species","type":"article-journal","volume":"17"},"uris":["http://www.mendeley.com/documents/?uuid=40f71576-3542-459e-aa8b-6dbd4aaaa5f6"]},{"id":"ITEM-2","itemData":{"DOI":"10.4257/oeco.2018.2202.03","ISSN":"21776199","abstract":"Climate change is shifting species distribution all around the world. Amphibians are particularly vulnerable to these environmental changes, as they are highly sensitive to fluctuations in rainfall and temperature. While previous studies have shown that climate change may increase amphibian species extinctions worldwide, few have tested how these changes may impact small-ranged species. Here, we use simple Euclidean distance methods to evaluate how changes in climatic conditions predicted for 2050 and 2070 may impact ten small-ranged amphibians of Northern Atlantic Forest in Brazil. Specifically, we focused on changes in temperature and precipitation regimes during the breeding season of all target species. Our results indicate that future climatic conditions will be less favorable for the evaluated species. Environmental conditions similar to the ones currently experienced by the species may shift to southwestern regions. Likewise, we expect favorable climatic conditions to move in altitude, but without a common trend among species. In spite of these impacts, the most favorable climatic conditions for each species will keep the same connectivity patterns as observed in the present. Taken together, these findings suggest that small-ranged amphibians of the Northern Atlantic Forest will be negatively affected by climate change, mainly by the reduction and shifts of suitable climatic conditions. Finally, our results also indicate that actions to decrease greenhouse gas emissions would reduce the impact on these small-ranged species.","author":[{"dropping-particle":"","family":"Vilela","given":"Bruno","non-dropping-particle":"","parse-names":false,"suffix":""},{"dropping-particle":"","family":"Nascimento","given":"Filipe Augusto","non-dropping-particle":"","parse-names":false,"suffix":""},{"dropping-particle":"","family":"Vital","given":"Marcos Vinícius Carneiro","non-dropping-particle":"","parse-names":false,"suffix":""}],"container-title":"Oecologia Australis","id":"ITEM-2","issue":"2 Special Issue","issued":{"date-parts":[["2018"]]},"page":"130-143","title":"Impacts of climate change on small-ranged amphibians of the Northern Atlantic forest","type":"article-journal","volume":"22"},"uris":["http://www.mendeley.com/documents/?uuid=94a9d4bb-c079-4e1c-86a0-6069b55b0c89"]}],"mendeley":{"formattedCitation":"(Siqueira et al., 2009; Vilela et al., 2018)","plainTextFormattedCitation":"(Siqueira et al., 2009; Vilela et al., 2018)","previouslyFormattedCitation":"(Siqueira et al., 2009; Vilela et al., 2018)"},"properties":{"noteIndex":0},"schema":"https://github.com/citation-style-language/schema/raw/master/csl-citation.json"}</w:instrText>
      </w:r>
      <w:r w:rsidR="00295EEC">
        <w:fldChar w:fldCharType="separate"/>
      </w:r>
      <w:r w:rsidR="00295EEC" w:rsidRPr="00295EEC">
        <w:rPr>
          <w:noProof/>
        </w:rPr>
        <w:t>(Siqueira et al., 2009; Vilela et al., 2018)</w:t>
      </w:r>
      <w:r w:rsidR="00295EEC">
        <w:fldChar w:fldCharType="end"/>
      </w:r>
      <w:r w:rsidR="002E4CE4" w:rsidRPr="00107731">
        <w:t>, que estima a similaridade ambiental.</w:t>
      </w:r>
    </w:p>
    <w:p w14:paraId="36FDEA2D" w14:textId="1963EAF2" w:rsidR="00A24B52" w:rsidRPr="00107731" w:rsidRDefault="00E22DCE" w:rsidP="000921C2">
      <w:pPr>
        <w:spacing w:line="480" w:lineRule="auto"/>
        <w:ind w:firstLine="708"/>
        <w:jc w:val="both"/>
      </w:pPr>
      <w:r w:rsidRPr="00107731">
        <w:rPr>
          <w:i/>
          <w:iCs/>
        </w:rPr>
        <w:t>Focos de incêndio</w:t>
      </w:r>
      <w:r w:rsidR="007812FF" w:rsidRPr="00107731">
        <w:rPr>
          <w:i/>
          <w:iCs/>
        </w:rPr>
        <w:t>.</w:t>
      </w:r>
      <w:r w:rsidR="007812FF" w:rsidRPr="00107731">
        <w:t xml:space="preserve"> </w:t>
      </w:r>
      <w:r w:rsidR="000921C2" w:rsidRPr="000921C2">
        <w:t xml:space="preserve">Compilamos os registros de incêndio do Programa Queimadas (INPE e LASA, 2020), de 2017 a 2020, e contamos os registros dentro de cada UP (Fig. S4). Normalizamos os resultados entre 0 e 1, em que </w:t>
      </w:r>
      <w:r w:rsidR="000921C2">
        <w:t xml:space="preserve">as </w:t>
      </w:r>
      <w:proofErr w:type="spellStart"/>
      <w:r w:rsidR="000921C2" w:rsidRPr="000921C2">
        <w:t>UPs</w:t>
      </w:r>
      <w:proofErr w:type="spellEnd"/>
      <w:r w:rsidR="000921C2" w:rsidRPr="000921C2">
        <w:t xml:space="preserve"> com maior quantidade de registros de incêndio (mais próximos de 0) foram consideradas menos relevantes para o mapeamento de SASC e SAER. A frequência de incêndios na região do PAT-CDSJ é preocupante e identificada por documentos do governo local como uma das principais ameaças à biodiversidade local (</w:t>
      </w:r>
      <w:proofErr w:type="spellStart"/>
      <w:r w:rsidR="000921C2" w:rsidRPr="000921C2">
        <w:t>Blengini</w:t>
      </w:r>
      <w:proofErr w:type="spellEnd"/>
      <w:r w:rsidR="000921C2" w:rsidRPr="000921C2">
        <w:t xml:space="preserve"> et al., 2015; INEMA et al., 2020). Os participantes (especialmente aqueles relacionados às ONGs locais, membros do governo regional e gestores ambientais) também destacaram a alta frequência de eventos de incêndio na região, principalmente devido à agricultura intensiva. Eles sugeriram que a frequência de incêndios poderia ser um proxy de alta atividade humana. Portanto, quanto maior a concentração de frequência de incêndios em uma UP, maior o custo de implantação de ações de conservação e restauração.</w:t>
      </w:r>
    </w:p>
    <w:p w14:paraId="2859A153" w14:textId="172324F5" w:rsidR="007812FF" w:rsidRPr="000921C2" w:rsidRDefault="00675CE7" w:rsidP="000921C2">
      <w:pPr>
        <w:spacing w:line="480" w:lineRule="auto"/>
        <w:ind w:firstLine="708"/>
        <w:jc w:val="both"/>
      </w:pPr>
      <w:r w:rsidRPr="00107731">
        <w:rPr>
          <w:i/>
          <w:iCs/>
        </w:rPr>
        <w:t>Diversidade de fitofisionomia</w:t>
      </w:r>
      <w:r w:rsidR="007812FF" w:rsidRPr="00107731">
        <w:rPr>
          <w:i/>
          <w:iCs/>
        </w:rPr>
        <w:t>.</w:t>
      </w:r>
      <w:r w:rsidR="00D74467" w:rsidRPr="00107731">
        <w:rPr>
          <w:i/>
          <w:iCs/>
        </w:rPr>
        <w:t xml:space="preserve"> </w:t>
      </w:r>
      <w:r w:rsidR="000921C2">
        <w:t>É esperado que a</w:t>
      </w:r>
      <w:r w:rsidR="00D74467" w:rsidRPr="00107731">
        <w:t>mbientes com maior heterogeneidade de habitat apresent</w:t>
      </w:r>
      <w:r w:rsidR="000921C2">
        <w:t>e</w:t>
      </w:r>
      <w:r w:rsidR="00D74467" w:rsidRPr="00107731">
        <w:t>m maior diversidade de espécies</w:t>
      </w:r>
      <w:r w:rsidR="003C3B57">
        <w:t>, possuindo</w:t>
      </w:r>
      <w:r w:rsidR="00D74467" w:rsidRPr="00107731">
        <w:t xml:space="preserve"> maior resiliência </w:t>
      </w:r>
      <w:r w:rsidR="003C3B57">
        <w:t>e</w:t>
      </w:r>
      <w:r w:rsidR="00D74467" w:rsidRPr="00107731">
        <w:t xml:space="preserve"> capacidade de lidar com os impactos ambientais </w:t>
      </w:r>
      <w:r w:rsidR="00142A4A">
        <w:fldChar w:fldCharType="begin" w:fldLock="1"/>
      </w:r>
      <w:r w:rsidR="0096188D">
        <w:instrText>ADDIN CSL_CITATION {"citationItems":[{"id":"ITEM-1","itemData":{"DOI":"10.1007/s10531-013-0511-7","ISSN":"0960-3115","author":[{"dropping-particle":"","family":"Machado","given":"Felipe Santana","non-dropping-particle":"","parse-names":false,"suffix":""},{"dropping-particle":"","family":"Gregorin","given":"Renato","non-dropping-particle":"","parse-names":false,"suffix":""},{"dropping-particle":"","family":"Mouallem","given":"Paula Salomon Bezerra","non-dropping-particle":"","parse-names":false,"suffix":""}],"container-title":"Biodiversity and Conservation","id":"ITEM-1","issue":"8","issued":{"date-parts":[["2013","7","20"]]},"page":"1769-1782","title":"Small mammals in high altitude phytophysiognomies in southeastern Brazil: are heterogeneous habitats more diverse?","type":"article-journal","volume":"22"},"uris":["http://www.mendeley.com/documents/?uuid=c239db8f-fad0-4723-9f4e-fb46c20ef829"]},{"id":"ITEM-2","itemData":{"ISBN":"8590200213","author":[{"dropping-particle":"","family":"Primack","given":"Richard B.","non-dropping-particle":"","parse-names":false,"suffix":""},{"dropping-particle":"","family":"Rodrigues","given":"Efraim","non-dropping-particle":"","parse-names":false,"suffix":""}],"id":"ITEM-2","issued":{"date-parts":[["2001"]]},"number-of-pages":"328","publisher-place":"Londrina","title":"Biologia da Conservação","type":"book"},"uris":["http://www.mendeley.com/documents/?uuid=6e6afe27-cf52-469a-b104-5c4952489213"]},{"id":"ITEM-3","itemData":{"DOI":"10.1111/brv.12792","ISSN":"1464-7931","author":[{"dropping-particle":"","family":"Fahrig","given":"Lenore","non-dropping-particle":"","parse-names":false,"suffix":""},{"dropping-particle":"","family":"Watling","given":"James I.","non-dropping-particle":"","parse-names":false,"suffix":""},{"dropping-particle":"","family":"Arnillas","given":"Carlos Alberto","non-dropping-particle":"","parse-names":false,"suffix":""},{"dropping-particle":"","family":"Arroyo‐Rodríguez","given":"Víctor","non-dropping-particle":"","parse-names":false,"suffix":""},{"dropping-particle":"","family":"Jörger‐Hickfang","given":"Theresa","non-dropping-particle":"","parse-names":false,"suffix":""},{"dropping-particle":"","family":"Müller","given":"Jörg","non-dropping-particle":"","parse-names":false,"suffix":""},{"dropping-particle":"","family":"Pereira","given":"Henrique M.","non-dropping-particle":"","parse-names":false,"suffix":""},{"dropping-particle":"","family":"Riva","given":"Federico","non-dropping-particle":"","parse-names":false,"suffix":""},{"dropping-particle":"","family":"Rösch","given":"Verena","non-dropping-particle":"","parse-names":false,"suffix":""},{"dropping-particle":"","family":"Seibold","given":"Sebastian","non-dropping-particle":"","parse-names":false,"suffix":""},{"dropping-particle":"","family":"Tscharntke","given":"Teja","non-dropping-particle":"","parse-names":false,"suffix":""},{"dropping-particle":"","family":"May","given":"Felix","non-dropping-particle":"","parse-names":false,"suffix":""}],"container-title":"Biological Reviews","id":"ITEM-3","issued":{"date-parts":[["2021","8","28"]]},"page":"brv.12792","title":"Resolving the SLOSS dilemma for biodiversity conservation: a research agenda","type":"article-journal"},"uris":["http://www.mendeley.com/documents/?uuid=cf711e94-ff73-4049-b228-e25b3ae77b2f"]}],"mendeley":{"formattedCitation":"(Fahrig et al., 2021; Machado et al., 2013; Primack and Rodrigues, 2001)","plainTextFormattedCitation":"(Fahrig et al., 2021; Machado et al., 2013; Primack and Rodrigues, 2001)","previouslyFormattedCitation":"(Fahrig et al., 2021; Machado et al., 2013; Primack and Rodrigues, 2001)"},"properties":{"noteIndex":0},"schema":"https://github.com/citation-style-language/schema/raw/master/csl-citation.json"}</w:instrText>
      </w:r>
      <w:r w:rsidR="00142A4A">
        <w:fldChar w:fldCharType="separate"/>
      </w:r>
      <w:r w:rsidR="003C3B57" w:rsidRPr="003C3B57">
        <w:rPr>
          <w:noProof/>
        </w:rPr>
        <w:t>(Fahrig et al., 2021; Machado et al., 2013; Primack and Rodrigues, 2001)</w:t>
      </w:r>
      <w:r w:rsidR="00142A4A">
        <w:fldChar w:fldCharType="end"/>
      </w:r>
      <w:r w:rsidR="00D74467" w:rsidRPr="00107731">
        <w:t>. A heterogeneidade do habitat pode ser traduzida em diversidade de fitofisionomia, em que diferentes fitofisionomias apresentam diferentes espécies</w:t>
      </w:r>
      <w:r w:rsidR="0096188D">
        <w:t xml:space="preserve"> </w:t>
      </w:r>
      <w:r w:rsidR="0096188D">
        <w:fldChar w:fldCharType="begin" w:fldLock="1"/>
      </w:r>
      <w:r w:rsidR="003850FA">
        <w:instrText>ADDIN CSL_CITATION {"citationItems":[{"id":"ITEM-1","itemData":{"DOI":"10.1007/s10531-013-0511-7","ISSN":"0960-3115","author":[{"dropping-particle":"","family":"Machado","given":"Felipe Santana","non-dropping-particle":"","parse-names":false,"suffix":""},{"dropping-particle":"","family":"Gregorin","given":"Renato","non-dropping-particle":"","parse-names":false,"suffix":""},{"dropping-particle":"","family":"Mouallem","given":"Paula Salomon Bezerra","non-dropping-particle":"","parse-names":false,"suffix":""}],"container-title":"Biodiversity and Conservation","id":"ITEM-1","issue":"8","issued":{"date-parts":[["2013","7","20"]]},"page":"1769-1782","title":"Small mammals in high altitude phytophysiognomies in southeastern Brazil: are heterogeneous habitats more diverse?","type":"article-journal","volume":"22"},"uris":["http://www.mendeley.com/documents/?uuid=c239db8f-fad0-4723-9f4e-fb46c20ef829"]}],"mendeley":{"formattedCitation":"(Machado et al., 2013)","plainTextFormattedCitation":"(Machado et al., 2013)","previouslyFormattedCitation":"(Machado et al., 2013)"},"properties":{"noteIndex":0},"schema":"https://github.com/citation-style-language/schema/raw/master/csl-citation.json"}</w:instrText>
      </w:r>
      <w:r w:rsidR="0096188D">
        <w:fldChar w:fldCharType="separate"/>
      </w:r>
      <w:r w:rsidR="0096188D" w:rsidRPr="0096188D">
        <w:rPr>
          <w:noProof/>
        </w:rPr>
        <w:t>(Machado et al., 2013)</w:t>
      </w:r>
      <w:r w:rsidR="0096188D">
        <w:fldChar w:fldCharType="end"/>
      </w:r>
      <w:r w:rsidR="00D74467" w:rsidRPr="00107731">
        <w:t xml:space="preserve">. </w:t>
      </w:r>
      <w:r w:rsidR="000921C2">
        <w:t xml:space="preserve"> E</w:t>
      </w:r>
      <w:r w:rsidR="000921C2" w:rsidRPr="00107731">
        <w:t xml:space="preserve">stimamos a diversidade de fitofisionomia para cada </w:t>
      </w:r>
      <w:r w:rsidR="000921C2" w:rsidRPr="00142A4A">
        <w:t xml:space="preserve">UP por meio </w:t>
      </w:r>
      <w:r w:rsidR="000921C2" w:rsidRPr="00107731">
        <w:t>do Índice de Diversidade de Shannon</w:t>
      </w:r>
      <w:r w:rsidR="000921C2">
        <w:t xml:space="preserve">, </w:t>
      </w:r>
      <w:r w:rsidR="003C4207" w:rsidRPr="003C4207">
        <w:t xml:space="preserve">em que quanto maior a diversidade </w:t>
      </w:r>
      <w:proofErr w:type="spellStart"/>
      <w:r w:rsidR="003C4207" w:rsidRPr="003C4207">
        <w:t>fitofisionômica</w:t>
      </w:r>
      <w:proofErr w:type="spellEnd"/>
      <w:r w:rsidR="003C4207" w:rsidRPr="003C4207">
        <w:t xml:space="preserve"> de uma UP, maior </w:t>
      </w:r>
      <w:r w:rsidR="003C4207" w:rsidRPr="003C4207">
        <w:lastRenderedPageBreak/>
        <w:t>sua relevância</w:t>
      </w:r>
      <w:r w:rsidR="000921C2" w:rsidRPr="00107731">
        <w:t>.</w:t>
      </w:r>
      <w:r w:rsidR="000921C2">
        <w:t xml:space="preserve"> </w:t>
      </w:r>
      <w:r w:rsidR="001502EA">
        <w:t>U</w:t>
      </w:r>
      <w:r w:rsidR="00E83C1B" w:rsidRPr="00107731">
        <w:t>tilizamos o mapeamento de</w:t>
      </w:r>
      <w:r w:rsidR="00562576">
        <w:t xml:space="preserve"> </w:t>
      </w:r>
      <w:r w:rsidR="00EF3793" w:rsidRPr="00107731">
        <w:t xml:space="preserve">classificação de fitofisionomias </w:t>
      </w:r>
      <w:r w:rsidR="00E83C1B" w:rsidRPr="00107731">
        <w:t xml:space="preserve">elaborado pela SEMA-BA e INEMA-BA </w:t>
      </w:r>
      <w:r w:rsidR="00142A4A">
        <w:fldChar w:fldCharType="begin" w:fldLock="1"/>
      </w:r>
      <w:r w:rsidR="003C3B57">
        <w:instrText>ADDIN CSL_CITATION {"citationItems":[{"id":"ITEM-1","itemData":{"author":[{"dropping-particle":"","family":"ConsórcioGeoBahia","given":"","non-dropping-particle":"","parse-names":false,"suffix":""},{"dropping-particle":"","family":"LTDA","given":"Geoambiente Sensoriamento Remoto","non-dropping-particle":"","parse-names":false,"suffix":""},{"dropping-particle":"","family":"LTDA","given":"Geopixel Geotecnologias Consultoria E Serviço","non-dropping-particle":"","parse-names":false,"suffix":""},{"dropping-particle":"","family":"LTDA","given":"Geojá Mapas Digitais e Aerolevantamento","non-dropping-particle":"","parse-names":false,"suffix":""}],"editor":[{"dropping-particle":"da","family":"Bahia","given":"Inema (Instituto do Meio Ambiente e Recursos Hídricos","non-dropping-particle":"","parse-names":false,"suffix":""}],"id":"ITEM-1","issued":{"date-parts":[["2018"]]},"number-of-pages":"318","publisher-place":"Salvador, Bahia","title":"Mapeamento da cobertura vegetal do estado da Bahia (biomas Cerrado, Caatinga e Mata Atlântica) - Relatório Técnico Final","type":"book"},"uris":["http://www.mendeley.com/documents/?uuid=417078d5-09b2-4c28-96d9-2aaa41b8d646"]}],"mendeley":{"formattedCitation":"(ConsórcioGeoBahia et al., 2018)","plainTextFormattedCitation":"(ConsórcioGeoBahia et al., 2018)","previouslyFormattedCitation":"(ConsórcioGeoBahia et al., 2018)"},"properties":{"noteIndex":0},"schema":"https://github.com/citation-style-language/schema/raw/master/csl-citation.json"}</w:instrText>
      </w:r>
      <w:r w:rsidR="00142A4A">
        <w:fldChar w:fldCharType="separate"/>
      </w:r>
      <w:r w:rsidR="00142A4A" w:rsidRPr="00142A4A">
        <w:rPr>
          <w:noProof/>
        </w:rPr>
        <w:t>(ConsórcioGeoBahia et al., 2018)</w:t>
      </w:r>
      <w:r w:rsidR="00142A4A">
        <w:fldChar w:fldCharType="end"/>
      </w:r>
      <w:r w:rsidR="00E83C1B" w:rsidRPr="00107731">
        <w:t xml:space="preserve"> (Fig</w:t>
      </w:r>
      <w:r w:rsidR="00142A4A">
        <w:t>.</w:t>
      </w:r>
      <w:r w:rsidR="00E83C1B" w:rsidRPr="00107731">
        <w:t xml:space="preserve"> S</w:t>
      </w:r>
      <w:r w:rsidR="00142A4A">
        <w:t>1</w:t>
      </w:r>
      <w:r w:rsidR="00E83C1B" w:rsidRPr="00107731">
        <w:t>)</w:t>
      </w:r>
      <w:r w:rsidR="003850FA">
        <w:t>, c</w:t>
      </w:r>
      <w:r w:rsidR="00E83C1B" w:rsidRPr="00107731">
        <w:t>onsiderando apenas as formações de vegetação naturais</w:t>
      </w:r>
      <w:r w:rsidR="003850FA">
        <w:t>.</w:t>
      </w:r>
      <w:r w:rsidR="000921C2">
        <w:t xml:space="preserve"> </w:t>
      </w:r>
      <w:r w:rsidR="000636A7">
        <w:t>Como</w:t>
      </w:r>
      <w:r w:rsidR="00E83C1B" w:rsidRPr="00107731">
        <w:t xml:space="preserve"> a região </w:t>
      </w:r>
      <w:r w:rsidR="003C4207">
        <w:t>limitada pelo</w:t>
      </w:r>
      <w:r w:rsidR="00E83C1B" w:rsidRPr="00107731">
        <w:t xml:space="preserve"> PAT-CDSJ é constituída pelos domínios da Mata Atlântica e Caatinga</w:t>
      </w:r>
      <w:r w:rsidR="000636A7">
        <w:t xml:space="preserve"> e,</w:t>
      </w:r>
      <w:r w:rsidR="00E83C1B" w:rsidRPr="00107731">
        <w:t xml:space="preserve"> nos </w:t>
      </w:r>
      <w:r w:rsidR="00A501F8">
        <w:t xml:space="preserve">seus </w:t>
      </w:r>
      <w:r w:rsidR="00E83C1B" w:rsidRPr="00107731">
        <w:t>limites</w:t>
      </w:r>
      <w:r w:rsidR="003C4207">
        <w:t>,</w:t>
      </w:r>
      <w:r w:rsidR="00E83C1B" w:rsidRPr="00107731">
        <w:t xml:space="preserve"> a Caatinga</w:t>
      </w:r>
      <w:r w:rsidR="00363E9C">
        <w:t xml:space="preserve"> possui</w:t>
      </w:r>
      <w:r w:rsidR="00A2170A" w:rsidRPr="00A2170A">
        <w:t xml:space="preserve"> naturalmente maior </w:t>
      </w:r>
      <w:r w:rsidR="00E83C1B" w:rsidRPr="00107731">
        <w:t>diversidade</w:t>
      </w:r>
      <w:r w:rsidR="00766DCD" w:rsidRPr="00107731">
        <w:t>,</w:t>
      </w:r>
      <w:r w:rsidR="00E83C1B" w:rsidRPr="00107731">
        <w:t xml:space="preserve"> </w:t>
      </w:r>
      <w:r w:rsidR="00766DCD">
        <w:t>normaliza</w:t>
      </w:r>
      <w:r w:rsidR="00727A13">
        <w:t>mos os resultados</w:t>
      </w:r>
      <w:r w:rsidR="00E83C1B" w:rsidRPr="00107731">
        <w:t xml:space="preserve"> </w:t>
      </w:r>
      <w:r w:rsidR="00727A13" w:rsidRPr="00107731">
        <w:t xml:space="preserve">separadamente </w:t>
      </w:r>
      <w:r w:rsidR="00E83C1B" w:rsidRPr="00107731">
        <w:t>para os dois domínios (Fig</w:t>
      </w:r>
      <w:r w:rsidR="00A2170A">
        <w:t>.</w:t>
      </w:r>
      <w:r w:rsidR="00E83C1B" w:rsidRPr="00107731">
        <w:t xml:space="preserve"> S5), evita</w:t>
      </w:r>
      <w:r w:rsidR="00363E9C">
        <w:t>ndo</w:t>
      </w:r>
      <w:r w:rsidR="00E83C1B" w:rsidRPr="00107731">
        <w:t xml:space="preserve"> um viés na seleção das UP localizadas na Caatinga em detrimento das UP localizadas na Mata Atlântica.</w:t>
      </w:r>
    </w:p>
    <w:p w14:paraId="1E5B9FF6" w14:textId="4FCDBB13" w:rsidR="00675CE7" w:rsidRPr="00107731" w:rsidRDefault="00C52E98" w:rsidP="00B55407">
      <w:pPr>
        <w:spacing w:line="480" w:lineRule="auto"/>
        <w:ind w:firstLine="1008"/>
        <w:jc w:val="both"/>
      </w:pPr>
      <w:r w:rsidRPr="00107731">
        <w:rPr>
          <w:i/>
          <w:iCs/>
        </w:rPr>
        <w:t>Áreas de Pr</w:t>
      </w:r>
      <w:r w:rsidR="003C4207">
        <w:rPr>
          <w:i/>
          <w:iCs/>
        </w:rPr>
        <w:t>eservação</w:t>
      </w:r>
      <w:r w:rsidRPr="00107731">
        <w:rPr>
          <w:i/>
          <w:iCs/>
        </w:rPr>
        <w:t xml:space="preserve"> Permanente (APP)</w:t>
      </w:r>
      <w:r w:rsidR="007812FF" w:rsidRPr="00107731">
        <w:t>.</w:t>
      </w:r>
      <w:r w:rsidR="00F33FFA" w:rsidRPr="00107731">
        <w:t xml:space="preserve"> </w:t>
      </w:r>
      <w:r w:rsidR="003C4207">
        <w:t xml:space="preserve">As </w:t>
      </w:r>
      <w:r w:rsidR="00F33FFA" w:rsidRPr="00107731">
        <w:t xml:space="preserve">APP </w:t>
      </w:r>
      <w:r w:rsidR="003C4207">
        <w:t xml:space="preserve">podem ser definidas como: </w:t>
      </w:r>
      <w:r w:rsidR="00F33FFA" w:rsidRPr="00107731">
        <w:t>“área protegida, coberta ou não por vegetação nativa, com a função ambiental de preservar os recursos hídricos, a paisagem, a estabilidade geológica e a biodiversidade, facilitar o fluxo gênico de fauna e flora, proteger o solo e assegurar o bem-estar das populações humanas”</w:t>
      </w:r>
      <w:r w:rsidR="00637CFA">
        <w:t xml:space="preserve"> </w:t>
      </w:r>
      <w:r w:rsidR="003C4207">
        <w:t>(</w:t>
      </w:r>
      <w:r w:rsidR="009B448F">
        <w:fldChar w:fldCharType="begin" w:fldLock="1"/>
      </w:r>
      <w:r w:rsidR="009B448F">
        <w:instrText>ADDIN CSL_CITATION {"citationItems":[{"id":"ITEM-1","itemData":{"author":[{"dropping-particle":"","family":"Brasil","given":"","non-dropping-particle":"","parse-names":false,"suffix":""}],"id":"ITEM-1","issued":{"date-parts":[["2012"]]},"title":"Lei nº 12.651, de 25 de maio de 2012","type":"legislation"},"uris":["http://www.mendeley.com/documents/?uuid=2330eb6e-9c9a-4237-a2d8-821e45d806f3"]}],"mendeley":{"formattedCitation":"(Brasil, 2012)","manualFormatting":"Brasil, 2012)","plainTextFormattedCitation":"(Brasil, 2012)","previouslyFormattedCitation":"(Brasil, 2012)"},"properties":{"noteIndex":0},"schema":"https://github.com/citation-style-language/schema/raw/master/csl-citation.json"}</w:instrText>
      </w:r>
      <w:r w:rsidR="009B448F">
        <w:fldChar w:fldCharType="separate"/>
      </w:r>
      <w:r w:rsidR="009B448F" w:rsidRPr="009B448F">
        <w:rPr>
          <w:noProof/>
        </w:rPr>
        <w:t>Brasil, 2012)</w:t>
      </w:r>
      <w:r w:rsidR="009B448F">
        <w:fldChar w:fldCharType="end"/>
      </w:r>
      <w:r w:rsidR="00F33FFA" w:rsidRPr="00107731">
        <w:t xml:space="preserve">. </w:t>
      </w:r>
      <w:r w:rsidR="003C4207">
        <w:t>A</w:t>
      </w:r>
      <w:r w:rsidR="00F33FFA" w:rsidRPr="00107731">
        <w:t xml:space="preserve"> porcentagem de APP por UP foi considerada como um critério apenas para o mapeamento das SAER</w:t>
      </w:r>
      <w:r w:rsidR="003C4207">
        <w:t xml:space="preserve">, uma vez que nas </w:t>
      </w:r>
      <w:r w:rsidR="003C4207" w:rsidRPr="003C4207">
        <w:t xml:space="preserve">APP </w:t>
      </w:r>
      <w:r w:rsidR="003C4207">
        <w:t>deve ter</w:t>
      </w:r>
      <w:r w:rsidR="003C4207" w:rsidRPr="003C4207">
        <w:t xml:space="preserve"> menor conflito de interesses com a comunidade local (menor custo), pois </w:t>
      </w:r>
      <w:r w:rsidR="003C4207">
        <w:t xml:space="preserve">são áreas que devem </w:t>
      </w:r>
      <w:r w:rsidR="00FB611D">
        <w:t>apresentar vegetação nativa por lei</w:t>
      </w:r>
      <w:r w:rsidR="00F33FFA" w:rsidRPr="00107731">
        <w:t>.</w:t>
      </w:r>
      <w:r w:rsidR="00B55407">
        <w:t xml:space="preserve"> </w:t>
      </w:r>
      <w:r w:rsidR="00115511" w:rsidRPr="00115511">
        <w:t xml:space="preserve">Os únicos dados disponíveis para </w:t>
      </w:r>
      <w:r w:rsidR="00115511">
        <w:t xml:space="preserve">as </w:t>
      </w:r>
      <w:r w:rsidR="00115511" w:rsidRPr="00115511">
        <w:t xml:space="preserve">APP </w:t>
      </w:r>
      <w:r w:rsidR="00115511">
        <w:t xml:space="preserve">da região </w:t>
      </w:r>
      <w:r w:rsidR="00115511" w:rsidRPr="00115511">
        <w:t>são</w:t>
      </w:r>
      <w:r w:rsidR="00115511">
        <w:t>:</w:t>
      </w:r>
      <w:r w:rsidR="00115511" w:rsidRPr="00115511">
        <w:t xml:space="preserve"> (i) declividade (dados não disponíveis ao público; INEMA-BA) e (</w:t>
      </w:r>
      <w:proofErr w:type="spellStart"/>
      <w:r w:rsidR="00115511" w:rsidRPr="00115511">
        <w:t>ii</w:t>
      </w:r>
      <w:proofErr w:type="spellEnd"/>
      <w:r w:rsidR="00115511" w:rsidRPr="00115511">
        <w:t xml:space="preserve">) áreas declaradas pelos proprietários (Cadastro Florestal Estadual de Imóveis Rurais; </w:t>
      </w:r>
      <w:proofErr w:type="spellStart"/>
      <w:r w:rsidR="00115511" w:rsidRPr="00115511">
        <w:t>GeoBahia</w:t>
      </w:r>
      <w:proofErr w:type="spellEnd"/>
      <w:r w:rsidR="00115511" w:rsidRPr="00115511">
        <w:t>, 2021a). No entanto, nem todos os proprietários declararam suas APP e a maioria refere-se apenas às regiões</w:t>
      </w:r>
      <w:r w:rsidR="00115511">
        <w:t xml:space="preserve"> de vegetação</w:t>
      </w:r>
      <w:r w:rsidR="00115511" w:rsidRPr="00115511">
        <w:t xml:space="preserve"> </w:t>
      </w:r>
      <w:r w:rsidR="00115511">
        <w:t>ciliar</w:t>
      </w:r>
      <w:r w:rsidR="00115511" w:rsidRPr="00115511">
        <w:t xml:space="preserve"> (para definições de limites de APP ver Brasil, 2012). Para complementar os dados disponíveis, adicionamos a menor distância sugerida pela legislação (</w:t>
      </w:r>
      <w:proofErr w:type="gramStart"/>
      <w:r w:rsidR="00115511">
        <w:t>i.e.</w:t>
      </w:r>
      <w:proofErr w:type="gramEnd"/>
      <w:r w:rsidR="00115511" w:rsidRPr="00115511">
        <w:t xml:space="preserve"> 30 m) ao longo dos rios (</w:t>
      </w:r>
      <w:proofErr w:type="spellStart"/>
      <w:r w:rsidR="00115511" w:rsidRPr="00115511">
        <w:t>GeoBahia</w:t>
      </w:r>
      <w:proofErr w:type="spellEnd"/>
      <w:r w:rsidR="00115511" w:rsidRPr="00115511">
        <w:t>, 2021b). Juntamos este resultado aos dados disponíveis para melhor aproximar o valor real de APP (Fig. S6) e calculamos a porcentagem da área de APP composta para cada UP</w:t>
      </w:r>
      <w:r w:rsidR="00115511">
        <w:t>.</w:t>
      </w:r>
    </w:p>
    <w:p w14:paraId="438F4CAC" w14:textId="77777777" w:rsidR="00C52E98" w:rsidRPr="00107731" w:rsidRDefault="00C52E98" w:rsidP="00107731">
      <w:pPr>
        <w:spacing w:line="480" w:lineRule="auto"/>
        <w:jc w:val="both"/>
      </w:pPr>
    </w:p>
    <w:p w14:paraId="22A8141F" w14:textId="0D6CE102" w:rsidR="00C52E98" w:rsidRPr="00107731" w:rsidRDefault="00355407" w:rsidP="00107731">
      <w:pPr>
        <w:spacing w:line="480" w:lineRule="auto"/>
        <w:jc w:val="both"/>
        <w:rPr>
          <w:i/>
          <w:iCs/>
        </w:rPr>
      </w:pPr>
      <w:r w:rsidRPr="00107731">
        <w:rPr>
          <w:i/>
          <w:iCs/>
        </w:rPr>
        <w:t>Atribuição de pesos e avaliação de multicritérios</w:t>
      </w:r>
    </w:p>
    <w:p w14:paraId="723088C6" w14:textId="77777777" w:rsidR="00355407" w:rsidRPr="00107731" w:rsidRDefault="00355407" w:rsidP="00107731">
      <w:pPr>
        <w:spacing w:line="480" w:lineRule="auto"/>
        <w:jc w:val="both"/>
      </w:pPr>
    </w:p>
    <w:p w14:paraId="08ECF45E" w14:textId="70B0D4AF" w:rsidR="00EF3793" w:rsidRPr="00107731" w:rsidRDefault="00EF3793" w:rsidP="00107731">
      <w:pPr>
        <w:spacing w:line="480" w:lineRule="auto"/>
        <w:jc w:val="both"/>
      </w:pPr>
      <w:r w:rsidRPr="00107731">
        <w:lastRenderedPageBreak/>
        <w:t xml:space="preserve">Os critérios apresentados acima não necessariamente possuem a mesma relevância no mapeamento das SASC e SAER. Para lidar com a relevância, </w:t>
      </w:r>
      <w:r w:rsidR="00C506A2">
        <w:t>utilizamos</w:t>
      </w:r>
      <w:r w:rsidR="00EF6AFD">
        <w:t xml:space="preserve"> </w:t>
      </w:r>
      <w:r w:rsidR="00EF6AFD" w:rsidRPr="00EF6AFD">
        <w:t xml:space="preserve">o método </w:t>
      </w:r>
      <w:r w:rsidRPr="00107731">
        <w:t xml:space="preserve"> </w:t>
      </w:r>
      <w:proofErr w:type="spellStart"/>
      <w:r w:rsidRPr="00107731">
        <w:rPr>
          <w:i/>
        </w:rPr>
        <w:t>Analytic</w:t>
      </w:r>
      <w:proofErr w:type="spellEnd"/>
      <w:r w:rsidRPr="00107731">
        <w:rPr>
          <w:i/>
        </w:rPr>
        <w:t xml:space="preserve"> </w:t>
      </w:r>
      <w:proofErr w:type="spellStart"/>
      <w:r w:rsidRPr="00107731">
        <w:rPr>
          <w:i/>
        </w:rPr>
        <w:t>Hierarchy</w:t>
      </w:r>
      <w:proofErr w:type="spellEnd"/>
      <w:r w:rsidRPr="00107731">
        <w:rPr>
          <w:i/>
        </w:rPr>
        <w:t xml:space="preserve"> </w:t>
      </w:r>
      <w:proofErr w:type="spellStart"/>
      <w:r w:rsidRPr="00107731">
        <w:rPr>
          <w:i/>
        </w:rPr>
        <w:t>Process</w:t>
      </w:r>
      <w:proofErr w:type="spellEnd"/>
      <w:r w:rsidRPr="00107731">
        <w:t xml:space="preserve"> (AHP) </w:t>
      </w:r>
      <w:r w:rsidR="00613488">
        <w:fldChar w:fldCharType="begin" w:fldLock="1"/>
      </w:r>
      <w:r w:rsidR="00613488">
        <w:instrText>ADDIN CSL_CITATION {"citationItems":[{"id":"ITEM-1","itemData":{"author":[{"dropping-particle":"","family":"Saaty","given":"T. L.","non-dropping-particle":"","parse-names":false,"suffix":""}],"container-title":"Journal of Mathematical Psychology","id":"ITEM-1","issue":"3","issued":{"date-parts":[["1977"]]},"page":"234- 281","title":"A scaling method for priorities in hierarchical structures","type":"article-journal","volume":"15"},"uris":["http://www.mendeley.com/documents/?uuid=ec461206-3c69-4edd-989d-95fc6a4cf3c6"]}],"mendeley":{"formattedCitation":"(Saaty, 1977)","plainTextFormattedCitation":"(Saaty, 1977)","previouslyFormattedCitation":"(Saaty, 1977)"},"properties":{"noteIndex":0},"schema":"https://github.com/citation-style-language/schema/raw/master/csl-citation.json"}</w:instrText>
      </w:r>
      <w:r w:rsidR="00613488">
        <w:fldChar w:fldCharType="separate"/>
      </w:r>
      <w:r w:rsidR="00613488" w:rsidRPr="00613488">
        <w:rPr>
          <w:noProof/>
        </w:rPr>
        <w:t>(Saaty, 1977)</w:t>
      </w:r>
      <w:r w:rsidR="00613488">
        <w:fldChar w:fldCharType="end"/>
      </w:r>
      <w:r w:rsidR="00613488">
        <w:t xml:space="preserve"> </w:t>
      </w:r>
      <w:r w:rsidRPr="00107731">
        <w:t>– comumente adotado em planos de ação governamenta</w:t>
      </w:r>
      <w:r w:rsidR="00E91356">
        <w:t>l</w:t>
      </w:r>
      <w:sdt>
        <w:sdtPr>
          <w:tag w:val="goog_rdk_28"/>
          <w:id w:val="-1475216678"/>
        </w:sdtPr>
        <w:sdtContent>
          <w:r w:rsidRPr="00107731">
            <w:t xml:space="preserve"> no Brasil</w:t>
          </w:r>
        </w:sdtContent>
      </w:sdt>
      <w:r w:rsidRPr="00107731">
        <w:t xml:space="preserve"> (e.g. </w:t>
      </w:r>
      <w:r w:rsidR="00613488">
        <w:fldChar w:fldCharType="begin" w:fldLock="1"/>
      </w:r>
      <w:r w:rsidR="00114D6F">
        <w:instrText>ADDIN CSL_CITATION {"citationItems":[{"id":"ITEM-1","itemData":{"author":[{"dropping-particle":"","family":"Rocha","given":"Érika","non-dropping-particle":"","parse-names":false,"suffix":""},{"dropping-particle":"","family":"Caribé","given":"Diogo","non-dropping-particle":"","parse-names":false,"suffix":""},{"dropping-particle":"da","family":"Silva","given":"Rogério Pereira","non-dropping-particle":"","parse-names":false,"suffix":""},{"dropping-particle":"","family":"Barros","given":"João Carlos Souza","non-dropping-particle":"","parse-names":false,"suffix":""},{"dropping-particle":"","family":"Cassiano","given":"Adriano","non-dropping-particle":"","parse-names":false,"suffix":""}],"id":"ITEM-1","issued":{"date-parts":[["2019"]]},"number-of-pages":"16","publisher":"INEMA, COTIC/DIRAF","publisher-place":"Salvador","title":"Mapeamento das potenciais áreas para soltura de fauna do Estado da Bahia","type":"book"},"uris":["http://www.mendeley.com/documents/?uuid=cc8654eb-4fef-455a-9edb-4abe8a5f53c6"]},{"id":"ITEM-2","itemData":{"author":[{"dropping-particle":"","family":"ConsórcioGeoBahia","given":"","non-dropping-particle":"","parse-names":false,"suffix":""},{"dropping-particle":"","family":"LTDA","given":"Geoambiente Sensoriamento Remoto","non-dropping-particle":"","parse-names":false,"suffix":""},{"dropping-particle":"","family":"LTDA","given":"Geopixel Geotecnologias Consultoria E Serviço","non-dropping-particle":"","parse-names":false,"suffix":""},{"dropping-particle":"","family":"LTDA","given":"Geojá Mapas Digitais e Aerolevantamento","non-dropping-particle":"","parse-names":false,"suffix":""}],"editor":[{"dropping-particle":"da","family":"Bahia","given":"Inema (Instituto do Meio Ambiente e Recursos Hídricos","non-dropping-particle":"","parse-names":false,"suffix":""}],"id":"ITEM-2","issued":{"date-parts":[["2018"]]},"number-of-pages":"318","publisher-place":"Salvador, Bahia","title":"Mapeamento da cobertura vegetal do estado da Bahia (biomas Cerrado, Caatinga e Mata Atlântica) - Relatório Técnico Final","type":"book"},"uris":["http://www.mendeley.com/documents/?uuid=417078d5-09b2-4c28-96d9-2aaa41b8d646"]}],"mendeley":{"formattedCitation":"(ConsórcioGeoBahia et al., 2018; Rocha et al., 2019)","manualFormatting":"ConsórcioGeoBahia et al., 2018; Rocha et al., 2019)","plainTextFormattedCitation":"(ConsórcioGeoBahia et al., 2018; Rocha et al., 2019)","previouslyFormattedCitation":"(ConsórcioGeoBahia et al., 2018; Rocha et al., 2019)"},"properties":{"noteIndex":0},"schema":"https://github.com/citation-style-language/schema/raw/master/csl-citation.json"}</w:instrText>
      </w:r>
      <w:r w:rsidR="00613488">
        <w:fldChar w:fldCharType="separate"/>
      </w:r>
      <w:r w:rsidR="00613488" w:rsidRPr="00613488">
        <w:rPr>
          <w:noProof/>
        </w:rPr>
        <w:t>ConsórcioGeoBahia et al., 2018; Rocha et al., 2019)</w:t>
      </w:r>
      <w:r w:rsidR="00613488">
        <w:fldChar w:fldCharType="end"/>
      </w:r>
      <w:r w:rsidRPr="00107731">
        <w:t xml:space="preserve">.  Este método possibilita a comparação entre pares de critérios, de acordo com a escala fundamental de </w:t>
      </w:r>
      <w:r w:rsidR="00613488">
        <w:fldChar w:fldCharType="begin" w:fldLock="1"/>
      </w:r>
      <w:r w:rsidR="00613488">
        <w:instrText>ADDIN CSL_CITATION {"citationItems":[{"id":"ITEM-1","itemData":{"author":[{"dropping-particle":"","family":"Saaty","given":"T. L.","non-dropping-particle":"","parse-names":false,"suffix":""}],"container-title":"Journal of Mathematical Psychology","id":"ITEM-1","issue":"3","issued":{"date-parts":[["1977"]]},"page":"234- 281","title":"A scaling method for priorities in hierarchical structures","type":"article-journal","volume":"15"},"uris":["http://www.mendeley.com/documents/?uuid=ec461206-3c69-4edd-989d-95fc6a4cf3c6"]}],"mendeley":{"formattedCitation":"(Saaty, 1977)","manualFormatting":"Saaty (1977)","plainTextFormattedCitation":"(Saaty, 1977)","previouslyFormattedCitation":"(Saaty, 1977)"},"properties":{"noteIndex":0},"schema":"https://github.com/citation-style-language/schema/raw/master/csl-citation.json"}</w:instrText>
      </w:r>
      <w:r w:rsidR="00613488">
        <w:fldChar w:fldCharType="separate"/>
      </w:r>
      <w:r w:rsidR="00613488" w:rsidRPr="00613488">
        <w:rPr>
          <w:noProof/>
        </w:rPr>
        <w:t>Saaty (1977)</w:t>
      </w:r>
      <w:r w:rsidR="00613488">
        <w:fldChar w:fldCharType="end"/>
      </w:r>
      <w:r w:rsidR="003A6B5C">
        <w:t>,</w:t>
      </w:r>
      <w:r w:rsidRPr="00107731">
        <w:t xml:space="preserve"> em que quando um critério possui igual relevância em relação ao seu par, recebe o valor 1 e, quando é muito mais relevante em relação ao seu par, recebe o valor 9 (Tabela S4). </w:t>
      </w:r>
    </w:p>
    <w:p w14:paraId="6F0480D7" w14:textId="6D83C682" w:rsidR="00EF3793" w:rsidRPr="00107731" w:rsidRDefault="00EF3793" w:rsidP="00D94320">
      <w:pPr>
        <w:spacing w:line="480" w:lineRule="auto"/>
        <w:ind w:firstLine="720"/>
        <w:jc w:val="both"/>
      </w:pPr>
      <w:r w:rsidRPr="00107731">
        <w:t>A fim de alcançar o consenso entre os participantes durante a oficina, a AHP foi aplicada juntamente com o método das comparações sucessivas entre os pares de critérios por jogo de cartas em painel (Fig</w:t>
      </w:r>
      <w:r w:rsidR="00832B86">
        <w:t>.</w:t>
      </w:r>
      <w:r w:rsidRPr="00107731">
        <w:t xml:space="preserve"> S7). Na primeira etapa deste processo, discutimos os critérios relevantes para ambos os mapeamentos (SASC e SAER), separadamente. Cada critério foi exposto em um painel e os participantes entraram em consenso sobre a ordem de relevância dos critérios, justificando sua escolha com bases teóricas e práticas. </w:t>
      </w:r>
      <w:r w:rsidR="006876A6">
        <w:t>A</w:t>
      </w:r>
      <w:r w:rsidRPr="00107731">
        <w:t>tribuímos</w:t>
      </w:r>
      <w:r w:rsidR="006876A6">
        <w:t>, então,</w:t>
      </w:r>
      <w:r w:rsidRPr="00107731">
        <w:t xml:space="preserve"> pesos para cada critério</w:t>
      </w:r>
      <w:r w:rsidR="006876A6">
        <w:t xml:space="preserve"> e, p</w:t>
      </w:r>
      <w:r w:rsidRPr="00107731">
        <w:t>ara estimar a consistência entre os pesos escolhidos</w:t>
      </w:r>
      <w:r w:rsidR="008862CA">
        <w:t>.</w:t>
      </w:r>
      <w:r w:rsidRPr="00107731">
        <w:t xml:space="preserve"> </w:t>
      </w:r>
      <w:r w:rsidR="008862CA" w:rsidRPr="008862CA">
        <w:t xml:space="preserve">Para estimar a consistência entre os pesos, calculamos o Índice de Consistência (ver detalhes no Material </w:t>
      </w:r>
      <w:r w:rsidR="008862CA">
        <w:t>Su</w:t>
      </w:r>
      <w:r w:rsidR="008862CA" w:rsidRPr="008862CA">
        <w:t>plementar 2), onde valores próximos de 1 indicam baixa consistência e próximos de 0 indicam alta consistência (</w:t>
      </w:r>
      <w:proofErr w:type="spellStart"/>
      <w:r w:rsidR="008862CA" w:rsidRPr="008862CA">
        <w:t>Saaty</w:t>
      </w:r>
      <w:proofErr w:type="spellEnd"/>
      <w:r w:rsidR="008862CA" w:rsidRPr="008862CA">
        <w:t>, 1980). Em seguida, consideramos índices abaixo de 0,1 como consistentes para validar os pesos atribuídos</w:t>
      </w:r>
      <w:r w:rsidR="008862CA">
        <w:t xml:space="preserve">. </w:t>
      </w:r>
      <w:r w:rsidRPr="00107731">
        <w:t xml:space="preserve">A próxima etapa foi multiplicar o </w:t>
      </w:r>
      <w:r w:rsidR="006876A6" w:rsidRPr="006876A6">
        <w:t xml:space="preserve">resultado padronizado </w:t>
      </w:r>
      <w:r w:rsidR="006876A6">
        <w:t>(</w:t>
      </w:r>
      <w:proofErr w:type="gramStart"/>
      <w:r w:rsidR="006876A6">
        <w:t xml:space="preserve">i.e. </w:t>
      </w:r>
      <w:r w:rsidR="007F7809">
        <w:t>normalizado</w:t>
      </w:r>
      <w:proofErr w:type="gramEnd"/>
      <w:r w:rsidR="007F7809">
        <w:t xml:space="preserve"> de 0 a 1</w:t>
      </w:r>
      <w:r w:rsidR="006876A6">
        <w:t xml:space="preserve">) </w:t>
      </w:r>
      <w:r w:rsidRPr="00107731">
        <w:t>de cada um dos critérios pelo seu peso. Todos os critérios ponderados foram somados de forma a gerar um resultado único para cada uma das espécies alvo do PAT, de acordo com a equação:</w:t>
      </w:r>
    </w:p>
    <w:p w14:paraId="1ACFBD1B" w14:textId="77777777" w:rsidR="00EF3793" w:rsidRPr="00107731" w:rsidRDefault="00000000" w:rsidP="00107731">
      <w:pPr>
        <w:spacing w:line="480" w:lineRule="auto"/>
        <w:jc w:val="both"/>
        <w:rPr>
          <w:rFonts w:eastAsia="Cambria Math"/>
        </w:rPr>
      </w:pPr>
      <m:oMathPara>
        <m:oMath>
          <m:sSub>
            <m:sSubPr>
              <m:ctrlPr>
                <w:rPr>
                  <w:rFonts w:ascii="Cambria Math" w:eastAsia="Cambria Math" w:hAnsi="Cambria Math"/>
                </w:rPr>
              </m:ctrlPr>
            </m:sSubPr>
            <m:e>
              <m:r>
                <w:rPr>
                  <w:rFonts w:ascii="Cambria Math" w:eastAsia="Cambria Math" w:hAnsi="Cambria Math"/>
                </w:rPr>
                <m:t>R</m:t>
              </m:r>
            </m:e>
            <m:sub>
              <m:r>
                <w:rPr>
                  <w:rFonts w:ascii="Cambria Math" w:eastAsia="Cambria Math" w:hAnsi="Cambria Math"/>
                </w:rPr>
                <m:t>f</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Σ(R</m:t>
              </m:r>
            </m:e>
            <m:sub>
              <m:r>
                <w:rPr>
                  <w:rFonts w:ascii="Cambria Math" w:eastAsia="Cambria Math" w:hAnsi="Cambria Math"/>
                </w:rPr>
                <m:t>i</m:t>
              </m:r>
            </m:sub>
          </m:sSub>
          <m:r>
            <w:rPr>
              <w:rFonts w:ascii="Cambria Math" w:eastAsia="Cambria Math" w:hAnsi="Cambria Math"/>
            </w:rPr>
            <m:t xml:space="preserve">* </m:t>
          </m:r>
          <m:sSub>
            <m:sSubPr>
              <m:ctrlPr>
                <w:rPr>
                  <w:rFonts w:ascii="Cambria Math" w:eastAsia="Cambria Math" w:hAnsi="Cambria Math"/>
                </w:rPr>
              </m:ctrlPr>
            </m:sSubPr>
            <m:e>
              <m:r>
                <w:rPr>
                  <w:rFonts w:ascii="Cambria Math" w:eastAsia="Cambria Math" w:hAnsi="Cambria Math"/>
                </w:rPr>
                <m:t>ω</m:t>
              </m:r>
            </m:e>
            <m:sub>
              <m:r>
                <w:rPr>
                  <w:rFonts w:ascii="Cambria Math" w:eastAsia="Cambria Math" w:hAnsi="Cambria Math"/>
                </w:rPr>
                <m:t>i</m:t>
              </m:r>
            </m:sub>
          </m:sSub>
          <m:r>
            <w:rPr>
              <w:rFonts w:ascii="Cambria Math" w:eastAsia="Cambria Math" w:hAnsi="Cambria Math"/>
            </w:rPr>
            <m:t>)</m:t>
          </m:r>
        </m:oMath>
      </m:oMathPara>
    </w:p>
    <w:p w14:paraId="2E96782C" w14:textId="760DFD9C" w:rsidR="00EF3793" w:rsidRDefault="00EF3793" w:rsidP="00D94320">
      <w:pPr>
        <w:spacing w:line="480" w:lineRule="auto"/>
        <w:ind w:firstLine="708"/>
        <w:jc w:val="both"/>
      </w:pPr>
      <w:r w:rsidRPr="00107731">
        <w:lastRenderedPageBreak/>
        <w:t xml:space="preserve">em que </w:t>
      </w:r>
      <w:r w:rsidRPr="00107731">
        <w:rPr>
          <w:i/>
        </w:rPr>
        <w:t>R</w:t>
      </w:r>
      <w:r w:rsidRPr="00107731">
        <w:t xml:space="preserve"> se refere ao </w:t>
      </w:r>
      <w:proofErr w:type="gramStart"/>
      <w:r w:rsidRPr="00107731">
        <w:t>resultado</w:t>
      </w:r>
      <w:r w:rsidR="00C23A38">
        <w:t xml:space="preserve"> </w:t>
      </w:r>
      <w:r w:rsidR="001573A9" w:rsidRPr="00107731">
        <w:t>final</w:t>
      </w:r>
      <w:proofErr w:type="gramEnd"/>
      <w:r w:rsidR="001573A9" w:rsidRPr="00107731">
        <w:t xml:space="preserve"> </w:t>
      </w:r>
      <w:r w:rsidR="001573A9" w:rsidRPr="00107731">
        <w:rPr>
          <w:i/>
        </w:rPr>
        <w:t>f</w:t>
      </w:r>
      <w:r w:rsidR="004042A1">
        <w:rPr>
          <w:iCs/>
        </w:rPr>
        <w:t>,</w:t>
      </w:r>
      <w:r w:rsidR="001573A9">
        <w:t xml:space="preserve"> baseado </w:t>
      </w:r>
      <w:r w:rsidR="004042A1">
        <w:t>nos resultados de</w:t>
      </w:r>
      <w:r w:rsidRPr="00107731">
        <w:t xml:space="preserve"> cada critério</w:t>
      </w:r>
      <w:r w:rsidRPr="00107731">
        <w:rPr>
          <w:i/>
        </w:rPr>
        <w:t xml:space="preserve"> i</w:t>
      </w:r>
      <w:r w:rsidRPr="00107731">
        <w:t xml:space="preserve">. O </w:t>
      </w:r>
      <w:r w:rsidR="00AC7874" w:rsidRPr="00AC7874">
        <w:t xml:space="preserve">parâmetro ω se </w:t>
      </w:r>
      <w:r w:rsidRPr="00107731">
        <w:t xml:space="preserve">refere ao peso atribuído ao respectivo critério. O </w:t>
      </w:r>
      <w:proofErr w:type="gramStart"/>
      <w:r w:rsidRPr="00107731">
        <w:t>resultado final</w:t>
      </w:r>
      <w:proofErr w:type="gramEnd"/>
      <w:r w:rsidRPr="00107731">
        <w:t xml:space="preserve"> também foi normalizado de 0 a 1 para cada espécie, </w:t>
      </w:r>
      <w:r w:rsidR="00DA54EB">
        <w:t xml:space="preserve">variando </w:t>
      </w:r>
      <w:r w:rsidR="00D94320">
        <w:t>entre 0 (relevante) e 1 (</w:t>
      </w:r>
      <w:r w:rsidR="00D94320" w:rsidRPr="00107731">
        <w:t>altamente relevante</w:t>
      </w:r>
      <w:r w:rsidR="00D94320">
        <w:t>)</w:t>
      </w:r>
      <w:r w:rsidRPr="00107731">
        <w:t>.</w:t>
      </w:r>
    </w:p>
    <w:p w14:paraId="11C73605" w14:textId="528DF9BA" w:rsidR="008862CA" w:rsidRPr="00107731" w:rsidRDefault="008862CA" w:rsidP="00D94320">
      <w:pPr>
        <w:spacing w:line="480" w:lineRule="auto"/>
        <w:ind w:firstLine="708"/>
        <w:jc w:val="both"/>
      </w:pPr>
      <w:r>
        <w:rPr>
          <w:bCs/>
        </w:rPr>
        <w:t>D</w:t>
      </w:r>
      <w:r w:rsidRPr="00107731">
        <w:rPr>
          <w:bCs/>
        </w:rPr>
        <w:t xml:space="preserve">efinimos a seguinte ordem de relevância dos critérios do mapeamento das SASC (exceto o item 4) e SAER: 1) Quantidade de habitat, 2) </w:t>
      </w:r>
      <w:r>
        <w:rPr>
          <w:bCs/>
        </w:rPr>
        <w:t>Adequabilidade ambiental</w:t>
      </w:r>
      <w:r w:rsidRPr="00107731">
        <w:rPr>
          <w:bCs/>
        </w:rPr>
        <w:t xml:space="preserve">, 3) Focos de incêndio, 4) </w:t>
      </w:r>
      <w:r>
        <w:rPr>
          <w:bCs/>
        </w:rPr>
        <w:t>Quantidade</w:t>
      </w:r>
      <w:r w:rsidRPr="00107731">
        <w:rPr>
          <w:bCs/>
        </w:rPr>
        <w:t xml:space="preserve"> de Áreas de Proteção Permanente, 5) Diversidade de fitofisionomia. Elencamos o critério 1 como o mais relevante por estar diretamente relacionado à presença de habitat, requisito determinante para a ocorrência das espécies. O critério 2 veio em sequência, pois o mapeamento tem como objetivo principal a conservação das espécies CR-Lacunas e seus ecossistemas, logo, as regiões mais adequadas ambientalmente para as espécies devem ser priorizadas. Como a região do PAT-CDSJ tem um histórico recorrente de incêndios, este critério ficou como o terceiro mais importante. Para restauração, o critério das APP foi eleito como o quarto mais importante, considerando a importância da manutenção dos recursos hídricos e o incentivo ao cumprimento da legislação. Por fim, o critério 5 foi o menos relevante, pois a heterogeneidade de uma UP é importante para a manutenção da dinâmica das comunidades locais, mas não é determinante para a ocorrência e persistência das espécies. Uma vez elencada a ordem de prioridade, cada critério recebeu um peso atrelado à sua relevância.</w:t>
      </w:r>
    </w:p>
    <w:p w14:paraId="736A1A8A" w14:textId="77777777" w:rsidR="002C29D0" w:rsidRPr="00107731" w:rsidRDefault="002C29D0" w:rsidP="00107731">
      <w:pPr>
        <w:spacing w:line="480" w:lineRule="auto"/>
        <w:jc w:val="both"/>
      </w:pPr>
    </w:p>
    <w:p w14:paraId="55D3731E" w14:textId="291DC7EE" w:rsidR="00355407" w:rsidRPr="00107731" w:rsidRDefault="00332BEA" w:rsidP="00107731">
      <w:pPr>
        <w:spacing w:line="480" w:lineRule="auto"/>
        <w:jc w:val="both"/>
        <w:rPr>
          <w:i/>
          <w:iCs/>
        </w:rPr>
      </w:pPr>
      <w:r w:rsidRPr="00107731">
        <w:rPr>
          <w:i/>
          <w:iCs/>
        </w:rPr>
        <w:t>Áreas estratégicas</w:t>
      </w:r>
    </w:p>
    <w:p w14:paraId="4A16734C" w14:textId="77777777" w:rsidR="00D84A80" w:rsidRPr="00107731" w:rsidRDefault="00D84A80" w:rsidP="00107731">
      <w:pPr>
        <w:spacing w:line="480" w:lineRule="auto"/>
        <w:jc w:val="both"/>
      </w:pPr>
    </w:p>
    <w:p w14:paraId="170E1ACC" w14:textId="6499BD8E" w:rsidR="00932687" w:rsidRDefault="007657CB" w:rsidP="00107731">
      <w:pPr>
        <w:spacing w:line="480" w:lineRule="auto"/>
        <w:jc w:val="both"/>
      </w:pPr>
      <w:r w:rsidRPr="00107731">
        <w:t xml:space="preserve">A partir do </w:t>
      </w:r>
      <w:proofErr w:type="gramStart"/>
      <w:r w:rsidRPr="00107731">
        <w:t>resultado final</w:t>
      </w:r>
      <w:proofErr w:type="gramEnd"/>
      <w:r w:rsidRPr="00107731">
        <w:t xml:space="preserve"> (i.e. </w:t>
      </w:r>
      <m:oMath>
        <m:sSub>
          <m:sSubPr>
            <m:ctrlPr>
              <w:rPr>
                <w:rFonts w:ascii="Cambria Math" w:eastAsia="Cambria Math" w:hAnsi="Cambria Math"/>
              </w:rPr>
            </m:ctrlPr>
          </m:sSubPr>
          <m:e>
            <m:r>
              <w:rPr>
                <w:rFonts w:ascii="Cambria Math" w:eastAsia="Cambria Math" w:hAnsi="Cambria Math"/>
              </w:rPr>
              <m:t>R</m:t>
            </m:r>
          </m:e>
          <m:sub>
            <m:r>
              <w:rPr>
                <w:rFonts w:ascii="Cambria Math" w:eastAsia="Cambria Math" w:hAnsi="Cambria Math"/>
              </w:rPr>
              <m:t>f</m:t>
            </m:r>
          </m:sub>
        </m:sSub>
      </m:oMath>
      <w:r w:rsidRPr="00107731">
        <w:t xml:space="preserve">) de cada uma das 27 espécies, geramos um mapa síntese com o somatório dos resultados, em que quanto mais alto o valor da UP, mais relevante ela é. </w:t>
      </w:r>
      <w:r w:rsidR="00932687" w:rsidRPr="00932687">
        <w:t>Selecionamos do mapa síntese apenas 30% d</w:t>
      </w:r>
      <w:r w:rsidR="00932687">
        <w:t>as</w:t>
      </w:r>
      <w:r w:rsidR="00932687" w:rsidRPr="00932687">
        <w:t xml:space="preserve"> UP mais relevantes. Segundo os </w:t>
      </w:r>
      <w:r w:rsidR="00932687">
        <w:t>tomadores de decisão</w:t>
      </w:r>
      <w:r w:rsidR="00932687" w:rsidRPr="00932687">
        <w:t>, este é um percentual viável para a implementação de políticas públicas subsequentes, considerando o orçamento disponível para o PAT-CDSJ</w:t>
      </w:r>
      <w:r w:rsidR="00932687">
        <w:t>.</w:t>
      </w:r>
    </w:p>
    <w:p w14:paraId="531A797B" w14:textId="30576FD6" w:rsidR="007657CB" w:rsidRPr="00107731" w:rsidRDefault="00D93B43" w:rsidP="00D93B43">
      <w:pPr>
        <w:spacing w:line="480" w:lineRule="auto"/>
        <w:ind w:firstLine="1008"/>
        <w:jc w:val="both"/>
      </w:pPr>
      <w:r w:rsidRPr="00D93B43">
        <w:lastRenderedPageBreak/>
        <w:t>Para selecionar as UP mais relevantes,</w:t>
      </w:r>
      <w:r>
        <w:t xml:space="preserve"> </w:t>
      </w:r>
      <w:r w:rsidRPr="00D93B43">
        <w:t>primeiro consideramos todas as UP com registros de ocorrência de espécies CR-</w:t>
      </w:r>
      <w:r>
        <w:t>Lacunas</w:t>
      </w:r>
      <w:r w:rsidRPr="00D93B43">
        <w:t xml:space="preserve">, para garantir que todos os locais onde as espécies foram encontradas fossem considerados, ajudando a reduzir as espécies </w:t>
      </w:r>
      <w:r>
        <w:t>lacunas</w:t>
      </w:r>
      <w:r w:rsidRPr="00D93B43">
        <w:t xml:space="preserve"> nas atuais áreas protegidas no Brasil (Rodrigues et al., 2004).</w:t>
      </w:r>
      <w:r w:rsidR="007657CB" w:rsidRPr="00107731">
        <w:t xml:space="preserve"> Em seguida, selecionamos as UP </w:t>
      </w:r>
      <w:r>
        <w:t xml:space="preserve">restantes </w:t>
      </w:r>
      <w:r w:rsidR="007657CB" w:rsidRPr="00107731">
        <w:t>de maior valor de relevância de acordo com os critérios (</w:t>
      </w:r>
      <w:proofErr w:type="gramStart"/>
      <w:r w:rsidR="007657CB" w:rsidRPr="00107731">
        <w:t>i.e.</w:t>
      </w:r>
      <w:proofErr w:type="gramEnd"/>
      <w:r w:rsidR="007657CB" w:rsidRPr="00107731">
        <w:t xml:space="preserve"> as que já não possuíam registros de ocorrência). Essa seleção foi proporcional para a vegetação nos domínios da Caatinga e Mata Atlântica, onde ocorrem a Chapada Diamantina e Serra da Jiboia, respectivamente. </w:t>
      </w:r>
      <w:r w:rsidRPr="00D93B43">
        <w:t>Distinguimos as áreas estratégicas a partir de um conjunto de UP próximas umas das outras e dentro das unidades políticas</w:t>
      </w:r>
      <w:r>
        <w:t xml:space="preserve"> (</w:t>
      </w:r>
      <w:proofErr w:type="gramStart"/>
      <w:r>
        <w:t>i.e.</w:t>
      </w:r>
      <w:proofErr w:type="gramEnd"/>
      <w:r>
        <w:t xml:space="preserve"> municípios)</w:t>
      </w:r>
      <w:r w:rsidRPr="00D93B43">
        <w:t xml:space="preserve">. Os participantes delimitaram e nomearam as áreas estratégicas de acordo com seu conhecimento sobre as características socioambientais da região (veja detalhes </w:t>
      </w:r>
      <w:r>
        <w:t xml:space="preserve">dos </w:t>
      </w:r>
      <w:r w:rsidRPr="00D93B43">
        <w:t xml:space="preserve">procedimentos de delimitação e nomeação de áreas estratégicas no Material </w:t>
      </w:r>
      <w:r>
        <w:t>Su</w:t>
      </w:r>
      <w:r w:rsidRPr="00D93B43">
        <w:t>plementar 1).</w:t>
      </w:r>
    </w:p>
    <w:p w14:paraId="5E7EF714" w14:textId="77777777" w:rsidR="007657CB" w:rsidRPr="00107731" w:rsidRDefault="007657CB" w:rsidP="00107731">
      <w:pPr>
        <w:spacing w:line="480" w:lineRule="auto"/>
        <w:jc w:val="both"/>
      </w:pPr>
    </w:p>
    <w:p w14:paraId="48B82EE9" w14:textId="7D63C952" w:rsidR="00BD65A8" w:rsidRPr="00107731" w:rsidRDefault="00F36651" w:rsidP="00107731">
      <w:pPr>
        <w:spacing w:line="480" w:lineRule="auto"/>
        <w:jc w:val="both"/>
        <w:rPr>
          <w:bCs/>
          <w:sz w:val="28"/>
          <w:szCs w:val="28"/>
        </w:rPr>
      </w:pPr>
      <w:r w:rsidRPr="00107731">
        <w:rPr>
          <w:bCs/>
          <w:sz w:val="28"/>
          <w:szCs w:val="28"/>
        </w:rPr>
        <w:t>Result</w:t>
      </w:r>
      <w:r w:rsidR="00332BEA" w:rsidRPr="00107731">
        <w:rPr>
          <w:bCs/>
          <w:sz w:val="28"/>
          <w:szCs w:val="28"/>
        </w:rPr>
        <w:t>ado</w:t>
      </w:r>
      <w:r w:rsidRPr="00107731">
        <w:rPr>
          <w:bCs/>
          <w:sz w:val="28"/>
          <w:szCs w:val="28"/>
        </w:rPr>
        <w:t>s</w:t>
      </w:r>
    </w:p>
    <w:p w14:paraId="104B931E" w14:textId="6E4D6229" w:rsidR="001C5579" w:rsidRDefault="001C5579" w:rsidP="00107731">
      <w:pPr>
        <w:spacing w:line="480" w:lineRule="auto"/>
        <w:jc w:val="both"/>
        <w:rPr>
          <w:bCs/>
          <w:sz w:val="28"/>
          <w:szCs w:val="28"/>
        </w:rPr>
      </w:pPr>
    </w:p>
    <w:p w14:paraId="39A276DD" w14:textId="77777777" w:rsidR="00D93B43" w:rsidRPr="0042330D" w:rsidRDefault="00D93B43" w:rsidP="00D93B43">
      <w:pPr>
        <w:spacing w:line="480" w:lineRule="auto"/>
        <w:jc w:val="both"/>
      </w:pPr>
      <w:r w:rsidRPr="0042330D">
        <w:t>Áreas estratégicas</w:t>
      </w:r>
    </w:p>
    <w:p w14:paraId="29BBA6AC" w14:textId="77777777" w:rsidR="00D93B43" w:rsidRPr="00107731" w:rsidRDefault="00D93B43" w:rsidP="00107731">
      <w:pPr>
        <w:spacing w:line="480" w:lineRule="auto"/>
        <w:jc w:val="both"/>
        <w:rPr>
          <w:bCs/>
          <w:sz w:val="28"/>
          <w:szCs w:val="28"/>
        </w:rPr>
      </w:pPr>
    </w:p>
    <w:p w14:paraId="17036A13" w14:textId="4378800B" w:rsidR="0035130B" w:rsidRDefault="000E0800" w:rsidP="00107731">
      <w:pPr>
        <w:spacing w:line="480" w:lineRule="auto"/>
        <w:jc w:val="both"/>
        <w:rPr>
          <w:bCs/>
        </w:rPr>
      </w:pPr>
      <w:r w:rsidRPr="000E0800">
        <w:rPr>
          <w:bCs/>
        </w:rPr>
        <w:t xml:space="preserve">Tanto para os mapas de conservação quanto para de restauração, os critérios apresentaram um padrão disperso pelo território, com exceção do critério quantidade de habitat no mapa de conservação, que apresentou maior relevância principalmente no entorno das áreas protegidas </w:t>
      </w:r>
      <w:r w:rsidR="0035130B" w:rsidRPr="00107731">
        <w:rPr>
          <w:bCs/>
        </w:rPr>
        <w:t>(Fig</w:t>
      </w:r>
      <w:r w:rsidR="00DF539E">
        <w:rPr>
          <w:bCs/>
        </w:rPr>
        <w:t>.</w:t>
      </w:r>
      <w:r w:rsidR="0035130B" w:rsidRPr="00107731">
        <w:rPr>
          <w:bCs/>
        </w:rPr>
        <w:t xml:space="preserve"> 3). </w:t>
      </w:r>
      <w:r w:rsidR="0042330D" w:rsidRPr="0042330D">
        <w:rPr>
          <w:bCs/>
        </w:rPr>
        <w:t xml:space="preserve">O mapa síntese para conservação apresentou o mesmo padrão do critério quantidade de habitat – pois este critério recebeu o maior peso em relação aos demais – enquanto para restauração, apresentou um padrão mais disperso (Fig. 3). Ao restringir o resultado aos 30% de UP mais relevantes, selecionamos 86 UP na Chapada Diamantina (em que 32 UP tiveram registros de ocorrência de espécies, Fig. S8) e 8 UP na Serra da Jiboia (em que 1 UP teve </w:t>
      </w:r>
      <w:r w:rsidR="0042330D" w:rsidRPr="0042330D">
        <w:rPr>
          <w:bCs/>
        </w:rPr>
        <w:lastRenderedPageBreak/>
        <w:t xml:space="preserve">ocorrência de espécies registros, Fig. S8). Por fim, a delimitação de áreas estratégicas </w:t>
      </w:r>
      <w:r w:rsidR="0042330D">
        <w:rPr>
          <w:bCs/>
        </w:rPr>
        <w:t>ger</w:t>
      </w:r>
      <w:r w:rsidR="0042330D" w:rsidRPr="0042330D">
        <w:rPr>
          <w:bCs/>
        </w:rPr>
        <w:t>ou 11 SASC, mais concentrados em torno das áreas protegidas (Fig. 4A, Tabela S5), e 12 SAER, mais bem distribuídos no PAT-DCSJ (Fig. 4B, Tabela S6).</w:t>
      </w:r>
    </w:p>
    <w:p w14:paraId="00D4EBFC" w14:textId="1DAE9A81" w:rsidR="0042330D" w:rsidRDefault="0042330D" w:rsidP="00107731">
      <w:pPr>
        <w:spacing w:line="480" w:lineRule="auto"/>
        <w:jc w:val="both"/>
        <w:rPr>
          <w:bCs/>
        </w:rPr>
      </w:pPr>
    </w:p>
    <w:p w14:paraId="4E6A17DC" w14:textId="645EDDCA" w:rsidR="0042330D" w:rsidRDefault="0042330D" w:rsidP="00107731">
      <w:pPr>
        <w:spacing w:line="480" w:lineRule="auto"/>
        <w:jc w:val="both"/>
      </w:pPr>
      <w:r w:rsidRPr="0042330D">
        <w:t>Processo participativo</w:t>
      </w:r>
    </w:p>
    <w:p w14:paraId="266F67B3" w14:textId="4D5E8737" w:rsidR="0042330D" w:rsidRDefault="0042330D" w:rsidP="00107731">
      <w:pPr>
        <w:spacing w:line="480" w:lineRule="auto"/>
        <w:jc w:val="both"/>
      </w:pPr>
    </w:p>
    <w:p w14:paraId="3E761C9A" w14:textId="198EC204" w:rsidR="0042330D" w:rsidRDefault="0042330D" w:rsidP="00107731">
      <w:pPr>
        <w:spacing w:line="480" w:lineRule="auto"/>
        <w:jc w:val="both"/>
      </w:pPr>
      <w:r w:rsidRPr="0042330D">
        <w:t xml:space="preserve">Aproximadamente 29 participantes participaram das duas oficinas participativas e das duas oficinas de monitoramento, enquanto as reuniões assistenciais (aproximadamente sete) tiveram menos participantes, com os tomadores de decisão sempre presentes. As quatro oficinas tiveram duração aproximada de 4 horas e </w:t>
      </w:r>
      <w:r>
        <w:t>as reuniões de auxílio à cientista responsável (</w:t>
      </w:r>
      <w:proofErr w:type="gramStart"/>
      <w:r>
        <w:t>i.e.</w:t>
      </w:r>
      <w:proofErr w:type="gramEnd"/>
      <w:r>
        <w:t xml:space="preserve"> </w:t>
      </w:r>
      <w:proofErr w:type="spellStart"/>
      <w:r w:rsidRPr="0042330D">
        <w:rPr>
          <w:bCs/>
          <w:i/>
          <w:iCs/>
        </w:rPr>
        <w:t>assistance</w:t>
      </w:r>
      <w:proofErr w:type="spellEnd"/>
      <w:r w:rsidRPr="0042330D">
        <w:rPr>
          <w:bCs/>
          <w:i/>
          <w:iCs/>
        </w:rPr>
        <w:t xml:space="preserve"> meetings</w:t>
      </w:r>
      <w:r>
        <w:rPr>
          <w:bCs/>
        </w:rPr>
        <w:t>, Fig. 2</w:t>
      </w:r>
      <w:r w:rsidRPr="0042330D">
        <w:rPr>
          <w:bCs/>
        </w:rPr>
        <w:t>)</w:t>
      </w:r>
      <w:r w:rsidRPr="0042330D">
        <w:t xml:space="preserve"> foram mais curt</w:t>
      </w:r>
      <w:r w:rsidR="00B311BD">
        <w:t>a</w:t>
      </w:r>
      <w:r w:rsidRPr="0042330D">
        <w:t>s (~2 horas). O grupo de participantes era heterogêneo, consequentemente, durante os encontros, algumas sugestões divergentes foram expostas, porém, sempre chegávamos a um consenso antes de passar para a próxima etapa</w:t>
      </w:r>
      <w:r>
        <w:t>.</w:t>
      </w:r>
    </w:p>
    <w:p w14:paraId="5566BA65" w14:textId="60C7B393" w:rsidR="0042330D" w:rsidRDefault="0042330D" w:rsidP="00107731">
      <w:pPr>
        <w:spacing w:line="480" w:lineRule="auto"/>
        <w:jc w:val="both"/>
      </w:pPr>
      <w:r>
        <w:tab/>
      </w:r>
      <w:r w:rsidR="00B311BD" w:rsidRPr="00B311BD">
        <w:t>Em geral, enquanto os cientistas se concentravam nos métodos ideais e nos aspectos biológicos (já que a maioria dos cientistas eram biólogos), os tomadores de decisão e as partes interessadas se concentravam na utilidade e viabilidade da implementação do mapa e nos aspectos políticos. Por exemplo, considerando que o principal alvo de conservação são as espécies CR-</w:t>
      </w:r>
      <w:r w:rsidR="00B311BD">
        <w:t>Lacunas</w:t>
      </w:r>
      <w:r w:rsidR="00B311BD" w:rsidRPr="00B311BD">
        <w:t>, inicialmente, os cientistas sugeriram o uso de bacias como unidades de planejamento devido aos limites naturais, o que é mais relevante para os aspectos biológicos. Alguns tomadores de decisão, no entanto, sugeriram unidades políticas (</w:t>
      </w:r>
      <w:proofErr w:type="spellStart"/>
      <w:r w:rsidR="00B311BD">
        <w:t>i.e</w:t>
      </w:r>
      <w:proofErr w:type="spellEnd"/>
      <w:r w:rsidR="00B311BD" w:rsidRPr="00B311BD">
        <w:t xml:space="preserve"> limites d</w:t>
      </w:r>
      <w:r w:rsidR="00B311BD">
        <w:t>e</w:t>
      </w:r>
      <w:r w:rsidR="00B311BD" w:rsidRPr="00B311BD">
        <w:t xml:space="preserve"> município) devido à facilidade de realização de ações de políticas públicas nessas unidades. Considerando ambos os aspectos, </w:t>
      </w:r>
      <w:r w:rsidR="00B311BD">
        <w:t>foi</w:t>
      </w:r>
      <w:r w:rsidR="00B311BD" w:rsidRPr="00B311BD">
        <w:t xml:space="preserve"> decidi</w:t>
      </w:r>
      <w:r w:rsidR="00B311BD">
        <w:t>do</w:t>
      </w:r>
      <w:r w:rsidR="00B311BD" w:rsidRPr="00B311BD">
        <w:t xml:space="preserve"> usar os limites da bacia para as unidades menores (</w:t>
      </w:r>
      <w:proofErr w:type="gramStart"/>
      <w:r w:rsidR="00B311BD">
        <w:t>i.e.</w:t>
      </w:r>
      <w:proofErr w:type="gramEnd"/>
      <w:r w:rsidR="00B311BD" w:rsidRPr="00B311BD">
        <w:t xml:space="preserve"> UP) e agregar essas unidades considerando os limites políticos em áreas estratégicas</w:t>
      </w:r>
      <w:r w:rsidR="00B311BD">
        <w:t>.</w:t>
      </w:r>
    </w:p>
    <w:p w14:paraId="68410250" w14:textId="6C3D2BA3" w:rsidR="00B311BD" w:rsidRDefault="00B311BD" w:rsidP="00107731">
      <w:pPr>
        <w:spacing w:line="480" w:lineRule="auto"/>
        <w:jc w:val="both"/>
      </w:pPr>
      <w:r>
        <w:tab/>
      </w:r>
      <w:r w:rsidRPr="00B311BD">
        <w:t xml:space="preserve">Outro exemplo foi relacionado à apresentação das áreas estratégicas. Alguns cientistas sugeriram apresentar todas as UP com cores graduais, das áreas mais para as menos </w:t>
      </w:r>
      <w:r w:rsidRPr="00B311BD">
        <w:lastRenderedPageBreak/>
        <w:t xml:space="preserve">relevantes. Eles argumentaram que, mesmo dentro das áreas estratégicas, </w:t>
      </w:r>
      <w:r>
        <w:t xml:space="preserve">a coloração </w:t>
      </w:r>
      <w:r w:rsidRPr="00B311BD">
        <w:t>gradual traz a ideia de uma ordenação de prioridades que poderia orientar a ordem de execução d</w:t>
      </w:r>
      <w:r>
        <w:t>a</w:t>
      </w:r>
      <w:r w:rsidRPr="00B311BD">
        <w:t xml:space="preserve">s </w:t>
      </w:r>
      <w:r>
        <w:t>ações do PAT-CDSJ</w:t>
      </w:r>
      <w:r w:rsidRPr="00B311BD">
        <w:t xml:space="preserve">. No entanto, os </w:t>
      </w:r>
      <w:r>
        <w:t>tomadores de decisão</w:t>
      </w:r>
      <w:r w:rsidRPr="00B311BD">
        <w:t xml:space="preserve"> defenderam a delimitação das áreas sem </w:t>
      </w:r>
      <w:r>
        <w:t>a gradação</w:t>
      </w:r>
      <w:r w:rsidRPr="00B311BD">
        <w:t>. Os motivos foram: (i) um mapa gradual não é informativo, pois eles já sabem que toda a região é importante – ao invés de decidir depois quais são as melhores áreas para implementar novas ações, eles queriam delimitá-l</w:t>
      </w:r>
      <w:r w:rsidR="00A45F5D">
        <w:t>as</w:t>
      </w:r>
      <w:r w:rsidRPr="00B311BD">
        <w:t xml:space="preserve"> exatamente </w:t>
      </w:r>
      <w:r w:rsidR="00A45F5D">
        <w:t>n</w:t>
      </w:r>
      <w:r w:rsidRPr="00B311BD">
        <w:t>es</w:t>
      </w:r>
      <w:r w:rsidR="00A45F5D">
        <w:t>t</w:t>
      </w:r>
      <w:r w:rsidRPr="00B311BD">
        <w:t>a ação, (</w:t>
      </w:r>
      <w:proofErr w:type="spellStart"/>
      <w:r w:rsidRPr="00B311BD">
        <w:t>ii</w:t>
      </w:r>
      <w:proofErr w:type="spellEnd"/>
      <w:r w:rsidRPr="00B311BD">
        <w:t>) um resultado delimitado é mais intuitivo para apresentar a outros stakeholders e tomadores de decisão, evitando a interpretação errônea de que “algumas dessas áreas selecionadas não são tão importantes”, e (</w:t>
      </w:r>
      <w:proofErr w:type="spellStart"/>
      <w:r w:rsidRPr="00B311BD">
        <w:t>iii</w:t>
      </w:r>
      <w:proofErr w:type="spellEnd"/>
      <w:r w:rsidRPr="00B311BD">
        <w:t>) o início das próximas ações será quase simultâneo em tod</w:t>
      </w:r>
      <w:r w:rsidR="00A45F5D">
        <w:t>a</w:t>
      </w:r>
      <w:r w:rsidRPr="00B311BD">
        <w:t xml:space="preserve">s as áreas definidas, e a ordem de execução das ações dependerá especialmente da articulação com os </w:t>
      </w:r>
      <w:r w:rsidR="00A45F5D">
        <w:t>tomadores de decisão</w:t>
      </w:r>
      <w:r w:rsidRPr="00B311BD">
        <w:t xml:space="preserve"> locais. A solução foi manter ambos os resultados, os mapas de gradientes como suplemento e os delimitados SASC e SAER como desenho final do map</w:t>
      </w:r>
      <w:r w:rsidR="00A45F5D">
        <w:t>eamento</w:t>
      </w:r>
      <w:r>
        <w:t>.</w:t>
      </w:r>
    </w:p>
    <w:p w14:paraId="01C006E0" w14:textId="4DE11DFF" w:rsidR="00A45F5D" w:rsidRDefault="00A45F5D" w:rsidP="00A45F5D">
      <w:pPr>
        <w:spacing w:line="480" w:lineRule="auto"/>
        <w:ind w:firstLine="1008"/>
        <w:jc w:val="both"/>
      </w:pPr>
      <w:r w:rsidRPr="00A45F5D">
        <w:t>Outras discussões importantes ocorreram independentemente do grupo ao qual os participantes pertenciam. Por exemplo, eles avaliaram que a maioria dos critérios relacionados às pressões humanas (</w:t>
      </w:r>
      <w:r>
        <w:t>e.g.</w:t>
      </w:r>
      <w:r w:rsidRPr="00A45F5D">
        <w:t xml:space="preserve"> mineração, agricultura, pecuária e áreas urbanas) coincidiam com as áreas relatadas pelos critérios 'Quantidade de habitat' e 'Frequência de incêndio'. Portanto, </w:t>
      </w:r>
      <w:r>
        <w:t>foi</w:t>
      </w:r>
      <w:r w:rsidRPr="00A45F5D">
        <w:t xml:space="preserve"> decidi</w:t>
      </w:r>
      <w:r>
        <w:t>do</w:t>
      </w:r>
      <w:r w:rsidRPr="00A45F5D">
        <w:t xml:space="preserve"> não incluir essas pressões humanas para evitar redundância e critérios altamente correlacionados</w:t>
      </w:r>
      <w:r>
        <w:t>.</w:t>
      </w:r>
    </w:p>
    <w:p w14:paraId="67A12E34" w14:textId="57B16716" w:rsidR="00A45F5D" w:rsidRDefault="00A45F5D" w:rsidP="00A45F5D">
      <w:pPr>
        <w:spacing w:line="480" w:lineRule="auto"/>
        <w:ind w:firstLine="1008"/>
        <w:jc w:val="both"/>
      </w:pPr>
      <w:r>
        <w:t>Em relação à frequência de incêndios, alguns participantes alertaram para o alto custo de se considerar UP com alta frequência de incêndios para conservação e restauração, pois: (i) para conservação, essas UP não seriam prioritárias devido ao alto nível de degradação, e (</w:t>
      </w:r>
      <w:proofErr w:type="spellStart"/>
      <w:r>
        <w:t>ii</w:t>
      </w:r>
      <w:proofErr w:type="spellEnd"/>
      <w:r>
        <w:t xml:space="preserve">) para restauração, pois há necessidade de esforços de restauração de alto custo e a suscetibilidade dessas áreas à degradação recorrente é proeminente. Por outro lado, outros participantes alertaram para a necessidade urgente de conservar e restaurar as áreas mais ameaçadas com maior frequência de incêndios. Decidiram priorizar a baixa frequência de incêndios para áreas </w:t>
      </w:r>
      <w:r>
        <w:lastRenderedPageBreak/>
        <w:t>estratégicas, com base nos itens (i)</w:t>
      </w:r>
      <w:r w:rsidR="00795ABA">
        <w:t>,</w:t>
      </w:r>
      <w:r>
        <w:t xml:space="preserve"> (</w:t>
      </w:r>
      <w:proofErr w:type="spellStart"/>
      <w:r>
        <w:t>ii</w:t>
      </w:r>
      <w:proofErr w:type="spellEnd"/>
      <w:r>
        <w:t xml:space="preserve">) e </w:t>
      </w:r>
      <w:r w:rsidR="00795ABA">
        <w:t>(</w:t>
      </w:r>
      <w:proofErr w:type="spellStart"/>
      <w:r w:rsidR="00795ABA">
        <w:t>iii</w:t>
      </w:r>
      <w:proofErr w:type="spellEnd"/>
      <w:r w:rsidR="00795ABA">
        <w:t xml:space="preserve">) </w:t>
      </w:r>
      <w:r>
        <w:t>porque o controle de incêndio é uma das ações propostas do PAT-CDSJ, mas não a principal, e os recursos são limitados a cada ação do PAT-CDSJ (ver Material Suplementar 1).</w:t>
      </w:r>
    </w:p>
    <w:p w14:paraId="5048A0AB" w14:textId="726CC4D2" w:rsidR="00A45F5D" w:rsidRPr="00107731" w:rsidRDefault="00A45F5D" w:rsidP="00A45F5D">
      <w:pPr>
        <w:spacing w:line="480" w:lineRule="auto"/>
        <w:ind w:firstLine="1008"/>
        <w:jc w:val="both"/>
      </w:pPr>
      <w:r>
        <w:t>De acordo com os resultados preliminares dos mapas síntese (</w:t>
      </w:r>
      <w:proofErr w:type="gramStart"/>
      <w:r w:rsidR="00795ABA">
        <w:t>i.e.</w:t>
      </w:r>
      <w:proofErr w:type="gramEnd"/>
      <w:r>
        <w:t xml:space="preserve"> todos os critérios juntos), a Serra da Jiboia apresentou menor prioridade que a Chapada Diamantina. Os participantes argumentaram que esse resultado implicava em uma possível não priorização da região da Serra da Jiboia, contrariando o objetivo do PAT-CDSJ. Assim, foi sugerido separar a Chapada Diamantina e a Serra da Jiboia nas análises e priorizar proporcionalmente ambas as regiões (conforme descrito nos Métodos).</w:t>
      </w:r>
    </w:p>
    <w:p w14:paraId="3FE39306" w14:textId="77777777" w:rsidR="00D726C6" w:rsidRPr="00107731" w:rsidRDefault="00D726C6" w:rsidP="00107731">
      <w:pPr>
        <w:spacing w:line="480" w:lineRule="auto"/>
        <w:ind w:firstLine="708"/>
        <w:jc w:val="both"/>
      </w:pPr>
    </w:p>
    <w:p w14:paraId="70681399" w14:textId="3A74C760" w:rsidR="00BD65A8" w:rsidRPr="00107731" w:rsidRDefault="00F36651" w:rsidP="00107731">
      <w:pPr>
        <w:spacing w:line="480" w:lineRule="auto"/>
        <w:jc w:val="both"/>
        <w:rPr>
          <w:bCs/>
          <w:sz w:val="28"/>
          <w:szCs w:val="28"/>
        </w:rPr>
      </w:pPr>
      <w:r w:rsidRPr="00107731">
        <w:rPr>
          <w:bCs/>
          <w:sz w:val="28"/>
          <w:szCs w:val="28"/>
        </w:rPr>
        <w:t>Discu</w:t>
      </w:r>
      <w:r w:rsidR="00332BEA" w:rsidRPr="00107731">
        <w:rPr>
          <w:bCs/>
          <w:sz w:val="28"/>
          <w:szCs w:val="28"/>
        </w:rPr>
        <w:t>ssão</w:t>
      </w:r>
    </w:p>
    <w:p w14:paraId="13FC90FD" w14:textId="77777777" w:rsidR="008E2621" w:rsidRPr="00107731" w:rsidRDefault="008E2621" w:rsidP="00107731">
      <w:pPr>
        <w:spacing w:line="480" w:lineRule="auto"/>
        <w:jc w:val="both"/>
        <w:rPr>
          <w:b/>
        </w:rPr>
      </w:pPr>
    </w:p>
    <w:p w14:paraId="6FB9AB43" w14:textId="247B6C83" w:rsidR="0034750E" w:rsidRDefault="00795ABA" w:rsidP="00795ABA">
      <w:pPr>
        <w:spacing w:line="480" w:lineRule="auto"/>
        <w:jc w:val="both"/>
      </w:pPr>
      <w:r w:rsidRPr="00795ABA">
        <w:t>O processo de priorização de áreas estratégicas aqui proposto foi acompanhado integralmente por uma equipe com participantes de diferentes áreas e pontos de vista. Durante o processo, algumas demandas e sugestões diferentes da proposta inicial (sugeridas p</w:t>
      </w:r>
      <w:r>
        <w:t>or</w:t>
      </w:r>
      <w:r w:rsidRPr="00795ABA">
        <w:t xml:space="preserve"> cientista) surgiram de tomadores de decisão, stakeholders e outros cientistas. As novas sugestões implicaram mudanças na metodologia para adequar o mapeamento à realidade local e às próximas políticas públicas </w:t>
      </w:r>
      <w:r>
        <w:t>relacionadas ao</w:t>
      </w:r>
      <w:r w:rsidRPr="00795ABA">
        <w:t xml:space="preserve"> PAT-CDSJ. Este estudo, além de apresentar as áreas estratégicas (</w:t>
      </w:r>
      <w:proofErr w:type="gramStart"/>
      <w:r w:rsidRPr="00795ABA">
        <w:t>produto final</w:t>
      </w:r>
      <w:proofErr w:type="gramEnd"/>
      <w:r w:rsidRPr="00795ABA">
        <w:t xml:space="preserve">), apresenta todo o processo utilizado para o desenvolvimento do mapeamento. Embora nosso estudo não tenha comparado diretamente nosso processo participativo com os processos convencionais de priorização acadêmica, algumas decisões tomadas durante esse processo dificilmente seriam tomadas em um </w:t>
      </w:r>
      <w:r>
        <w:t xml:space="preserve">processo </w:t>
      </w:r>
      <w:r w:rsidRPr="00795ABA">
        <w:t>convencional, devido à alta flexibilidade de uma abordagem participativa</w:t>
      </w:r>
      <w:r w:rsidR="00E65DE3" w:rsidRPr="00107731">
        <w:t>.</w:t>
      </w:r>
    </w:p>
    <w:p w14:paraId="2DFE944A" w14:textId="7CAB8333" w:rsidR="00795ABA" w:rsidRDefault="00795ABA" w:rsidP="00795ABA">
      <w:pPr>
        <w:spacing w:line="480" w:lineRule="auto"/>
        <w:jc w:val="both"/>
      </w:pPr>
      <w:r>
        <w:tab/>
      </w:r>
      <w:r w:rsidRPr="00795ABA">
        <w:t>Primeiramente, discutindo o padrão dos mapas, e</w:t>
      </w:r>
      <w:r w:rsidR="005B3B1C">
        <w:t xml:space="preserve">ra esperado que </w:t>
      </w:r>
      <w:r w:rsidRPr="00795ABA">
        <w:t>as áreas no entorno das áreas protegidas</w:t>
      </w:r>
      <w:r w:rsidR="005B3B1C" w:rsidRPr="005B3B1C">
        <w:t xml:space="preserve"> </w:t>
      </w:r>
      <w:r w:rsidR="005B3B1C">
        <w:t xml:space="preserve">apresentassem </w:t>
      </w:r>
      <w:r w:rsidR="005B3B1C" w:rsidRPr="00795ABA">
        <w:t>a maior relevância</w:t>
      </w:r>
      <w:r w:rsidRPr="00795ABA">
        <w:t>, tanto n</w:t>
      </w:r>
      <w:r w:rsidR="005B3B1C">
        <w:t>o mapa</w:t>
      </w:r>
      <w:r w:rsidRPr="00795ABA">
        <w:t xml:space="preserve"> síntese (</w:t>
      </w:r>
      <w:proofErr w:type="gramStart"/>
      <w:r w:rsidR="005B3B1C">
        <w:t>i.e.</w:t>
      </w:r>
      <w:proofErr w:type="gramEnd"/>
      <w:r w:rsidRPr="00795ABA">
        <w:t xml:space="preserve"> todos os </w:t>
      </w:r>
      <w:r w:rsidRPr="00795ABA">
        <w:lastRenderedPageBreak/>
        <w:t>critérios juntos, considerando todas as UP em um gradiente de relevância)</w:t>
      </w:r>
      <w:r w:rsidR="005B3B1C">
        <w:t>,</w:t>
      </w:r>
      <w:r w:rsidRPr="00795ABA">
        <w:t xml:space="preserve"> quanto no mapa </w:t>
      </w:r>
      <w:r w:rsidR="005B3B1C">
        <w:t>d</w:t>
      </w:r>
      <w:r w:rsidR="005B3B1C" w:rsidRPr="00795ABA">
        <w:t>a</w:t>
      </w:r>
      <w:r w:rsidR="005B3B1C">
        <w:t>s áreas estratégicas para</w:t>
      </w:r>
      <w:r w:rsidR="005B3B1C" w:rsidRPr="00795ABA">
        <w:t xml:space="preserve"> conservação </w:t>
      </w:r>
      <w:r w:rsidR="005B3B1C">
        <w:t xml:space="preserve">(i.e. </w:t>
      </w:r>
      <w:r w:rsidRPr="00795ABA">
        <w:t>SASC</w:t>
      </w:r>
      <w:r w:rsidR="005B3B1C">
        <w:t>)</w:t>
      </w:r>
      <w:r w:rsidRPr="00795ABA">
        <w:t xml:space="preserve">, já que as áreas protegidas tendem a favorecer a manutenção das localidades adjacentes (Gonçalves-Souza et al., 2021). O mapeamento da restauração, ao contrário, teve </w:t>
      </w:r>
      <w:r w:rsidR="005B3B1C" w:rsidRPr="00795ABA">
        <w:t xml:space="preserve">UP </w:t>
      </w:r>
      <w:r w:rsidRPr="00795ABA">
        <w:t xml:space="preserve">e SAER </w:t>
      </w:r>
      <w:r w:rsidR="005B3B1C" w:rsidRPr="00795ABA">
        <w:t xml:space="preserve">relevantes </w:t>
      </w:r>
      <w:r w:rsidRPr="00795ABA">
        <w:t>mais bem distribuíd</w:t>
      </w:r>
      <w:r w:rsidR="005B3B1C">
        <w:t>a</w:t>
      </w:r>
      <w:r w:rsidRPr="00795ABA">
        <w:t>s pelo PAT-CDSJ, padrão que pode ser justificado pela forte pressão antrópica que ocorre em todo o território (INEMA et al., 2020), aqui representada pela alta frequência de incêndios e valores intermediários de quantidade de habitat na maioria das UP.</w:t>
      </w:r>
    </w:p>
    <w:p w14:paraId="5AD53D74" w14:textId="4584B688" w:rsidR="006F086A" w:rsidRDefault="006F086A" w:rsidP="006F086A">
      <w:pPr>
        <w:spacing w:line="480" w:lineRule="auto"/>
        <w:ind w:firstLine="1008"/>
        <w:jc w:val="both"/>
      </w:pPr>
      <w:r w:rsidRPr="006F086A">
        <w:t xml:space="preserve">Além dos mapas de síntese e das áreas estratégicas, os mapas de critérios também são relevantes para orientar a implementação das ações planejadas a posteriori. Por exemplo, para a ação relacionada ao controle de incêndios, as áreas selecionadas aqui com alta prioridade podem não ser interessantes para um ótimo manejo de incêndios, pois provavelmente terão baixa frequência de incêndios. Áreas com alta prioridade e frequência de incêndios </w:t>
      </w:r>
      <w:r w:rsidR="007E509F">
        <w:t xml:space="preserve">(de </w:t>
      </w:r>
      <w:r w:rsidRPr="006F086A">
        <w:t>intermediária</w:t>
      </w:r>
      <w:r w:rsidR="007E509F">
        <w:t xml:space="preserve"> à </w:t>
      </w:r>
      <w:r w:rsidRPr="006F086A">
        <w:t>alta</w:t>
      </w:r>
      <w:r w:rsidR="007E509F">
        <w:t>)</w:t>
      </w:r>
      <w:r w:rsidRPr="006F086A">
        <w:t xml:space="preserve">, no entanto, podem ser encontradas com o auxílio do mapa de frequência de incêndios, onde o gerenciamento de incêndios ou o estabelecimento de brigadas de incêndio seriam mais relevantes. Além disso, ao identificar áreas de alta frequência de incêndios, este mapa também pode auxiliar </w:t>
      </w:r>
      <w:r w:rsidR="007E509F">
        <w:t>à elaboração</w:t>
      </w:r>
      <w:r w:rsidRPr="006F086A">
        <w:t xml:space="preserve"> de novas políticas públicas voltadas para essas regiões, como ações complementares e baseadas nas experiências e práticas do PAT-CDSJ. Um segundo exemplo pode estar relacionado à reintrodução da espécie CR-Gap, outra possível ação do PAT-CDSJ. A adequação ambiental e os critérios de quantidade e qualidade do habitat são geralmente indicados como altamente relevantes para ações de reintrodução (Fiedler e </w:t>
      </w:r>
      <w:proofErr w:type="spellStart"/>
      <w:r w:rsidRPr="006F086A">
        <w:t>Laven</w:t>
      </w:r>
      <w:proofErr w:type="spellEnd"/>
      <w:r w:rsidRPr="006F086A">
        <w:t xml:space="preserve">, 1996; Miranda et al., 2019). O mapa final (Fig. 4) identificou áreas com maior prioridade para espécies e para ecossistemas em geral. </w:t>
      </w:r>
      <w:r w:rsidR="007E509F">
        <w:t>Os</w:t>
      </w:r>
      <w:r w:rsidRPr="006F086A">
        <w:t xml:space="preserve"> mapas desses critérios </w:t>
      </w:r>
      <w:r w:rsidR="007E509F">
        <w:t>(</w:t>
      </w:r>
      <w:r w:rsidRPr="006F086A">
        <w:t>principalmente a adequação ambiental, que é espécie-específica</w:t>
      </w:r>
      <w:r w:rsidR="007E509F">
        <w:t>)</w:t>
      </w:r>
      <w:r w:rsidRPr="006F086A">
        <w:t xml:space="preserve"> podem ser utilizados em conjunto com o mapa final para a seleção de áreas de reintrodução, considerando espécie por espécie.</w:t>
      </w:r>
    </w:p>
    <w:p w14:paraId="0F5B46D1" w14:textId="067D4E11" w:rsidR="007434AA" w:rsidRDefault="007434AA" w:rsidP="006F086A">
      <w:pPr>
        <w:spacing w:line="480" w:lineRule="auto"/>
        <w:ind w:firstLine="1008"/>
        <w:jc w:val="both"/>
      </w:pPr>
      <w:r>
        <w:lastRenderedPageBreak/>
        <w:t>O</w:t>
      </w:r>
      <w:r w:rsidRPr="007434AA">
        <w:t xml:space="preserve"> instrumento PAT-CDSJ </w:t>
      </w:r>
      <w:r>
        <w:t>possui</w:t>
      </w:r>
      <w:r w:rsidRPr="007434AA">
        <w:t xml:space="preserve"> diversas ações que serão implementadas com base em nossos mapas, como reduzir os impactos das atividades agrícolas</w:t>
      </w:r>
      <w:r>
        <w:t xml:space="preserve"> e</w:t>
      </w:r>
      <w:r w:rsidRPr="007434AA">
        <w:t xml:space="preserve"> mineração, incêndios, comércio de espécies e evitar a expansão de espécies invasoras (INEMA et al., 2020). Para viabilizar a implementação dessas diferentes ações, esse mapeamento foi baseado em duas escalas de ação: unidades de planejamento com significado biológico (</w:t>
      </w:r>
      <w:proofErr w:type="gramStart"/>
      <w:r>
        <w:t>i.e.</w:t>
      </w:r>
      <w:proofErr w:type="gramEnd"/>
      <w:r w:rsidRPr="007434AA">
        <w:t xml:space="preserve"> microbacias, UP) e unidades políticas (</w:t>
      </w:r>
      <w:r>
        <w:t>i.e.</w:t>
      </w:r>
      <w:r w:rsidRPr="007434AA">
        <w:t xml:space="preserve"> municípios). Os limites políticos podem não ser eficientes para ações diretamente relacionadas às espécies, pois as populações das espécies são determinadas por limites naturais</w:t>
      </w:r>
      <w:r>
        <w:t>,</w:t>
      </w:r>
      <w:r w:rsidRPr="007434AA">
        <w:t xml:space="preserve"> como rios e montanhas. Nesse sentido, ações relacionadas ao manejo de espécies invasoras e aos impactos da agricultura no habitat da espécie podem ser mais efetivas se implementadas na escala da</w:t>
      </w:r>
      <w:r w:rsidR="00063DF3">
        <w:t>s</w:t>
      </w:r>
      <w:r w:rsidRPr="007434AA">
        <w:t xml:space="preserve"> UP. No entanto, várias ações para minimizar os impactos antrópicos precisam necessariamente da colaboração dos governos locais e dos cidadãos, para os quais a delimitação de limites políticos é essencial. Assim, ações relacionadas à promoção do turismo sustentável e ao combate ao comércio de espécies podem ser </w:t>
      </w:r>
      <w:r w:rsidR="00063DF3">
        <w:t xml:space="preserve">mais efetivas se </w:t>
      </w:r>
      <w:r w:rsidRPr="007434AA">
        <w:t>implementadas na escala d</w:t>
      </w:r>
      <w:r w:rsidR="00063DF3">
        <w:t xml:space="preserve">as </w:t>
      </w:r>
      <w:r w:rsidRPr="007434AA">
        <w:t>SASC. Além disso, os mapas aqui elaborados indicam áreas de alta prioridade em escala regional, porém, muitas decisões posteriores devem ser tomadas em escala mais refinada. A restauração, por exemplo, deve considerar a expansão da conectividade entre os fragmentos (</w:t>
      </w:r>
      <w:proofErr w:type="gramStart"/>
      <w:r w:rsidR="00063DF3">
        <w:t>i.e.</w:t>
      </w:r>
      <w:proofErr w:type="gramEnd"/>
      <w:r w:rsidRPr="007434AA">
        <w:t xml:space="preserve"> escala da paisagem) para manter a</w:t>
      </w:r>
      <w:r w:rsidR="00063DF3">
        <w:t>s</w:t>
      </w:r>
      <w:r w:rsidRPr="007434AA">
        <w:t xml:space="preserve"> dinâmica</w:t>
      </w:r>
      <w:r w:rsidR="00063DF3">
        <w:t>s</w:t>
      </w:r>
      <w:r w:rsidRPr="007434AA">
        <w:t xml:space="preserve"> d</w:t>
      </w:r>
      <w:r w:rsidR="00063DF3">
        <w:t>e</w:t>
      </w:r>
      <w:r w:rsidRPr="007434AA">
        <w:t xml:space="preserve"> </w:t>
      </w:r>
      <w:proofErr w:type="spellStart"/>
      <w:r w:rsidRPr="007434AA">
        <w:t>metacomunidade</w:t>
      </w:r>
      <w:proofErr w:type="spellEnd"/>
      <w:r w:rsidRPr="007434AA">
        <w:t xml:space="preserve"> (Arroyo-Rodríguez et al., 2020; Chase et al., 2020).</w:t>
      </w:r>
    </w:p>
    <w:p w14:paraId="10289940" w14:textId="3CA4D4EC" w:rsidR="00063DF3" w:rsidRDefault="00D55C01" w:rsidP="006F086A">
      <w:pPr>
        <w:spacing w:line="480" w:lineRule="auto"/>
        <w:ind w:firstLine="1008"/>
        <w:jc w:val="both"/>
      </w:pPr>
      <w:r w:rsidRPr="00D55C01">
        <w:t xml:space="preserve">Os resultados deste estudo serão utilizados não apenas pelos tomadores de decisão diretamente envolvidos no projeto PAT-CDSJ, mas também pelos proprietários e gestores locais. Por isso, preparamos nosso mapa para </w:t>
      </w:r>
      <w:r>
        <w:t>ser compreensível</w:t>
      </w:r>
      <w:r w:rsidRPr="00D55C01">
        <w:t xml:space="preserve"> a qualquer público. Embora tenhamos selecionado apenas algumas áreas estratégicas devido ao pouco tempo e recursos, todas as regiões do PAT-CDSJ são importantes para conservação e restauração, considerando suas características e ameaças socioambientais (</w:t>
      </w:r>
      <w:proofErr w:type="spellStart"/>
      <w:r w:rsidRPr="00D55C01">
        <w:t>Giulietti</w:t>
      </w:r>
      <w:proofErr w:type="spellEnd"/>
      <w:r w:rsidRPr="00D55C01">
        <w:t xml:space="preserve"> et al., 1997; INEMA et al., 2020). Assim, </w:t>
      </w:r>
      <w:r>
        <w:t>os</w:t>
      </w:r>
      <w:r w:rsidRPr="00D55C01">
        <w:t xml:space="preserve"> mapas intermediários (mapas de critérios e síntese) não podem variar de zero a um, </w:t>
      </w:r>
      <w:r w:rsidRPr="00D55C01">
        <w:lastRenderedPageBreak/>
        <w:t xml:space="preserve">pois o zero dá a impressão de que as unidades de planejamento são irrelevantes. Em seguida, não mostramos valores para </w:t>
      </w:r>
      <w:r w:rsidR="00A676C5">
        <w:t xml:space="preserve">os </w:t>
      </w:r>
      <w:r w:rsidRPr="00D55C01">
        <w:t>mapas intermediários, mas uma escala de cores contínua de 'relevante' para 'altamente relevante'. Seguindo a mesma lógica, a gradação de cores não deve começar pelo branco, pois essa cor pode dar uma ideia de não relevância. O mapa também deve ser completo: incluindo título, informações sobre parceiros e financiadores, referências geográficas e municípios ao fundo (Fig. 4). Essa lista de elementos facilita a compreensão do mapa, a divulgação, a localização rápida da área de interesse e a identificação dos responsáveis ​​pelo produto</w:t>
      </w:r>
      <w:r>
        <w:t>.</w:t>
      </w:r>
    </w:p>
    <w:p w14:paraId="6F1B7279" w14:textId="5E72C8BD" w:rsidR="0041490A" w:rsidRPr="00107731" w:rsidRDefault="00A676C5" w:rsidP="004321A2">
      <w:pPr>
        <w:spacing w:line="480" w:lineRule="auto"/>
        <w:ind w:firstLine="1008"/>
        <w:jc w:val="both"/>
      </w:pPr>
      <w:r w:rsidRPr="00A676C5">
        <w:t>É importante ressaltar que todos os exemplos aqui apresentados foram resultado</w:t>
      </w:r>
      <w:r>
        <w:t>s</w:t>
      </w:r>
      <w:r w:rsidRPr="00A676C5">
        <w:t xml:space="preserve"> de consenso, consequentemente, as soluções são bastante inclusivas (</w:t>
      </w:r>
      <w:r>
        <w:t>e.g.</w:t>
      </w:r>
      <w:r w:rsidRPr="00A676C5">
        <w:t xml:space="preserve"> ao considerar limites naturais e políticos em diferentes etapas do mapeamento). A utilização de uma abordagem participativa possibilitou a inclusão de informações técnico-científicas e as perspectivas dos tomadores de decisão e </w:t>
      </w:r>
      <w:r>
        <w:t>partes interessadas</w:t>
      </w:r>
      <w:r w:rsidRPr="00A676C5">
        <w:t xml:space="preserve">, melhorando a aplicabilidade dos mapas de priorização, condizentes com a realidade local. </w:t>
      </w:r>
      <w:r w:rsidR="00F4202C" w:rsidRPr="00F4202C">
        <w:t>Sabe-se que apenas a incorporação da participação em um processo de mapeamento e identificação de áreas estratégicas não garante a solução da lacuna ciência-prática (</w:t>
      </w:r>
      <w:proofErr w:type="spellStart"/>
      <w:r w:rsidR="00F4202C" w:rsidRPr="00F4202C">
        <w:t>Dobrovolski</w:t>
      </w:r>
      <w:proofErr w:type="spellEnd"/>
      <w:r w:rsidR="00F4202C" w:rsidRPr="00F4202C">
        <w:t xml:space="preserve">, 2022; Vieira et al., 2019; Watson et al., 2014). Entretanto, nosso </w:t>
      </w:r>
      <w:r w:rsidR="00F4202C">
        <w:t>estud</w:t>
      </w:r>
      <w:r w:rsidR="00F4202C" w:rsidRPr="00F4202C">
        <w:t xml:space="preserve">o incorpora os tomadores de decisão, as partes interessadas e os cientistas que estão diretamente envolvidos com o plano de ação do território alvo e que irão implementar os públicos políticos nessas áreas estratégicas, facilitando a </w:t>
      </w:r>
      <w:r w:rsidR="004321A2">
        <w:t>solu</w:t>
      </w:r>
      <w:r w:rsidR="00F4202C" w:rsidRPr="00F4202C">
        <w:t>ção desta lacuna</w:t>
      </w:r>
      <w:r w:rsidR="00F4202C">
        <w:t xml:space="preserve"> n</w:t>
      </w:r>
      <w:r w:rsidR="004321A2">
        <w:t>este</w:t>
      </w:r>
      <w:r w:rsidR="00F4202C">
        <w:t xml:space="preserve"> processo</w:t>
      </w:r>
      <w:r w:rsidRPr="00A676C5">
        <w:t>. Esse processo proporciona aos tomadores de decisão e stakeholders um senso de propriedade do conhecimento gerado, pois eles deixam de ser apenas clientes para se tornarem agentes ativos no processo de planejamento de conservação e restauração, reduzindo, em última análise, a lacuna entre planejamento e aplicação</w:t>
      </w:r>
      <w:r>
        <w:t>.</w:t>
      </w:r>
    </w:p>
    <w:sectPr w:rsidR="0041490A" w:rsidRPr="00107731" w:rsidSect="00BD65A8">
      <w:pgSz w:w="11906" w:h="16838"/>
      <w:pgMar w:top="1701" w:right="1134" w:bottom="1134" w:left="1701" w:header="709" w:footer="0" w:gutter="0"/>
      <w:lnNumType w:countBy="1"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1E93" w14:textId="77777777" w:rsidR="008820F9" w:rsidRDefault="008820F9" w:rsidP="00BD65A8">
      <w:r>
        <w:separator/>
      </w:r>
    </w:p>
  </w:endnote>
  <w:endnote w:type="continuationSeparator" w:id="0">
    <w:p w14:paraId="2C73D336" w14:textId="77777777" w:rsidR="008820F9" w:rsidRDefault="008820F9" w:rsidP="00BD65A8">
      <w:r>
        <w:continuationSeparator/>
      </w:r>
    </w:p>
  </w:endnote>
  <w:endnote w:type="continuationNotice" w:id="1">
    <w:p w14:paraId="60777D5E" w14:textId="77777777" w:rsidR="008820F9" w:rsidRDefault="00882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9AD4" w14:textId="77777777" w:rsidR="008820F9" w:rsidRDefault="008820F9" w:rsidP="00BD65A8">
      <w:r>
        <w:separator/>
      </w:r>
    </w:p>
  </w:footnote>
  <w:footnote w:type="continuationSeparator" w:id="0">
    <w:p w14:paraId="628192C9" w14:textId="77777777" w:rsidR="008820F9" w:rsidRDefault="008820F9" w:rsidP="00BD65A8">
      <w:r>
        <w:continuationSeparator/>
      </w:r>
    </w:p>
  </w:footnote>
  <w:footnote w:type="continuationNotice" w:id="1">
    <w:p w14:paraId="4A44B667" w14:textId="77777777" w:rsidR="008820F9" w:rsidRDefault="00882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323172"/>
      <w:docPartObj>
        <w:docPartGallery w:val="Page Numbers (Top of Page)"/>
        <w:docPartUnique/>
      </w:docPartObj>
    </w:sdtPr>
    <w:sdtContent>
      <w:p w14:paraId="5342A152" w14:textId="77777777" w:rsidR="004F2C96" w:rsidRDefault="004F2C96">
        <w:pPr>
          <w:pStyle w:val="Cabealho1"/>
          <w:jc w:val="right"/>
        </w:pPr>
        <w:r>
          <w:rPr>
            <w:noProof/>
          </w:rPr>
          <w:fldChar w:fldCharType="begin"/>
        </w:r>
        <w:r>
          <w:rPr>
            <w:noProof/>
          </w:rPr>
          <w:instrText>PAGE</w:instrText>
        </w:r>
        <w:r>
          <w:rPr>
            <w:noProof/>
          </w:rPr>
          <w:fldChar w:fldCharType="separate"/>
        </w:r>
        <w:r w:rsidR="00D94B3C">
          <w:rPr>
            <w:noProof/>
          </w:rPr>
          <w:t>17</w:t>
        </w:r>
        <w:r>
          <w:rPr>
            <w:noProof/>
          </w:rPr>
          <w:fldChar w:fldCharType="end"/>
        </w:r>
      </w:p>
    </w:sdtContent>
  </w:sdt>
  <w:p w14:paraId="3E33AC51" w14:textId="77777777" w:rsidR="004F2C96" w:rsidRDefault="004F2C96">
    <w:pPr>
      <w:pStyle w:val="Cabealho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8EA"/>
    <w:multiLevelType w:val="hybridMultilevel"/>
    <w:tmpl w:val="6F965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1970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A8"/>
    <w:rsid w:val="00001C54"/>
    <w:rsid w:val="0000614D"/>
    <w:rsid w:val="00007131"/>
    <w:rsid w:val="000073A2"/>
    <w:rsid w:val="00011C45"/>
    <w:rsid w:val="00012A02"/>
    <w:rsid w:val="000132B9"/>
    <w:rsid w:val="000133E3"/>
    <w:rsid w:val="00013994"/>
    <w:rsid w:val="00013C91"/>
    <w:rsid w:val="00015DF2"/>
    <w:rsid w:val="00016304"/>
    <w:rsid w:val="000164B3"/>
    <w:rsid w:val="00017797"/>
    <w:rsid w:val="00017C83"/>
    <w:rsid w:val="0002060F"/>
    <w:rsid w:val="0002125F"/>
    <w:rsid w:val="0002262B"/>
    <w:rsid w:val="000228C4"/>
    <w:rsid w:val="00025C51"/>
    <w:rsid w:val="00026A1B"/>
    <w:rsid w:val="00032D37"/>
    <w:rsid w:val="000343EF"/>
    <w:rsid w:val="000370D7"/>
    <w:rsid w:val="00045475"/>
    <w:rsid w:val="00047C9C"/>
    <w:rsid w:val="00052797"/>
    <w:rsid w:val="00052D92"/>
    <w:rsid w:val="00053E13"/>
    <w:rsid w:val="00054FAF"/>
    <w:rsid w:val="00057A2C"/>
    <w:rsid w:val="0006037C"/>
    <w:rsid w:val="0006145C"/>
    <w:rsid w:val="00061A10"/>
    <w:rsid w:val="00062E89"/>
    <w:rsid w:val="000636A7"/>
    <w:rsid w:val="00063DF3"/>
    <w:rsid w:val="00064661"/>
    <w:rsid w:val="00064B68"/>
    <w:rsid w:val="000651C4"/>
    <w:rsid w:val="000666A7"/>
    <w:rsid w:val="00066E77"/>
    <w:rsid w:val="0007063B"/>
    <w:rsid w:val="00070FA3"/>
    <w:rsid w:val="0007118D"/>
    <w:rsid w:val="000727E9"/>
    <w:rsid w:val="000745AE"/>
    <w:rsid w:val="000764E7"/>
    <w:rsid w:val="0007669A"/>
    <w:rsid w:val="00080243"/>
    <w:rsid w:val="00081076"/>
    <w:rsid w:val="000821E8"/>
    <w:rsid w:val="000825DA"/>
    <w:rsid w:val="00084E02"/>
    <w:rsid w:val="00085D30"/>
    <w:rsid w:val="00086265"/>
    <w:rsid w:val="00086C56"/>
    <w:rsid w:val="00087286"/>
    <w:rsid w:val="00090463"/>
    <w:rsid w:val="000908A4"/>
    <w:rsid w:val="00090B88"/>
    <w:rsid w:val="00090CD5"/>
    <w:rsid w:val="000921C2"/>
    <w:rsid w:val="00092BC7"/>
    <w:rsid w:val="000A0445"/>
    <w:rsid w:val="000A06BD"/>
    <w:rsid w:val="000A0B31"/>
    <w:rsid w:val="000A0CFF"/>
    <w:rsid w:val="000A163D"/>
    <w:rsid w:val="000A230E"/>
    <w:rsid w:val="000A3CDB"/>
    <w:rsid w:val="000A52B5"/>
    <w:rsid w:val="000A71E6"/>
    <w:rsid w:val="000A75D5"/>
    <w:rsid w:val="000A7F68"/>
    <w:rsid w:val="000B0ECB"/>
    <w:rsid w:val="000B0F3F"/>
    <w:rsid w:val="000B181F"/>
    <w:rsid w:val="000B2996"/>
    <w:rsid w:val="000B3F8F"/>
    <w:rsid w:val="000B419B"/>
    <w:rsid w:val="000B5A3A"/>
    <w:rsid w:val="000B6A79"/>
    <w:rsid w:val="000B6D9B"/>
    <w:rsid w:val="000C309E"/>
    <w:rsid w:val="000C4F17"/>
    <w:rsid w:val="000C75F4"/>
    <w:rsid w:val="000D0C31"/>
    <w:rsid w:val="000D0D12"/>
    <w:rsid w:val="000D10B2"/>
    <w:rsid w:val="000D5453"/>
    <w:rsid w:val="000D7314"/>
    <w:rsid w:val="000D733B"/>
    <w:rsid w:val="000D785F"/>
    <w:rsid w:val="000D7ED5"/>
    <w:rsid w:val="000D7F63"/>
    <w:rsid w:val="000E0800"/>
    <w:rsid w:val="000E0DB1"/>
    <w:rsid w:val="000E0E19"/>
    <w:rsid w:val="000E1BB6"/>
    <w:rsid w:val="000E2446"/>
    <w:rsid w:val="000E2759"/>
    <w:rsid w:val="000E3584"/>
    <w:rsid w:val="000E35A3"/>
    <w:rsid w:val="000E4643"/>
    <w:rsid w:val="000E703A"/>
    <w:rsid w:val="000F0031"/>
    <w:rsid w:val="000F1292"/>
    <w:rsid w:val="000F1C1F"/>
    <w:rsid w:val="000F3BE5"/>
    <w:rsid w:val="000F4A96"/>
    <w:rsid w:val="000F4AB8"/>
    <w:rsid w:val="000F4EEF"/>
    <w:rsid w:val="000F5442"/>
    <w:rsid w:val="000F56A0"/>
    <w:rsid w:val="000F5D60"/>
    <w:rsid w:val="000F6102"/>
    <w:rsid w:val="0010191D"/>
    <w:rsid w:val="00104085"/>
    <w:rsid w:val="00105B3E"/>
    <w:rsid w:val="00107731"/>
    <w:rsid w:val="0011026A"/>
    <w:rsid w:val="001130D2"/>
    <w:rsid w:val="00113BE8"/>
    <w:rsid w:val="00114D6F"/>
    <w:rsid w:val="00115511"/>
    <w:rsid w:val="00117881"/>
    <w:rsid w:val="00117D2E"/>
    <w:rsid w:val="00117F10"/>
    <w:rsid w:val="00121299"/>
    <w:rsid w:val="00125942"/>
    <w:rsid w:val="00125B1B"/>
    <w:rsid w:val="00125C67"/>
    <w:rsid w:val="0012684F"/>
    <w:rsid w:val="00126AED"/>
    <w:rsid w:val="00130150"/>
    <w:rsid w:val="0013165C"/>
    <w:rsid w:val="00131787"/>
    <w:rsid w:val="0013203B"/>
    <w:rsid w:val="001320AA"/>
    <w:rsid w:val="00133E5C"/>
    <w:rsid w:val="00134325"/>
    <w:rsid w:val="00135E19"/>
    <w:rsid w:val="001367A8"/>
    <w:rsid w:val="00137134"/>
    <w:rsid w:val="00137410"/>
    <w:rsid w:val="00137DB3"/>
    <w:rsid w:val="001400B5"/>
    <w:rsid w:val="0014087F"/>
    <w:rsid w:val="001419E5"/>
    <w:rsid w:val="00142A4A"/>
    <w:rsid w:val="00143701"/>
    <w:rsid w:val="00143837"/>
    <w:rsid w:val="00144884"/>
    <w:rsid w:val="00145B32"/>
    <w:rsid w:val="00146078"/>
    <w:rsid w:val="001468B9"/>
    <w:rsid w:val="00146C56"/>
    <w:rsid w:val="001502EA"/>
    <w:rsid w:val="00151069"/>
    <w:rsid w:val="001511DE"/>
    <w:rsid w:val="00154D5A"/>
    <w:rsid w:val="00155168"/>
    <w:rsid w:val="001573A9"/>
    <w:rsid w:val="001626C1"/>
    <w:rsid w:val="00162B16"/>
    <w:rsid w:val="00162FED"/>
    <w:rsid w:val="00165E52"/>
    <w:rsid w:val="00167C47"/>
    <w:rsid w:val="001706CF"/>
    <w:rsid w:val="00170777"/>
    <w:rsid w:val="00171CE0"/>
    <w:rsid w:val="001724FF"/>
    <w:rsid w:val="001725EB"/>
    <w:rsid w:val="001738AD"/>
    <w:rsid w:val="00173DEB"/>
    <w:rsid w:val="001742FC"/>
    <w:rsid w:val="00175727"/>
    <w:rsid w:val="00176816"/>
    <w:rsid w:val="00176E0B"/>
    <w:rsid w:val="0017745E"/>
    <w:rsid w:val="001804DD"/>
    <w:rsid w:val="001810BB"/>
    <w:rsid w:val="0018356A"/>
    <w:rsid w:val="00183763"/>
    <w:rsid w:val="00183F15"/>
    <w:rsid w:val="00184B3B"/>
    <w:rsid w:val="00185848"/>
    <w:rsid w:val="00185CD9"/>
    <w:rsid w:val="001860C7"/>
    <w:rsid w:val="0018642A"/>
    <w:rsid w:val="00186694"/>
    <w:rsid w:val="00187199"/>
    <w:rsid w:val="00187FF4"/>
    <w:rsid w:val="00190AC0"/>
    <w:rsid w:val="001953E0"/>
    <w:rsid w:val="00195757"/>
    <w:rsid w:val="00196384"/>
    <w:rsid w:val="001968DA"/>
    <w:rsid w:val="00197749"/>
    <w:rsid w:val="00197B96"/>
    <w:rsid w:val="001A0B8C"/>
    <w:rsid w:val="001A0FEC"/>
    <w:rsid w:val="001A1919"/>
    <w:rsid w:val="001A2560"/>
    <w:rsid w:val="001A3174"/>
    <w:rsid w:val="001A4B46"/>
    <w:rsid w:val="001A689D"/>
    <w:rsid w:val="001A6DE6"/>
    <w:rsid w:val="001A7200"/>
    <w:rsid w:val="001B1528"/>
    <w:rsid w:val="001B1F2C"/>
    <w:rsid w:val="001B2A8D"/>
    <w:rsid w:val="001B3873"/>
    <w:rsid w:val="001B3902"/>
    <w:rsid w:val="001B4E5F"/>
    <w:rsid w:val="001B5360"/>
    <w:rsid w:val="001B6BC0"/>
    <w:rsid w:val="001C1A5F"/>
    <w:rsid w:val="001C1E20"/>
    <w:rsid w:val="001C1F82"/>
    <w:rsid w:val="001C224E"/>
    <w:rsid w:val="001C4348"/>
    <w:rsid w:val="001C4AA5"/>
    <w:rsid w:val="001C4BB8"/>
    <w:rsid w:val="001C5579"/>
    <w:rsid w:val="001C732A"/>
    <w:rsid w:val="001C7378"/>
    <w:rsid w:val="001D0107"/>
    <w:rsid w:val="001D06AE"/>
    <w:rsid w:val="001D121D"/>
    <w:rsid w:val="001D422F"/>
    <w:rsid w:val="001D4580"/>
    <w:rsid w:val="001D475C"/>
    <w:rsid w:val="001D5CD6"/>
    <w:rsid w:val="001D6B5A"/>
    <w:rsid w:val="001E16DD"/>
    <w:rsid w:val="001E19AC"/>
    <w:rsid w:val="001E394F"/>
    <w:rsid w:val="001E40F4"/>
    <w:rsid w:val="001E4804"/>
    <w:rsid w:val="001E4948"/>
    <w:rsid w:val="001E4A36"/>
    <w:rsid w:val="001E78E2"/>
    <w:rsid w:val="001F1664"/>
    <w:rsid w:val="001F28DB"/>
    <w:rsid w:val="001F2E52"/>
    <w:rsid w:val="001F3E9C"/>
    <w:rsid w:val="001F47D2"/>
    <w:rsid w:val="001F5D0C"/>
    <w:rsid w:val="001F5F0B"/>
    <w:rsid w:val="001F7A12"/>
    <w:rsid w:val="00201E7B"/>
    <w:rsid w:val="00202F35"/>
    <w:rsid w:val="00203836"/>
    <w:rsid w:val="00204576"/>
    <w:rsid w:val="00206001"/>
    <w:rsid w:val="002062CB"/>
    <w:rsid w:val="002066FE"/>
    <w:rsid w:val="00206CED"/>
    <w:rsid w:val="00207EB5"/>
    <w:rsid w:val="002111D9"/>
    <w:rsid w:val="00212140"/>
    <w:rsid w:val="00212A99"/>
    <w:rsid w:val="00213562"/>
    <w:rsid w:val="0021391C"/>
    <w:rsid w:val="00214410"/>
    <w:rsid w:val="0021572E"/>
    <w:rsid w:val="002176E9"/>
    <w:rsid w:val="00217913"/>
    <w:rsid w:val="00217C75"/>
    <w:rsid w:val="00217D0E"/>
    <w:rsid w:val="00222BF4"/>
    <w:rsid w:val="00222C19"/>
    <w:rsid w:val="0022324E"/>
    <w:rsid w:val="00223CA2"/>
    <w:rsid w:val="00224723"/>
    <w:rsid w:val="00224F9B"/>
    <w:rsid w:val="002255BC"/>
    <w:rsid w:val="00227C1C"/>
    <w:rsid w:val="0023044F"/>
    <w:rsid w:val="00230B2D"/>
    <w:rsid w:val="00230C63"/>
    <w:rsid w:val="0023279A"/>
    <w:rsid w:val="00232D5A"/>
    <w:rsid w:val="00233F92"/>
    <w:rsid w:val="00235057"/>
    <w:rsid w:val="002365AD"/>
    <w:rsid w:val="00236E28"/>
    <w:rsid w:val="00237673"/>
    <w:rsid w:val="0023795F"/>
    <w:rsid w:val="00241374"/>
    <w:rsid w:val="0024138E"/>
    <w:rsid w:val="00242696"/>
    <w:rsid w:val="0024399A"/>
    <w:rsid w:val="00244CEE"/>
    <w:rsid w:val="0024519C"/>
    <w:rsid w:val="002459DB"/>
    <w:rsid w:val="002465AB"/>
    <w:rsid w:val="00246CD2"/>
    <w:rsid w:val="0025132C"/>
    <w:rsid w:val="00254187"/>
    <w:rsid w:val="002551A6"/>
    <w:rsid w:val="00256646"/>
    <w:rsid w:val="00256924"/>
    <w:rsid w:val="0025709D"/>
    <w:rsid w:val="00261B05"/>
    <w:rsid w:val="00263326"/>
    <w:rsid w:val="00263BC2"/>
    <w:rsid w:val="00264B72"/>
    <w:rsid w:val="00264F14"/>
    <w:rsid w:val="00265B1E"/>
    <w:rsid w:val="00267EDD"/>
    <w:rsid w:val="00270F68"/>
    <w:rsid w:val="00272FD9"/>
    <w:rsid w:val="00273826"/>
    <w:rsid w:val="00275115"/>
    <w:rsid w:val="00275811"/>
    <w:rsid w:val="002758BE"/>
    <w:rsid w:val="00276AEA"/>
    <w:rsid w:val="00277A9F"/>
    <w:rsid w:val="00280F0A"/>
    <w:rsid w:val="00281050"/>
    <w:rsid w:val="002814D4"/>
    <w:rsid w:val="0028339E"/>
    <w:rsid w:val="00284149"/>
    <w:rsid w:val="00284D8F"/>
    <w:rsid w:val="002863F4"/>
    <w:rsid w:val="0029014E"/>
    <w:rsid w:val="002907A3"/>
    <w:rsid w:val="002917C8"/>
    <w:rsid w:val="0029279E"/>
    <w:rsid w:val="002929A7"/>
    <w:rsid w:val="00293C06"/>
    <w:rsid w:val="00294507"/>
    <w:rsid w:val="00294C4E"/>
    <w:rsid w:val="002956A5"/>
    <w:rsid w:val="00295EEC"/>
    <w:rsid w:val="002A0AB5"/>
    <w:rsid w:val="002A0F72"/>
    <w:rsid w:val="002A173A"/>
    <w:rsid w:val="002A268B"/>
    <w:rsid w:val="002A419C"/>
    <w:rsid w:val="002A4DC1"/>
    <w:rsid w:val="002A4F23"/>
    <w:rsid w:val="002A560E"/>
    <w:rsid w:val="002A6A9D"/>
    <w:rsid w:val="002A757B"/>
    <w:rsid w:val="002A7DA2"/>
    <w:rsid w:val="002B1285"/>
    <w:rsid w:val="002B16A0"/>
    <w:rsid w:val="002B3610"/>
    <w:rsid w:val="002B4EE3"/>
    <w:rsid w:val="002B575D"/>
    <w:rsid w:val="002B7192"/>
    <w:rsid w:val="002B71D1"/>
    <w:rsid w:val="002C29D0"/>
    <w:rsid w:val="002C3672"/>
    <w:rsid w:val="002C3FEB"/>
    <w:rsid w:val="002C43C3"/>
    <w:rsid w:val="002C644E"/>
    <w:rsid w:val="002C728D"/>
    <w:rsid w:val="002C7CE1"/>
    <w:rsid w:val="002D1C63"/>
    <w:rsid w:val="002D3BAA"/>
    <w:rsid w:val="002D3FB8"/>
    <w:rsid w:val="002D4ACB"/>
    <w:rsid w:val="002E03F8"/>
    <w:rsid w:val="002E1CDC"/>
    <w:rsid w:val="002E3587"/>
    <w:rsid w:val="002E4CE4"/>
    <w:rsid w:val="002F0CEB"/>
    <w:rsid w:val="002F1C22"/>
    <w:rsid w:val="002F1F1F"/>
    <w:rsid w:val="002F4456"/>
    <w:rsid w:val="002F46C8"/>
    <w:rsid w:val="002F4A39"/>
    <w:rsid w:val="002F6174"/>
    <w:rsid w:val="002F7E87"/>
    <w:rsid w:val="00302DA3"/>
    <w:rsid w:val="00303745"/>
    <w:rsid w:val="00303BEF"/>
    <w:rsid w:val="003049D5"/>
    <w:rsid w:val="00304DC9"/>
    <w:rsid w:val="00305E66"/>
    <w:rsid w:val="00306584"/>
    <w:rsid w:val="00307010"/>
    <w:rsid w:val="00307611"/>
    <w:rsid w:val="00307E29"/>
    <w:rsid w:val="00311529"/>
    <w:rsid w:val="00312D45"/>
    <w:rsid w:val="00313540"/>
    <w:rsid w:val="00313BAF"/>
    <w:rsid w:val="00313F8E"/>
    <w:rsid w:val="00314D16"/>
    <w:rsid w:val="00315811"/>
    <w:rsid w:val="00316BB7"/>
    <w:rsid w:val="00317AE1"/>
    <w:rsid w:val="003222E0"/>
    <w:rsid w:val="0032406D"/>
    <w:rsid w:val="00324330"/>
    <w:rsid w:val="00326B14"/>
    <w:rsid w:val="0033131A"/>
    <w:rsid w:val="0033248B"/>
    <w:rsid w:val="0033284E"/>
    <w:rsid w:val="00332BEA"/>
    <w:rsid w:val="00333AD4"/>
    <w:rsid w:val="003347B8"/>
    <w:rsid w:val="00334D89"/>
    <w:rsid w:val="00334FCA"/>
    <w:rsid w:val="00335243"/>
    <w:rsid w:val="00336EBC"/>
    <w:rsid w:val="00337355"/>
    <w:rsid w:val="0033751D"/>
    <w:rsid w:val="0034009A"/>
    <w:rsid w:val="00340D6A"/>
    <w:rsid w:val="00342C75"/>
    <w:rsid w:val="00342DC5"/>
    <w:rsid w:val="00342EE6"/>
    <w:rsid w:val="00342F40"/>
    <w:rsid w:val="00343529"/>
    <w:rsid w:val="0034355E"/>
    <w:rsid w:val="00344CD7"/>
    <w:rsid w:val="0034750E"/>
    <w:rsid w:val="0035130B"/>
    <w:rsid w:val="0035253F"/>
    <w:rsid w:val="00352A08"/>
    <w:rsid w:val="00352AD5"/>
    <w:rsid w:val="00355407"/>
    <w:rsid w:val="0035575C"/>
    <w:rsid w:val="00356050"/>
    <w:rsid w:val="00356C94"/>
    <w:rsid w:val="00360705"/>
    <w:rsid w:val="003613D3"/>
    <w:rsid w:val="00361B0E"/>
    <w:rsid w:val="0036320F"/>
    <w:rsid w:val="00363375"/>
    <w:rsid w:val="00363E9C"/>
    <w:rsid w:val="00365CB8"/>
    <w:rsid w:val="0037243B"/>
    <w:rsid w:val="00372A93"/>
    <w:rsid w:val="00374F0B"/>
    <w:rsid w:val="00377775"/>
    <w:rsid w:val="0038091C"/>
    <w:rsid w:val="00382910"/>
    <w:rsid w:val="00382DEA"/>
    <w:rsid w:val="003831F3"/>
    <w:rsid w:val="0038377F"/>
    <w:rsid w:val="003850FA"/>
    <w:rsid w:val="00393AE2"/>
    <w:rsid w:val="00394040"/>
    <w:rsid w:val="003940E0"/>
    <w:rsid w:val="003948E7"/>
    <w:rsid w:val="00394FAE"/>
    <w:rsid w:val="003A1113"/>
    <w:rsid w:val="003A193F"/>
    <w:rsid w:val="003A1A92"/>
    <w:rsid w:val="003A2546"/>
    <w:rsid w:val="003A2AEC"/>
    <w:rsid w:val="003A3B21"/>
    <w:rsid w:val="003A53BC"/>
    <w:rsid w:val="003A571B"/>
    <w:rsid w:val="003A6B5C"/>
    <w:rsid w:val="003B04DC"/>
    <w:rsid w:val="003B0763"/>
    <w:rsid w:val="003B0986"/>
    <w:rsid w:val="003B1B48"/>
    <w:rsid w:val="003B1CD1"/>
    <w:rsid w:val="003B1D4A"/>
    <w:rsid w:val="003B1F1E"/>
    <w:rsid w:val="003B3116"/>
    <w:rsid w:val="003B3381"/>
    <w:rsid w:val="003B3F98"/>
    <w:rsid w:val="003B5E7E"/>
    <w:rsid w:val="003B71B5"/>
    <w:rsid w:val="003B75C2"/>
    <w:rsid w:val="003B7ED0"/>
    <w:rsid w:val="003C06D6"/>
    <w:rsid w:val="003C15A5"/>
    <w:rsid w:val="003C16C7"/>
    <w:rsid w:val="003C1A69"/>
    <w:rsid w:val="003C2124"/>
    <w:rsid w:val="003C3AB2"/>
    <w:rsid w:val="003C3B57"/>
    <w:rsid w:val="003C3BEE"/>
    <w:rsid w:val="003C4207"/>
    <w:rsid w:val="003C4D16"/>
    <w:rsid w:val="003C51FF"/>
    <w:rsid w:val="003C76C4"/>
    <w:rsid w:val="003C7A97"/>
    <w:rsid w:val="003D0E87"/>
    <w:rsid w:val="003D11B6"/>
    <w:rsid w:val="003D1E88"/>
    <w:rsid w:val="003D21E4"/>
    <w:rsid w:val="003D3AAA"/>
    <w:rsid w:val="003D3B22"/>
    <w:rsid w:val="003D42B7"/>
    <w:rsid w:val="003D4C8F"/>
    <w:rsid w:val="003D5937"/>
    <w:rsid w:val="003D70C7"/>
    <w:rsid w:val="003D75C9"/>
    <w:rsid w:val="003E10E7"/>
    <w:rsid w:val="003E2263"/>
    <w:rsid w:val="003E40B4"/>
    <w:rsid w:val="003E4A6C"/>
    <w:rsid w:val="003E57B1"/>
    <w:rsid w:val="003E7A00"/>
    <w:rsid w:val="003F0671"/>
    <w:rsid w:val="003F0A83"/>
    <w:rsid w:val="003F14CF"/>
    <w:rsid w:val="003F1A59"/>
    <w:rsid w:val="003F1CB3"/>
    <w:rsid w:val="003F1EF4"/>
    <w:rsid w:val="003F31D9"/>
    <w:rsid w:val="003F3BB8"/>
    <w:rsid w:val="003F50B8"/>
    <w:rsid w:val="003F680B"/>
    <w:rsid w:val="004007CA"/>
    <w:rsid w:val="00400845"/>
    <w:rsid w:val="00400D4E"/>
    <w:rsid w:val="004018CA"/>
    <w:rsid w:val="0040200A"/>
    <w:rsid w:val="0040241A"/>
    <w:rsid w:val="0040256D"/>
    <w:rsid w:val="004042A1"/>
    <w:rsid w:val="00405794"/>
    <w:rsid w:val="0040713D"/>
    <w:rsid w:val="004073CB"/>
    <w:rsid w:val="0040760F"/>
    <w:rsid w:val="00412635"/>
    <w:rsid w:val="004133CC"/>
    <w:rsid w:val="0041395D"/>
    <w:rsid w:val="00414484"/>
    <w:rsid w:val="0041490A"/>
    <w:rsid w:val="00415233"/>
    <w:rsid w:val="0041545D"/>
    <w:rsid w:val="0041581E"/>
    <w:rsid w:val="00416264"/>
    <w:rsid w:val="0041689F"/>
    <w:rsid w:val="00416982"/>
    <w:rsid w:val="00416E79"/>
    <w:rsid w:val="00421B8E"/>
    <w:rsid w:val="00421D7D"/>
    <w:rsid w:val="00421EC1"/>
    <w:rsid w:val="0042330D"/>
    <w:rsid w:val="00424B25"/>
    <w:rsid w:val="00424FF4"/>
    <w:rsid w:val="00425B62"/>
    <w:rsid w:val="004262AB"/>
    <w:rsid w:val="00426F10"/>
    <w:rsid w:val="00430055"/>
    <w:rsid w:val="00431DBD"/>
    <w:rsid w:val="00432027"/>
    <w:rsid w:val="004321A2"/>
    <w:rsid w:val="00432B95"/>
    <w:rsid w:val="00433315"/>
    <w:rsid w:val="004340F0"/>
    <w:rsid w:val="00436281"/>
    <w:rsid w:val="0043673A"/>
    <w:rsid w:val="00436CB4"/>
    <w:rsid w:val="00437798"/>
    <w:rsid w:val="00442E3A"/>
    <w:rsid w:val="00447271"/>
    <w:rsid w:val="004475FA"/>
    <w:rsid w:val="00447C0B"/>
    <w:rsid w:val="004514AC"/>
    <w:rsid w:val="00452061"/>
    <w:rsid w:val="0045393B"/>
    <w:rsid w:val="00453A5B"/>
    <w:rsid w:val="004542B3"/>
    <w:rsid w:val="00456DE6"/>
    <w:rsid w:val="00463A5B"/>
    <w:rsid w:val="004640BE"/>
    <w:rsid w:val="00465DBF"/>
    <w:rsid w:val="00466529"/>
    <w:rsid w:val="004705C6"/>
    <w:rsid w:val="00470741"/>
    <w:rsid w:val="004708A3"/>
    <w:rsid w:val="00470B50"/>
    <w:rsid w:val="00471907"/>
    <w:rsid w:val="0047240C"/>
    <w:rsid w:val="00472EF8"/>
    <w:rsid w:val="00473FEA"/>
    <w:rsid w:val="00475B1C"/>
    <w:rsid w:val="00476466"/>
    <w:rsid w:val="00483D89"/>
    <w:rsid w:val="004863CF"/>
    <w:rsid w:val="00491990"/>
    <w:rsid w:val="00491DDB"/>
    <w:rsid w:val="00491FAE"/>
    <w:rsid w:val="004923C1"/>
    <w:rsid w:val="00493A52"/>
    <w:rsid w:val="004943E9"/>
    <w:rsid w:val="00494E41"/>
    <w:rsid w:val="00496A8D"/>
    <w:rsid w:val="004970C6"/>
    <w:rsid w:val="00497422"/>
    <w:rsid w:val="00497B0B"/>
    <w:rsid w:val="004A10D5"/>
    <w:rsid w:val="004A4947"/>
    <w:rsid w:val="004A5E0D"/>
    <w:rsid w:val="004A7DE2"/>
    <w:rsid w:val="004B2D07"/>
    <w:rsid w:val="004B3365"/>
    <w:rsid w:val="004B34F3"/>
    <w:rsid w:val="004B4537"/>
    <w:rsid w:val="004B48A4"/>
    <w:rsid w:val="004B501B"/>
    <w:rsid w:val="004B5145"/>
    <w:rsid w:val="004B6167"/>
    <w:rsid w:val="004C096E"/>
    <w:rsid w:val="004C1559"/>
    <w:rsid w:val="004C18DC"/>
    <w:rsid w:val="004C3099"/>
    <w:rsid w:val="004C33B0"/>
    <w:rsid w:val="004C4EEB"/>
    <w:rsid w:val="004C792C"/>
    <w:rsid w:val="004D01A1"/>
    <w:rsid w:val="004D31D3"/>
    <w:rsid w:val="004D423E"/>
    <w:rsid w:val="004D4447"/>
    <w:rsid w:val="004D6741"/>
    <w:rsid w:val="004D6EA3"/>
    <w:rsid w:val="004D77CB"/>
    <w:rsid w:val="004E2639"/>
    <w:rsid w:val="004E2BB4"/>
    <w:rsid w:val="004E415A"/>
    <w:rsid w:val="004E5710"/>
    <w:rsid w:val="004E5FC2"/>
    <w:rsid w:val="004E6A93"/>
    <w:rsid w:val="004E7921"/>
    <w:rsid w:val="004F07D5"/>
    <w:rsid w:val="004F17CF"/>
    <w:rsid w:val="004F2C96"/>
    <w:rsid w:val="004F5DD5"/>
    <w:rsid w:val="004F7BAE"/>
    <w:rsid w:val="004F7E88"/>
    <w:rsid w:val="00501289"/>
    <w:rsid w:val="00501567"/>
    <w:rsid w:val="00501AFA"/>
    <w:rsid w:val="0050339A"/>
    <w:rsid w:val="005044C2"/>
    <w:rsid w:val="00505AB6"/>
    <w:rsid w:val="00510606"/>
    <w:rsid w:val="005112A3"/>
    <w:rsid w:val="00513CD7"/>
    <w:rsid w:val="0051405C"/>
    <w:rsid w:val="00514BD8"/>
    <w:rsid w:val="00514D4A"/>
    <w:rsid w:val="0051660B"/>
    <w:rsid w:val="00516A53"/>
    <w:rsid w:val="00516D06"/>
    <w:rsid w:val="00517E6A"/>
    <w:rsid w:val="00520C58"/>
    <w:rsid w:val="005215AF"/>
    <w:rsid w:val="00521CF0"/>
    <w:rsid w:val="0052207C"/>
    <w:rsid w:val="005222AA"/>
    <w:rsid w:val="00523640"/>
    <w:rsid w:val="00524BC0"/>
    <w:rsid w:val="00526B4B"/>
    <w:rsid w:val="0053043E"/>
    <w:rsid w:val="00530B5C"/>
    <w:rsid w:val="00530CE7"/>
    <w:rsid w:val="00532AE4"/>
    <w:rsid w:val="00534915"/>
    <w:rsid w:val="00534A65"/>
    <w:rsid w:val="00535353"/>
    <w:rsid w:val="00535359"/>
    <w:rsid w:val="005369B2"/>
    <w:rsid w:val="00536BB7"/>
    <w:rsid w:val="00536D23"/>
    <w:rsid w:val="00536E02"/>
    <w:rsid w:val="00536F73"/>
    <w:rsid w:val="00543A12"/>
    <w:rsid w:val="005466FA"/>
    <w:rsid w:val="00546A27"/>
    <w:rsid w:val="005518BE"/>
    <w:rsid w:val="00553F10"/>
    <w:rsid w:val="005570B3"/>
    <w:rsid w:val="00561F63"/>
    <w:rsid w:val="00562576"/>
    <w:rsid w:val="0056271F"/>
    <w:rsid w:val="00562F3D"/>
    <w:rsid w:val="00563868"/>
    <w:rsid w:val="00564451"/>
    <w:rsid w:val="00564599"/>
    <w:rsid w:val="00567384"/>
    <w:rsid w:val="00571C49"/>
    <w:rsid w:val="005742F2"/>
    <w:rsid w:val="00574580"/>
    <w:rsid w:val="00574630"/>
    <w:rsid w:val="00575BF5"/>
    <w:rsid w:val="00576765"/>
    <w:rsid w:val="0057676B"/>
    <w:rsid w:val="00576882"/>
    <w:rsid w:val="00577E6F"/>
    <w:rsid w:val="005808A4"/>
    <w:rsid w:val="00580E33"/>
    <w:rsid w:val="005839D0"/>
    <w:rsid w:val="00584043"/>
    <w:rsid w:val="00584A65"/>
    <w:rsid w:val="00585776"/>
    <w:rsid w:val="0058596F"/>
    <w:rsid w:val="0058780E"/>
    <w:rsid w:val="00587DEE"/>
    <w:rsid w:val="005926FE"/>
    <w:rsid w:val="00593A1D"/>
    <w:rsid w:val="00596C07"/>
    <w:rsid w:val="005972A5"/>
    <w:rsid w:val="005B046C"/>
    <w:rsid w:val="005B08C8"/>
    <w:rsid w:val="005B0B5A"/>
    <w:rsid w:val="005B17F2"/>
    <w:rsid w:val="005B3B1C"/>
    <w:rsid w:val="005B3F0E"/>
    <w:rsid w:val="005B3F24"/>
    <w:rsid w:val="005B538B"/>
    <w:rsid w:val="005B585F"/>
    <w:rsid w:val="005B792B"/>
    <w:rsid w:val="005C0405"/>
    <w:rsid w:val="005C115E"/>
    <w:rsid w:val="005C19E3"/>
    <w:rsid w:val="005C2EE0"/>
    <w:rsid w:val="005C4B00"/>
    <w:rsid w:val="005C5048"/>
    <w:rsid w:val="005C5603"/>
    <w:rsid w:val="005C6042"/>
    <w:rsid w:val="005C6118"/>
    <w:rsid w:val="005C6E46"/>
    <w:rsid w:val="005D0963"/>
    <w:rsid w:val="005D38B5"/>
    <w:rsid w:val="005D4364"/>
    <w:rsid w:val="005D7046"/>
    <w:rsid w:val="005E10CF"/>
    <w:rsid w:val="005E3D30"/>
    <w:rsid w:val="005E4782"/>
    <w:rsid w:val="005E53EE"/>
    <w:rsid w:val="005E6290"/>
    <w:rsid w:val="005F1346"/>
    <w:rsid w:val="005F1A35"/>
    <w:rsid w:val="005F2E24"/>
    <w:rsid w:val="005F3528"/>
    <w:rsid w:val="005F4344"/>
    <w:rsid w:val="005F4DC0"/>
    <w:rsid w:val="005F7723"/>
    <w:rsid w:val="005F7802"/>
    <w:rsid w:val="00602CEE"/>
    <w:rsid w:val="00602D76"/>
    <w:rsid w:val="006034C7"/>
    <w:rsid w:val="006061C1"/>
    <w:rsid w:val="006076DB"/>
    <w:rsid w:val="0061162F"/>
    <w:rsid w:val="00612F14"/>
    <w:rsid w:val="00613488"/>
    <w:rsid w:val="00614BF3"/>
    <w:rsid w:val="00614EEC"/>
    <w:rsid w:val="00615822"/>
    <w:rsid w:val="00616971"/>
    <w:rsid w:val="00616AA2"/>
    <w:rsid w:val="006175B7"/>
    <w:rsid w:val="00617AC1"/>
    <w:rsid w:val="00617C88"/>
    <w:rsid w:val="00620C3A"/>
    <w:rsid w:val="00622638"/>
    <w:rsid w:val="0062500E"/>
    <w:rsid w:val="00625458"/>
    <w:rsid w:val="006259BE"/>
    <w:rsid w:val="0062739C"/>
    <w:rsid w:val="006279A7"/>
    <w:rsid w:val="00627B53"/>
    <w:rsid w:val="0063526C"/>
    <w:rsid w:val="00635551"/>
    <w:rsid w:val="006356EA"/>
    <w:rsid w:val="00635A9D"/>
    <w:rsid w:val="00635F27"/>
    <w:rsid w:val="0063618C"/>
    <w:rsid w:val="00637582"/>
    <w:rsid w:val="00637CFA"/>
    <w:rsid w:val="0064064D"/>
    <w:rsid w:val="0064168C"/>
    <w:rsid w:val="006424D4"/>
    <w:rsid w:val="00643245"/>
    <w:rsid w:val="006440E7"/>
    <w:rsid w:val="00644558"/>
    <w:rsid w:val="00644FDD"/>
    <w:rsid w:val="00645189"/>
    <w:rsid w:val="00645E1C"/>
    <w:rsid w:val="00646E7D"/>
    <w:rsid w:val="00650284"/>
    <w:rsid w:val="006502ED"/>
    <w:rsid w:val="006513CA"/>
    <w:rsid w:val="00651407"/>
    <w:rsid w:val="0065142A"/>
    <w:rsid w:val="0065179E"/>
    <w:rsid w:val="006518B6"/>
    <w:rsid w:val="0065362B"/>
    <w:rsid w:val="00654663"/>
    <w:rsid w:val="00656E81"/>
    <w:rsid w:val="00657265"/>
    <w:rsid w:val="00662F74"/>
    <w:rsid w:val="00662F8C"/>
    <w:rsid w:val="006630BE"/>
    <w:rsid w:val="00663328"/>
    <w:rsid w:val="00663C3B"/>
    <w:rsid w:val="0067039A"/>
    <w:rsid w:val="006714C0"/>
    <w:rsid w:val="00671BB2"/>
    <w:rsid w:val="006725CE"/>
    <w:rsid w:val="006725E6"/>
    <w:rsid w:val="006732D8"/>
    <w:rsid w:val="00673581"/>
    <w:rsid w:val="006741BB"/>
    <w:rsid w:val="00675CE7"/>
    <w:rsid w:val="0067608D"/>
    <w:rsid w:val="006765C3"/>
    <w:rsid w:val="00676B64"/>
    <w:rsid w:val="00677A39"/>
    <w:rsid w:val="00677DE6"/>
    <w:rsid w:val="00680A84"/>
    <w:rsid w:val="00680ADD"/>
    <w:rsid w:val="00681316"/>
    <w:rsid w:val="00681698"/>
    <w:rsid w:val="006844B1"/>
    <w:rsid w:val="00686435"/>
    <w:rsid w:val="00686998"/>
    <w:rsid w:val="006869C5"/>
    <w:rsid w:val="00687561"/>
    <w:rsid w:val="00687570"/>
    <w:rsid w:val="006876A6"/>
    <w:rsid w:val="00687E02"/>
    <w:rsid w:val="006902AF"/>
    <w:rsid w:val="00692787"/>
    <w:rsid w:val="00692B13"/>
    <w:rsid w:val="00694E5D"/>
    <w:rsid w:val="0069545C"/>
    <w:rsid w:val="00695883"/>
    <w:rsid w:val="006965A1"/>
    <w:rsid w:val="00697035"/>
    <w:rsid w:val="00697D9E"/>
    <w:rsid w:val="006A096B"/>
    <w:rsid w:val="006A173E"/>
    <w:rsid w:val="006A1EE2"/>
    <w:rsid w:val="006A2A3C"/>
    <w:rsid w:val="006A2FB9"/>
    <w:rsid w:val="006A44F8"/>
    <w:rsid w:val="006A4BF2"/>
    <w:rsid w:val="006A5608"/>
    <w:rsid w:val="006A644F"/>
    <w:rsid w:val="006A789A"/>
    <w:rsid w:val="006B04B1"/>
    <w:rsid w:val="006B1391"/>
    <w:rsid w:val="006B16E5"/>
    <w:rsid w:val="006B1C58"/>
    <w:rsid w:val="006B25BF"/>
    <w:rsid w:val="006B347D"/>
    <w:rsid w:val="006B53B9"/>
    <w:rsid w:val="006B5985"/>
    <w:rsid w:val="006B717C"/>
    <w:rsid w:val="006B7BA5"/>
    <w:rsid w:val="006C4300"/>
    <w:rsid w:val="006C677B"/>
    <w:rsid w:val="006C7639"/>
    <w:rsid w:val="006D0B0D"/>
    <w:rsid w:val="006D13CD"/>
    <w:rsid w:val="006D331D"/>
    <w:rsid w:val="006D3811"/>
    <w:rsid w:val="006D5176"/>
    <w:rsid w:val="006D56A7"/>
    <w:rsid w:val="006D7719"/>
    <w:rsid w:val="006E0008"/>
    <w:rsid w:val="006E058F"/>
    <w:rsid w:val="006E0DE8"/>
    <w:rsid w:val="006E0DF2"/>
    <w:rsid w:val="006E2529"/>
    <w:rsid w:val="006E2774"/>
    <w:rsid w:val="006E5080"/>
    <w:rsid w:val="006E5314"/>
    <w:rsid w:val="006F04B1"/>
    <w:rsid w:val="006F086A"/>
    <w:rsid w:val="006F10E9"/>
    <w:rsid w:val="006F2490"/>
    <w:rsid w:val="006F2CAD"/>
    <w:rsid w:val="006F6C50"/>
    <w:rsid w:val="00700AE6"/>
    <w:rsid w:val="00704595"/>
    <w:rsid w:val="007060B2"/>
    <w:rsid w:val="007069C9"/>
    <w:rsid w:val="00707968"/>
    <w:rsid w:val="0071058A"/>
    <w:rsid w:val="00712803"/>
    <w:rsid w:val="00712F25"/>
    <w:rsid w:val="00714946"/>
    <w:rsid w:val="00716F26"/>
    <w:rsid w:val="007207B1"/>
    <w:rsid w:val="00720B96"/>
    <w:rsid w:val="00722469"/>
    <w:rsid w:val="0072485F"/>
    <w:rsid w:val="0072685A"/>
    <w:rsid w:val="00726FD2"/>
    <w:rsid w:val="00727A13"/>
    <w:rsid w:val="00731318"/>
    <w:rsid w:val="007349B0"/>
    <w:rsid w:val="00734C21"/>
    <w:rsid w:val="00736AA6"/>
    <w:rsid w:val="00737C9E"/>
    <w:rsid w:val="00740112"/>
    <w:rsid w:val="0074065F"/>
    <w:rsid w:val="0074089A"/>
    <w:rsid w:val="00740C1F"/>
    <w:rsid w:val="007429FA"/>
    <w:rsid w:val="007433C0"/>
    <w:rsid w:val="007434AA"/>
    <w:rsid w:val="00745453"/>
    <w:rsid w:val="0074550E"/>
    <w:rsid w:val="00752B91"/>
    <w:rsid w:val="00752F50"/>
    <w:rsid w:val="0075342A"/>
    <w:rsid w:val="00754E16"/>
    <w:rsid w:val="007558B0"/>
    <w:rsid w:val="00755F2F"/>
    <w:rsid w:val="0075779C"/>
    <w:rsid w:val="00757DEE"/>
    <w:rsid w:val="00757EC8"/>
    <w:rsid w:val="0076058C"/>
    <w:rsid w:val="007607AD"/>
    <w:rsid w:val="00760A88"/>
    <w:rsid w:val="00763192"/>
    <w:rsid w:val="00763FC8"/>
    <w:rsid w:val="007657CB"/>
    <w:rsid w:val="00766DCD"/>
    <w:rsid w:val="00770769"/>
    <w:rsid w:val="0077150C"/>
    <w:rsid w:val="0077190D"/>
    <w:rsid w:val="00772127"/>
    <w:rsid w:val="00772CC1"/>
    <w:rsid w:val="00773ED1"/>
    <w:rsid w:val="00775474"/>
    <w:rsid w:val="0078077E"/>
    <w:rsid w:val="007812FF"/>
    <w:rsid w:val="00783DC1"/>
    <w:rsid w:val="007849E7"/>
    <w:rsid w:val="00785298"/>
    <w:rsid w:val="00786E74"/>
    <w:rsid w:val="007918C4"/>
    <w:rsid w:val="007951A4"/>
    <w:rsid w:val="007952C2"/>
    <w:rsid w:val="00795ABA"/>
    <w:rsid w:val="007965D1"/>
    <w:rsid w:val="007973E2"/>
    <w:rsid w:val="007A0870"/>
    <w:rsid w:val="007A113A"/>
    <w:rsid w:val="007A1A39"/>
    <w:rsid w:val="007A21D8"/>
    <w:rsid w:val="007A25F2"/>
    <w:rsid w:val="007A3473"/>
    <w:rsid w:val="007A3834"/>
    <w:rsid w:val="007A472A"/>
    <w:rsid w:val="007A4CDE"/>
    <w:rsid w:val="007A5856"/>
    <w:rsid w:val="007A5FB9"/>
    <w:rsid w:val="007A6591"/>
    <w:rsid w:val="007A66AB"/>
    <w:rsid w:val="007A77E9"/>
    <w:rsid w:val="007B0F05"/>
    <w:rsid w:val="007B4CF2"/>
    <w:rsid w:val="007B534D"/>
    <w:rsid w:val="007B547C"/>
    <w:rsid w:val="007B54D2"/>
    <w:rsid w:val="007B6038"/>
    <w:rsid w:val="007C0E1B"/>
    <w:rsid w:val="007C19BD"/>
    <w:rsid w:val="007C5EA9"/>
    <w:rsid w:val="007C6CE8"/>
    <w:rsid w:val="007C6EAE"/>
    <w:rsid w:val="007D00DC"/>
    <w:rsid w:val="007D01F2"/>
    <w:rsid w:val="007D3D1E"/>
    <w:rsid w:val="007D531D"/>
    <w:rsid w:val="007D5807"/>
    <w:rsid w:val="007D7CBD"/>
    <w:rsid w:val="007D7FF4"/>
    <w:rsid w:val="007E0171"/>
    <w:rsid w:val="007E1B14"/>
    <w:rsid w:val="007E4699"/>
    <w:rsid w:val="007E509F"/>
    <w:rsid w:val="007E5456"/>
    <w:rsid w:val="007E54D5"/>
    <w:rsid w:val="007E61DF"/>
    <w:rsid w:val="007E6BB0"/>
    <w:rsid w:val="007E7C55"/>
    <w:rsid w:val="007F14C7"/>
    <w:rsid w:val="007F4AE4"/>
    <w:rsid w:val="007F56D6"/>
    <w:rsid w:val="007F667F"/>
    <w:rsid w:val="007F6E9D"/>
    <w:rsid w:val="007F7809"/>
    <w:rsid w:val="008015FC"/>
    <w:rsid w:val="008035FE"/>
    <w:rsid w:val="008053A9"/>
    <w:rsid w:val="00810054"/>
    <w:rsid w:val="008103E3"/>
    <w:rsid w:val="0081326F"/>
    <w:rsid w:val="00814095"/>
    <w:rsid w:val="008156AF"/>
    <w:rsid w:val="00816AAB"/>
    <w:rsid w:val="00820E6F"/>
    <w:rsid w:val="008214D4"/>
    <w:rsid w:val="00821650"/>
    <w:rsid w:val="0082486D"/>
    <w:rsid w:val="00826AAE"/>
    <w:rsid w:val="0082720D"/>
    <w:rsid w:val="0083034D"/>
    <w:rsid w:val="00831657"/>
    <w:rsid w:val="008320F0"/>
    <w:rsid w:val="00832B86"/>
    <w:rsid w:val="00833A3C"/>
    <w:rsid w:val="00834D2F"/>
    <w:rsid w:val="0083585A"/>
    <w:rsid w:val="00840990"/>
    <w:rsid w:val="0084417B"/>
    <w:rsid w:val="00846E19"/>
    <w:rsid w:val="00847E9B"/>
    <w:rsid w:val="00851A7E"/>
    <w:rsid w:val="00851D09"/>
    <w:rsid w:val="00853910"/>
    <w:rsid w:val="0085454B"/>
    <w:rsid w:val="00855017"/>
    <w:rsid w:val="008560DD"/>
    <w:rsid w:val="00856901"/>
    <w:rsid w:val="00857BB5"/>
    <w:rsid w:val="008600DE"/>
    <w:rsid w:val="008608BF"/>
    <w:rsid w:val="00860F55"/>
    <w:rsid w:val="0086138A"/>
    <w:rsid w:val="00862566"/>
    <w:rsid w:val="00862B94"/>
    <w:rsid w:val="00865380"/>
    <w:rsid w:val="008656DC"/>
    <w:rsid w:val="00866DBE"/>
    <w:rsid w:val="0087280C"/>
    <w:rsid w:val="00873E58"/>
    <w:rsid w:val="00874198"/>
    <w:rsid w:val="008744C6"/>
    <w:rsid w:val="0087563B"/>
    <w:rsid w:val="0087615A"/>
    <w:rsid w:val="00877302"/>
    <w:rsid w:val="00880A12"/>
    <w:rsid w:val="008820F9"/>
    <w:rsid w:val="008831D8"/>
    <w:rsid w:val="00883B9E"/>
    <w:rsid w:val="00883BC3"/>
    <w:rsid w:val="00884A85"/>
    <w:rsid w:val="008862CA"/>
    <w:rsid w:val="0088712F"/>
    <w:rsid w:val="0089099D"/>
    <w:rsid w:val="008914F0"/>
    <w:rsid w:val="00892175"/>
    <w:rsid w:val="00892F2B"/>
    <w:rsid w:val="00895635"/>
    <w:rsid w:val="008A109F"/>
    <w:rsid w:val="008A4E36"/>
    <w:rsid w:val="008A6918"/>
    <w:rsid w:val="008B166E"/>
    <w:rsid w:val="008B77CF"/>
    <w:rsid w:val="008B7A03"/>
    <w:rsid w:val="008C06D4"/>
    <w:rsid w:val="008C220A"/>
    <w:rsid w:val="008C23ED"/>
    <w:rsid w:val="008C2E81"/>
    <w:rsid w:val="008C3000"/>
    <w:rsid w:val="008C5084"/>
    <w:rsid w:val="008C53A6"/>
    <w:rsid w:val="008C6658"/>
    <w:rsid w:val="008C7A0C"/>
    <w:rsid w:val="008D040E"/>
    <w:rsid w:val="008D09A3"/>
    <w:rsid w:val="008D09B5"/>
    <w:rsid w:val="008D0DF0"/>
    <w:rsid w:val="008D1684"/>
    <w:rsid w:val="008D196E"/>
    <w:rsid w:val="008D1B1E"/>
    <w:rsid w:val="008D50F5"/>
    <w:rsid w:val="008D5365"/>
    <w:rsid w:val="008D6C88"/>
    <w:rsid w:val="008D6E84"/>
    <w:rsid w:val="008D7250"/>
    <w:rsid w:val="008E0254"/>
    <w:rsid w:val="008E07E0"/>
    <w:rsid w:val="008E14F0"/>
    <w:rsid w:val="008E1AB7"/>
    <w:rsid w:val="008E2621"/>
    <w:rsid w:val="008E27A9"/>
    <w:rsid w:val="008E3408"/>
    <w:rsid w:val="008E5961"/>
    <w:rsid w:val="008E6B8A"/>
    <w:rsid w:val="008E6DA4"/>
    <w:rsid w:val="008F177B"/>
    <w:rsid w:val="008F48C9"/>
    <w:rsid w:val="008F4965"/>
    <w:rsid w:val="008F6B90"/>
    <w:rsid w:val="008F6C7C"/>
    <w:rsid w:val="0090094D"/>
    <w:rsid w:val="009021BD"/>
    <w:rsid w:val="0090471F"/>
    <w:rsid w:val="009067A0"/>
    <w:rsid w:val="009113D3"/>
    <w:rsid w:val="00911526"/>
    <w:rsid w:val="0091221B"/>
    <w:rsid w:val="00914FE6"/>
    <w:rsid w:val="009150E4"/>
    <w:rsid w:val="00915602"/>
    <w:rsid w:val="00917560"/>
    <w:rsid w:val="009179F7"/>
    <w:rsid w:val="0092018B"/>
    <w:rsid w:val="0092113C"/>
    <w:rsid w:val="00921201"/>
    <w:rsid w:val="00921481"/>
    <w:rsid w:val="009219F9"/>
    <w:rsid w:val="00921E47"/>
    <w:rsid w:val="00925B52"/>
    <w:rsid w:val="00927EC2"/>
    <w:rsid w:val="00931575"/>
    <w:rsid w:val="00931AA4"/>
    <w:rsid w:val="00931E10"/>
    <w:rsid w:val="00932316"/>
    <w:rsid w:val="00932687"/>
    <w:rsid w:val="0093269E"/>
    <w:rsid w:val="00932BE4"/>
    <w:rsid w:val="0093447A"/>
    <w:rsid w:val="009360F6"/>
    <w:rsid w:val="009364F7"/>
    <w:rsid w:val="00936D60"/>
    <w:rsid w:val="00937C5B"/>
    <w:rsid w:val="00941028"/>
    <w:rsid w:val="00942FB7"/>
    <w:rsid w:val="0094515D"/>
    <w:rsid w:val="00945AF0"/>
    <w:rsid w:val="00946B80"/>
    <w:rsid w:val="00950104"/>
    <w:rsid w:val="009507ED"/>
    <w:rsid w:val="00953A12"/>
    <w:rsid w:val="009543DA"/>
    <w:rsid w:val="00954703"/>
    <w:rsid w:val="00955BA6"/>
    <w:rsid w:val="00955FAF"/>
    <w:rsid w:val="009572C0"/>
    <w:rsid w:val="0096188D"/>
    <w:rsid w:val="0096260A"/>
    <w:rsid w:val="00964294"/>
    <w:rsid w:val="0096507C"/>
    <w:rsid w:val="00970DBB"/>
    <w:rsid w:val="009711EA"/>
    <w:rsid w:val="00972651"/>
    <w:rsid w:val="00973B81"/>
    <w:rsid w:val="00974AE4"/>
    <w:rsid w:val="00975B58"/>
    <w:rsid w:val="009760B6"/>
    <w:rsid w:val="00981FA5"/>
    <w:rsid w:val="0098222E"/>
    <w:rsid w:val="0098285A"/>
    <w:rsid w:val="00983110"/>
    <w:rsid w:val="00983E15"/>
    <w:rsid w:val="009840BA"/>
    <w:rsid w:val="009846D6"/>
    <w:rsid w:val="00984ACA"/>
    <w:rsid w:val="00986179"/>
    <w:rsid w:val="00986D02"/>
    <w:rsid w:val="00987217"/>
    <w:rsid w:val="009874C5"/>
    <w:rsid w:val="00994216"/>
    <w:rsid w:val="00996FB0"/>
    <w:rsid w:val="009976EE"/>
    <w:rsid w:val="0099794D"/>
    <w:rsid w:val="009A05BF"/>
    <w:rsid w:val="009A0AE8"/>
    <w:rsid w:val="009A38C9"/>
    <w:rsid w:val="009A4232"/>
    <w:rsid w:val="009A57CF"/>
    <w:rsid w:val="009A6368"/>
    <w:rsid w:val="009A750A"/>
    <w:rsid w:val="009B20F3"/>
    <w:rsid w:val="009B3722"/>
    <w:rsid w:val="009B39CF"/>
    <w:rsid w:val="009B405E"/>
    <w:rsid w:val="009B4102"/>
    <w:rsid w:val="009B448F"/>
    <w:rsid w:val="009B53BC"/>
    <w:rsid w:val="009B79F6"/>
    <w:rsid w:val="009B7CC6"/>
    <w:rsid w:val="009C0231"/>
    <w:rsid w:val="009C1BD8"/>
    <w:rsid w:val="009C3405"/>
    <w:rsid w:val="009C48B6"/>
    <w:rsid w:val="009C57F2"/>
    <w:rsid w:val="009C5D40"/>
    <w:rsid w:val="009D17CD"/>
    <w:rsid w:val="009D206B"/>
    <w:rsid w:val="009D2903"/>
    <w:rsid w:val="009D2DD4"/>
    <w:rsid w:val="009D3D44"/>
    <w:rsid w:val="009D4E93"/>
    <w:rsid w:val="009D6DB0"/>
    <w:rsid w:val="009E0DEF"/>
    <w:rsid w:val="009E5675"/>
    <w:rsid w:val="009E744D"/>
    <w:rsid w:val="009E78BB"/>
    <w:rsid w:val="009F12C3"/>
    <w:rsid w:val="009F15B8"/>
    <w:rsid w:val="009F1629"/>
    <w:rsid w:val="009F1CF3"/>
    <w:rsid w:val="009F3565"/>
    <w:rsid w:val="009F3D44"/>
    <w:rsid w:val="009F4E60"/>
    <w:rsid w:val="009F63A1"/>
    <w:rsid w:val="009F684B"/>
    <w:rsid w:val="009F7203"/>
    <w:rsid w:val="009F743D"/>
    <w:rsid w:val="009F77A1"/>
    <w:rsid w:val="00A021CE"/>
    <w:rsid w:val="00A02307"/>
    <w:rsid w:val="00A03167"/>
    <w:rsid w:val="00A0388E"/>
    <w:rsid w:val="00A03B04"/>
    <w:rsid w:val="00A05E66"/>
    <w:rsid w:val="00A06317"/>
    <w:rsid w:val="00A077F9"/>
    <w:rsid w:val="00A07A30"/>
    <w:rsid w:val="00A07A80"/>
    <w:rsid w:val="00A104D9"/>
    <w:rsid w:val="00A1050C"/>
    <w:rsid w:val="00A11FCB"/>
    <w:rsid w:val="00A125B9"/>
    <w:rsid w:val="00A128C0"/>
    <w:rsid w:val="00A139AB"/>
    <w:rsid w:val="00A140E6"/>
    <w:rsid w:val="00A17D59"/>
    <w:rsid w:val="00A20E60"/>
    <w:rsid w:val="00A2170A"/>
    <w:rsid w:val="00A2212F"/>
    <w:rsid w:val="00A23F73"/>
    <w:rsid w:val="00A24B52"/>
    <w:rsid w:val="00A25CBE"/>
    <w:rsid w:val="00A269DD"/>
    <w:rsid w:val="00A31231"/>
    <w:rsid w:val="00A31846"/>
    <w:rsid w:val="00A3345C"/>
    <w:rsid w:val="00A34196"/>
    <w:rsid w:val="00A3588C"/>
    <w:rsid w:val="00A35B7E"/>
    <w:rsid w:val="00A40FDC"/>
    <w:rsid w:val="00A410CA"/>
    <w:rsid w:val="00A42526"/>
    <w:rsid w:val="00A42726"/>
    <w:rsid w:val="00A42B64"/>
    <w:rsid w:val="00A42F0F"/>
    <w:rsid w:val="00A43D4B"/>
    <w:rsid w:val="00A446A9"/>
    <w:rsid w:val="00A45F5D"/>
    <w:rsid w:val="00A46356"/>
    <w:rsid w:val="00A468F4"/>
    <w:rsid w:val="00A501F8"/>
    <w:rsid w:val="00A50AA1"/>
    <w:rsid w:val="00A51479"/>
    <w:rsid w:val="00A520C4"/>
    <w:rsid w:val="00A524E4"/>
    <w:rsid w:val="00A528D6"/>
    <w:rsid w:val="00A53C6C"/>
    <w:rsid w:val="00A547A0"/>
    <w:rsid w:val="00A54896"/>
    <w:rsid w:val="00A55D65"/>
    <w:rsid w:val="00A6157C"/>
    <w:rsid w:val="00A6217C"/>
    <w:rsid w:val="00A62EAC"/>
    <w:rsid w:val="00A63B39"/>
    <w:rsid w:val="00A64C72"/>
    <w:rsid w:val="00A6585E"/>
    <w:rsid w:val="00A66A33"/>
    <w:rsid w:val="00A670FD"/>
    <w:rsid w:val="00A676C5"/>
    <w:rsid w:val="00A67EB5"/>
    <w:rsid w:val="00A709B0"/>
    <w:rsid w:val="00A70FE6"/>
    <w:rsid w:val="00A74D93"/>
    <w:rsid w:val="00A839F6"/>
    <w:rsid w:val="00A83CAD"/>
    <w:rsid w:val="00A84505"/>
    <w:rsid w:val="00A846BC"/>
    <w:rsid w:val="00A86645"/>
    <w:rsid w:val="00A867C8"/>
    <w:rsid w:val="00A915C8"/>
    <w:rsid w:val="00A9317F"/>
    <w:rsid w:val="00A93993"/>
    <w:rsid w:val="00A93F08"/>
    <w:rsid w:val="00A94966"/>
    <w:rsid w:val="00A9497E"/>
    <w:rsid w:val="00A95E01"/>
    <w:rsid w:val="00A9639E"/>
    <w:rsid w:val="00A970C8"/>
    <w:rsid w:val="00AA04B3"/>
    <w:rsid w:val="00AA13DE"/>
    <w:rsid w:val="00AA217F"/>
    <w:rsid w:val="00AA367A"/>
    <w:rsid w:val="00AA48F0"/>
    <w:rsid w:val="00AA6322"/>
    <w:rsid w:val="00AA7B6D"/>
    <w:rsid w:val="00AA7E49"/>
    <w:rsid w:val="00AB107C"/>
    <w:rsid w:val="00AB163B"/>
    <w:rsid w:val="00AB2BF1"/>
    <w:rsid w:val="00AB4C20"/>
    <w:rsid w:val="00AC05C1"/>
    <w:rsid w:val="00AC3E30"/>
    <w:rsid w:val="00AC4BD4"/>
    <w:rsid w:val="00AC508B"/>
    <w:rsid w:val="00AC5531"/>
    <w:rsid w:val="00AC7874"/>
    <w:rsid w:val="00AD0FFD"/>
    <w:rsid w:val="00AD2065"/>
    <w:rsid w:val="00AD2752"/>
    <w:rsid w:val="00AD39A7"/>
    <w:rsid w:val="00AD3A61"/>
    <w:rsid w:val="00AD3E07"/>
    <w:rsid w:val="00AD6726"/>
    <w:rsid w:val="00AD771E"/>
    <w:rsid w:val="00AD7A93"/>
    <w:rsid w:val="00AE07A1"/>
    <w:rsid w:val="00AE18E6"/>
    <w:rsid w:val="00AE2F16"/>
    <w:rsid w:val="00AE478F"/>
    <w:rsid w:val="00AE5059"/>
    <w:rsid w:val="00AE5C0B"/>
    <w:rsid w:val="00AE69E2"/>
    <w:rsid w:val="00AF0333"/>
    <w:rsid w:val="00AF061F"/>
    <w:rsid w:val="00AF1083"/>
    <w:rsid w:val="00AF1CF0"/>
    <w:rsid w:val="00AF2516"/>
    <w:rsid w:val="00AF5618"/>
    <w:rsid w:val="00AF6AA1"/>
    <w:rsid w:val="00B00DF8"/>
    <w:rsid w:val="00B015EE"/>
    <w:rsid w:val="00B01EC6"/>
    <w:rsid w:val="00B02906"/>
    <w:rsid w:val="00B0432F"/>
    <w:rsid w:val="00B05750"/>
    <w:rsid w:val="00B05FB9"/>
    <w:rsid w:val="00B061C1"/>
    <w:rsid w:val="00B07716"/>
    <w:rsid w:val="00B07E57"/>
    <w:rsid w:val="00B10540"/>
    <w:rsid w:val="00B1180E"/>
    <w:rsid w:val="00B12348"/>
    <w:rsid w:val="00B1294D"/>
    <w:rsid w:val="00B13139"/>
    <w:rsid w:val="00B13596"/>
    <w:rsid w:val="00B14346"/>
    <w:rsid w:val="00B14C05"/>
    <w:rsid w:val="00B15564"/>
    <w:rsid w:val="00B15868"/>
    <w:rsid w:val="00B164C6"/>
    <w:rsid w:val="00B17452"/>
    <w:rsid w:val="00B256B0"/>
    <w:rsid w:val="00B30535"/>
    <w:rsid w:val="00B311BD"/>
    <w:rsid w:val="00B31936"/>
    <w:rsid w:val="00B31CB0"/>
    <w:rsid w:val="00B32FAB"/>
    <w:rsid w:val="00B347C5"/>
    <w:rsid w:val="00B366B2"/>
    <w:rsid w:val="00B42335"/>
    <w:rsid w:val="00B42EC0"/>
    <w:rsid w:val="00B437B9"/>
    <w:rsid w:val="00B43EE9"/>
    <w:rsid w:val="00B452B8"/>
    <w:rsid w:val="00B4773C"/>
    <w:rsid w:val="00B51388"/>
    <w:rsid w:val="00B527C4"/>
    <w:rsid w:val="00B52B54"/>
    <w:rsid w:val="00B52BBD"/>
    <w:rsid w:val="00B54D79"/>
    <w:rsid w:val="00B55407"/>
    <w:rsid w:val="00B55C3E"/>
    <w:rsid w:val="00B56FEE"/>
    <w:rsid w:val="00B57257"/>
    <w:rsid w:val="00B579F6"/>
    <w:rsid w:val="00B57E8D"/>
    <w:rsid w:val="00B57F57"/>
    <w:rsid w:val="00B6684F"/>
    <w:rsid w:val="00B66E17"/>
    <w:rsid w:val="00B70D73"/>
    <w:rsid w:val="00B7103C"/>
    <w:rsid w:val="00B732EE"/>
    <w:rsid w:val="00B75235"/>
    <w:rsid w:val="00B7600D"/>
    <w:rsid w:val="00B77487"/>
    <w:rsid w:val="00B775B3"/>
    <w:rsid w:val="00B808AB"/>
    <w:rsid w:val="00B82BDA"/>
    <w:rsid w:val="00B84A85"/>
    <w:rsid w:val="00B86794"/>
    <w:rsid w:val="00B86F41"/>
    <w:rsid w:val="00B877E0"/>
    <w:rsid w:val="00B908AE"/>
    <w:rsid w:val="00B9187D"/>
    <w:rsid w:val="00B919F5"/>
    <w:rsid w:val="00B91FB6"/>
    <w:rsid w:val="00B92588"/>
    <w:rsid w:val="00B92B5D"/>
    <w:rsid w:val="00B92C5F"/>
    <w:rsid w:val="00B9453F"/>
    <w:rsid w:val="00B95CCC"/>
    <w:rsid w:val="00B97AFA"/>
    <w:rsid w:val="00B97CC9"/>
    <w:rsid w:val="00BA271A"/>
    <w:rsid w:val="00BA28B1"/>
    <w:rsid w:val="00BA2D40"/>
    <w:rsid w:val="00BA2FDA"/>
    <w:rsid w:val="00BA5A2F"/>
    <w:rsid w:val="00BA7ACF"/>
    <w:rsid w:val="00BB0678"/>
    <w:rsid w:val="00BB0EF0"/>
    <w:rsid w:val="00BB2503"/>
    <w:rsid w:val="00BB2866"/>
    <w:rsid w:val="00BB36E7"/>
    <w:rsid w:val="00BB4A45"/>
    <w:rsid w:val="00BB5490"/>
    <w:rsid w:val="00BC0774"/>
    <w:rsid w:val="00BC0948"/>
    <w:rsid w:val="00BC3FF7"/>
    <w:rsid w:val="00BC6866"/>
    <w:rsid w:val="00BD1301"/>
    <w:rsid w:val="00BD229B"/>
    <w:rsid w:val="00BD2ABC"/>
    <w:rsid w:val="00BD2CDD"/>
    <w:rsid w:val="00BD30F2"/>
    <w:rsid w:val="00BD65A8"/>
    <w:rsid w:val="00BD7C1F"/>
    <w:rsid w:val="00BE11A5"/>
    <w:rsid w:val="00BE15BE"/>
    <w:rsid w:val="00BE388F"/>
    <w:rsid w:val="00BE3DBA"/>
    <w:rsid w:val="00BE3F75"/>
    <w:rsid w:val="00BE4BCB"/>
    <w:rsid w:val="00BE5978"/>
    <w:rsid w:val="00BE793E"/>
    <w:rsid w:val="00BF3769"/>
    <w:rsid w:val="00BF473E"/>
    <w:rsid w:val="00BF4D29"/>
    <w:rsid w:val="00C02D22"/>
    <w:rsid w:val="00C03E04"/>
    <w:rsid w:val="00C05473"/>
    <w:rsid w:val="00C10E7E"/>
    <w:rsid w:val="00C11189"/>
    <w:rsid w:val="00C11B58"/>
    <w:rsid w:val="00C11CA7"/>
    <w:rsid w:val="00C123DF"/>
    <w:rsid w:val="00C125C3"/>
    <w:rsid w:val="00C1755F"/>
    <w:rsid w:val="00C20F6A"/>
    <w:rsid w:val="00C22CD6"/>
    <w:rsid w:val="00C23A38"/>
    <w:rsid w:val="00C24D28"/>
    <w:rsid w:val="00C2538D"/>
    <w:rsid w:val="00C25F07"/>
    <w:rsid w:val="00C26164"/>
    <w:rsid w:val="00C30919"/>
    <w:rsid w:val="00C30CFF"/>
    <w:rsid w:val="00C31A3B"/>
    <w:rsid w:val="00C32D67"/>
    <w:rsid w:val="00C33C31"/>
    <w:rsid w:val="00C33ED6"/>
    <w:rsid w:val="00C354AA"/>
    <w:rsid w:val="00C35D7F"/>
    <w:rsid w:val="00C40658"/>
    <w:rsid w:val="00C40D50"/>
    <w:rsid w:val="00C41838"/>
    <w:rsid w:val="00C4210A"/>
    <w:rsid w:val="00C42A69"/>
    <w:rsid w:val="00C43A6A"/>
    <w:rsid w:val="00C44868"/>
    <w:rsid w:val="00C46CAD"/>
    <w:rsid w:val="00C47CE5"/>
    <w:rsid w:val="00C50159"/>
    <w:rsid w:val="00C50396"/>
    <w:rsid w:val="00C506A2"/>
    <w:rsid w:val="00C51C8A"/>
    <w:rsid w:val="00C520F3"/>
    <w:rsid w:val="00C52E98"/>
    <w:rsid w:val="00C537F6"/>
    <w:rsid w:val="00C55580"/>
    <w:rsid w:val="00C55990"/>
    <w:rsid w:val="00C56064"/>
    <w:rsid w:val="00C56497"/>
    <w:rsid w:val="00C56FE8"/>
    <w:rsid w:val="00C57501"/>
    <w:rsid w:val="00C601D3"/>
    <w:rsid w:val="00C60925"/>
    <w:rsid w:val="00C61586"/>
    <w:rsid w:val="00C63446"/>
    <w:rsid w:val="00C63610"/>
    <w:rsid w:val="00C6401A"/>
    <w:rsid w:val="00C66DD8"/>
    <w:rsid w:val="00C6764C"/>
    <w:rsid w:val="00C67B19"/>
    <w:rsid w:val="00C7071A"/>
    <w:rsid w:val="00C72D7D"/>
    <w:rsid w:val="00C7309D"/>
    <w:rsid w:val="00C75E1B"/>
    <w:rsid w:val="00C80C71"/>
    <w:rsid w:val="00C814BD"/>
    <w:rsid w:val="00C81602"/>
    <w:rsid w:val="00C85D34"/>
    <w:rsid w:val="00C87B72"/>
    <w:rsid w:val="00C90614"/>
    <w:rsid w:val="00C912F4"/>
    <w:rsid w:val="00C924D6"/>
    <w:rsid w:val="00C9379D"/>
    <w:rsid w:val="00CA0021"/>
    <w:rsid w:val="00CA1566"/>
    <w:rsid w:val="00CA2456"/>
    <w:rsid w:val="00CA2CEC"/>
    <w:rsid w:val="00CA61C6"/>
    <w:rsid w:val="00CB0384"/>
    <w:rsid w:val="00CB29AC"/>
    <w:rsid w:val="00CB2FF0"/>
    <w:rsid w:val="00CB33DC"/>
    <w:rsid w:val="00CB396E"/>
    <w:rsid w:val="00CB676B"/>
    <w:rsid w:val="00CB70B8"/>
    <w:rsid w:val="00CB7AA6"/>
    <w:rsid w:val="00CC157D"/>
    <w:rsid w:val="00CC4481"/>
    <w:rsid w:val="00CC5D44"/>
    <w:rsid w:val="00CC65AB"/>
    <w:rsid w:val="00CC7704"/>
    <w:rsid w:val="00CC79C1"/>
    <w:rsid w:val="00CD0564"/>
    <w:rsid w:val="00CD0FB6"/>
    <w:rsid w:val="00CD1BAB"/>
    <w:rsid w:val="00CD1D9E"/>
    <w:rsid w:val="00CD266F"/>
    <w:rsid w:val="00CD2D6B"/>
    <w:rsid w:val="00CD2F1F"/>
    <w:rsid w:val="00CD5BE7"/>
    <w:rsid w:val="00CD5C6E"/>
    <w:rsid w:val="00CD6CB1"/>
    <w:rsid w:val="00CD6CEB"/>
    <w:rsid w:val="00CD7419"/>
    <w:rsid w:val="00CE184A"/>
    <w:rsid w:val="00CE3E43"/>
    <w:rsid w:val="00CE63C7"/>
    <w:rsid w:val="00CE79B8"/>
    <w:rsid w:val="00CE7D48"/>
    <w:rsid w:val="00CF0080"/>
    <w:rsid w:val="00CF0A90"/>
    <w:rsid w:val="00CF0E4C"/>
    <w:rsid w:val="00CF1426"/>
    <w:rsid w:val="00CF1F1A"/>
    <w:rsid w:val="00CF4199"/>
    <w:rsid w:val="00CF4696"/>
    <w:rsid w:val="00CF4A15"/>
    <w:rsid w:val="00CF5421"/>
    <w:rsid w:val="00CF5F17"/>
    <w:rsid w:val="00CF6753"/>
    <w:rsid w:val="00CF7101"/>
    <w:rsid w:val="00D01239"/>
    <w:rsid w:val="00D0162F"/>
    <w:rsid w:val="00D04B67"/>
    <w:rsid w:val="00D04DD4"/>
    <w:rsid w:val="00D053D6"/>
    <w:rsid w:val="00D05FED"/>
    <w:rsid w:val="00D0745B"/>
    <w:rsid w:val="00D11343"/>
    <w:rsid w:val="00D1174B"/>
    <w:rsid w:val="00D14E5E"/>
    <w:rsid w:val="00D15DDC"/>
    <w:rsid w:val="00D160F0"/>
    <w:rsid w:val="00D17243"/>
    <w:rsid w:val="00D21662"/>
    <w:rsid w:val="00D223E0"/>
    <w:rsid w:val="00D265A7"/>
    <w:rsid w:val="00D26A41"/>
    <w:rsid w:val="00D26A98"/>
    <w:rsid w:val="00D30580"/>
    <w:rsid w:val="00D308A4"/>
    <w:rsid w:val="00D311ED"/>
    <w:rsid w:val="00D31215"/>
    <w:rsid w:val="00D3596E"/>
    <w:rsid w:val="00D37328"/>
    <w:rsid w:val="00D40155"/>
    <w:rsid w:val="00D4283E"/>
    <w:rsid w:val="00D4488E"/>
    <w:rsid w:val="00D50A33"/>
    <w:rsid w:val="00D51755"/>
    <w:rsid w:val="00D538BD"/>
    <w:rsid w:val="00D53ABD"/>
    <w:rsid w:val="00D53E13"/>
    <w:rsid w:val="00D54291"/>
    <w:rsid w:val="00D55C01"/>
    <w:rsid w:val="00D55FAC"/>
    <w:rsid w:val="00D560ED"/>
    <w:rsid w:val="00D610B9"/>
    <w:rsid w:val="00D61C72"/>
    <w:rsid w:val="00D63801"/>
    <w:rsid w:val="00D64407"/>
    <w:rsid w:val="00D65056"/>
    <w:rsid w:val="00D652B4"/>
    <w:rsid w:val="00D70A75"/>
    <w:rsid w:val="00D710E0"/>
    <w:rsid w:val="00D71393"/>
    <w:rsid w:val="00D71CFC"/>
    <w:rsid w:val="00D7211E"/>
    <w:rsid w:val="00D726C6"/>
    <w:rsid w:val="00D7270F"/>
    <w:rsid w:val="00D72B4E"/>
    <w:rsid w:val="00D74467"/>
    <w:rsid w:val="00D76007"/>
    <w:rsid w:val="00D76B92"/>
    <w:rsid w:val="00D76FA4"/>
    <w:rsid w:val="00D80C9A"/>
    <w:rsid w:val="00D82A70"/>
    <w:rsid w:val="00D82EDE"/>
    <w:rsid w:val="00D84A80"/>
    <w:rsid w:val="00D84F9B"/>
    <w:rsid w:val="00D85738"/>
    <w:rsid w:val="00D87658"/>
    <w:rsid w:val="00D93B43"/>
    <w:rsid w:val="00D94320"/>
    <w:rsid w:val="00D94B3C"/>
    <w:rsid w:val="00D94F25"/>
    <w:rsid w:val="00DA16AB"/>
    <w:rsid w:val="00DA3283"/>
    <w:rsid w:val="00DA42C7"/>
    <w:rsid w:val="00DA49A4"/>
    <w:rsid w:val="00DA4DC2"/>
    <w:rsid w:val="00DA54EB"/>
    <w:rsid w:val="00DA5BAE"/>
    <w:rsid w:val="00DA636C"/>
    <w:rsid w:val="00DB0BE3"/>
    <w:rsid w:val="00DB10CB"/>
    <w:rsid w:val="00DB3D2D"/>
    <w:rsid w:val="00DB5FF7"/>
    <w:rsid w:val="00DB6042"/>
    <w:rsid w:val="00DB729C"/>
    <w:rsid w:val="00DB7A52"/>
    <w:rsid w:val="00DC021F"/>
    <w:rsid w:val="00DC1877"/>
    <w:rsid w:val="00DC2EBD"/>
    <w:rsid w:val="00DC36D3"/>
    <w:rsid w:val="00DC4125"/>
    <w:rsid w:val="00DC4688"/>
    <w:rsid w:val="00DC5358"/>
    <w:rsid w:val="00DC65F3"/>
    <w:rsid w:val="00DC684B"/>
    <w:rsid w:val="00DC6D02"/>
    <w:rsid w:val="00DC70DB"/>
    <w:rsid w:val="00DD15D3"/>
    <w:rsid w:val="00DD1EAE"/>
    <w:rsid w:val="00DD2089"/>
    <w:rsid w:val="00DD2D10"/>
    <w:rsid w:val="00DD4BF8"/>
    <w:rsid w:val="00DD4F1B"/>
    <w:rsid w:val="00DD6727"/>
    <w:rsid w:val="00DD6AA1"/>
    <w:rsid w:val="00DD6C09"/>
    <w:rsid w:val="00DE3E75"/>
    <w:rsid w:val="00DE4184"/>
    <w:rsid w:val="00DE7206"/>
    <w:rsid w:val="00DE7CA6"/>
    <w:rsid w:val="00DF0E5D"/>
    <w:rsid w:val="00DF123C"/>
    <w:rsid w:val="00DF12D7"/>
    <w:rsid w:val="00DF154B"/>
    <w:rsid w:val="00DF2D80"/>
    <w:rsid w:val="00DF2EAE"/>
    <w:rsid w:val="00DF3B04"/>
    <w:rsid w:val="00DF44CA"/>
    <w:rsid w:val="00DF4E16"/>
    <w:rsid w:val="00DF51E8"/>
    <w:rsid w:val="00DF539E"/>
    <w:rsid w:val="00DF667B"/>
    <w:rsid w:val="00DF6A5C"/>
    <w:rsid w:val="00DF6B6B"/>
    <w:rsid w:val="00DF6B7E"/>
    <w:rsid w:val="00DF793C"/>
    <w:rsid w:val="00E00406"/>
    <w:rsid w:val="00E0308F"/>
    <w:rsid w:val="00E034FE"/>
    <w:rsid w:val="00E043FC"/>
    <w:rsid w:val="00E04859"/>
    <w:rsid w:val="00E04AF8"/>
    <w:rsid w:val="00E04FCC"/>
    <w:rsid w:val="00E0573C"/>
    <w:rsid w:val="00E06C1B"/>
    <w:rsid w:val="00E12DDC"/>
    <w:rsid w:val="00E138AA"/>
    <w:rsid w:val="00E14D40"/>
    <w:rsid w:val="00E14ED3"/>
    <w:rsid w:val="00E15200"/>
    <w:rsid w:val="00E155BA"/>
    <w:rsid w:val="00E15FD2"/>
    <w:rsid w:val="00E1660F"/>
    <w:rsid w:val="00E21F92"/>
    <w:rsid w:val="00E22A3C"/>
    <w:rsid w:val="00E22AE1"/>
    <w:rsid w:val="00E22DCE"/>
    <w:rsid w:val="00E3092E"/>
    <w:rsid w:val="00E32D88"/>
    <w:rsid w:val="00E336EF"/>
    <w:rsid w:val="00E3589E"/>
    <w:rsid w:val="00E35D50"/>
    <w:rsid w:val="00E3732C"/>
    <w:rsid w:val="00E37B19"/>
    <w:rsid w:val="00E37EFA"/>
    <w:rsid w:val="00E409D6"/>
    <w:rsid w:val="00E4139C"/>
    <w:rsid w:val="00E43983"/>
    <w:rsid w:val="00E44941"/>
    <w:rsid w:val="00E44D97"/>
    <w:rsid w:val="00E450EE"/>
    <w:rsid w:val="00E46283"/>
    <w:rsid w:val="00E4740A"/>
    <w:rsid w:val="00E47A48"/>
    <w:rsid w:val="00E50448"/>
    <w:rsid w:val="00E521E5"/>
    <w:rsid w:val="00E5448F"/>
    <w:rsid w:val="00E5475D"/>
    <w:rsid w:val="00E55EE5"/>
    <w:rsid w:val="00E56C88"/>
    <w:rsid w:val="00E576E7"/>
    <w:rsid w:val="00E60513"/>
    <w:rsid w:val="00E605AF"/>
    <w:rsid w:val="00E61051"/>
    <w:rsid w:val="00E6117A"/>
    <w:rsid w:val="00E61740"/>
    <w:rsid w:val="00E633EB"/>
    <w:rsid w:val="00E64172"/>
    <w:rsid w:val="00E65DE3"/>
    <w:rsid w:val="00E66831"/>
    <w:rsid w:val="00E66A74"/>
    <w:rsid w:val="00E71CB0"/>
    <w:rsid w:val="00E72D1A"/>
    <w:rsid w:val="00E752B6"/>
    <w:rsid w:val="00E75D2C"/>
    <w:rsid w:val="00E75F24"/>
    <w:rsid w:val="00E766AF"/>
    <w:rsid w:val="00E80115"/>
    <w:rsid w:val="00E80E08"/>
    <w:rsid w:val="00E81B0E"/>
    <w:rsid w:val="00E83857"/>
    <w:rsid w:val="00E83C1B"/>
    <w:rsid w:val="00E86797"/>
    <w:rsid w:val="00E91356"/>
    <w:rsid w:val="00E914E2"/>
    <w:rsid w:val="00E92FC9"/>
    <w:rsid w:val="00E954CB"/>
    <w:rsid w:val="00E95516"/>
    <w:rsid w:val="00EA00BD"/>
    <w:rsid w:val="00EA067B"/>
    <w:rsid w:val="00EA1346"/>
    <w:rsid w:val="00EA1AF7"/>
    <w:rsid w:val="00EA1DF7"/>
    <w:rsid w:val="00EA3130"/>
    <w:rsid w:val="00EA4482"/>
    <w:rsid w:val="00EA4488"/>
    <w:rsid w:val="00EA467A"/>
    <w:rsid w:val="00EA470A"/>
    <w:rsid w:val="00EA6657"/>
    <w:rsid w:val="00EB0134"/>
    <w:rsid w:val="00EB1484"/>
    <w:rsid w:val="00EB1B51"/>
    <w:rsid w:val="00EB1DC4"/>
    <w:rsid w:val="00EB2542"/>
    <w:rsid w:val="00EB31E9"/>
    <w:rsid w:val="00EB4496"/>
    <w:rsid w:val="00EB4A64"/>
    <w:rsid w:val="00EB52F0"/>
    <w:rsid w:val="00EB540D"/>
    <w:rsid w:val="00EB5774"/>
    <w:rsid w:val="00EB6D45"/>
    <w:rsid w:val="00EB719B"/>
    <w:rsid w:val="00EC094A"/>
    <w:rsid w:val="00EC0A90"/>
    <w:rsid w:val="00EC0E04"/>
    <w:rsid w:val="00EC170E"/>
    <w:rsid w:val="00EC1D69"/>
    <w:rsid w:val="00EC26EF"/>
    <w:rsid w:val="00EC41DA"/>
    <w:rsid w:val="00EC47BD"/>
    <w:rsid w:val="00EC4B45"/>
    <w:rsid w:val="00EC615A"/>
    <w:rsid w:val="00EC7CC1"/>
    <w:rsid w:val="00ED0036"/>
    <w:rsid w:val="00ED149E"/>
    <w:rsid w:val="00ED1514"/>
    <w:rsid w:val="00ED1DF6"/>
    <w:rsid w:val="00ED2471"/>
    <w:rsid w:val="00ED2FD4"/>
    <w:rsid w:val="00ED39E0"/>
    <w:rsid w:val="00ED4563"/>
    <w:rsid w:val="00ED6DDC"/>
    <w:rsid w:val="00ED7134"/>
    <w:rsid w:val="00ED7337"/>
    <w:rsid w:val="00ED7FA8"/>
    <w:rsid w:val="00EE0761"/>
    <w:rsid w:val="00EE1263"/>
    <w:rsid w:val="00EE14E3"/>
    <w:rsid w:val="00EE15E0"/>
    <w:rsid w:val="00EE217B"/>
    <w:rsid w:val="00EE2F8C"/>
    <w:rsid w:val="00EE329C"/>
    <w:rsid w:val="00EE338B"/>
    <w:rsid w:val="00EE43A8"/>
    <w:rsid w:val="00EE61E7"/>
    <w:rsid w:val="00EE72FF"/>
    <w:rsid w:val="00EF1243"/>
    <w:rsid w:val="00EF146D"/>
    <w:rsid w:val="00EF1F6B"/>
    <w:rsid w:val="00EF245E"/>
    <w:rsid w:val="00EF2F47"/>
    <w:rsid w:val="00EF3793"/>
    <w:rsid w:val="00EF430E"/>
    <w:rsid w:val="00EF447F"/>
    <w:rsid w:val="00EF4F94"/>
    <w:rsid w:val="00EF6056"/>
    <w:rsid w:val="00EF6AFD"/>
    <w:rsid w:val="00EF6E4F"/>
    <w:rsid w:val="00F008F6"/>
    <w:rsid w:val="00F02A6C"/>
    <w:rsid w:val="00F05B35"/>
    <w:rsid w:val="00F06587"/>
    <w:rsid w:val="00F101D7"/>
    <w:rsid w:val="00F115C7"/>
    <w:rsid w:val="00F14A32"/>
    <w:rsid w:val="00F14F0E"/>
    <w:rsid w:val="00F15A4A"/>
    <w:rsid w:val="00F15F41"/>
    <w:rsid w:val="00F17658"/>
    <w:rsid w:val="00F20A7D"/>
    <w:rsid w:val="00F214DD"/>
    <w:rsid w:val="00F227B9"/>
    <w:rsid w:val="00F22D5C"/>
    <w:rsid w:val="00F2550A"/>
    <w:rsid w:val="00F25AC5"/>
    <w:rsid w:val="00F30379"/>
    <w:rsid w:val="00F31406"/>
    <w:rsid w:val="00F33FFA"/>
    <w:rsid w:val="00F34A61"/>
    <w:rsid w:val="00F35B96"/>
    <w:rsid w:val="00F35C6C"/>
    <w:rsid w:val="00F3626A"/>
    <w:rsid w:val="00F36651"/>
    <w:rsid w:val="00F37276"/>
    <w:rsid w:val="00F37677"/>
    <w:rsid w:val="00F376FD"/>
    <w:rsid w:val="00F413F0"/>
    <w:rsid w:val="00F415F6"/>
    <w:rsid w:val="00F4202C"/>
    <w:rsid w:val="00F43CDE"/>
    <w:rsid w:val="00F44749"/>
    <w:rsid w:val="00F506A8"/>
    <w:rsid w:val="00F50A02"/>
    <w:rsid w:val="00F5103B"/>
    <w:rsid w:val="00F516EA"/>
    <w:rsid w:val="00F520AC"/>
    <w:rsid w:val="00F52C6D"/>
    <w:rsid w:val="00F5313C"/>
    <w:rsid w:val="00F53906"/>
    <w:rsid w:val="00F54923"/>
    <w:rsid w:val="00F554C5"/>
    <w:rsid w:val="00F56280"/>
    <w:rsid w:val="00F60725"/>
    <w:rsid w:val="00F60F92"/>
    <w:rsid w:val="00F61523"/>
    <w:rsid w:val="00F6166F"/>
    <w:rsid w:val="00F62CEC"/>
    <w:rsid w:val="00F6443D"/>
    <w:rsid w:val="00F65AA5"/>
    <w:rsid w:val="00F65C8D"/>
    <w:rsid w:val="00F677A0"/>
    <w:rsid w:val="00F7083E"/>
    <w:rsid w:val="00F72EFF"/>
    <w:rsid w:val="00F735ED"/>
    <w:rsid w:val="00F741F7"/>
    <w:rsid w:val="00F80911"/>
    <w:rsid w:val="00F818F9"/>
    <w:rsid w:val="00F8445B"/>
    <w:rsid w:val="00F85B22"/>
    <w:rsid w:val="00F86AD8"/>
    <w:rsid w:val="00F86BC6"/>
    <w:rsid w:val="00F87A83"/>
    <w:rsid w:val="00F92308"/>
    <w:rsid w:val="00F92FD8"/>
    <w:rsid w:val="00F93935"/>
    <w:rsid w:val="00F969B3"/>
    <w:rsid w:val="00F97393"/>
    <w:rsid w:val="00FA1F13"/>
    <w:rsid w:val="00FA3BBE"/>
    <w:rsid w:val="00FA4E02"/>
    <w:rsid w:val="00FA5357"/>
    <w:rsid w:val="00FA568E"/>
    <w:rsid w:val="00FA6A11"/>
    <w:rsid w:val="00FA712B"/>
    <w:rsid w:val="00FA7A19"/>
    <w:rsid w:val="00FB1086"/>
    <w:rsid w:val="00FB196D"/>
    <w:rsid w:val="00FB2C28"/>
    <w:rsid w:val="00FB2F4B"/>
    <w:rsid w:val="00FB3D24"/>
    <w:rsid w:val="00FB3D42"/>
    <w:rsid w:val="00FB4CDF"/>
    <w:rsid w:val="00FB5C1B"/>
    <w:rsid w:val="00FB611D"/>
    <w:rsid w:val="00FB6DAE"/>
    <w:rsid w:val="00FB7496"/>
    <w:rsid w:val="00FB772B"/>
    <w:rsid w:val="00FB7CC5"/>
    <w:rsid w:val="00FC1598"/>
    <w:rsid w:val="00FC22EF"/>
    <w:rsid w:val="00FC590B"/>
    <w:rsid w:val="00FC5ED2"/>
    <w:rsid w:val="00FC6683"/>
    <w:rsid w:val="00FD2EF9"/>
    <w:rsid w:val="00FD3103"/>
    <w:rsid w:val="00FD6108"/>
    <w:rsid w:val="00FE159F"/>
    <w:rsid w:val="00FE2227"/>
    <w:rsid w:val="00FE33B5"/>
    <w:rsid w:val="00FE4023"/>
    <w:rsid w:val="00FE44BB"/>
    <w:rsid w:val="00FE543B"/>
    <w:rsid w:val="00FE5652"/>
    <w:rsid w:val="00FE63D6"/>
    <w:rsid w:val="00FF074F"/>
    <w:rsid w:val="00FF1B04"/>
    <w:rsid w:val="00FF6B8C"/>
    <w:rsid w:val="00FF6F02"/>
    <w:rsid w:val="00FF7087"/>
    <w:rsid w:val="00FF727F"/>
    <w:rsid w:val="00FF750D"/>
    <w:rsid w:val="00FF7A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04A22"/>
  <w15:docId w15:val="{17D7D51B-A857-4EE9-8DC5-57A21A70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2D"/>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D0076B"/>
    <w:pPr>
      <w:keepNext/>
      <w:spacing w:before="240" w:after="60"/>
      <w:outlineLvl w:val="0"/>
    </w:pPr>
    <w:rPr>
      <w:rFonts w:cs="Arial"/>
      <w:b/>
      <w:bCs/>
      <w:kern w:val="2"/>
      <w:szCs w:val="32"/>
    </w:rPr>
  </w:style>
  <w:style w:type="paragraph" w:customStyle="1" w:styleId="Ttulo21">
    <w:name w:val="Título 21"/>
    <w:basedOn w:val="Normal"/>
    <w:next w:val="Normal"/>
    <w:qFormat/>
    <w:rsid w:val="00D0076B"/>
    <w:pPr>
      <w:keepNext/>
      <w:spacing w:before="240" w:after="60"/>
      <w:outlineLvl w:val="1"/>
    </w:pPr>
    <w:rPr>
      <w:rFonts w:cs="Arial"/>
      <w:b/>
      <w:bCs/>
      <w:iCs/>
      <w:szCs w:val="28"/>
    </w:rPr>
  </w:style>
  <w:style w:type="paragraph" w:customStyle="1" w:styleId="Ttulo31">
    <w:name w:val="Título 31"/>
    <w:basedOn w:val="Normal"/>
    <w:next w:val="Normal"/>
    <w:qFormat/>
    <w:rsid w:val="00AB73A2"/>
    <w:pPr>
      <w:keepNext/>
      <w:spacing w:before="240" w:after="60"/>
      <w:outlineLvl w:val="2"/>
    </w:pPr>
    <w:rPr>
      <w:rFonts w:ascii="Arial" w:hAnsi="Arial" w:cs="Arial"/>
      <w:b/>
      <w:bCs/>
      <w:sz w:val="26"/>
      <w:szCs w:val="26"/>
    </w:rPr>
  </w:style>
  <w:style w:type="paragraph" w:customStyle="1" w:styleId="Ttulo41">
    <w:name w:val="Título 41"/>
    <w:basedOn w:val="Normal"/>
    <w:next w:val="Normal"/>
    <w:qFormat/>
    <w:rsid w:val="00AB73A2"/>
    <w:pPr>
      <w:keepNext/>
      <w:spacing w:before="240" w:after="60"/>
      <w:outlineLvl w:val="3"/>
    </w:pPr>
    <w:rPr>
      <w:b/>
      <w:bCs/>
      <w:sz w:val="28"/>
      <w:szCs w:val="28"/>
    </w:rPr>
  </w:style>
  <w:style w:type="paragraph" w:customStyle="1" w:styleId="Ttulo61">
    <w:name w:val="Título 61"/>
    <w:basedOn w:val="Normal"/>
    <w:next w:val="Normal"/>
    <w:qFormat/>
    <w:rsid w:val="00FE05A2"/>
    <w:pPr>
      <w:spacing w:before="240" w:after="60"/>
      <w:outlineLvl w:val="5"/>
    </w:pPr>
    <w:rPr>
      <w:b/>
      <w:bCs/>
      <w:sz w:val="22"/>
      <w:szCs w:val="22"/>
    </w:rPr>
  </w:style>
  <w:style w:type="character" w:customStyle="1" w:styleId="txt11cinza">
    <w:name w:val="txt11cinza"/>
    <w:basedOn w:val="Fontepargpadro"/>
    <w:qFormat/>
    <w:rsid w:val="00525C2D"/>
  </w:style>
  <w:style w:type="character" w:customStyle="1" w:styleId="InternetLink">
    <w:name w:val="Internet Link"/>
    <w:uiPriority w:val="99"/>
    <w:rsid w:val="00FE05A2"/>
    <w:rPr>
      <w:color w:val="0000FF"/>
      <w:u w:val="single"/>
    </w:rPr>
  </w:style>
  <w:style w:type="character" w:styleId="Forte">
    <w:name w:val="Strong"/>
    <w:uiPriority w:val="22"/>
    <w:qFormat/>
    <w:rsid w:val="00FE05A2"/>
    <w:rPr>
      <w:b/>
      <w:bCs/>
    </w:rPr>
  </w:style>
  <w:style w:type="character" w:customStyle="1" w:styleId="FootnoteCharacters">
    <w:name w:val="Footnote Characters"/>
    <w:semiHidden/>
    <w:qFormat/>
    <w:rsid w:val="00FE05A2"/>
    <w:rPr>
      <w:vertAlign w:val="superscript"/>
    </w:rPr>
  </w:style>
  <w:style w:type="character" w:customStyle="1" w:styleId="FootnoteAnchor">
    <w:name w:val="Footnote Anchor"/>
    <w:rsid w:val="00BD65A8"/>
    <w:rPr>
      <w:vertAlign w:val="superscript"/>
    </w:rPr>
  </w:style>
  <w:style w:type="character" w:customStyle="1" w:styleId="CabealhoChar">
    <w:name w:val="Cabeçalho Char"/>
    <w:link w:val="Cabealho1"/>
    <w:uiPriority w:val="99"/>
    <w:qFormat/>
    <w:rsid w:val="00AB73A2"/>
    <w:rPr>
      <w:sz w:val="24"/>
      <w:szCs w:val="24"/>
      <w:lang w:val="pt-BR" w:eastAsia="pt-BR" w:bidi="ar-SA"/>
    </w:rPr>
  </w:style>
  <w:style w:type="character" w:customStyle="1" w:styleId="url">
    <w:name w:val="url"/>
    <w:basedOn w:val="Fontepargpadro"/>
    <w:qFormat/>
    <w:rsid w:val="00CA4DBB"/>
  </w:style>
  <w:style w:type="character" w:customStyle="1" w:styleId="printfooter">
    <w:name w:val="printfooter"/>
    <w:basedOn w:val="Fontepargpadro"/>
    <w:qFormat/>
    <w:rsid w:val="009141C2"/>
  </w:style>
  <w:style w:type="character" w:styleId="Nmerodepgina">
    <w:name w:val="page number"/>
    <w:basedOn w:val="Fontepargpadro"/>
    <w:qFormat/>
    <w:rsid w:val="00677DF5"/>
  </w:style>
  <w:style w:type="character" w:styleId="nfase">
    <w:name w:val="Emphasis"/>
    <w:uiPriority w:val="20"/>
    <w:qFormat/>
    <w:rsid w:val="00AB73A2"/>
    <w:rPr>
      <w:i/>
      <w:iCs/>
    </w:rPr>
  </w:style>
  <w:style w:type="character" w:customStyle="1" w:styleId="TextodebaloChar">
    <w:name w:val="Texto de balão Char"/>
    <w:link w:val="Textodebalo"/>
    <w:uiPriority w:val="99"/>
    <w:semiHidden/>
    <w:qFormat/>
    <w:rsid w:val="00DF352D"/>
    <w:rPr>
      <w:rFonts w:ascii="Tahoma" w:hAnsi="Tahoma" w:cs="Tahoma"/>
      <w:sz w:val="16"/>
      <w:szCs w:val="16"/>
    </w:rPr>
  </w:style>
  <w:style w:type="character" w:customStyle="1" w:styleId="apple-converted-space">
    <w:name w:val="apple-converted-space"/>
    <w:qFormat/>
    <w:rsid w:val="00E146BD"/>
  </w:style>
  <w:style w:type="character" w:styleId="Refdecomentrio">
    <w:name w:val="annotation reference"/>
    <w:uiPriority w:val="99"/>
    <w:semiHidden/>
    <w:unhideWhenUsed/>
    <w:qFormat/>
    <w:rsid w:val="00813FB0"/>
    <w:rPr>
      <w:sz w:val="16"/>
      <w:szCs w:val="16"/>
    </w:rPr>
  </w:style>
  <w:style w:type="character" w:customStyle="1" w:styleId="TextodecomentrioChar">
    <w:name w:val="Texto de comentário Char"/>
    <w:link w:val="Textodecomentrio"/>
    <w:uiPriority w:val="99"/>
    <w:qFormat/>
    <w:rsid w:val="00813FB0"/>
    <w:rPr>
      <w:lang w:val="pt-BR" w:eastAsia="pt-BR"/>
    </w:rPr>
  </w:style>
  <w:style w:type="character" w:customStyle="1" w:styleId="AssuntodocomentrioChar">
    <w:name w:val="Assunto do comentário Char"/>
    <w:link w:val="Assuntodocomentrio"/>
    <w:uiPriority w:val="99"/>
    <w:semiHidden/>
    <w:qFormat/>
    <w:rsid w:val="00813FB0"/>
    <w:rPr>
      <w:b/>
      <w:bCs/>
      <w:lang w:val="pt-BR" w:eastAsia="pt-BR"/>
    </w:rPr>
  </w:style>
  <w:style w:type="character" w:styleId="Nmerodelinha">
    <w:name w:val="line number"/>
    <w:basedOn w:val="Fontepargpadro"/>
    <w:uiPriority w:val="99"/>
    <w:semiHidden/>
    <w:unhideWhenUsed/>
    <w:qFormat/>
    <w:rsid w:val="00455E51"/>
  </w:style>
  <w:style w:type="character" w:customStyle="1" w:styleId="current-selection">
    <w:name w:val="current-selection"/>
    <w:basedOn w:val="Fontepargpadro"/>
    <w:qFormat/>
    <w:rsid w:val="00E02AC9"/>
  </w:style>
  <w:style w:type="character" w:customStyle="1" w:styleId="a">
    <w:name w:val="_"/>
    <w:basedOn w:val="Fontepargpadro"/>
    <w:qFormat/>
    <w:rsid w:val="00E02AC9"/>
  </w:style>
  <w:style w:type="character" w:customStyle="1" w:styleId="ListLabel1">
    <w:name w:val="ListLabel 1"/>
    <w:qFormat/>
    <w:rsid w:val="00BD65A8"/>
    <w:rPr>
      <w:color w:val="auto"/>
    </w:rPr>
  </w:style>
  <w:style w:type="character" w:customStyle="1" w:styleId="ListLabel2">
    <w:name w:val="ListLabel 2"/>
    <w:qFormat/>
    <w:rsid w:val="00BD65A8"/>
    <w:rPr>
      <w:rFonts w:cs="Courier New"/>
    </w:rPr>
  </w:style>
  <w:style w:type="character" w:customStyle="1" w:styleId="ListLabel3">
    <w:name w:val="ListLabel 3"/>
    <w:qFormat/>
    <w:rsid w:val="00BD65A8"/>
    <w:rPr>
      <w:rFonts w:cs="Courier New"/>
    </w:rPr>
  </w:style>
  <w:style w:type="character" w:customStyle="1" w:styleId="ListLabel4">
    <w:name w:val="ListLabel 4"/>
    <w:qFormat/>
    <w:rsid w:val="00BD65A8"/>
    <w:rPr>
      <w:rFonts w:cs="Courier New"/>
    </w:rPr>
  </w:style>
  <w:style w:type="character" w:customStyle="1" w:styleId="ListLabel5">
    <w:name w:val="ListLabel 5"/>
    <w:qFormat/>
    <w:rsid w:val="00BD65A8"/>
    <w:rPr>
      <w:rFonts w:cs="Courier New"/>
    </w:rPr>
  </w:style>
  <w:style w:type="character" w:customStyle="1" w:styleId="ListLabel6">
    <w:name w:val="ListLabel 6"/>
    <w:qFormat/>
    <w:rsid w:val="00BD65A8"/>
    <w:rPr>
      <w:rFonts w:cs="Courier New"/>
    </w:rPr>
  </w:style>
  <w:style w:type="character" w:customStyle="1" w:styleId="ListLabel7">
    <w:name w:val="ListLabel 7"/>
    <w:qFormat/>
    <w:rsid w:val="00BD65A8"/>
    <w:rPr>
      <w:rFonts w:cs="Courier New"/>
    </w:rPr>
  </w:style>
  <w:style w:type="character" w:customStyle="1" w:styleId="ListLabel8">
    <w:name w:val="ListLabel 8"/>
    <w:qFormat/>
    <w:rsid w:val="00BD65A8"/>
    <w:rPr>
      <w:rFonts w:cs="Courier New"/>
    </w:rPr>
  </w:style>
  <w:style w:type="character" w:customStyle="1" w:styleId="ListLabel9">
    <w:name w:val="ListLabel 9"/>
    <w:qFormat/>
    <w:rsid w:val="00BD65A8"/>
    <w:rPr>
      <w:rFonts w:cs="Courier New"/>
    </w:rPr>
  </w:style>
  <w:style w:type="character" w:customStyle="1" w:styleId="ListLabel10">
    <w:name w:val="ListLabel 10"/>
    <w:qFormat/>
    <w:rsid w:val="00BD65A8"/>
    <w:rPr>
      <w:rFonts w:cs="Courier New"/>
    </w:rPr>
  </w:style>
  <w:style w:type="character" w:customStyle="1" w:styleId="ListLabel11">
    <w:name w:val="ListLabel 11"/>
    <w:qFormat/>
    <w:rsid w:val="00BD65A8"/>
    <w:rPr>
      <w:rFonts w:cs="Courier New"/>
    </w:rPr>
  </w:style>
  <w:style w:type="character" w:customStyle="1" w:styleId="ListLabel12">
    <w:name w:val="ListLabel 12"/>
    <w:qFormat/>
    <w:rsid w:val="00BD65A8"/>
    <w:rPr>
      <w:rFonts w:cs="Courier New"/>
    </w:rPr>
  </w:style>
  <w:style w:type="character" w:customStyle="1" w:styleId="ListLabel13">
    <w:name w:val="ListLabel 13"/>
    <w:qFormat/>
    <w:rsid w:val="00BD65A8"/>
    <w:rPr>
      <w:rFonts w:cs="Courier New"/>
    </w:rPr>
  </w:style>
  <w:style w:type="character" w:customStyle="1" w:styleId="ListLabel14">
    <w:name w:val="ListLabel 14"/>
    <w:qFormat/>
    <w:rsid w:val="00BD65A8"/>
    <w:rPr>
      <w:rFonts w:cs="Courier New"/>
    </w:rPr>
  </w:style>
  <w:style w:type="character" w:customStyle="1" w:styleId="ListLabel15">
    <w:name w:val="ListLabel 15"/>
    <w:qFormat/>
    <w:rsid w:val="00BD65A8"/>
    <w:rPr>
      <w:rFonts w:cs="Courier New"/>
    </w:rPr>
  </w:style>
  <w:style w:type="character" w:customStyle="1" w:styleId="ListLabel16">
    <w:name w:val="ListLabel 16"/>
    <w:qFormat/>
    <w:rsid w:val="00BD65A8"/>
    <w:rPr>
      <w:rFonts w:cs="Courier New"/>
    </w:rPr>
  </w:style>
  <w:style w:type="character" w:customStyle="1" w:styleId="ListLabel17">
    <w:name w:val="ListLabel 17"/>
    <w:qFormat/>
    <w:rsid w:val="00BD65A8"/>
    <w:rPr>
      <w:rFonts w:cs="Courier New"/>
    </w:rPr>
  </w:style>
  <w:style w:type="character" w:customStyle="1" w:styleId="ListLabel18">
    <w:name w:val="ListLabel 18"/>
    <w:qFormat/>
    <w:rsid w:val="00BD65A8"/>
    <w:rPr>
      <w:rFonts w:cs="Courier New"/>
    </w:rPr>
  </w:style>
  <w:style w:type="character" w:customStyle="1" w:styleId="ListLabel19">
    <w:name w:val="ListLabel 19"/>
    <w:qFormat/>
    <w:rsid w:val="00BD65A8"/>
    <w:rPr>
      <w:rFonts w:cs="Courier New"/>
    </w:rPr>
  </w:style>
  <w:style w:type="character" w:customStyle="1" w:styleId="ListLabel20">
    <w:name w:val="ListLabel 20"/>
    <w:qFormat/>
    <w:rsid w:val="00BD65A8"/>
    <w:rPr>
      <w:rFonts w:cs="Courier New"/>
    </w:rPr>
  </w:style>
  <w:style w:type="character" w:customStyle="1" w:styleId="ListLabel21">
    <w:name w:val="ListLabel 21"/>
    <w:qFormat/>
    <w:rsid w:val="00BD65A8"/>
    <w:rPr>
      <w:rFonts w:cs="Courier New"/>
    </w:rPr>
  </w:style>
  <w:style w:type="character" w:customStyle="1" w:styleId="ListLabel22">
    <w:name w:val="ListLabel 22"/>
    <w:qFormat/>
    <w:rsid w:val="00BD65A8"/>
    <w:rPr>
      <w:rFonts w:cs="Courier New"/>
    </w:rPr>
  </w:style>
  <w:style w:type="character" w:customStyle="1" w:styleId="ListLabel23">
    <w:name w:val="ListLabel 23"/>
    <w:qFormat/>
    <w:rsid w:val="00BD65A8"/>
    <w:rPr>
      <w:rFonts w:cs="Courier New"/>
    </w:rPr>
  </w:style>
  <w:style w:type="character" w:customStyle="1" w:styleId="ListLabel24">
    <w:name w:val="ListLabel 24"/>
    <w:qFormat/>
    <w:rsid w:val="00BD65A8"/>
    <w:rPr>
      <w:rFonts w:cs="Courier New"/>
    </w:rPr>
  </w:style>
  <w:style w:type="character" w:customStyle="1" w:styleId="ListLabel25">
    <w:name w:val="ListLabel 25"/>
    <w:qFormat/>
    <w:rsid w:val="00BD65A8"/>
    <w:rPr>
      <w:rFonts w:cs="Courier New"/>
    </w:rPr>
  </w:style>
  <w:style w:type="character" w:customStyle="1" w:styleId="ListLabel26">
    <w:name w:val="ListLabel 26"/>
    <w:qFormat/>
    <w:rsid w:val="00BD65A8"/>
    <w:rPr>
      <w:sz w:val="20"/>
    </w:rPr>
  </w:style>
  <w:style w:type="character" w:customStyle="1" w:styleId="ListLabel27">
    <w:name w:val="ListLabel 27"/>
    <w:qFormat/>
    <w:rsid w:val="00BD65A8"/>
    <w:rPr>
      <w:sz w:val="20"/>
    </w:rPr>
  </w:style>
  <w:style w:type="character" w:customStyle="1" w:styleId="ListLabel28">
    <w:name w:val="ListLabel 28"/>
    <w:qFormat/>
    <w:rsid w:val="00BD65A8"/>
    <w:rPr>
      <w:sz w:val="20"/>
    </w:rPr>
  </w:style>
  <w:style w:type="character" w:customStyle="1" w:styleId="ListLabel29">
    <w:name w:val="ListLabel 29"/>
    <w:qFormat/>
    <w:rsid w:val="00BD65A8"/>
    <w:rPr>
      <w:sz w:val="20"/>
    </w:rPr>
  </w:style>
  <w:style w:type="character" w:customStyle="1" w:styleId="ListLabel30">
    <w:name w:val="ListLabel 30"/>
    <w:qFormat/>
    <w:rsid w:val="00BD65A8"/>
    <w:rPr>
      <w:sz w:val="20"/>
    </w:rPr>
  </w:style>
  <w:style w:type="character" w:customStyle="1" w:styleId="ListLabel31">
    <w:name w:val="ListLabel 31"/>
    <w:qFormat/>
    <w:rsid w:val="00BD65A8"/>
    <w:rPr>
      <w:sz w:val="20"/>
    </w:rPr>
  </w:style>
  <w:style w:type="character" w:customStyle="1" w:styleId="ListLabel32">
    <w:name w:val="ListLabel 32"/>
    <w:qFormat/>
    <w:rsid w:val="00BD65A8"/>
    <w:rPr>
      <w:sz w:val="20"/>
    </w:rPr>
  </w:style>
  <w:style w:type="character" w:customStyle="1" w:styleId="ListLabel33">
    <w:name w:val="ListLabel 33"/>
    <w:qFormat/>
    <w:rsid w:val="00BD65A8"/>
    <w:rPr>
      <w:sz w:val="20"/>
    </w:rPr>
  </w:style>
  <w:style w:type="character" w:customStyle="1" w:styleId="ListLabel34">
    <w:name w:val="ListLabel 34"/>
    <w:qFormat/>
    <w:rsid w:val="00BD65A8"/>
    <w:rPr>
      <w:sz w:val="20"/>
    </w:rPr>
  </w:style>
  <w:style w:type="character" w:customStyle="1" w:styleId="ListLabel35">
    <w:name w:val="ListLabel 35"/>
    <w:qFormat/>
    <w:rsid w:val="00BD65A8"/>
    <w:rPr>
      <w:sz w:val="20"/>
    </w:rPr>
  </w:style>
  <w:style w:type="character" w:customStyle="1" w:styleId="ListLabel36">
    <w:name w:val="ListLabel 36"/>
    <w:qFormat/>
    <w:rsid w:val="00BD65A8"/>
    <w:rPr>
      <w:sz w:val="20"/>
    </w:rPr>
  </w:style>
  <w:style w:type="character" w:customStyle="1" w:styleId="ListLabel37">
    <w:name w:val="ListLabel 37"/>
    <w:qFormat/>
    <w:rsid w:val="00BD65A8"/>
    <w:rPr>
      <w:sz w:val="20"/>
    </w:rPr>
  </w:style>
  <w:style w:type="character" w:customStyle="1" w:styleId="ListLabel38">
    <w:name w:val="ListLabel 38"/>
    <w:qFormat/>
    <w:rsid w:val="00BD65A8"/>
    <w:rPr>
      <w:sz w:val="20"/>
    </w:rPr>
  </w:style>
  <w:style w:type="character" w:customStyle="1" w:styleId="ListLabel39">
    <w:name w:val="ListLabel 39"/>
    <w:qFormat/>
    <w:rsid w:val="00BD65A8"/>
    <w:rPr>
      <w:sz w:val="20"/>
    </w:rPr>
  </w:style>
  <w:style w:type="character" w:customStyle="1" w:styleId="ListLabel40">
    <w:name w:val="ListLabel 40"/>
    <w:qFormat/>
    <w:rsid w:val="00BD65A8"/>
    <w:rPr>
      <w:sz w:val="20"/>
    </w:rPr>
  </w:style>
  <w:style w:type="character" w:customStyle="1" w:styleId="ListLabel41">
    <w:name w:val="ListLabel 41"/>
    <w:qFormat/>
    <w:rsid w:val="00BD65A8"/>
    <w:rPr>
      <w:sz w:val="20"/>
    </w:rPr>
  </w:style>
  <w:style w:type="character" w:customStyle="1" w:styleId="ListLabel42">
    <w:name w:val="ListLabel 42"/>
    <w:qFormat/>
    <w:rsid w:val="00BD65A8"/>
    <w:rPr>
      <w:sz w:val="20"/>
    </w:rPr>
  </w:style>
  <w:style w:type="character" w:customStyle="1" w:styleId="ListLabel43">
    <w:name w:val="ListLabel 43"/>
    <w:qFormat/>
    <w:rsid w:val="00BD65A8"/>
    <w:rPr>
      <w:sz w:val="20"/>
    </w:rPr>
  </w:style>
  <w:style w:type="character" w:customStyle="1" w:styleId="ListLabel44">
    <w:name w:val="ListLabel 44"/>
    <w:qFormat/>
    <w:rsid w:val="00BD65A8"/>
    <w:rPr>
      <w:sz w:val="20"/>
    </w:rPr>
  </w:style>
  <w:style w:type="character" w:customStyle="1" w:styleId="ListLabel45">
    <w:name w:val="ListLabel 45"/>
    <w:qFormat/>
    <w:rsid w:val="00BD65A8"/>
    <w:rPr>
      <w:sz w:val="20"/>
    </w:rPr>
  </w:style>
  <w:style w:type="character" w:customStyle="1" w:styleId="ListLabel46">
    <w:name w:val="ListLabel 46"/>
    <w:qFormat/>
    <w:rsid w:val="00BD65A8"/>
    <w:rPr>
      <w:sz w:val="20"/>
    </w:rPr>
  </w:style>
  <w:style w:type="character" w:customStyle="1" w:styleId="ListLabel47">
    <w:name w:val="ListLabel 47"/>
    <w:qFormat/>
    <w:rsid w:val="00BD65A8"/>
    <w:rPr>
      <w:sz w:val="20"/>
    </w:rPr>
  </w:style>
  <w:style w:type="character" w:customStyle="1" w:styleId="ListLabel48">
    <w:name w:val="ListLabel 48"/>
    <w:qFormat/>
    <w:rsid w:val="00BD65A8"/>
    <w:rPr>
      <w:sz w:val="20"/>
    </w:rPr>
  </w:style>
  <w:style w:type="character" w:customStyle="1" w:styleId="ListLabel49">
    <w:name w:val="ListLabel 49"/>
    <w:qFormat/>
    <w:rsid w:val="00BD65A8"/>
    <w:rPr>
      <w:sz w:val="20"/>
    </w:rPr>
  </w:style>
  <w:style w:type="character" w:customStyle="1" w:styleId="ListLabel50">
    <w:name w:val="ListLabel 50"/>
    <w:qFormat/>
    <w:rsid w:val="00BD65A8"/>
    <w:rPr>
      <w:sz w:val="20"/>
    </w:rPr>
  </w:style>
  <w:style w:type="character" w:customStyle="1" w:styleId="ListLabel51">
    <w:name w:val="ListLabel 51"/>
    <w:qFormat/>
    <w:rsid w:val="00BD65A8"/>
    <w:rPr>
      <w:sz w:val="20"/>
    </w:rPr>
  </w:style>
  <w:style w:type="character" w:customStyle="1" w:styleId="ListLabel52">
    <w:name w:val="ListLabel 52"/>
    <w:qFormat/>
    <w:rsid w:val="00BD65A8"/>
    <w:rPr>
      <w:sz w:val="20"/>
    </w:rPr>
  </w:style>
  <w:style w:type="character" w:customStyle="1" w:styleId="ListLabel53">
    <w:name w:val="ListLabel 53"/>
    <w:qFormat/>
    <w:rsid w:val="00BD65A8"/>
    <w:rPr>
      <w:sz w:val="20"/>
    </w:rPr>
  </w:style>
  <w:style w:type="character" w:customStyle="1" w:styleId="ListLabel54">
    <w:name w:val="ListLabel 54"/>
    <w:qFormat/>
    <w:rsid w:val="00BD65A8"/>
    <w:rPr>
      <w:sz w:val="20"/>
    </w:rPr>
  </w:style>
  <w:style w:type="character" w:customStyle="1" w:styleId="ListLabel55">
    <w:name w:val="ListLabel 55"/>
    <w:qFormat/>
    <w:rsid w:val="00BD65A8"/>
    <w:rPr>
      <w:sz w:val="20"/>
    </w:rPr>
  </w:style>
  <w:style w:type="character" w:customStyle="1" w:styleId="ListLabel56">
    <w:name w:val="ListLabel 56"/>
    <w:qFormat/>
    <w:rsid w:val="00BD65A8"/>
    <w:rPr>
      <w:sz w:val="20"/>
    </w:rPr>
  </w:style>
  <w:style w:type="character" w:customStyle="1" w:styleId="ListLabel57">
    <w:name w:val="ListLabel 57"/>
    <w:qFormat/>
    <w:rsid w:val="00BD65A8"/>
    <w:rPr>
      <w:sz w:val="20"/>
    </w:rPr>
  </w:style>
  <w:style w:type="character" w:customStyle="1" w:styleId="ListLabel58">
    <w:name w:val="ListLabel 58"/>
    <w:qFormat/>
    <w:rsid w:val="00BD65A8"/>
    <w:rPr>
      <w:sz w:val="20"/>
    </w:rPr>
  </w:style>
  <w:style w:type="character" w:customStyle="1" w:styleId="ListLabel59">
    <w:name w:val="ListLabel 59"/>
    <w:qFormat/>
    <w:rsid w:val="00BD65A8"/>
    <w:rPr>
      <w:sz w:val="20"/>
    </w:rPr>
  </w:style>
  <w:style w:type="character" w:customStyle="1" w:styleId="ListLabel60">
    <w:name w:val="ListLabel 60"/>
    <w:qFormat/>
    <w:rsid w:val="00BD65A8"/>
    <w:rPr>
      <w:sz w:val="20"/>
    </w:rPr>
  </w:style>
  <w:style w:type="character" w:customStyle="1" w:styleId="ListLabel61">
    <w:name w:val="ListLabel 61"/>
    <w:qFormat/>
    <w:rsid w:val="00BD65A8"/>
    <w:rPr>
      <w:sz w:val="20"/>
    </w:rPr>
  </w:style>
  <w:style w:type="character" w:customStyle="1" w:styleId="ListLabel62">
    <w:name w:val="ListLabel 62"/>
    <w:qFormat/>
    <w:rsid w:val="00BD65A8"/>
    <w:rPr>
      <w:lang w:val="en-US"/>
    </w:rPr>
  </w:style>
  <w:style w:type="character" w:customStyle="1" w:styleId="ListLabel63">
    <w:name w:val="ListLabel 63"/>
    <w:qFormat/>
    <w:rsid w:val="00BD65A8"/>
    <w:rPr>
      <w:bCs/>
      <w:lang w:val="en-US"/>
    </w:rPr>
  </w:style>
  <w:style w:type="character" w:customStyle="1" w:styleId="ListLabel64">
    <w:name w:val="ListLabel 64"/>
    <w:qFormat/>
    <w:rsid w:val="00BD65A8"/>
    <w:rPr>
      <w:bCs/>
      <w:color w:val="auto"/>
      <w:u w:val="none"/>
      <w:lang w:val="en-US"/>
    </w:rPr>
  </w:style>
  <w:style w:type="character" w:customStyle="1" w:styleId="ListLabel65">
    <w:name w:val="ListLabel 65"/>
    <w:qFormat/>
    <w:rsid w:val="00BD65A8"/>
  </w:style>
  <w:style w:type="character" w:customStyle="1" w:styleId="ListLabel66">
    <w:name w:val="ListLabel 66"/>
    <w:qFormat/>
    <w:rsid w:val="00BD65A8"/>
    <w:rPr>
      <w:color w:val="auto"/>
      <w:u w:val="none"/>
      <w:lang w:val="en-US"/>
    </w:rPr>
  </w:style>
  <w:style w:type="character" w:customStyle="1" w:styleId="ListLabel67">
    <w:name w:val="ListLabel 67"/>
    <w:qFormat/>
    <w:rsid w:val="00BD65A8"/>
    <w:rPr>
      <w:color w:val="auto"/>
      <w:u w:val="none"/>
    </w:rPr>
  </w:style>
  <w:style w:type="character" w:customStyle="1" w:styleId="LineNumbering">
    <w:name w:val="Line Numbering"/>
    <w:rsid w:val="00BD65A8"/>
  </w:style>
  <w:style w:type="paragraph" w:customStyle="1" w:styleId="Heading">
    <w:name w:val="Heading"/>
    <w:basedOn w:val="Normal"/>
    <w:next w:val="Corpodetexto"/>
    <w:qFormat/>
    <w:rsid w:val="00BD65A8"/>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rsid w:val="00525C2D"/>
    <w:pPr>
      <w:spacing w:line="360" w:lineRule="auto"/>
    </w:pPr>
    <w:rPr>
      <w:szCs w:val="20"/>
    </w:rPr>
  </w:style>
  <w:style w:type="paragraph" w:styleId="Lista">
    <w:name w:val="List"/>
    <w:basedOn w:val="Corpodetexto"/>
    <w:rsid w:val="00BD65A8"/>
    <w:rPr>
      <w:rFonts w:cs="Lohit Devanagari"/>
    </w:rPr>
  </w:style>
  <w:style w:type="paragraph" w:customStyle="1" w:styleId="Legenda1">
    <w:name w:val="Legenda1"/>
    <w:basedOn w:val="Normal"/>
    <w:qFormat/>
    <w:rsid w:val="00BD65A8"/>
    <w:pPr>
      <w:suppressLineNumbers/>
      <w:spacing w:before="120" w:after="120"/>
    </w:pPr>
    <w:rPr>
      <w:rFonts w:cs="Lohit Devanagari"/>
      <w:i/>
      <w:iCs/>
    </w:rPr>
  </w:style>
  <w:style w:type="paragraph" w:customStyle="1" w:styleId="Index">
    <w:name w:val="Index"/>
    <w:basedOn w:val="Normal"/>
    <w:qFormat/>
    <w:rsid w:val="00BD65A8"/>
    <w:pPr>
      <w:suppressLineNumbers/>
    </w:pPr>
    <w:rPr>
      <w:rFonts w:cs="Lohit Devanagari"/>
    </w:rPr>
  </w:style>
  <w:style w:type="paragraph" w:styleId="Recuodecorpodetexto">
    <w:name w:val="Body Text Indent"/>
    <w:basedOn w:val="Normal"/>
    <w:rsid w:val="00525C2D"/>
    <w:pPr>
      <w:spacing w:after="120"/>
      <w:ind w:left="283"/>
    </w:pPr>
  </w:style>
  <w:style w:type="paragraph" w:styleId="Corpodetexto2">
    <w:name w:val="Body Text 2"/>
    <w:basedOn w:val="Normal"/>
    <w:qFormat/>
    <w:rsid w:val="004B2FD8"/>
    <w:pPr>
      <w:spacing w:after="120" w:line="480" w:lineRule="auto"/>
    </w:pPr>
  </w:style>
  <w:style w:type="paragraph" w:styleId="NormalWeb">
    <w:name w:val="Normal (Web)"/>
    <w:basedOn w:val="Normal"/>
    <w:uiPriority w:val="99"/>
    <w:qFormat/>
    <w:rsid w:val="004B2FD8"/>
    <w:pPr>
      <w:spacing w:beforeAutospacing="1" w:afterAutospacing="1"/>
    </w:pPr>
  </w:style>
  <w:style w:type="paragraph" w:styleId="Legenda">
    <w:name w:val="caption"/>
    <w:basedOn w:val="Normal"/>
    <w:next w:val="Normal"/>
    <w:uiPriority w:val="35"/>
    <w:qFormat/>
    <w:rsid w:val="00FE05A2"/>
    <w:rPr>
      <w:b/>
      <w:sz w:val="20"/>
      <w:szCs w:val="20"/>
      <w:u w:val="single"/>
    </w:rPr>
  </w:style>
  <w:style w:type="paragraph" w:styleId="Recuodecorpodetexto2">
    <w:name w:val="Body Text Indent 2"/>
    <w:basedOn w:val="Normal"/>
    <w:qFormat/>
    <w:rsid w:val="00FE05A2"/>
    <w:pPr>
      <w:spacing w:after="120" w:line="480" w:lineRule="auto"/>
      <w:ind w:left="283"/>
    </w:pPr>
  </w:style>
  <w:style w:type="paragraph" w:styleId="Recuodecorpodetexto3">
    <w:name w:val="Body Text Indent 3"/>
    <w:basedOn w:val="Normal"/>
    <w:qFormat/>
    <w:rsid w:val="00FE05A2"/>
    <w:pPr>
      <w:spacing w:after="120"/>
      <w:ind w:left="283"/>
    </w:pPr>
    <w:rPr>
      <w:sz w:val="16"/>
      <w:szCs w:val="16"/>
    </w:rPr>
  </w:style>
  <w:style w:type="paragraph" w:customStyle="1" w:styleId="Textodenotaderodap1">
    <w:name w:val="Texto de nota de rodapé1"/>
    <w:basedOn w:val="Normal"/>
    <w:semiHidden/>
    <w:rsid w:val="00FE05A2"/>
    <w:rPr>
      <w:b/>
      <w:bCs/>
      <w:sz w:val="20"/>
      <w:szCs w:val="20"/>
    </w:rPr>
  </w:style>
  <w:style w:type="paragraph" w:styleId="Corpodetexto3">
    <w:name w:val="Body Text 3"/>
    <w:basedOn w:val="Normal"/>
    <w:qFormat/>
    <w:rsid w:val="00CA268F"/>
    <w:pPr>
      <w:spacing w:after="120"/>
    </w:pPr>
    <w:rPr>
      <w:sz w:val="16"/>
      <w:szCs w:val="16"/>
    </w:rPr>
  </w:style>
  <w:style w:type="paragraph" w:customStyle="1" w:styleId="Cabealho1">
    <w:name w:val="Cabeçalho1"/>
    <w:basedOn w:val="Normal"/>
    <w:link w:val="CabealhoChar"/>
    <w:uiPriority w:val="99"/>
    <w:rsid w:val="00CA4DBB"/>
    <w:pPr>
      <w:tabs>
        <w:tab w:val="center" w:pos="4419"/>
        <w:tab w:val="right" w:pos="8838"/>
      </w:tabs>
    </w:pPr>
  </w:style>
  <w:style w:type="paragraph" w:customStyle="1" w:styleId="Rodap1">
    <w:name w:val="Rodapé1"/>
    <w:basedOn w:val="Normal"/>
    <w:rsid w:val="00677DF5"/>
    <w:pPr>
      <w:tabs>
        <w:tab w:val="center" w:pos="4252"/>
        <w:tab w:val="right" w:pos="8504"/>
      </w:tabs>
    </w:pPr>
  </w:style>
  <w:style w:type="paragraph" w:customStyle="1" w:styleId="Sumrio11">
    <w:name w:val="Sumário 11"/>
    <w:basedOn w:val="Normal"/>
    <w:next w:val="Normal"/>
    <w:autoRedefine/>
    <w:uiPriority w:val="39"/>
    <w:rsid w:val="00AB73A2"/>
    <w:pPr>
      <w:tabs>
        <w:tab w:val="right" w:leader="dot" w:pos="9360"/>
      </w:tabs>
      <w:spacing w:before="120" w:line="360" w:lineRule="auto"/>
    </w:pPr>
    <w:rPr>
      <w:b/>
      <w:bCs/>
      <w:iCs/>
    </w:rPr>
  </w:style>
  <w:style w:type="paragraph" w:customStyle="1" w:styleId="NormalArial">
    <w:name w:val="Normal + Arial"/>
    <w:basedOn w:val="NormalWeb"/>
    <w:qFormat/>
    <w:rsid w:val="00AB73A2"/>
    <w:pPr>
      <w:spacing w:line="360" w:lineRule="auto"/>
      <w:ind w:right="-520"/>
      <w:jc w:val="both"/>
    </w:pPr>
    <w:rPr>
      <w:rFonts w:ascii="Arial" w:hAnsi="Arial"/>
    </w:rPr>
  </w:style>
  <w:style w:type="paragraph" w:customStyle="1" w:styleId="tabela">
    <w:name w:val="tabela"/>
    <w:basedOn w:val="Normal"/>
    <w:autoRedefine/>
    <w:qFormat/>
    <w:rsid w:val="00AB73A2"/>
    <w:pPr>
      <w:spacing w:beforeAutospacing="1" w:afterAutospacing="1"/>
      <w:ind w:right="47"/>
      <w:jc w:val="both"/>
    </w:pPr>
    <w:rPr>
      <w:spacing w:val="2"/>
    </w:rPr>
  </w:style>
  <w:style w:type="paragraph" w:customStyle="1" w:styleId="Default">
    <w:name w:val="Default"/>
    <w:qFormat/>
    <w:rsid w:val="00AB73A2"/>
    <w:rPr>
      <w:color w:val="000000"/>
      <w:sz w:val="24"/>
      <w:szCs w:val="24"/>
    </w:rPr>
  </w:style>
  <w:style w:type="paragraph" w:customStyle="1" w:styleId="CapaTexto">
    <w:name w:val="Capa Texto"/>
    <w:basedOn w:val="Normal"/>
    <w:qFormat/>
    <w:rsid w:val="00AB73A2"/>
    <w:rPr>
      <w:b/>
      <w:caps/>
    </w:rPr>
  </w:style>
  <w:style w:type="paragraph" w:customStyle="1" w:styleId="Texto">
    <w:name w:val="Texto"/>
    <w:basedOn w:val="Normal"/>
    <w:qFormat/>
    <w:rsid w:val="00AB73A2"/>
    <w:pPr>
      <w:tabs>
        <w:tab w:val="left" w:pos="1428"/>
      </w:tabs>
      <w:spacing w:line="480" w:lineRule="auto"/>
      <w:ind w:firstLine="709"/>
    </w:pPr>
  </w:style>
  <w:style w:type="paragraph" w:styleId="Remissivo1">
    <w:name w:val="index 1"/>
    <w:basedOn w:val="Normal"/>
    <w:next w:val="Normal"/>
    <w:autoRedefine/>
    <w:semiHidden/>
    <w:qFormat/>
    <w:rsid w:val="00AB73A2"/>
    <w:pPr>
      <w:ind w:left="240" w:hanging="240"/>
    </w:pPr>
    <w:rPr>
      <w:sz w:val="20"/>
      <w:szCs w:val="20"/>
    </w:rPr>
  </w:style>
  <w:style w:type="paragraph" w:customStyle="1" w:styleId="Normal1">
    <w:name w:val="Normal+1"/>
    <w:basedOn w:val="Default"/>
    <w:next w:val="Default"/>
    <w:qFormat/>
    <w:rsid w:val="00AB73A2"/>
    <w:rPr>
      <w:rFonts w:ascii="Arial" w:hAnsi="Arial"/>
      <w:color w:val="auto"/>
    </w:rPr>
  </w:style>
  <w:style w:type="paragraph" w:styleId="Textodebalo">
    <w:name w:val="Balloon Text"/>
    <w:basedOn w:val="Normal"/>
    <w:link w:val="TextodebaloChar"/>
    <w:uiPriority w:val="99"/>
    <w:semiHidden/>
    <w:unhideWhenUsed/>
    <w:qFormat/>
    <w:rsid w:val="00DF352D"/>
    <w:rPr>
      <w:rFonts w:ascii="Tahoma" w:hAnsi="Tahoma"/>
      <w:sz w:val="16"/>
      <w:szCs w:val="16"/>
    </w:rPr>
  </w:style>
  <w:style w:type="paragraph" w:customStyle="1" w:styleId="ah-feature-text">
    <w:name w:val="ah-feature-text"/>
    <w:basedOn w:val="Normal"/>
    <w:qFormat/>
    <w:rsid w:val="00E146BD"/>
    <w:pPr>
      <w:spacing w:beforeAutospacing="1" w:afterAutospacing="1"/>
    </w:pPr>
  </w:style>
  <w:style w:type="paragraph" w:customStyle="1" w:styleId="bqs-feature">
    <w:name w:val="bqs-feature"/>
    <w:basedOn w:val="Normal"/>
    <w:qFormat/>
    <w:rsid w:val="00E146BD"/>
    <w:pPr>
      <w:spacing w:beforeAutospacing="1" w:afterAutospacing="1"/>
    </w:pPr>
  </w:style>
  <w:style w:type="paragraph" w:customStyle="1" w:styleId="ah-feature-text-indent">
    <w:name w:val="ah-feature-text-indent"/>
    <w:basedOn w:val="Normal"/>
    <w:qFormat/>
    <w:rsid w:val="00E146BD"/>
    <w:pPr>
      <w:spacing w:beforeAutospacing="1" w:afterAutospacing="1"/>
    </w:pPr>
  </w:style>
  <w:style w:type="paragraph" w:customStyle="1" w:styleId="dh-feature">
    <w:name w:val="dh-feature"/>
    <w:basedOn w:val="Normal"/>
    <w:qFormat/>
    <w:rsid w:val="00E146BD"/>
    <w:pPr>
      <w:spacing w:beforeAutospacing="1" w:afterAutospacing="1"/>
    </w:pPr>
  </w:style>
  <w:style w:type="paragraph" w:styleId="Textodecomentrio">
    <w:name w:val="annotation text"/>
    <w:basedOn w:val="Normal"/>
    <w:link w:val="TextodecomentrioChar"/>
    <w:uiPriority w:val="99"/>
    <w:unhideWhenUsed/>
    <w:qFormat/>
    <w:rsid w:val="00813FB0"/>
    <w:rPr>
      <w:sz w:val="20"/>
      <w:szCs w:val="20"/>
    </w:rPr>
  </w:style>
  <w:style w:type="paragraph" w:styleId="Assuntodocomentrio">
    <w:name w:val="annotation subject"/>
    <w:basedOn w:val="Textodecomentrio"/>
    <w:link w:val="AssuntodocomentrioChar"/>
    <w:uiPriority w:val="99"/>
    <w:semiHidden/>
    <w:unhideWhenUsed/>
    <w:qFormat/>
    <w:rsid w:val="00813FB0"/>
    <w:rPr>
      <w:b/>
      <w:bCs/>
    </w:rPr>
  </w:style>
  <w:style w:type="paragraph" w:styleId="Commarcadores">
    <w:name w:val="List Bullet"/>
    <w:basedOn w:val="Normal"/>
    <w:uiPriority w:val="99"/>
    <w:unhideWhenUsed/>
    <w:qFormat/>
    <w:rsid w:val="007114E5"/>
    <w:pPr>
      <w:contextualSpacing/>
    </w:pPr>
  </w:style>
  <w:style w:type="paragraph" w:styleId="CabealhodoSumrio">
    <w:name w:val="TOC Heading"/>
    <w:basedOn w:val="Ttulo11"/>
    <w:next w:val="Normal"/>
    <w:uiPriority w:val="39"/>
    <w:unhideWhenUsed/>
    <w:qFormat/>
    <w:rsid w:val="00D0076B"/>
    <w:pPr>
      <w:keepLines/>
      <w:spacing w:after="0" w:line="259" w:lineRule="auto"/>
    </w:pPr>
    <w:rPr>
      <w:rFonts w:ascii="Calibri Light" w:hAnsi="Calibri Light" w:cs="Times New Roman"/>
      <w:b w:val="0"/>
      <w:bCs w:val="0"/>
      <w:color w:val="2E74B5"/>
      <w:kern w:val="0"/>
      <w:sz w:val="32"/>
      <w:lang w:val="en-US" w:eastAsia="en-US"/>
    </w:rPr>
  </w:style>
  <w:style w:type="paragraph" w:customStyle="1" w:styleId="Sumrio21">
    <w:name w:val="Sumário 21"/>
    <w:basedOn w:val="Normal"/>
    <w:next w:val="Normal"/>
    <w:autoRedefine/>
    <w:uiPriority w:val="39"/>
    <w:unhideWhenUsed/>
    <w:rsid w:val="00D0076B"/>
    <w:pPr>
      <w:ind w:left="240"/>
    </w:pPr>
  </w:style>
  <w:style w:type="paragraph" w:customStyle="1" w:styleId="Sumrio31">
    <w:name w:val="Sumário 31"/>
    <w:basedOn w:val="Normal"/>
    <w:next w:val="Normal"/>
    <w:autoRedefine/>
    <w:uiPriority w:val="39"/>
    <w:unhideWhenUsed/>
    <w:rsid w:val="00074203"/>
    <w:pPr>
      <w:spacing w:after="100" w:line="259" w:lineRule="auto"/>
      <w:ind w:left="440"/>
    </w:pPr>
    <w:rPr>
      <w:rFonts w:ascii="Calibri" w:hAnsi="Calibri"/>
      <w:sz w:val="22"/>
      <w:szCs w:val="22"/>
      <w:lang w:val="en-US" w:eastAsia="en-US"/>
    </w:rPr>
  </w:style>
  <w:style w:type="paragraph" w:styleId="ndicedeilustraes">
    <w:name w:val="table of figures"/>
    <w:basedOn w:val="Normal"/>
    <w:next w:val="Normal"/>
    <w:uiPriority w:val="99"/>
    <w:unhideWhenUsed/>
    <w:qFormat/>
    <w:rsid w:val="00074203"/>
  </w:style>
  <w:style w:type="paragraph" w:styleId="PargrafodaLista">
    <w:name w:val="List Paragraph"/>
    <w:basedOn w:val="Normal"/>
    <w:uiPriority w:val="34"/>
    <w:qFormat/>
    <w:rsid w:val="00717904"/>
    <w:pPr>
      <w:ind w:left="720"/>
      <w:contextualSpacing/>
    </w:pPr>
  </w:style>
  <w:style w:type="paragraph" w:customStyle="1" w:styleId="Normal10">
    <w:name w:val="Normal1"/>
    <w:qFormat/>
    <w:rsid w:val="00B4042F"/>
    <w:pPr>
      <w:widowControl w:val="0"/>
      <w:spacing w:after="160" w:line="252" w:lineRule="auto"/>
      <w:jc w:val="both"/>
    </w:pPr>
    <w:rPr>
      <w:rFonts w:ascii="Calibri" w:eastAsia="Calibri" w:hAnsi="Calibri" w:cs="Calibri"/>
      <w:color w:val="000000"/>
      <w:sz w:val="22"/>
      <w:szCs w:val="22"/>
      <w:lang w:val="en-US" w:eastAsia="en-US"/>
    </w:rPr>
  </w:style>
  <w:style w:type="table" w:styleId="Tabelacomgrade">
    <w:name w:val="Table Grid"/>
    <w:basedOn w:val="Tabelanormal"/>
    <w:rsid w:val="0052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mlista3">
    <w:name w:val="Table List 3"/>
    <w:basedOn w:val="Tabelanormal"/>
    <w:rsid w:val="00AB73A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character" w:styleId="Hyperlink">
    <w:name w:val="Hyperlink"/>
    <w:basedOn w:val="Fontepargpadro"/>
    <w:uiPriority w:val="99"/>
    <w:unhideWhenUsed/>
    <w:rsid w:val="0041581E"/>
    <w:rPr>
      <w:color w:val="0000FF" w:themeColor="hyperlink"/>
      <w:u w:val="single"/>
    </w:rPr>
  </w:style>
  <w:style w:type="paragraph" w:styleId="Reviso">
    <w:name w:val="Revision"/>
    <w:hidden/>
    <w:uiPriority w:val="99"/>
    <w:semiHidden/>
    <w:rsid w:val="005F1346"/>
    <w:rPr>
      <w:sz w:val="24"/>
      <w:szCs w:val="24"/>
    </w:rPr>
  </w:style>
  <w:style w:type="character" w:styleId="TextodoEspaoReservado">
    <w:name w:val="Placeholder Text"/>
    <w:basedOn w:val="Fontepargpadro"/>
    <w:uiPriority w:val="99"/>
    <w:semiHidden/>
    <w:rsid w:val="007B6038"/>
    <w:rPr>
      <w:color w:val="808080"/>
    </w:rPr>
  </w:style>
  <w:style w:type="character" w:customStyle="1" w:styleId="MenoPendente1">
    <w:name w:val="Menção Pendente1"/>
    <w:basedOn w:val="Fontepargpadro"/>
    <w:uiPriority w:val="99"/>
    <w:semiHidden/>
    <w:unhideWhenUsed/>
    <w:rsid w:val="00F05B35"/>
    <w:rPr>
      <w:color w:val="605E5C"/>
      <w:shd w:val="clear" w:color="auto" w:fill="E1DFDD"/>
    </w:rPr>
  </w:style>
  <w:style w:type="paragraph" w:styleId="Textodenotaderodap">
    <w:name w:val="footnote text"/>
    <w:basedOn w:val="Normal"/>
    <w:link w:val="TextodenotaderodapChar"/>
    <w:uiPriority w:val="99"/>
    <w:semiHidden/>
    <w:unhideWhenUsed/>
    <w:rsid w:val="00E66831"/>
    <w:rPr>
      <w:sz w:val="20"/>
      <w:szCs w:val="20"/>
    </w:rPr>
  </w:style>
  <w:style w:type="character" w:customStyle="1" w:styleId="TextodenotaderodapChar">
    <w:name w:val="Texto de nota de rodapé Char"/>
    <w:basedOn w:val="Fontepargpadro"/>
    <w:link w:val="Textodenotaderodap"/>
    <w:uiPriority w:val="99"/>
    <w:semiHidden/>
    <w:rsid w:val="00E66831"/>
  </w:style>
  <w:style w:type="character" w:styleId="Refdenotaderodap">
    <w:name w:val="footnote reference"/>
    <w:basedOn w:val="Fontepargpadro"/>
    <w:uiPriority w:val="99"/>
    <w:semiHidden/>
    <w:unhideWhenUsed/>
    <w:rsid w:val="00E66831"/>
    <w:rPr>
      <w:vertAlign w:val="superscript"/>
    </w:rPr>
  </w:style>
  <w:style w:type="paragraph" w:styleId="Cabealho">
    <w:name w:val="header"/>
    <w:basedOn w:val="Normal"/>
    <w:link w:val="CabealhoChar1"/>
    <w:uiPriority w:val="99"/>
    <w:unhideWhenUsed/>
    <w:rsid w:val="00DD2D10"/>
    <w:pPr>
      <w:tabs>
        <w:tab w:val="center" w:pos="4252"/>
        <w:tab w:val="right" w:pos="8504"/>
      </w:tabs>
    </w:pPr>
  </w:style>
  <w:style w:type="character" w:customStyle="1" w:styleId="CabealhoChar1">
    <w:name w:val="Cabeçalho Char1"/>
    <w:basedOn w:val="Fontepargpadro"/>
    <w:link w:val="Cabealho"/>
    <w:uiPriority w:val="99"/>
    <w:rsid w:val="00DD2D10"/>
    <w:rPr>
      <w:sz w:val="24"/>
      <w:szCs w:val="24"/>
    </w:rPr>
  </w:style>
  <w:style w:type="paragraph" w:styleId="Rodap">
    <w:name w:val="footer"/>
    <w:basedOn w:val="Normal"/>
    <w:link w:val="RodapChar"/>
    <w:uiPriority w:val="99"/>
    <w:unhideWhenUsed/>
    <w:rsid w:val="00DD2D10"/>
    <w:pPr>
      <w:tabs>
        <w:tab w:val="center" w:pos="4252"/>
        <w:tab w:val="right" w:pos="8504"/>
      </w:tabs>
    </w:pPr>
  </w:style>
  <w:style w:type="character" w:customStyle="1" w:styleId="RodapChar">
    <w:name w:val="Rodapé Char"/>
    <w:basedOn w:val="Fontepargpadro"/>
    <w:link w:val="Rodap"/>
    <w:uiPriority w:val="99"/>
    <w:rsid w:val="00DD2D10"/>
    <w:rPr>
      <w:sz w:val="24"/>
      <w:szCs w:val="24"/>
    </w:rPr>
  </w:style>
  <w:style w:type="character" w:styleId="Refdenotadefim">
    <w:name w:val="endnote reference"/>
    <w:basedOn w:val="Fontepargpadro"/>
    <w:uiPriority w:val="99"/>
    <w:semiHidden/>
    <w:unhideWhenUsed/>
    <w:rsid w:val="00646E7D"/>
    <w:rPr>
      <w:vertAlign w:val="superscript"/>
    </w:rPr>
  </w:style>
  <w:style w:type="character" w:styleId="MenoPendente">
    <w:name w:val="Unresolved Mention"/>
    <w:basedOn w:val="Fontepargpadro"/>
    <w:uiPriority w:val="99"/>
    <w:semiHidden/>
    <w:unhideWhenUsed/>
    <w:rsid w:val="00117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529">
      <w:bodyDiv w:val="1"/>
      <w:marLeft w:val="0"/>
      <w:marRight w:val="0"/>
      <w:marTop w:val="0"/>
      <w:marBottom w:val="0"/>
      <w:divBdr>
        <w:top w:val="none" w:sz="0" w:space="0" w:color="auto"/>
        <w:left w:val="none" w:sz="0" w:space="0" w:color="auto"/>
        <w:bottom w:val="none" w:sz="0" w:space="0" w:color="auto"/>
        <w:right w:val="none" w:sz="0" w:space="0" w:color="auto"/>
      </w:divBdr>
    </w:div>
    <w:div w:id="224414586">
      <w:bodyDiv w:val="1"/>
      <w:marLeft w:val="0"/>
      <w:marRight w:val="0"/>
      <w:marTop w:val="0"/>
      <w:marBottom w:val="0"/>
      <w:divBdr>
        <w:top w:val="none" w:sz="0" w:space="0" w:color="auto"/>
        <w:left w:val="none" w:sz="0" w:space="0" w:color="auto"/>
        <w:bottom w:val="none" w:sz="0" w:space="0" w:color="auto"/>
        <w:right w:val="none" w:sz="0" w:space="0" w:color="auto"/>
      </w:divBdr>
    </w:div>
    <w:div w:id="650403401">
      <w:bodyDiv w:val="1"/>
      <w:marLeft w:val="0"/>
      <w:marRight w:val="0"/>
      <w:marTop w:val="0"/>
      <w:marBottom w:val="0"/>
      <w:divBdr>
        <w:top w:val="none" w:sz="0" w:space="0" w:color="auto"/>
        <w:left w:val="none" w:sz="0" w:space="0" w:color="auto"/>
        <w:bottom w:val="none" w:sz="0" w:space="0" w:color="auto"/>
        <w:right w:val="none" w:sz="0" w:space="0" w:color="auto"/>
      </w:divBdr>
      <w:divsChild>
        <w:div w:id="1809931731">
          <w:marLeft w:val="0"/>
          <w:marRight w:val="0"/>
          <w:marTop w:val="0"/>
          <w:marBottom w:val="0"/>
          <w:divBdr>
            <w:top w:val="none" w:sz="0" w:space="0" w:color="auto"/>
            <w:left w:val="none" w:sz="0" w:space="0" w:color="auto"/>
            <w:bottom w:val="none" w:sz="0" w:space="0" w:color="auto"/>
            <w:right w:val="none" w:sz="0" w:space="0" w:color="auto"/>
          </w:divBdr>
        </w:div>
        <w:div w:id="363292850">
          <w:marLeft w:val="0"/>
          <w:marRight w:val="0"/>
          <w:marTop w:val="0"/>
          <w:marBottom w:val="0"/>
          <w:divBdr>
            <w:top w:val="none" w:sz="0" w:space="0" w:color="auto"/>
            <w:left w:val="none" w:sz="0" w:space="0" w:color="auto"/>
            <w:bottom w:val="none" w:sz="0" w:space="0" w:color="auto"/>
            <w:right w:val="none" w:sz="0" w:space="0" w:color="auto"/>
          </w:divBdr>
        </w:div>
      </w:divsChild>
    </w:div>
    <w:div w:id="856694383">
      <w:bodyDiv w:val="1"/>
      <w:marLeft w:val="0"/>
      <w:marRight w:val="0"/>
      <w:marTop w:val="0"/>
      <w:marBottom w:val="0"/>
      <w:divBdr>
        <w:top w:val="none" w:sz="0" w:space="0" w:color="auto"/>
        <w:left w:val="none" w:sz="0" w:space="0" w:color="auto"/>
        <w:bottom w:val="none" w:sz="0" w:space="0" w:color="auto"/>
        <w:right w:val="none" w:sz="0" w:space="0" w:color="auto"/>
      </w:divBdr>
    </w:div>
    <w:div w:id="952058588">
      <w:bodyDiv w:val="1"/>
      <w:marLeft w:val="0"/>
      <w:marRight w:val="0"/>
      <w:marTop w:val="0"/>
      <w:marBottom w:val="0"/>
      <w:divBdr>
        <w:top w:val="none" w:sz="0" w:space="0" w:color="auto"/>
        <w:left w:val="none" w:sz="0" w:space="0" w:color="auto"/>
        <w:bottom w:val="none" w:sz="0" w:space="0" w:color="auto"/>
        <w:right w:val="none" w:sz="0" w:space="0" w:color="auto"/>
      </w:divBdr>
    </w:div>
    <w:div w:id="1093554233">
      <w:bodyDiv w:val="1"/>
      <w:marLeft w:val="0"/>
      <w:marRight w:val="0"/>
      <w:marTop w:val="0"/>
      <w:marBottom w:val="0"/>
      <w:divBdr>
        <w:top w:val="none" w:sz="0" w:space="0" w:color="auto"/>
        <w:left w:val="none" w:sz="0" w:space="0" w:color="auto"/>
        <w:bottom w:val="none" w:sz="0" w:space="0" w:color="auto"/>
        <w:right w:val="none" w:sz="0" w:space="0" w:color="auto"/>
      </w:divBdr>
      <w:divsChild>
        <w:div w:id="846290475">
          <w:marLeft w:val="0"/>
          <w:marRight w:val="0"/>
          <w:marTop w:val="0"/>
          <w:marBottom w:val="0"/>
          <w:divBdr>
            <w:top w:val="none" w:sz="0" w:space="0" w:color="auto"/>
            <w:left w:val="none" w:sz="0" w:space="0" w:color="auto"/>
            <w:bottom w:val="none" w:sz="0" w:space="0" w:color="auto"/>
            <w:right w:val="none" w:sz="0" w:space="0" w:color="auto"/>
          </w:divBdr>
        </w:div>
      </w:divsChild>
    </w:div>
    <w:div w:id="1284844023">
      <w:bodyDiv w:val="1"/>
      <w:marLeft w:val="0"/>
      <w:marRight w:val="0"/>
      <w:marTop w:val="0"/>
      <w:marBottom w:val="0"/>
      <w:divBdr>
        <w:top w:val="none" w:sz="0" w:space="0" w:color="auto"/>
        <w:left w:val="none" w:sz="0" w:space="0" w:color="auto"/>
        <w:bottom w:val="none" w:sz="0" w:space="0" w:color="auto"/>
        <w:right w:val="none" w:sz="0" w:space="0" w:color="auto"/>
      </w:divBdr>
    </w:div>
    <w:div w:id="1453553027">
      <w:bodyDiv w:val="1"/>
      <w:marLeft w:val="0"/>
      <w:marRight w:val="0"/>
      <w:marTop w:val="0"/>
      <w:marBottom w:val="0"/>
      <w:divBdr>
        <w:top w:val="none" w:sz="0" w:space="0" w:color="auto"/>
        <w:left w:val="none" w:sz="0" w:space="0" w:color="auto"/>
        <w:bottom w:val="none" w:sz="0" w:space="0" w:color="auto"/>
        <w:right w:val="none" w:sz="0" w:space="0" w:color="auto"/>
      </w:divBdr>
    </w:div>
    <w:div w:id="1782844654">
      <w:bodyDiv w:val="1"/>
      <w:marLeft w:val="0"/>
      <w:marRight w:val="0"/>
      <w:marTop w:val="0"/>
      <w:marBottom w:val="0"/>
      <w:divBdr>
        <w:top w:val="none" w:sz="0" w:space="0" w:color="auto"/>
        <w:left w:val="none" w:sz="0" w:space="0" w:color="auto"/>
        <w:bottom w:val="none" w:sz="0" w:space="0" w:color="auto"/>
        <w:right w:val="none" w:sz="0" w:space="0" w:color="auto"/>
      </w:divBdr>
      <w:divsChild>
        <w:div w:id="1210804638">
          <w:marLeft w:val="0"/>
          <w:marRight w:val="0"/>
          <w:marTop w:val="0"/>
          <w:marBottom w:val="0"/>
          <w:divBdr>
            <w:top w:val="none" w:sz="0" w:space="0" w:color="auto"/>
            <w:left w:val="none" w:sz="0" w:space="0" w:color="auto"/>
            <w:bottom w:val="none" w:sz="0" w:space="0" w:color="auto"/>
            <w:right w:val="none" w:sz="0" w:space="0" w:color="auto"/>
          </w:divBdr>
          <w:divsChild>
            <w:div w:id="289095830">
              <w:marLeft w:val="0"/>
              <w:marRight w:val="0"/>
              <w:marTop w:val="0"/>
              <w:marBottom w:val="0"/>
              <w:divBdr>
                <w:top w:val="none" w:sz="0" w:space="0" w:color="auto"/>
                <w:left w:val="none" w:sz="0" w:space="0" w:color="auto"/>
                <w:bottom w:val="none" w:sz="0" w:space="0" w:color="auto"/>
                <w:right w:val="none" w:sz="0" w:space="0" w:color="auto"/>
              </w:divBdr>
              <w:divsChild>
                <w:div w:id="1658265439">
                  <w:marLeft w:val="0"/>
                  <w:marRight w:val="0"/>
                  <w:marTop w:val="0"/>
                  <w:marBottom w:val="0"/>
                  <w:divBdr>
                    <w:top w:val="none" w:sz="0" w:space="0" w:color="auto"/>
                    <w:left w:val="none" w:sz="0" w:space="0" w:color="auto"/>
                    <w:bottom w:val="none" w:sz="0" w:space="0" w:color="auto"/>
                    <w:right w:val="none" w:sz="0" w:space="0" w:color="auto"/>
                  </w:divBdr>
                  <w:divsChild>
                    <w:div w:id="1036811699">
                      <w:marLeft w:val="0"/>
                      <w:marRight w:val="0"/>
                      <w:marTop w:val="0"/>
                      <w:marBottom w:val="0"/>
                      <w:divBdr>
                        <w:top w:val="none" w:sz="0" w:space="0" w:color="auto"/>
                        <w:left w:val="none" w:sz="0" w:space="0" w:color="auto"/>
                        <w:bottom w:val="none" w:sz="0" w:space="0" w:color="auto"/>
                        <w:right w:val="none" w:sz="0" w:space="0" w:color="auto"/>
                      </w:divBdr>
                      <w:divsChild>
                        <w:div w:id="1103960774">
                          <w:marLeft w:val="0"/>
                          <w:marRight w:val="0"/>
                          <w:marTop w:val="0"/>
                          <w:marBottom w:val="0"/>
                          <w:divBdr>
                            <w:top w:val="none" w:sz="0" w:space="0" w:color="auto"/>
                            <w:left w:val="none" w:sz="0" w:space="0" w:color="auto"/>
                            <w:bottom w:val="none" w:sz="0" w:space="0" w:color="auto"/>
                            <w:right w:val="none" w:sz="0" w:space="0" w:color="auto"/>
                          </w:divBdr>
                          <w:divsChild>
                            <w:div w:id="1109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822458">
      <w:bodyDiv w:val="1"/>
      <w:marLeft w:val="0"/>
      <w:marRight w:val="0"/>
      <w:marTop w:val="0"/>
      <w:marBottom w:val="0"/>
      <w:divBdr>
        <w:top w:val="none" w:sz="0" w:space="0" w:color="auto"/>
        <w:left w:val="none" w:sz="0" w:space="0" w:color="auto"/>
        <w:bottom w:val="none" w:sz="0" w:space="0" w:color="auto"/>
        <w:right w:val="none" w:sz="0" w:space="0" w:color="auto"/>
      </w:divBdr>
    </w:div>
    <w:div w:id="1853303007">
      <w:bodyDiv w:val="1"/>
      <w:marLeft w:val="0"/>
      <w:marRight w:val="0"/>
      <w:marTop w:val="0"/>
      <w:marBottom w:val="0"/>
      <w:divBdr>
        <w:top w:val="none" w:sz="0" w:space="0" w:color="auto"/>
        <w:left w:val="none" w:sz="0" w:space="0" w:color="auto"/>
        <w:bottom w:val="none" w:sz="0" w:space="0" w:color="auto"/>
        <w:right w:val="none" w:sz="0" w:space="0" w:color="auto"/>
      </w:divBdr>
    </w:div>
    <w:div w:id="191053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tourinh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D060-8723-4C52-9BDB-6F400064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3113</TotalTime>
  <Pages>19</Pages>
  <Words>17385</Words>
  <Characters>93881</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Luara Tourinho</dc:creator>
  <cp:lastModifiedBy>Luara Tourinho</cp:lastModifiedBy>
  <cp:revision>493</cp:revision>
  <cp:lastPrinted>2017-02-15T13:56:00Z</cp:lastPrinted>
  <dcterms:created xsi:type="dcterms:W3CDTF">2021-06-18T12:26:00Z</dcterms:created>
  <dcterms:modified xsi:type="dcterms:W3CDTF">2022-09-27T14:51:00Z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Document_1">
    <vt:lpwstr>True</vt:lpwstr>
  </property>
  <property fmtid="{D5CDD505-2E9C-101B-9397-08002B2CF9AE}" pid="10" name="Mendeley Unique User Id_1">
    <vt:lpwstr>bcd79e43-b462-3264-ae98-cf2fd41e192e</vt:lpwstr>
  </property>
  <property fmtid="{D5CDD505-2E9C-101B-9397-08002B2CF9AE}" pid="11" name="Mendeley Citation Style_1">
    <vt:lpwstr>http://www.zotero.org/styles/perspectives-in-ecology-and-conservation</vt:lpwstr>
  </property>
  <property fmtid="{D5CDD505-2E9C-101B-9397-08002B2CF9AE}" pid="12" name="Mendeley Recent Style Id 0_1">
    <vt:lpwstr>http://www.zotero.org/styles/biological-conservation</vt:lpwstr>
  </property>
  <property fmtid="{D5CDD505-2E9C-101B-9397-08002B2CF9AE}" pid="13" name="Mendeley Recent Style Name 0_1">
    <vt:lpwstr>Biological Conservation</vt:lpwstr>
  </property>
  <property fmtid="{D5CDD505-2E9C-101B-9397-08002B2CF9AE}" pid="14" name="Mendeley Recent Style Id 1_1">
    <vt:lpwstr>http://www.zotero.org/styles/chicago-author-date</vt:lpwstr>
  </property>
  <property fmtid="{D5CDD505-2E9C-101B-9397-08002B2CF9AE}" pid="15" name="Mendeley Recent Style Name 1_1">
    <vt:lpwstr>Chicago Manual of Style 17th edition (author-date)</vt:lpwstr>
  </property>
  <property fmtid="{D5CDD505-2E9C-101B-9397-08002B2CF9AE}" pid="16" name="Mendeley Recent Style Id 2_1">
    <vt:lpwstr>http://www.zotero.org/styles/ecology</vt:lpwstr>
  </property>
  <property fmtid="{D5CDD505-2E9C-101B-9397-08002B2CF9AE}" pid="17" name="Mendeley Recent Style Name 2_1">
    <vt:lpwstr>Ecology</vt:lpwstr>
  </property>
  <property fmtid="{D5CDD505-2E9C-101B-9397-08002B2CF9AE}" pid="18" name="Mendeley Recent Style Id 3_1">
    <vt:lpwstr>http://www.zotero.org/styles/ecology-letters</vt:lpwstr>
  </property>
  <property fmtid="{D5CDD505-2E9C-101B-9397-08002B2CF9AE}" pid="19" name="Mendeley Recent Style Name 3_1">
    <vt:lpwstr>Ecology Letters</vt:lpwstr>
  </property>
  <property fmtid="{D5CDD505-2E9C-101B-9397-08002B2CF9AE}" pid="20" name="Mendeley Recent Style Id 4_1">
    <vt:lpwstr>http://www.zotero.org/styles/journal-of-mammalogy</vt:lpwstr>
  </property>
  <property fmtid="{D5CDD505-2E9C-101B-9397-08002B2CF9AE}" pid="21" name="Mendeley Recent Style Name 4_1">
    <vt:lpwstr>Journal of Mammalogy</vt:lpwstr>
  </property>
  <property fmtid="{D5CDD505-2E9C-101B-9397-08002B2CF9AE}" pid="22" name="Mendeley Recent Style Id 5_1">
    <vt:lpwstr>http://www.zotero.org/styles/modern-humanities-research-association</vt:lpwstr>
  </property>
  <property fmtid="{D5CDD505-2E9C-101B-9397-08002B2CF9AE}" pid="23" name="Mendeley Recent Style Name 5_1">
    <vt:lpwstr>Modern Humanities Research Association 3rd edition (note with bibliography)</vt:lpwstr>
  </property>
  <property fmtid="{D5CDD505-2E9C-101B-9397-08002B2CF9AE}" pid="24" name="Mendeley Recent Style Id 6_1">
    <vt:lpwstr>http://www.zotero.org/styles/perspectives-in-ecology-and-conservation</vt:lpwstr>
  </property>
  <property fmtid="{D5CDD505-2E9C-101B-9397-08002B2CF9AE}" pid="25" name="Mendeley Recent Style Name 6_1">
    <vt:lpwstr>Perspectives in Ecology and Conservation</vt:lpwstr>
  </property>
  <property fmtid="{D5CDD505-2E9C-101B-9397-08002B2CF9AE}" pid="26" name="Mendeley Recent Style Id 7_1">
    <vt:lpwstr>http://www.zotero.org/styles/associacao-brasileira-de-normas-tecnicas-ufs</vt:lpwstr>
  </property>
  <property fmtid="{D5CDD505-2E9C-101B-9397-08002B2CF9AE}" pid="27" name="Mendeley Recent Style Name 7_1">
    <vt:lpwstr>Universidade Federal de Sergipe - ABNT (Portuguese - Brazil)</vt:lpwstr>
  </property>
  <property fmtid="{D5CDD505-2E9C-101B-9397-08002B2CF9AE}" pid="28" name="Mendeley Recent Style Id 8_1">
    <vt:lpwstr>http://www.zotero.org/styles/universidade-federal-do-espirito-santo-abnt-initials</vt:lpwstr>
  </property>
  <property fmtid="{D5CDD505-2E9C-101B-9397-08002B2CF9AE}" pid="29" name="Mendeley Recent Style Name 8_1">
    <vt:lpwstr>Universidade Federal do Espírito Santo - ABNT (autoria abreviada) (Portuguese - Brazil)</vt:lpwstr>
  </property>
  <property fmtid="{D5CDD505-2E9C-101B-9397-08002B2CF9AE}" pid="30" name="Mendeley Recent Style Id 9_1">
    <vt:lpwstr>http://www.zotero.org/styles/associacao-brasileira-de-normas-tecnicas-ufrgs-initials</vt:lpwstr>
  </property>
  <property fmtid="{D5CDD505-2E9C-101B-9397-08002B2CF9AE}" pid="31" name="Mendeley Recent Style Name 9_1">
    <vt:lpwstr>Universidade Federal do Rio Grande do Sul - ABNT (autoria abreviada) (Portuguese - Brazil)</vt:lpwstr>
  </property>
</Properties>
</file>