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AF" w:rsidRDefault="00C133AF">
      <w:bookmarkStart w:id="0" w:name="_GoBack"/>
      <w:bookmarkEnd w:id="0"/>
      <w:r>
        <w:t>Pirfenidone</w:t>
      </w:r>
    </w:p>
    <w:p w:rsidR="00C133AF" w:rsidRDefault="00C133AF">
      <w:r w:rsidRPr="00C133AF">
        <w:rPr>
          <w:noProof/>
          <w:lang w:val="en-IN" w:eastAsia="en-IN"/>
        </w:rPr>
        <w:drawing>
          <wp:inline distT="0" distB="0" distL="0" distR="0">
            <wp:extent cx="4572000" cy="2743200"/>
            <wp:effectExtent l="19050" t="0" r="19050" b="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133AF" w:rsidRDefault="00C133AF"/>
    <w:p w:rsidR="00C133AF" w:rsidRDefault="00C133AF">
      <w:r w:rsidRPr="00C133AF">
        <w:rPr>
          <w:noProof/>
          <w:lang w:val="en-IN" w:eastAsia="en-IN"/>
        </w:rPr>
        <w:drawing>
          <wp:inline distT="0" distB="0" distL="0" distR="0">
            <wp:extent cx="4552950" cy="2676525"/>
            <wp:effectExtent l="19050" t="0" r="19050" b="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133AF" w:rsidRDefault="00C133AF"/>
    <w:p w:rsidR="00C133AF" w:rsidRDefault="00C133AF">
      <w:r w:rsidRPr="00C133AF">
        <w:rPr>
          <w:noProof/>
          <w:lang w:val="en-IN" w:eastAsia="en-IN"/>
        </w:rPr>
        <w:lastRenderedPageBreak/>
        <w:drawing>
          <wp:inline distT="0" distB="0" distL="0" distR="0">
            <wp:extent cx="4610100" cy="2771775"/>
            <wp:effectExtent l="19050" t="0" r="19050" b="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33AF" w:rsidRDefault="00C133AF"/>
    <w:p w:rsidR="00C133AF" w:rsidRDefault="00C133AF">
      <w:r>
        <w:t>Nintedanib</w:t>
      </w:r>
    </w:p>
    <w:p w:rsidR="00C133AF" w:rsidRDefault="00C133AF">
      <w:r w:rsidRPr="00C133AF">
        <w:rPr>
          <w:noProof/>
          <w:lang w:val="en-IN" w:eastAsia="en-IN"/>
        </w:rPr>
        <w:drawing>
          <wp:inline distT="0" distB="0" distL="0" distR="0">
            <wp:extent cx="4819650" cy="2847976"/>
            <wp:effectExtent l="19050" t="0" r="19050" b="9524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33AF" w:rsidRDefault="00C133AF">
      <w:r w:rsidRPr="00C133AF">
        <w:rPr>
          <w:noProof/>
          <w:lang w:val="en-IN" w:eastAsia="en-IN"/>
        </w:rPr>
        <w:lastRenderedPageBreak/>
        <w:drawing>
          <wp:inline distT="0" distB="0" distL="0" distR="0">
            <wp:extent cx="4791076" cy="3105150"/>
            <wp:effectExtent l="19050" t="0" r="28574" b="0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1CB5" w:rsidRDefault="00DE6144"/>
    <w:p w:rsidR="00C133AF" w:rsidRDefault="00C133AF"/>
    <w:p w:rsidR="00C133AF" w:rsidRDefault="00C133AF">
      <w:r w:rsidRPr="00C133AF">
        <w:rPr>
          <w:noProof/>
          <w:lang w:val="en-IN" w:eastAsia="en-IN"/>
        </w:rPr>
        <w:drawing>
          <wp:inline distT="0" distB="0" distL="0" distR="0">
            <wp:extent cx="4591050" cy="3133724"/>
            <wp:effectExtent l="19050" t="0" r="19050" b="0"/>
            <wp:docPr id="9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68C6" w:rsidRDefault="003768C6"/>
    <w:p w:rsidR="003768C6" w:rsidRDefault="003768C6"/>
    <w:p w:rsidR="003768C6" w:rsidRDefault="003768C6"/>
    <w:p w:rsidR="003768C6" w:rsidRDefault="003768C6"/>
    <w:p w:rsidR="003768C6" w:rsidRDefault="003768C6">
      <w:r w:rsidRPr="003768C6">
        <w:rPr>
          <w:noProof/>
          <w:lang w:val="en-IN" w:eastAsia="en-IN"/>
        </w:rPr>
        <w:lastRenderedPageBreak/>
        <w:drawing>
          <wp:inline distT="0" distB="0" distL="0" distR="0">
            <wp:extent cx="4572000" cy="2743200"/>
            <wp:effectExtent l="19050" t="0" r="19050" b="0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68C6" w:rsidRDefault="003768C6">
      <w:r w:rsidRPr="003768C6">
        <w:rPr>
          <w:noProof/>
          <w:lang w:val="en-IN" w:eastAsia="en-IN"/>
        </w:rPr>
        <w:drawing>
          <wp:inline distT="0" distB="0" distL="0" distR="0">
            <wp:extent cx="4572000" cy="2743200"/>
            <wp:effectExtent l="19050" t="0" r="19050" b="0"/>
            <wp:docPr id="11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68C6" w:rsidRDefault="003768C6"/>
    <w:p w:rsidR="003768C6" w:rsidRDefault="003768C6">
      <w:r w:rsidRPr="003768C6">
        <w:rPr>
          <w:noProof/>
          <w:lang w:val="en-IN" w:eastAsia="en-IN"/>
        </w:rPr>
        <w:drawing>
          <wp:inline distT="0" distB="0" distL="0" distR="0">
            <wp:extent cx="4572000" cy="2743200"/>
            <wp:effectExtent l="19050" t="0" r="19050" b="0"/>
            <wp:docPr id="12" name="Gra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3768C6" w:rsidSect="00F66D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AF"/>
    <w:rsid w:val="001624F2"/>
    <w:rsid w:val="001D6AB6"/>
    <w:rsid w:val="003768C6"/>
    <w:rsid w:val="0054549B"/>
    <w:rsid w:val="00943310"/>
    <w:rsid w:val="00C133AF"/>
    <w:rsid w:val="00DE6144"/>
    <w:rsid w:val="00F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A5377-50F2-440E-B43C-35832F33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tente\Desktop\DatoBoxPlot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Utente\Desktop\DatoBoxPlot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Utente\Desktop\DatoBoxPlot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Utente\Desktop\DatoBoxPlot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Utente\Desktop\DatoBoxPlot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Utente\Desktop\DatoBoxPlo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tente\Desktop\DatoBoxPlot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tente\Desktop\DatoBoxPlot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tente\Desktop\DatoBoxPlo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noFill/>
          </c:spPr>
          <c:invertIfNegative val="0"/>
          <c:cat>
            <c:strRef>
              <c:f>Foglio2!$P$22:$R$22</c:f>
              <c:strCache>
                <c:ptCount val="3"/>
                <c:pt idx="0">
                  <c:v>0 months</c:v>
                </c:pt>
                <c:pt idx="1">
                  <c:v>6 months</c:v>
                </c:pt>
                <c:pt idx="2">
                  <c:v>12 months</c:v>
                </c:pt>
              </c:strCache>
            </c:strRef>
          </c:cat>
          <c:val>
            <c:numRef>
              <c:f>Foglio2!$A$23:$C$23</c:f>
              <c:numCache>
                <c:formatCode>General</c:formatCode>
                <c:ptCount val="3"/>
                <c:pt idx="0">
                  <c:v>52</c:v>
                </c:pt>
                <c:pt idx="1">
                  <c:v>49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spPr>
            <a:noFill/>
          </c:spPr>
          <c:invertIfNegative val="0"/>
          <c:errBars>
            <c:errBarType val="minus"/>
            <c:errValType val="percentage"/>
            <c:noEndCap val="0"/>
            <c:val val="100"/>
          </c:errBars>
          <c:cat>
            <c:strRef>
              <c:f>Foglio2!$P$22:$R$22</c:f>
              <c:strCache>
                <c:ptCount val="3"/>
                <c:pt idx="0">
                  <c:v>0 months</c:v>
                </c:pt>
                <c:pt idx="1">
                  <c:v>6 months</c:v>
                </c:pt>
                <c:pt idx="2">
                  <c:v>12 months</c:v>
                </c:pt>
              </c:strCache>
            </c:strRef>
          </c:cat>
          <c:val>
            <c:numRef>
              <c:f>Foglio2!$A$24:$C$24</c:f>
              <c:numCache>
                <c:formatCode>General</c:formatCode>
                <c:ptCount val="3"/>
                <c:pt idx="0">
                  <c:v>13</c:v>
                </c:pt>
                <c:pt idx="1">
                  <c:v>26.5</c:v>
                </c:pt>
                <c:pt idx="2">
                  <c:v>25.5</c:v>
                </c:pt>
              </c:numCache>
            </c:numRef>
          </c:val>
        </c:ser>
        <c:ser>
          <c:idx val="2"/>
          <c:order val="2"/>
          <c:spPr>
            <a:solidFill>
              <a:schemeClr val="tx2">
                <a:lumMod val="60000"/>
                <a:lumOff val="40000"/>
              </a:schemeClr>
            </a:solidFill>
            <a:ln w="19050">
              <a:solidFill>
                <a:schemeClr val="tx2">
                  <a:lumMod val="75000"/>
                </a:schemeClr>
              </a:solidFill>
            </a:ln>
          </c:spPr>
          <c:invertIfNegative val="0"/>
          <c:cat>
            <c:strRef>
              <c:f>Foglio2!$P$22:$R$22</c:f>
              <c:strCache>
                <c:ptCount val="3"/>
                <c:pt idx="0">
                  <c:v>0 months</c:v>
                </c:pt>
                <c:pt idx="1">
                  <c:v>6 months</c:v>
                </c:pt>
                <c:pt idx="2">
                  <c:v>12 months</c:v>
                </c:pt>
              </c:strCache>
            </c:strRef>
          </c:cat>
          <c:val>
            <c:numRef>
              <c:f>Foglio2!$A$25:$C$25</c:f>
              <c:numCache>
                <c:formatCode>General</c:formatCode>
                <c:ptCount val="3"/>
                <c:pt idx="0">
                  <c:v>16</c:v>
                </c:pt>
                <c:pt idx="1">
                  <c:v>11.5</c:v>
                </c:pt>
                <c:pt idx="2">
                  <c:v>14</c:v>
                </c:pt>
              </c:numCache>
            </c:numRef>
          </c:val>
        </c:ser>
        <c:ser>
          <c:idx val="3"/>
          <c:order val="3"/>
          <c:spPr>
            <a:solidFill>
              <a:schemeClr val="tx2">
                <a:lumMod val="60000"/>
                <a:lumOff val="40000"/>
              </a:schemeClr>
            </a:solidFill>
            <a:ln w="19050">
              <a:solidFill>
                <a:schemeClr val="tx2">
                  <a:lumMod val="75000"/>
                </a:schemeClr>
              </a:solidFill>
            </a:ln>
          </c:spPr>
          <c:invertIfNegative val="0"/>
          <c:cat>
            <c:strRef>
              <c:f>Foglio2!$P$22:$R$22</c:f>
              <c:strCache>
                <c:ptCount val="3"/>
                <c:pt idx="0">
                  <c:v>0 months</c:v>
                </c:pt>
                <c:pt idx="1">
                  <c:v>6 months</c:v>
                </c:pt>
                <c:pt idx="2">
                  <c:v>12 months</c:v>
                </c:pt>
              </c:strCache>
            </c:strRef>
          </c:cat>
          <c:val>
            <c:numRef>
              <c:f>Foglio2!$A$26:$C$26</c:f>
              <c:numCache>
                <c:formatCode>General</c:formatCode>
                <c:ptCount val="3"/>
                <c:pt idx="0">
                  <c:v>12</c:v>
                </c:pt>
                <c:pt idx="1">
                  <c:v>6.5</c:v>
                </c:pt>
                <c:pt idx="2">
                  <c:v>19.25</c:v>
                </c:pt>
              </c:numCache>
            </c:numRef>
          </c:val>
        </c:ser>
        <c:ser>
          <c:idx val="4"/>
          <c:order val="4"/>
          <c:spPr>
            <a:noFill/>
          </c:spPr>
          <c:invertIfNegative val="0"/>
          <c:errBars>
            <c:errBarType val="minus"/>
            <c:errValType val="percentage"/>
            <c:noEndCap val="0"/>
            <c:val val="100"/>
          </c:errBars>
          <c:cat>
            <c:strRef>
              <c:f>Foglio2!$P$22:$R$22</c:f>
              <c:strCache>
                <c:ptCount val="3"/>
                <c:pt idx="0">
                  <c:v>0 months</c:v>
                </c:pt>
                <c:pt idx="1">
                  <c:v>6 months</c:v>
                </c:pt>
                <c:pt idx="2">
                  <c:v>12 months</c:v>
                </c:pt>
              </c:strCache>
            </c:strRef>
          </c:cat>
          <c:val>
            <c:numRef>
              <c:f>Foglio2!$A$27:$C$27</c:f>
              <c:numCache>
                <c:formatCode>General</c:formatCode>
                <c:ptCount val="3"/>
                <c:pt idx="0">
                  <c:v>24</c:v>
                </c:pt>
                <c:pt idx="1">
                  <c:v>24.5</c:v>
                </c:pt>
                <c:pt idx="2">
                  <c:v>25.2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1651112"/>
        <c:axId val="421648760"/>
      </c:barChart>
      <c:catAx>
        <c:axId val="421651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1648760"/>
        <c:crosses val="autoZero"/>
        <c:auto val="1"/>
        <c:lblAlgn val="ctr"/>
        <c:lblOffset val="100"/>
        <c:noMultiLvlLbl val="0"/>
      </c:catAx>
      <c:valAx>
        <c:axId val="4216487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21651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11213387059012"/>
          <c:y val="3.9428319635228075E-2"/>
          <c:w val="0.86858896159106858"/>
          <c:h val="0.82406728356035752"/>
        </c:manualLayout>
      </c:layout>
      <c:barChart>
        <c:barDir val="col"/>
        <c:grouping val="stacked"/>
        <c:varyColors val="0"/>
        <c:ser>
          <c:idx val="0"/>
          <c:order val="0"/>
          <c:spPr>
            <a:noFill/>
          </c:spPr>
          <c:invertIfNegative val="0"/>
          <c:cat>
            <c:strRef>
              <c:f>Foglio2!$P$22:$S$22</c:f>
              <c:strCache>
                <c:ptCount val="3"/>
                <c:pt idx="0">
                  <c:v>0 months</c:v>
                </c:pt>
                <c:pt idx="1">
                  <c:v>6 months</c:v>
                </c:pt>
                <c:pt idx="2">
                  <c:v>12 months</c:v>
                </c:pt>
              </c:strCache>
            </c:strRef>
          </c:cat>
          <c:val>
            <c:numRef>
              <c:f>Foglio2!$A$34:$C$34</c:f>
              <c:numCache>
                <c:formatCode>General</c:formatCode>
                <c:ptCount val="3"/>
                <c:pt idx="0">
                  <c:v>42</c:v>
                </c:pt>
                <c:pt idx="1">
                  <c:v>36</c:v>
                </c:pt>
                <c:pt idx="2">
                  <c:v>38</c:v>
                </c:pt>
              </c:numCache>
            </c:numRef>
          </c:val>
        </c:ser>
        <c:ser>
          <c:idx val="1"/>
          <c:order val="1"/>
          <c:spPr>
            <a:noFill/>
          </c:spPr>
          <c:invertIfNegative val="0"/>
          <c:errBars>
            <c:errBarType val="minus"/>
            <c:errValType val="percentage"/>
            <c:noEndCap val="0"/>
            <c:val val="100"/>
          </c:errBars>
          <c:cat>
            <c:strRef>
              <c:f>Foglio2!$P$22:$S$22</c:f>
              <c:strCache>
                <c:ptCount val="3"/>
                <c:pt idx="0">
                  <c:v>0 months</c:v>
                </c:pt>
                <c:pt idx="1">
                  <c:v>6 months</c:v>
                </c:pt>
                <c:pt idx="2">
                  <c:v>12 months</c:v>
                </c:pt>
              </c:strCache>
            </c:strRef>
          </c:cat>
          <c:val>
            <c:numRef>
              <c:f>Foglio2!$A$35:$C$35</c:f>
              <c:numCache>
                <c:formatCode>General</c:formatCode>
                <c:ptCount val="3"/>
                <c:pt idx="0">
                  <c:v>16.5</c:v>
                </c:pt>
                <c:pt idx="1">
                  <c:v>25.5</c:v>
                </c:pt>
                <c:pt idx="2">
                  <c:v>17</c:v>
                </c:pt>
              </c:numCache>
            </c:numRef>
          </c:val>
        </c:ser>
        <c:ser>
          <c:idx val="2"/>
          <c:order val="2"/>
          <c:spPr>
            <a:solidFill>
              <a:schemeClr val="tx2">
                <a:lumMod val="60000"/>
                <a:lumOff val="40000"/>
              </a:schemeClr>
            </a:solidFill>
            <a:ln w="19050">
              <a:solidFill>
                <a:schemeClr val="tx2">
                  <a:lumMod val="75000"/>
                </a:schemeClr>
              </a:solidFill>
            </a:ln>
          </c:spPr>
          <c:invertIfNegative val="0"/>
          <c:cat>
            <c:strRef>
              <c:f>Foglio2!$P$22:$S$22</c:f>
              <c:strCache>
                <c:ptCount val="3"/>
                <c:pt idx="0">
                  <c:v>0 months</c:v>
                </c:pt>
                <c:pt idx="1">
                  <c:v>6 months</c:v>
                </c:pt>
                <c:pt idx="2">
                  <c:v>12 months</c:v>
                </c:pt>
              </c:strCache>
            </c:strRef>
          </c:cat>
          <c:val>
            <c:numRef>
              <c:f>Foglio2!$A$36:$C$36</c:f>
              <c:numCache>
                <c:formatCode>General</c:formatCode>
                <c:ptCount val="3"/>
                <c:pt idx="0">
                  <c:v>7.5</c:v>
                </c:pt>
                <c:pt idx="1">
                  <c:v>6.5</c:v>
                </c:pt>
                <c:pt idx="2">
                  <c:v>17</c:v>
                </c:pt>
              </c:numCache>
            </c:numRef>
          </c:val>
        </c:ser>
        <c:ser>
          <c:idx val="3"/>
          <c:order val="3"/>
          <c:spPr>
            <a:solidFill>
              <a:schemeClr val="tx2">
                <a:lumMod val="60000"/>
                <a:lumOff val="40000"/>
              </a:schemeClr>
            </a:solidFill>
            <a:ln w="19050">
              <a:solidFill>
                <a:schemeClr val="tx2">
                  <a:lumMod val="75000"/>
                </a:schemeClr>
              </a:solidFill>
            </a:ln>
          </c:spPr>
          <c:invertIfNegative val="0"/>
          <c:cat>
            <c:strRef>
              <c:f>Foglio2!$P$22:$S$22</c:f>
              <c:strCache>
                <c:ptCount val="3"/>
                <c:pt idx="0">
                  <c:v>0 months</c:v>
                </c:pt>
                <c:pt idx="1">
                  <c:v>6 months</c:v>
                </c:pt>
                <c:pt idx="2">
                  <c:v>12 months</c:v>
                </c:pt>
              </c:strCache>
            </c:strRef>
          </c:cat>
          <c:val>
            <c:numRef>
              <c:f>Foglio2!$A$37:$C$37</c:f>
              <c:numCache>
                <c:formatCode>General</c:formatCode>
                <c:ptCount val="3"/>
                <c:pt idx="0">
                  <c:v>15</c:v>
                </c:pt>
                <c:pt idx="1">
                  <c:v>12.75</c:v>
                </c:pt>
                <c:pt idx="2">
                  <c:v>0.70000000000000007</c:v>
                </c:pt>
              </c:numCache>
            </c:numRef>
          </c:val>
        </c:ser>
        <c:ser>
          <c:idx val="4"/>
          <c:order val="4"/>
          <c:spPr>
            <a:noFill/>
          </c:spPr>
          <c:invertIfNegative val="0"/>
          <c:errBars>
            <c:errBarType val="minus"/>
            <c:errValType val="percentage"/>
            <c:noEndCap val="0"/>
            <c:val val="100"/>
          </c:errBars>
          <c:cat>
            <c:strRef>
              <c:f>Foglio2!$P$22:$S$22</c:f>
              <c:strCache>
                <c:ptCount val="3"/>
                <c:pt idx="0">
                  <c:v>0 months</c:v>
                </c:pt>
                <c:pt idx="1">
                  <c:v>6 months</c:v>
                </c:pt>
                <c:pt idx="2">
                  <c:v>12 months</c:v>
                </c:pt>
              </c:strCache>
            </c:strRef>
          </c:cat>
          <c:val>
            <c:numRef>
              <c:f>Foglio2!$A$38:$C$38</c:f>
              <c:numCache>
                <c:formatCode>General</c:formatCode>
                <c:ptCount val="3"/>
                <c:pt idx="0">
                  <c:v>16</c:v>
                </c:pt>
                <c:pt idx="1">
                  <c:v>22.25</c:v>
                </c:pt>
                <c:pt idx="2">
                  <c:v>45.25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1646016"/>
        <c:axId val="421646408"/>
      </c:barChart>
      <c:catAx>
        <c:axId val="421646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1646408"/>
        <c:crosses val="autoZero"/>
        <c:auto val="1"/>
        <c:lblAlgn val="ctr"/>
        <c:lblOffset val="100"/>
        <c:noMultiLvlLbl val="0"/>
      </c:catAx>
      <c:valAx>
        <c:axId val="421646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21646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 b="0"/>
              <a:t>DLCO % predicted</a:t>
            </a:r>
          </a:p>
        </c:rich>
      </c:tx>
      <c:layout>
        <c:manualLayout>
          <c:xMode val="edge"/>
          <c:yMode val="edge"/>
          <c:x val="0.12061111111111116"/>
          <c:y val="1.8518518518518535E-2"/>
        </c:manualLayout>
      </c:layout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noFill/>
          </c:spPr>
          <c:invertIfNegative val="0"/>
          <c:cat>
            <c:strRef>
              <c:f>Foglio2!$P$22:$R$22</c:f>
              <c:strCache>
                <c:ptCount val="3"/>
                <c:pt idx="0">
                  <c:v>0 months</c:v>
                </c:pt>
                <c:pt idx="1">
                  <c:v>6 months</c:v>
                </c:pt>
                <c:pt idx="2">
                  <c:v>12 months</c:v>
                </c:pt>
              </c:strCache>
            </c:strRef>
          </c:cat>
          <c:val>
            <c:numRef>
              <c:f>Foglio2!$B$10:$D$10</c:f>
              <c:numCache>
                <c:formatCode>General</c:formatCode>
                <c:ptCount val="3"/>
                <c:pt idx="0">
                  <c:v>32</c:v>
                </c:pt>
                <c:pt idx="1">
                  <c:v>32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spPr>
            <a:noFill/>
          </c:spPr>
          <c:invertIfNegative val="0"/>
          <c:errBars>
            <c:errBarType val="minus"/>
            <c:errValType val="percentage"/>
            <c:noEndCap val="1"/>
            <c:val val="100"/>
          </c:errBars>
          <c:cat>
            <c:strRef>
              <c:f>Foglio2!$P$22:$R$22</c:f>
              <c:strCache>
                <c:ptCount val="3"/>
                <c:pt idx="0">
                  <c:v>0 months</c:v>
                </c:pt>
                <c:pt idx="1">
                  <c:v>6 months</c:v>
                </c:pt>
                <c:pt idx="2">
                  <c:v>12 months</c:v>
                </c:pt>
              </c:strCache>
            </c:strRef>
          </c:cat>
          <c:val>
            <c:numRef>
              <c:f>Foglio2!$B$11:$D$11</c:f>
              <c:numCache>
                <c:formatCode>General</c:formatCode>
                <c:ptCount val="3"/>
                <c:pt idx="0">
                  <c:v>13</c:v>
                </c:pt>
                <c:pt idx="1">
                  <c:v>11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spPr>
            <a:solidFill>
              <a:schemeClr val="tx2">
                <a:lumMod val="60000"/>
                <a:lumOff val="40000"/>
              </a:schemeClr>
            </a:solidFill>
            <a:ln w="19050">
              <a:solidFill>
                <a:schemeClr val="tx2">
                  <a:lumMod val="75000"/>
                </a:schemeClr>
              </a:solidFill>
            </a:ln>
          </c:spPr>
          <c:invertIfNegative val="0"/>
          <c:cat>
            <c:strRef>
              <c:f>Foglio2!$P$22:$R$22</c:f>
              <c:strCache>
                <c:ptCount val="3"/>
                <c:pt idx="0">
                  <c:v>0 months</c:v>
                </c:pt>
                <c:pt idx="1">
                  <c:v>6 months</c:v>
                </c:pt>
                <c:pt idx="2">
                  <c:v>12 months</c:v>
                </c:pt>
              </c:strCache>
            </c:strRef>
          </c:cat>
          <c:val>
            <c:numRef>
              <c:f>Foglio2!$B$12:$D$12</c:f>
              <c:numCache>
                <c:formatCode>General</c:formatCode>
                <c:ptCount val="3"/>
                <c:pt idx="0">
                  <c:v>7</c:v>
                </c:pt>
                <c:pt idx="1">
                  <c:v>8.5</c:v>
                </c:pt>
                <c:pt idx="2">
                  <c:v>9</c:v>
                </c:pt>
              </c:numCache>
            </c:numRef>
          </c:val>
        </c:ser>
        <c:ser>
          <c:idx val="3"/>
          <c:order val="3"/>
          <c:spPr>
            <a:solidFill>
              <a:schemeClr val="tx2">
                <a:lumMod val="60000"/>
                <a:lumOff val="40000"/>
              </a:schemeClr>
            </a:solidFill>
            <a:ln w="19050">
              <a:solidFill>
                <a:schemeClr val="tx2">
                  <a:lumMod val="75000"/>
                </a:schemeClr>
              </a:solidFill>
            </a:ln>
          </c:spPr>
          <c:invertIfNegative val="0"/>
          <c:cat>
            <c:strRef>
              <c:f>Foglio2!$P$22:$R$22</c:f>
              <c:strCache>
                <c:ptCount val="3"/>
                <c:pt idx="0">
                  <c:v>0 months</c:v>
                </c:pt>
                <c:pt idx="1">
                  <c:v>6 months</c:v>
                </c:pt>
                <c:pt idx="2">
                  <c:v>12 months</c:v>
                </c:pt>
              </c:strCache>
            </c:strRef>
          </c:cat>
          <c:val>
            <c:numRef>
              <c:f>Foglio2!$B$13:$D$13</c:f>
              <c:numCache>
                <c:formatCode>General</c:formatCode>
                <c:ptCount val="3"/>
                <c:pt idx="0">
                  <c:v>8</c:v>
                </c:pt>
                <c:pt idx="1">
                  <c:v>5.5</c:v>
                </c:pt>
                <c:pt idx="2">
                  <c:v>9</c:v>
                </c:pt>
              </c:numCache>
            </c:numRef>
          </c:val>
        </c:ser>
        <c:ser>
          <c:idx val="4"/>
          <c:order val="4"/>
          <c:spPr>
            <a:noFill/>
          </c:spPr>
          <c:invertIfNegative val="0"/>
          <c:errBars>
            <c:errBarType val="minus"/>
            <c:errValType val="percentage"/>
            <c:noEndCap val="1"/>
            <c:val val="100"/>
          </c:errBars>
          <c:cat>
            <c:strRef>
              <c:f>Foglio2!$P$22:$R$22</c:f>
              <c:strCache>
                <c:ptCount val="3"/>
                <c:pt idx="0">
                  <c:v>0 months</c:v>
                </c:pt>
                <c:pt idx="1">
                  <c:v>6 months</c:v>
                </c:pt>
                <c:pt idx="2">
                  <c:v>12 months</c:v>
                </c:pt>
              </c:strCache>
            </c:strRef>
          </c:cat>
          <c:val>
            <c:numRef>
              <c:f>Foglio2!$B$14:$D$14</c:f>
              <c:numCache>
                <c:formatCode>General</c:formatCode>
                <c:ptCount val="3"/>
                <c:pt idx="0">
                  <c:v>37</c:v>
                </c:pt>
                <c:pt idx="1">
                  <c:v>32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1650720"/>
        <c:axId val="421648368"/>
      </c:barChart>
      <c:catAx>
        <c:axId val="421650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1648368"/>
        <c:crosses val="autoZero"/>
        <c:auto val="1"/>
        <c:lblAlgn val="ctr"/>
        <c:lblOffset val="100"/>
        <c:noMultiLvlLbl val="0"/>
      </c:catAx>
      <c:valAx>
        <c:axId val="421648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216507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228029913346316E-2"/>
          <c:y val="6.8371994041285439E-2"/>
          <c:w val="0.8651057774404719"/>
          <c:h val="0.7983030782240087"/>
        </c:manualLayout>
      </c:layout>
      <c:barChart>
        <c:barDir val="col"/>
        <c:grouping val="stacked"/>
        <c:varyColors val="0"/>
        <c:ser>
          <c:idx val="0"/>
          <c:order val="0"/>
          <c:spPr>
            <a:noFill/>
          </c:spPr>
          <c:invertIfNegative val="0"/>
          <c:cat>
            <c:strRef>
              <c:f>Foglio3!$N$45:$O$45</c:f>
              <c:strCache>
                <c:ptCount val="2"/>
                <c:pt idx="0">
                  <c:v>0 months</c:v>
                </c:pt>
                <c:pt idx="1">
                  <c:v>6 months</c:v>
                </c:pt>
              </c:strCache>
            </c:strRef>
          </c:cat>
          <c:val>
            <c:numRef>
              <c:f>Foglio3!$C$48:$D$48</c:f>
              <c:numCache>
                <c:formatCode>General</c:formatCode>
                <c:ptCount val="2"/>
                <c:pt idx="0">
                  <c:v>41</c:v>
                </c:pt>
                <c:pt idx="1">
                  <c:v>37</c:v>
                </c:pt>
              </c:numCache>
            </c:numRef>
          </c:val>
        </c:ser>
        <c:ser>
          <c:idx val="1"/>
          <c:order val="1"/>
          <c:spPr>
            <a:noFill/>
          </c:spPr>
          <c:invertIfNegative val="0"/>
          <c:errBars>
            <c:errBarType val="minus"/>
            <c:errValType val="percentage"/>
            <c:noEndCap val="0"/>
            <c:val val="100"/>
          </c:errBars>
          <c:cat>
            <c:strRef>
              <c:f>Foglio3!$N$45:$O$45</c:f>
              <c:strCache>
                <c:ptCount val="2"/>
                <c:pt idx="0">
                  <c:v>0 months</c:v>
                </c:pt>
                <c:pt idx="1">
                  <c:v>6 months</c:v>
                </c:pt>
              </c:strCache>
            </c:strRef>
          </c:cat>
          <c:val>
            <c:numRef>
              <c:f>Foglio3!$C$49:$D$49</c:f>
              <c:numCache>
                <c:formatCode>General</c:formatCode>
                <c:ptCount val="2"/>
                <c:pt idx="0">
                  <c:v>25.7</c:v>
                </c:pt>
                <c:pt idx="1">
                  <c:v>36.5</c:v>
                </c:pt>
              </c:numCache>
            </c:numRef>
          </c:val>
        </c:ser>
        <c:ser>
          <c:idx val="2"/>
          <c:order val="2"/>
          <c:spPr>
            <a:solidFill>
              <a:schemeClr val="tx2">
                <a:lumMod val="60000"/>
                <a:lumOff val="40000"/>
              </a:schemeClr>
            </a:solidFill>
            <a:ln w="19050">
              <a:solidFill>
                <a:schemeClr val="tx2"/>
              </a:solidFill>
            </a:ln>
          </c:spPr>
          <c:invertIfNegative val="0"/>
          <c:cat>
            <c:strRef>
              <c:f>Foglio3!$N$45:$O$45</c:f>
              <c:strCache>
                <c:ptCount val="2"/>
                <c:pt idx="0">
                  <c:v>0 months</c:v>
                </c:pt>
                <c:pt idx="1">
                  <c:v>6 months</c:v>
                </c:pt>
              </c:strCache>
            </c:strRef>
          </c:cat>
          <c:val>
            <c:numRef>
              <c:f>Foglio3!$C$50:$D$50</c:f>
              <c:numCache>
                <c:formatCode>General</c:formatCode>
                <c:ptCount val="2"/>
                <c:pt idx="0">
                  <c:v>11.75</c:v>
                </c:pt>
                <c:pt idx="1">
                  <c:v>9.5</c:v>
                </c:pt>
              </c:numCache>
            </c:numRef>
          </c:val>
        </c:ser>
        <c:ser>
          <c:idx val="3"/>
          <c:order val="3"/>
          <c:spPr>
            <a:solidFill>
              <a:schemeClr val="tx2">
                <a:lumMod val="60000"/>
                <a:lumOff val="40000"/>
              </a:schemeClr>
            </a:solidFill>
            <a:ln w="19050">
              <a:solidFill>
                <a:schemeClr val="tx2">
                  <a:lumMod val="75000"/>
                </a:schemeClr>
              </a:solidFill>
            </a:ln>
          </c:spPr>
          <c:invertIfNegative val="0"/>
          <c:cat>
            <c:strRef>
              <c:f>Foglio3!$N$45:$O$45</c:f>
              <c:strCache>
                <c:ptCount val="2"/>
                <c:pt idx="0">
                  <c:v>0 months</c:v>
                </c:pt>
                <c:pt idx="1">
                  <c:v>6 months</c:v>
                </c:pt>
              </c:strCache>
            </c:strRef>
          </c:cat>
          <c:val>
            <c:numRef>
              <c:f>Foglio3!$C$51:$D$51</c:f>
              <c:numCache>
                <c:formatCode>General</c:formatCode>
                <c:ptCount val="2"/>
                <c:pt idx="0">
                  <c:v>11</c:v>
                </c:pt>
                <c:pt idx="1">
                  <c:v>8.5</c:v>
                </c:pt>
              </c:numCache>
            </c:numRef>
          </c:val>
        </c:ser>
        <c:ser>
          <c:idx val="4"/>
          <c:order val="4"/>
          <c:spPr>
            <a:noFill/>
          </c:spPr>
          <c:invertIfNegative val="0"/>
          <c:errBars>
            <c:errBarType val="minus"/>
            <c:errValType val="percentage"/>
            <c:noEndCap val="0"/>
            <c:val val="100"/>
          </c:errBars>
          <c:cat>
            <c:strRef>
              <c:f>Foglio3!$N$45:$O$45</c:f>
              <c:strCache>
                <c:ptCount val="2"/>
                <c:pt idx="0">
                  <c:v>0 months</c:v>
                </c:pt>
                <c:pt idx="1">
                  <c:v>6 months</c:v>
                </c:pt>
              </c:strCache>
            </c:strRef>
          </c:cat>
          <c:val>
            <c:numRef>
              <c:f>Foglio3!$C$52:$D$52</c:f>
              <c:numCache>
                <c:formatCode>General</c:formatCode>
                <c:ptCount val="2"/>
                <c:pt idx="0">
                  <c:v>52.5</c:v>
                </c:pt>
                <c:pt idx="1">
                  <c:v>55.5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1646800"/>
        <c:axId val="421647192"/>
      </c:barChart>
      <c:catAx>
        <c:axId val="421646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1647192"/>
        <c:crosses val="autoZero"/>
        <c:auto val="1"/>
        <c:lblAlgn val="ctr"/>
        <c:lblOffset val="100"/>
        <c:noMultiLvlLbl val="0"/>
      </c:catAx>
      <c:valAx>
        <c:axId val="4216471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21646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840433407362543E-2"/>
          <c:y val="9.2370150978834054E-2"/>
          <c:w val="0.8564587118917828"/>
          <c:h val="0.7788735582364138"/>
        </c:manualLayout>
      </c:layout>
      <c:barChart>
        <c:barDir val="col"/>
        <c:grouping val="stacked"/>
        <c:varyColors val="0"/>
        <c:ser>
          <c:idx val="0"/>
          <c:order val="0"/>
          <c:spPr>
            <a:noFill/>
          </c:spPr>
          <c:invertIfNegative val="0"/>
          <c:cat>
            <c:strRef>
              <c:f>Foglio3!$N$45:$O$45</c:f>
              <c:strCache>
                <c:ptCount val="2"/>
                <c:pt idx="0">
                  <c:v>0 months</c:v>
                </c:pt>
                <c:pt idx="1">
                  <c:v>6 months</c:v>
                </c:pt>
              </c:strCache>
            </c:strRef>
          </c:cat>
          <c:val>
            <c:numRef>
              <c:f>Foglio3!$C$54:$D$54</c:f>
              <c:numCache>
                <c:formatCode>General</c:formatCode>
                <c:ptCount val="2"/>
                <c:pt idx="0">
                  <c:v>35</c:v>
                </c:pt>
                <c:pt idx="1">
                  <c:v>30</c:v>
                </c:pt>
              </c:numCache>
            </c:numRef>
          </c:val>
        </c:ser>
        <c:ser>
          <c:idx val="1"/>
          <c:order val="1"/>
          <c:spPr>
            <a:noFill/>
          </c:spPr>
          <c:invertIfNegative val="0"/>
          <c:errBars>
            <c:errBarType val="minus"/>
            <c:errValType val="percentage"/>
            <c:noEndCap val="0"/>
            <c:val val="100"/>
          </c:errBars>
          <c:cat>
            <c:strRef>
              <c:f>Foglio3!$N$45:$O$45</c:f>
              <c:strCache>
                <c:ptCount val="2"/>
                <c:pt idx="0">
                  <c:v>0 months</c:v>
                </c:pt>
                <c:pt idx="1">
                  <c:v>6 months</c:v>
                </c:pt>
              </c:strCache>
            </c:strRef>
          </c:cat>
          <c:val>
            <c:numRef>
              <c:f>Foglio3!$C$55:$D$55</c:f>
              <c:numCache>
                <c:formatCode>General</c:formatCode>
                <c:ptCount val="2"/>
                <c:pt idx="0">
                  <c:v>23.5</c:v>
                </c:pt>
                <c:pt idx="1">
                  <c:v>36.25</c:v>
                </c:pt>
              </c:numCache>
            </c:numRef>
          </c:val>
        </c:ser>
        <c:ser>
          <c:idx val="2"/>
          <c:order val="2"/>
          <c:spPr>
            <a:solidFill>
              <a:schemeClr val="tx2">
                <a:lumMod val="40000"/>
                <a:lumOff val="60000"/>
              </a:schemeClr>
            </a:solidFill>
            <a:ln w="12700">
              <a:solidFill>
                <a:schemeClr val="tx2">
                  <a:lumMod val="75000"/>
                </a:schemeClr>
              </a:solidFill>
            </a:ln>
          </c:spPr>
          <c:invertIfNegative val="0"/>
          <c:cat>
            <c:strRef>
              <c:f>Foglio3!$N$45:$O$45</c:f>
              <c:strCache>
                <c:ptCount val="2"/>
                <c:pt idx="0">
                  <c:v>0 months</c:v>
                </c:pt>
                <c:pt idx="1">
                  <c:v>6 months</c:v>
                </c:pt>
              </c:strCache>
            </c:strRef>
          </c:cat>
          <c:val>
            <c:numRef>
              <c:f>Foglio3!$C$56:$D$56</c:f>
              <c:numCache>
                <c:formatCode>General</c:formatCode>
                <c:ptCount val="2"/>
                <c:pt idx="0">
                  <c:v>7</c:v>
                </c:pt>
                <c:pt idx="1">
                  <c:v>3.25</c:v>
                </c:pt>
              </c:numCache>
            </c:numRef>
          </c:val>
        </c:ser>
        <c:ser>
          <c:idx val="3"/>
          <c:order val="3"/>
          <c:spPr>
            <a:solidFill>
              <a:schemeClr val="tx2">
                <a:lumMod val="60000"/>
                <a:lumOff val="40000"/>
              </a:schemeClr>
            </a:solidFill>
            <a:ln w="12700">
              <a:solidFill>
                <a:schemeClr val="tx2">
                  <a:lumMod val="75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12700">
                <a:solidFill>
                  <a:schemeClr val="tx2">
                    <a:lumMod val="75000"/>
                  </a:schemeClr>
                </a:solidFill>
              </a:ln>
            </c:spPr>
          </c:dPt>
          <c:cat>
            <c:strRef>
              <c:f>Foglio3!$N$45:$O$45</c:f>
              <c:strCache>
                <c:ptCount val="2"/>
                <c:pt idx="0">
                  <c:v>0 months</c:v>
                </c:pt>
                <c:pt idx="1">
                  <c:v>6 months</c:v>
                </c:pt>
              </c:strCache>
            </c:strRef>
          </c:cat>
          <c:val>
            <c:numRef>
              <c:f>Foglio3!$C$57:$D$57</c:f>
              <c:numCache>
                <c:formatCode>General</c:formatCode>
                <c:ptCount val="2"/>
                <c:pt idx="0">
                  <c:v>9.25</c:v>
                </c:pt>
                <c:pt idx="1">
                  <c:v>2.2000000000000002</c:v>
                </c:pt>
              </c:numCache>
            </c:numRef>
          </c:val>
        </c:ser>
        <c:ser>
          <c:idx val="4"/>
          <c:order val="4"/>
          <c:spPr>
            <a:noFill/>
          </c:spPr>
          <c:invertIfNegative val="0"/>
          <c:errBars>
            <c:errBarType val="minus"/>
            <c:errValType val="percentage"/>
            <c:noEndCap val="0"/>
            <c:val val="100"/>
          </c:errBars>
          <c:cat>
            <c:strRef>
              <c:f>Foglio3!$N$45:$O$45</c:f>
              <c:strCache>
                <c:ptCount val="2"/>
                <c:pt idx="0">
                  <c:v>0 months</c:v>
                </c:pt>
                <c:pt idx="1">
                  <c:v>6 months</c:v>
                </c:pt>
              </c:strCache>
            </c:strRef>
          </c:cat>
          <c:val>
            <c:numRef>
              <c:f>Foglio3!$C$58:$D$58</c:f>
              <c:numCache>
                <c:formatCode>General</c:formatCode>
                <c:ptCount val="2"/>
                <c:pt idx="0">
                  <c:v>19.25</c:v>
                </c:pt>
                <c:pt idx="1">
                  <c:v>35.25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4374752"/>
        <c:axId val="424374360"/>
      </c:barChart>
      <c:catAx>
        <c:axId val="42437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4374360"/>
        <c:crosses val="autoZero"/>
        <c:auto val="1"/>
        <c:lblAlgn val="ctr"/>
        <c:lblOffset val="100"/>
        <c:noMultiLvlLbl val="0"/>
      </c:catAx>
      <c:valAx>
        <c:axId val="4243743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243747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590093769399154E-2"/>
          <c:y val="6.7158210728246182E-2"/>
          <c:w val="0.89745603674540686"/>
          <c:h val="0.8326195683872849"/>
        </c:manualLayout>
      </c:layout>
      <c:barChart>
        <c:barDir val="col"/>
        <c:grouping val="stacked"/>
        <c:varyColors val="0"/>
        <c:ser>
          <c:idx val="0"/>
          <c:order val="0"/>
          <c:spPr>
            <a:noFill/>
          </c:spPr>
          <c:invertIfNegative val="0"/>
          <c:cat>
            <c:strRef>
              <c:f>Foglio3!$G$16:$H$16</c:f>
              <c:strCache>
                <c:ptCount val="2"/>
                <c:pt idx="0">
                  <c:v>T0</c:v>
                </c:pt>
                <c:pt idx="1">
                  <c:v>6 months</c:v>
                </c:pt>
              </c:strCache>
            </c:strRef>
          </c:cat>
          <c:val>
            <c:numRef>
              <c:f>Foglio3!$C$71:$D$71</c:f>
              <c:numCache>
                <c:formatCode>General</c:formatCode>
                <c:ptCount val="2"/>
                <c:pt idx="0">
                  <c:v>28</c:v>
                </c:pt>
                <c:pt idx="1">
                  <c:v>29</c:v>
                </c:pt>
              </c:numCache>
            </c:numRef>
          </c:val>
        </c:ser>
        <c:ser>
          <c:idx val="1"/>
          <c:order val="1"/>
          <c:spPr>
            <a:noFill/>
          </c:spPr>
          <c:invertIfNegative val="0"/>
          <c:errBars>
            <c:errBarType val="minus"/>
            <c:errValType val="percentage"/>
            <c:noEndCap val="0"/>
            <c:val val="100"/>
          </c:errBars>
          <c:cat>
            <c:strRef>
              <c:f>Foglio3!$G$16:$H$16</c:f>
              <c:strCache>
                <c:ptCount val="2"/>
                <c:pt idx="0">
                  <c:v>T0</c:v>
                </c:pt>
                <c:pt idx="1">
                  <c:v>6 months</c:v>
                </c:pt>
              </c:strCache>
            </c:strRef>
          </c:cat>
          <c:val>
            <c:numRef>
              <c:f>Foglio3!$C$72:$D$72</c:f>
              <c:numCache>
                <c:formatCode>General</c:formatCode>
                <c:ptCount val="2"/>
                <c:pt idx="0">
                  <c:v>8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spPr>
            <a:solidFill>
              <a:schemeClr val="tx2">
                <a:lumMod val="40000"/>
                <a:lumOff val="60000"/>
              </a:schemeClr>
            </a:solidFill>
            <a:ln w="19050">
              <a:solidFill>
                <a:schemeClr val="accent1">
                  <a:lumMod val="75000"/>
                </a:schemeClr>
              </a:solidFill>
            </a:ln>
          </c:spPr>
          <c:invertIfNegative val="0"/>
          <c:cat>
            <c:strRef>
              <c:f>Foglio3!$G$16:$H$16</c:f>
              <c:strCache>
                <c:ptCount val="2"/>
                <c:pt idx="0">
                  <c:v>T0</c:v>
                </c:pt>
                <c:pt idx="1">
                  <c:v>6 months</c:v>
                </c:pt>
              </c:strCache>
            </c:strRef>
          </c:cat>
          <c:val>
            <c:numRef>
              <c:f>Foglio3!$C$73:$D$73</c:f>
              <c:numCache>
                <c:formatCode>General</c:formatCode>
                <c:ptCount val="2"/>
                <c:pt idx="0">
                  <c:v>7</c:v>
                </c:pt>
                <c:pt idx="1">
                  <c:v>4</c:v>
                </c:pt>
              </c:numCache>
            </c:numRef>
          </c:val>
        </c:ser>
        <c:ser>
          <c:idx val="3"/>
          <c:order val="3"/>
          <c:spPr>
            <a:solidFill>
              <a:schemeClr val="tx2">
                <a:lumMod val="40000"/>
                <a:lumOff val="60000"/>
              </a:schemeClr>
            </a:solidFill>
            <a:ln w="19050">
              <a:solidFill>
                <a:schemeClr val="accent1">
                  <a:lumMod val="75000"/>
                </a:schemeClr>
              </a:solidFill>
            </a:ln>
          </c:spPr>
          <c:invertIfNegative val="0"/>
          <c:cat>
            <c:strRef>
              <c:f>Foglio3!$G$16:$H$16</c:f>
              <c:strCache>
                <c:ptCount val="2"/>
                <c:pt idx="0">
                  <c:v>T0</c:v>
                </c:pt>
                <c:pt idx="1">
                  <c:v>6 months</c:v>
                </c:pt>
              </c:strCache>
            </c:strRef>
          </c:cat>
          <c:val>
            <c:numRef>
              <c:f>Foglio3!$C$74:$D$74</c:f>
              <c:numCache>
                <c:formatCode>General</c:formatCode>
                <c:ptCount val="2"/>
                <c:pt idx="0">
                  <c:v>10</c:v>
                </c:pt>
                <c:pt idx="1">
                  <c:v>16</c:v>
                </c:pt>
              </c:numCache>
            </c:numRef>
          </c:val>
        </c:ser>
        <c:ser>
          <c:idx val="4"/>
          <c:order val="4"/>
          <c:spPr>
            <a:noFill/>
          </c:spPr>
          <c:invertIfNegative val="0"/>
          <c:errBars>
            <c:errBarType val="minus"/>
            <c:errValType val="percentage"/>
            <c:noEndCap val="0"/>
            <c:val val="100"/>
          </c:errBars>
          <c:cat>
            <c:strRef>
              <c:f>Foglio3!$G$16:$H$16</c:f>
              <c:strCache>
                <c:ptCount val="2"/>
                <c:pt idx="0">
                  <c:v>T0</c:v>
                </c:pt>
                <c:pt idx="1">
                  <c:v>6 months</c:v>
                </c:pt>
              </c:strCache>
            </c:strRef>
          </c:cat>
          <c:val>
            <c:numRef>
              <c:f>Foglio3!$C$75:$D$75</c:f>
              <c:numCache>
                <c:formatCode>General</c:formatCode>
                <c:ptCount val="2"/>
                <c:pt idx="0">
                  <c:v>32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4375144"/>
        <c:axId val="424376712"/>
      </c:barChart>
      <c:catAx>
        <c:axId val="424375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4376712"/>
        <c:crosses val="autoZero"/>
        <c:auto val="1"/>
        <c:lblAlgn val="ctr"/>
        <c:lblOffset val="100"/>
        <c:noMultiLvlLbl val="0"/>
      </c:catAx>
      <c:valAx>
        <c:axId val="4243767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24375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TLC%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Foglio4!$A$55</c:f>
              <c:strCache>
                <c:ptCount val="1"/>
                <c:pt idx="0">
                  <c:v>Pirfenidone</c:v>
                </c:pt>
              </c:strCache>
            </c:strRef>
          </c:tx>
          <c:marker>
            <c:symbol val="none"/>
          </c:marker>
          <c:cat>
            <c:strRef>
              <c:f>Foglio4!$B$8:$D$8</c:f>
              <c:strCache>
                <c:ptCount val="3"/>
                <c:pt idx="0">
                  <c:v>0 months</c:v>
                </c:pt>
                <c:pt idx="1">
                  <c:v>6 months</c:v>
                </c:pt>
                <c:pt idx="2">
                  <c:v>12 months</c:v>
                </c:pt>
              </c:strCache>
            </c:strRef>
          </c:cat>
          <c:val>
            <c:numRef>
              <c:f>Foglio4!$B$55:$D$55</c:f>
              <c:numCache>
                <c:formatCode>General</c:formatCode>
                <c:ptCount val="3"/>
                <c:pt idx="0">
                  <c:v>68</c:v>
                </c:pt>
                <c:pt idx="1">
                  <c:v>71</c:v>
                </c:pt>
                <c:pt idx="2">
                  <c:v>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Foglio4!$A$56</c:f>
              <c:strCache>
                <c:ptCount val="1"/>
                <c:pt idx="0">
                  <c:v>Nintedanib</c:v>
                </c:pt>
              </c:strCache>
            </c:strRef>
          </c:tx>
          <c:marker>
            <c:symbol val="none"/>
          </c:marker>
          <c:cat>
            <c:strRef>
              <c:f>Foglio4!$B$8:$D$8</c:f>
              <c:strCache>
                <c:ptCount val="3"/>
                <c:pt idx="0">
                  <c:v>0 months</c:v>
                </c:pt>
                <c:pt idx="1">
                  <c:v>6 months</c:v>
                </c:pt>
                <c:pt idx="2">
                  <c:v>12 months</c:v>
                </c:pt>
              </c:strCache>
            </c:strRef>
          </c:cat>
          <c:val>
            <c:numRef>
              <c:f>Foglio4!$B$56:$D$56</c:f>
              <c:numCache>
                <c:formatCode>General</c:formatCode>
                <c:ptCount val="3"/>
                <c:pt idx="0">
                  <c:v>66</c:v>
                </c:pt>
                <c:pt idx="1">
                  <c:v>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4375536"/>
        <c:axId val="317942448"/>
      </c:lineChart>
      <c:catAx>
        <c:axId val="424375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7942448"/>
        <c:crosses val="autoZero"/>
        <c:auto val="1"/>
        <c:lblAlgn val="ctr"/>
        <c:lblOffset val="100"/>
        <c:noMultiLvlLbl val="0"/>
      </c:catAx>
      <c:valAx>
        <c:axId val="3179424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it-IT"/>
                  <a:t>%</a:t>
                </a:r>
                <a:r>
                  <a:rPr lang="it-IT" baseline="0"/>
                  <a:t> predicted</a:t>
                </a:r>
                <a:endParaRPr lang="it-IT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24375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FVC %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Foglio4!$A$39</c:f>
              <c:strCache>
                <c:ptCount val="1"/>
                <c:pt idx="0">
                  <c:v>Pirfenidone</c:v>
                </c:pt>
              </c:strCache>
            </c:strRef>
          </c:tx>
          <c:marker>
            <c:symbol val="none"/>
          </c:marker>
          <c:cat>
            <c:strRef>
              <c:f>Foglio4!$B$8:$D$8</c:f>
              <c:strCache>
                <c:ptCount val="3"/>
                <c:pt idx="0">
                  <c:v>0 months</c:v>
                </c:pt>
                <c:pt idx="1">
                  <c:v>6 months</c:v>
                </c:pt>
                <c:pt idx="2">
                  <c:v>12 months</c:v>
                </c:pt>
              </c:strCache>
            </c:strRef>
          </c:cat>
          <c:val>
            <c:numRef>
              <c:f>Foglio4!$B$39:$D$39</c:f>
              <c:numCache>
                <c:formatCode>General</c:formatCode>
                <c:ptCount val="3"/>
                <c:pt idx="0">
                  <c:v>78.7</c:v>
                </c:pt>
                <c:pt idx="1">
                  <c:v>83</c:v>
                </c:pt>
                <c:pt idx="2">
                  <c:v>81.2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Foglio4!$A$40</c:f>
              <c:strCache>
                <c:ptCount val="1"/>
                <c:pt idx="0">
                  <c:v>Nintedanib</c:v>
                </c:pt>
              </c:strCache>
            </c:strRef>
          </c:tx>
          <c:marker>
            <c:symbol val="none"/>
          </c:marker>
          <c:cat>
            <c:strRef>
              <c:f>Foglio4!$B$8:$D$8</c:f>
              <c:strCache>
                <c:ptCount val="3"/>
                <c:pt idx="0">
                  <c:v>0 months</c:v>
                </c:pt>
                <c:pt idx="1">
                  <c:v>6 months</c:v>
                </c:pt>
                <c:pt idx="2">
                  <c:v>12 months</c:v>
                </c:pt>
              </c:strCache>
            </c:strRef>
          </c:cat>
          <c:val>
            <c:numRef>
              <c:f>Foglio4!$B$40:$D$40</c:f>
              <c:numCache>
                <c:formatCode>General</c:formatCode>
                <c:ptCount val="3"/>
                <c:pt idx="0">
                  <c:v>80.900000000000006</c:v>
                </c:pt>
                <c:pt idx="1">
                  <c:v>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7936176"/>
        <c:axId val="317939704"/>
      </c:lineChart>
      <c:catAx>
        <c:axId val="31793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17939704"/>
        <c:crosses val="autoZero"/>
        <c:auto val="1"/>
        <c:lblAlgn val="ctr"/>
        <c:lblOffset val="100"/>
        <c:noMultiLvlLbl val="0"/>
      </c:catAx>
      <c:valAx>
        <c:axId val="317939704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it-IT"/>
                  <a:t>% predicted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179361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DLCO %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Foglio4!$A$24</c:f>
              <c:strCache>
                <c:ptCount val="1"/>
                <c:pt idx="0">
                  <c:v>Pirfenidone</c:v>
                </c:pt>
              </c:strCache>
            </c:strRef>
          </c:tx>
          <c:marker>
            <c:symbol val="none"/>
          </c:marker>
          <c:cat>
            <c:strRef>
              <c:f>Foglio4!$B$8:$D$8</c:f>
              <c:strCache>
                <c:ptCount val="3"/>
                <c:pt idx="0">
                  <c:v>0 months</c:v>
                </c:pt>
                <c:pt idx="1">
                  <c:v>6 months</c:v>
                </c:pt>
                <c:pt idx="2">
                  <c:v>12 months</c:v>
                </c:pt>
              </c:strCache>
            </c:strRef>
          </c:cat>
          <c:val>
            <c:numRef>
              <c:f>Foglio4!$C$24:$E$24</c:f>
              <c:numCache>
                <c:formatCode>General</c:formatCode>
                <c:ptCount val="3"/>
                <c:pt idx="0">
                  <c:v>51.2</c:v>
                </c:pt>
                <c:pt idx="1">
                  <c:v>50.7</c:v>
                </c:pt>
                <c:pt idx="2">
                  <c:v>46.7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Foglio4!$A$25</c:f>
              <c:strCache>
                <c:ptCount val="1"/>
                <c:pt idx="0">
                  <c:v>Nintedanib</c:v>
                </c:pt>
              </c:strCache>
            </c:strRef>
          </c:tx>
          <c:marker>
            <c:symbol val="none"/>
          </c:marker>
          <c:cat>
            <c:strRef>
              <c:f>Foglio4!$B$8:$D$8</c:f>
              <c:strCache>
                <c:ptCount val="3"/>
                <c:pt idx="0">
                  <c:v>0 months</c:v>
                </c:pt>
                <c:pt idx="1">
                  <c:v>6 months</c:v>
                </c:pt>
                <c:pt idx="2">
                  <c:v>12 months</c:v>
                </c:pt>
              </c:strCache>
            </c:strRef>
          </c:cat>
          <c:val>
            <c:numRef>
              <c:f>Foglio4!$C$25:$E$25</c:f>
              <c:numCache>
                <c:formatCode>General</c:formatCode>
                <c:ptCount val="3"/>
                <c:pt idx="0">
                  <c:v>47</c:v>
                </c:pt>
                <c:pt idx="1">
                  <c:v>47.6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3267480"/>
        <c:axId val="423267872"/>
      </c:lineChart>
      <c:catAx>
        <c:axId val="423267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3267872"/>
        <c:crosses val="autoZero"/>
        <c:auto val="1"/>
        <c:lblAlgn val="ctr"/>
        <c:lblOffset val="100"/>
        <c:noMultiLvlLbl val="0"/>
      </c:catAx>
      <c:valAx>
        <c:axId val="423267872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it-IT"/>
                  <a:t>% predicted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232674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0.12292</cdr:x>
      <cdr:y>0.01389</cdr:y>
    </cdr:from>
    <cdr:to>
      <cdr:x>0.49583</cdr:x>
      <cdr:y>0.12153</cdr:y>
    </cdr:to>
    <cdr:sp macro="" textlink="">
      <cdr:nvSpPr>
        <cdr:cNvPr id="2" name="CasellaDiTesto 1"/>
        <cdr:cNvSpPr txBox="1"/>
      </cdr:nvSpPr>
      <cdr:spPr>
        <a:xfrm xmlns:a="http://schemas.openxmlformats.org/drawingml/2006/main">
          <a:off x="561975" y="38100"/>
          <a:ext cx="170497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t-IT" sz="1400"/>
            <a:t>FVC % predicted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0.17113</cdr:x>
      <cdr:y>0.03437</cdr:y>
    </cdr:from>
    <cdr:to>
      <cdr:x>0.52321</cdr:x>
      <cdr:y>0.1802</cdr:y>
    </cdr:to>
    <cdr:sp macro="" textlink="">
      <cdr:nvSpPr>
        <cdr:cNvPr id="2" name="CasellaDiTesto 1"/>
        <cdr:cNvSpPr txBox="1"/>
      </cdr:nvSpPr>
      <cdr:spPr>
        <a:xfrm xmlns:a="http://schemas.openxmlformats.org/drawingml/2006/main">
          <a:off x="694386" y="89702"/>
          <a:ext cx="1428617" cy="3805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t-IT" sz="1400"/>
            <a:t>TLC % predicted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0.22292</cdr:x>
      <cdr:y>0.00347</cdr:y>
    </cdr:from>
    <cdr:to>
      <cdr:x>0.42292</cdr:x>
      <cdr:y>0.09722</cdr:y>
    </cdr:to>
    <cdr:sp macro="" textlink="">
      <cdr:nvSpPr>
        <cdr:cNvPr id="2" name="CasellaDiTesto 1"/>
        <cdr:cNvSpPr txBox="1"/>
      </cdr:nvSpPr>
      <cdr:spPr>
        <a:xfrm xmlns:a="http://schemas.openxmlformats.org/drawingml/2006/main">
          <a:off x="1019175" y="9525"/>
          <a:ext cx="9144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it-IT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0.14322</cdr:x>
      <cdr:y>0.0045</cdr:y>
    </cdr:from>
    <cdr:to>
      <cdr:x>0.55779</cdr:x>
      <cdr:y>0.13964</cdr:y>
    </cdr:to>
    <cdr:sp macro="" textlink="">
      <cdr:nvSpPr>
        <cdr:cNvPr id="2" name="CasellaDiTesto 1"/>
        <cdr:cNvSpPr txBox="1"/>
      </cdr:nvSpPr>
      <cdr:spPr>
        <a:xfrm xmlns:a="http://schemas.openxmlformats.org/drawingml/2006/main">
          <a:off x="542924" y="9524"/>
          <a:ext cx="157162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t-IT" sz="1400"/>
            <a:t>FVC% predicted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0.14615</cdr:x>
      <cdr:y>0.00459</cdr:y>
    </cdr:from>
    <cdr:to>
      <cdr:x>0.50769</cdr:x>
      <cdr:y>0.1789</cdr:y>
    </cdr:to>
    <cdr:sp macro="" textlink="">
      <cdr:nvSpPr>
        <cdr:cNvPr id="2" name="CasellaDiTesto 1"/>
        <cdr:cNvSpPr txBox="1"/>
      </cdr:nvSpPr>
      <cdr:spPr>
        <a:xfrm xmlns:a="http://schemas.openxmlformats.org/drawingml/2006/main">
          <a:off x="542925" y="9525"/>
          <a:ext cx="1343025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t-IT" sz="1400"/>
            <a:t>TLC%  predicted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0.11826</cdr:x>
      <cdr:y>0.00917</cdr:y>
    </cdr:from>
    <cdr:to>
      <cdr:x>0.47303</cdr:x>
      <cdr:y>0.10703</cdr:y>
    </cdr:to>
    <cdr:sp macro="" textlink="">
      <cdr:nvSpPr>
        <cdr:cNvPr id="2" name="CasellaDiTesto 1"/>
        <cdr:cNvSpPr txBox="1"/>
      </cdr:nvSpPr>
      <cdr:spPr>
        <a:xfrm xmlns:a="http://schemas.openxmlformats.org/drawingml/2006/main">
          <a:off x="542925" y="28576"/>
          <a:ext cx="16287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t-IT" sz="1400"/>
            <a:t>DLCO% predicted</a:t>
          </a:r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Bandana Sharma</cp:lastModifiedBy>
  <cp:revision>2</cp:revision>
  <dcterms:created xsi:type="dcterms:W3CDTF">2018-06-20T10:57:00Z</dcterms:created>
  <dcterms:modified xsi:type="dcterms:W3CDTF">2018-06-20T10:57:00Z</dcterms:modified>
</cp:coreProperties>
</file>