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A" w:rsidRDefault="00866E8A" w:rsidP="00866E8A">
      <w:pPr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Appendice</w:t>
      </w:r>
      <w:proofErr w:type="spellEnd"/>
      <w:r>
        <w:rPr>
          <w:rFonts w:cs="Calibri"/>
          <w:lang w:val="en-US"/>
        </w:rPr>
        <w:t xml:space="preserve"> A</w:t>
      </w:r>
    </w:p>
    <w:tbl>
      <w:tblPr>
        <w:tblpPr w:leftFromText="141" w:rightFromText="141" w:vertAnchor="text" w:horzAnchor="margin" w:tblpXSpec="center" w:tblpY="163"/>
        <w:tblOverlap w:val="never"/>
        <w:tblW w:w="1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04"/>
        <w:gridCol w:w="765"/>
        <w:gridCol w:w="765"/>
        <w:gridCol w:w="935"/>
        <w:gridCol w:w="765"/>
        <w:gridCol w:w="935"/>
        <w:gridCol w:w="765"/>
        <w:gridCol w:w="935"/>
        <w:gridCol w:w="765"/>
        <w:gridCol w:w="935"/>
        <w:gridCol w:w="935"/>
        <w:gridCol w:w="935"/>
      </w:tblGrid>
      <w:tr w:rsidR="00866E8A" w:rsidRPr="00311C90" w:rsidTr="0043404C">
        <w:trPr>
          <w:trHeight w:val="1129"/>
        </w:trPr>
        <w:tc>
          <w:tcPr>
            <w:tcW w:w="1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8"/>
                <w:szCs w:val="18"/>
                <w:lang w:val="en-US"/>
              </w:rPr>
              <w:t xml:space="preserve">Table A.1 - IGRA and TST sensitivity (5mm and 10mm cut-offs) according to sex, age group, comorbidities (chronic renal failure, oncologic disease, inflammatory disease, HIV, diabetes and COPD), substance abuse (alcohol or drug abuse) and site of disease (pulmonary or </w:t>
            </w:r>
            <w:proofErr w:type="spellStart"/>
            <w:r w:rsidRPr="001F635A">
              <w:rPr>
                <w:rFonts w:cs="Calibri"/>
                <w:sz w:val="18"/>
                <w:szCs w:val="18"/>
                <w:lang w:val="en-US"/>
              </w:rPr>
              <w:t>extrapulmonary</w:t>
            </w:r>
            <w:proofErr w:type="spellEnd"/>
            <w:r w:rsidRPr="001F635A">
              <w:rPr>
                <w:rFonts w:cs="Calibri"/>
                <w:sz w:val="18"/>
                <w:szCs w:val="18"/>
                <w:lang w:val="en-US"/>
              </w:rPr>
              <w:t>) in patients submitted to both assays (n=727).</w:t>
            </w:r>
          </w:p>
        </w:tc>
      </w:tr>
      <w:tr w:rsidR="00866E8A" w:rsidRPr="001F635A" w:rsidTr="0043404C">
        <w:trPr>
          <w:trHeight w:val="567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Patients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n/N (%)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IGRA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TST - 5mm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TST - 10mm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  <w:lang w:val="en-US"/>
              </w:rPr>
              <w:t>IGRA/TST-5mm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  <w:lang w:val="en-US"/>
              </w:rPr>
              <w:t>IGRA/TST-10mm</w:t>
            </w:r>
          </w:p>
        </w:tc>
      </w:tr>
      <w:tr w:rsidR="00866E8A" w:rsidRPr="001F635A" w:rsidTr="0043404C">
        <w:trPr>
          <w:trHeight w:val="567"/>
        </w:trPr>
        <w:tc>
          <w:tcPr>
            <w:tcW w:w="2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Positive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(n)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Sensitivity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% (IC 95%)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Positive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(n)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Sensitivity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% (IC 95%)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Positive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(n)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Sensitivity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% (IC 95%)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Positive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(n)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Sensitivity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% (IC 95%)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Positive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(n)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Sensitivity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b/>
                <w:sz w:val="16"/>
                <w:szCs w:val="16"/>
              </w:rPr>
              <w:t>% (IC 95%)</w:t>
            </w:r>
          </w:p>
        </w:tc>
      </w:tr>
      <w:tr w:rsidR="00866E8A" w:rsidRPr="001F635A" w:rsidTr="0043404C">
        <w:trPr>
          <w:trHeight w:val="56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Total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  <w:lang w:val="en-US"/>
              </w:rPr>
              <w:t>727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599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82.4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(79.5-84.9)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(82.0-87.2)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570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78.4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(75.4-81.4)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(89.7-93.7)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659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(88.5-92.8)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Sex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Male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  <w:lang w:val="en-US"/>
              </w:rPr>
              <w:t>362/727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  <w:lang w:val="en-US"/>
              </w:rPr>
              <w:t>(49.8)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(79.9-87.4)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85.2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(81.6-88.8)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(88.3-94.1)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(88.0-93.9)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327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(88.0-93.9)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Female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  <w:lang w:val="en-US"/>
              </w:rPr>
              <w:t>365/727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  <w:lang w:val="en-US"/>
              </w:rPr>
              <w:t>(50.2)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80.8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(76.5-84.5)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(80.2-87.8)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92.3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(89.5-95.0)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90.3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(87.3-93.4)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332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90.3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(87.3-93.4)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Age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≤15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48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(6.6)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77.1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(63.5-86.7)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72.9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(60.3-85.5)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85.4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(75.4-95.4)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85.4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(75.4-95.4)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85.4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(75.4-95.4)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16 – 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523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(71.9)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82.4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(78.9-85.4)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87.6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(84.7-90.4)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92.5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(90.3-95.0)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(88.8-93.6)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477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(88.8-93.6)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≥ 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156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(21.5)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(77.4-88.9)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78.2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(71.7-84.7)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(86.5-95.5)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(85.8-95.0)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141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(85.8-95.0)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Comorbidities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Chronic renal failure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  <w:lang w:val="en-US"/>
              </w:rPr>
              <w:t>5/727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(0.7)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(37.6-96.4)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60.0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(14.7-94.7)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(28.4-99.5)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(28.4-99.5)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(28.4-99.5)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Oncologic diseases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36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(5.0)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63.9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(47.6-77.5)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63.9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(48.2-79.6)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72.2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(57.6-86.9)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69.4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(54.4-84.5)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69.4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(54.4-84.5)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Inflammatory diseases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32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62.5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(45.3-77.1)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75.0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(60.0-90.0)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75.0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(60.0-90.0)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71.9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(56.3-87.5)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71.9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(56.3-87.5)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HIV infection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25/632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(3.4)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72.0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(52.4-85.7)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64.0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(44.5-79.8)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76.0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(56.6-88.5)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76.0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(56.6-88.5)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76.0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(56.6-88.5)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Diabetes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41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(5.6)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78.0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(63.3-88.0)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75.6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(62.5-88.8)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(68.4-92.6)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(68.4-92.6)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(68.4-92.6)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COPD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16/727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(2.2)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93.8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(71.7-98.9)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(79.4-100)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(79.4-100)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(79.4-100)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(79.4-100)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Substance abuse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Alcohol abuse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31/706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(4.3)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90.3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(75.1-96.7)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87.1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(75.3-98.9)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93.5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(78.6-99.2)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93.5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(78.6-99.2)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93.5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(78.6-99.2)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Drug abuse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32/709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(4.4)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(68.3-93.1)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96.9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(83.8-99.9)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(89.1-100)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(89.1-100)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100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(89.1-100)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Site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of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disease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PTB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343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(47.2)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80.2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(75.6-84.1)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85.1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(81.4-88.9)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270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91.5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(88.6-94.5)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(87.6-93.7)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311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(87.6-93.7)</w:t>
            </w:r>
          </w:p>
        </w:tc>
      </w:tr>
      <w:tr w:rsidR="00866E8A" w:rsidRPr="001F635A" w:rsidTr="0043404C">
        <w:trPr>
          <w:trHeight w:val="56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ind w:left="28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ETB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F635A">
              <w:rPr>
                <w:rFonts w:cs="Calibri"/>
                <w:sz w:val="16"/>
                <w:szCs w:val="16"/>
              </w:rPr>
              <w:t>384</w:t>
            </w:r>
            <w:r w:rsidRPr="001F635A">
              <w:rPr>
                <w:rFonts w:cs="Calibri"/>
                <w:sz w:val="16"/>
                <w:szCs w:val="16"/>
                <w:lang w:val="en-US"/>
              </w:rPr>
              <w:t>/727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(52.8)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84.4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(80.4-87.7)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84.1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(80.5-87.8)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91.9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(89.2-94.7)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353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(87.7-93.5)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1F635A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348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90.6</w:t>
            </w:r>
          </w:p>
          <w:p w:rsidR="00866E8A" w:rsidRPr="001F635A" w:rsidRDefault="00866E8A" w:rsidP="0043404C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6"/>
                <w:szCs w:val="16"/>
              </w:rPr>
              <w:t>(87.7-93.5)</w:t>
            </w:r>
          </w:p>
        </w:tc>
      </w:tr>
      <w:tr w:rsidR="00866E8A" w:rsidRPr="001F635A" w:rsidTr="0043404C">
        <w:trPr>
          <w:trHeight w:val="371"/>
        </w:trPr>
        <w:tc>
          <w:tcPr>
            <w:tcW w:w="1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8A" w:rsidRPr="001F635A" w:rsidRDefault="00866E8A" w:rsidP="0043404C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F635A">
              <w:rPr>
                <w:rFonts w:cs="Calibri"/>
                <w:sz w:val="18"/>
                <w:szCs w:val="18"/>
              </w:rPr>
              <w:t>PTB = Pulmonary tuberculosis; ETB = Extrapulmonary tuberculosis</w:t>
            </w:r>
          </w:p>
        </w:tc>
      </w:tr>
    </w:tbl>
    <w:p w:rsidR="00866E8A" w:rsidRPr="00BF75C1" w:rsidRDefault="00866E8A" w:rsidP="00866E8A">
      <w:pPr>
        <w:rPr>
          <w:rFonts w:cs="Calibri"/>
        </w:rPr>
      </w:pPr>
    </w:p>
    <w:p w:rsidR="00866E8A" w:rsidRDefault="00866E8A" w:rsidP="00866E8A">
      <w:pPr>
        <w:rPr>
          <w:rFonts w:cs="Calibri"/>
        </w:rPr>
      </w:pPr>
    </w:p>
    <w:p w:rsidR="00866E8A" w:rsidRDefault="00866E8A" w:rsidP="00866E8A">
      <w:pPr>
        <w:rPr>
          <w:rFonts w:cs="Calibri"/>
        </w:rPr>
      </w:pPr>
    </w:p>
    <w:p w:rsidR="00866E8A" w:rsidRPr="00BF75C1" w:rsidRDefault="00866E8A" w:rsidP="00866E8A">
      <w:pPr>
        <w:rPr>
          <w:rFonts w:cs="Calibri"/>
        </w:rPr>
      </w:pPr>
    </w:p>
    <w:p w:rsidR="00866E8A" w:rsidRPr="00BF75C1" w:rsidRDefault="00866E8A" w:rsidP="00866E8A">
      <w:pPr>
        <w:rPr>
          <w:rFonts w:cs="Calibri"/>
        </w:rPr>
      </w:pPr>
    </w:p>
    <w:p w:rsidR="00866E8A" w:rsidRPr="00336BEF" w:rsidRDefault="00866E8A" w:rsidP="00866E8A">
      <w:pPr>
        <w:rPr>
          <w:rFonts w:cs="Calibri"/>
          <w:lang w:val="en-US"/>
        </w:rPr>
      </w:pPr>
      <w:proofErr w:type="spellStart"/>
      <w:r w:rsidRPr="00336BEF">
        <w:rPr>
          <w:rFonts w:cs="Calibri"/>
          <w:lang w:val="en-US"/>
        </w:rPr>
        <w:t>Appendice</w:t>
      </w:r>
      <w:proofErr w:type="spellEnd"/>
      <w:r w:rsidRPr="00336BEF">
        <w:rPr>
          <w:rFonts w:cs="Calibri"/>
          <w:lang w:val="en-US"/>
        </w:rPr>
        <w:t xml:space="preserve"> B</w:t>
      </w:r>
    </w:p>
    <w:p w:rsidR="00866E8A" w:rsidRPr="00336BEF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914A66" wp14:editId="5DDFFE4C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904230" cy="2704465"/>
            <wp:effectExtent l="0" t="0" r="0" b="0"/>
            <wp:wrapTopAndBottom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color w:val="000000"/>
          <w:highlight w:val="cyan"/>
          <w:shd w:val="clear" w:color="auto" w:fill="FFFFFF"/>
          <w:lang w:val="en-US"/>
        </w:rPr>
      </w:pPr>
      <w:r w:rsidRPr="001F635A">
        <w:rPr>
          <w:sz w:val="16"/>
          <w:lang w:val="en-US"/>
        </w:rPr>
        <w:t>Figure B.1. Number of true positive, false negative and indeterminate results of IGRA by age groups (n=1230).</w:t>
      </w:r>
    </w:p>
    <w:p w:rsidR="00866E8A" w:rsidRPr="001F635A" w:rsidRDefault="00866E8A" w:rsidP="00866E8A">
      <w:pPr>
        <w:rPr>
          <w:rFonts w:cs="Calibri"/>
          <w:lang w:val="en-US"/>
        </w:rPr>
      </w:pPr>
    </w:p>
    <w:p w:rsidR="00866E8A" w:rsidRPr="001F635A" w:rsidRDefault="00866E8A" w:rsidP="00866E8A">
      <w:pPr>
        <w:rPr>
          <w:rFonts w:cs="Calibri"/>
          <w:lang w:val="en-US"/>
        </w:rPr>
      </w:pPr>
    </w:p>
    <w:p w:rsidR="00560592" w:rsidRDefault="00560592">
      <w:bookmarkStart w:id="0" w:name="_GoBack"/>
      <w:bookmarkEnd w:id="0"/>
    </w:p>
    <w:sectPr w:rsidR="0056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8A"/>
    <w:rsid w:val="00560592"/>
    <w:rsid w:val="008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9CE90-7CB7-4FA6-822C-C11BF41D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8A"/>
    <w:pPr>
      <w:spacing w:after="0" w:line="360" w:lineRule="auto"/>
      <w:jc w:val="both"/>
    </w:pPr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B:\ENSP\TESE%20PhD\Calculos\Contas%20artigos_1402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731582272370826E-2"/>
          <c:y val="8.2838565113617715E-2"/>
          <c:w val="0.77795173968493792"/>
          <c:h val="0.759673302539515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'idade igra'!$G$216</c:f>
              <c:strCache>
                <c:ptCount val="1"/>
                <c:pt idx="0">
                  <c:v>Positive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'idade igra'!$H$215:$P$215</c:f>
              <c:strCache>
                <c:ptCount val="9"/>
                <c:pt idx="0">
                  <c:v>&lt;=10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&gt;80</c:v>
                </c:pt>
              </c:strCache>
            </c:strRef>
          </c:cat>
          <c:val>
            <c:numRef>
              <c:f>'idade igra'!$H$216:$P$216</c:f>
              <c:numCache>
                <c:formatCode>General</c:formatCode>
                <c:ptCount val="9"/>
                <c:pt idx="0">
                  <c:v>25</c:v>
                </c:pt>
                <c:pt idx="1">
                  <c:v>54</c:v>
                </c:pt>
                <c:pt idx="2">
                  <c:v>90</c:v>
                </c:pt>
                <c:pt idx="3">
                  <c:v>133</c:v>
                </c:pt>
                <c:pt idx="4">
                  <c:v>161</c:v>
                </c:pt>
                <c:pt idx="5">
                  <c:v>129</c:v>
                </c:pt>
                <c:pt idx="6">
                  <c:v>128</c:v>
                </c:pt>
                <c:pt idx="7">
                  <c:v>108</c:v>
                </c:pt>
                <c:pt idx="8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14-4128-83DD-8C152AF31943}"/>
            </c:ext>
          </c:extLst>
        </c:ser>
        <c:ser>
          <c:idx val="1"/>
          <c:order val="1"/>
          <c:tx>
            <c:strRef>
              <c:f>'idade igra'!$G$217</c:f>
              <c:strCache>
                <c:ptCount val="1"/>
                <c:pt idx="0">
                  <c:v>Negative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'idade igra'!$H$215:$P$215</c:f>
              <c:strCache>
                <c:ptCount val="9"/>
                <c:pt idx="0">
                  <c:v>&lt;=10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&gt;80</c:v>
                </c:pt>
              </c:strCache>
            </c:strRef>
          </c:cat>
          <c:val>
            <c:numRef>
              <c:f>'idade igra'!$H$217:$P$217</c:f>
              <c:numCache>
                <c:formatCode>General</c:formatCode>
                <c:ptCount val="9"/>
                <c:pt idx="0">
                  <c:v>10</c:v>
                </c:pt>
                <c:pt idx="1">
                  <c:v>12</c:v>
                </c:pt>
                <c:pt idx="2">
                  <c:v>26</c:v>
                </c:pt>
                <c:pt idx="3">
                  <c:v>33</c:v>
                </c:pt>
                <c:pt idx="4">
                  <c:v>48</c:v>
                </c:pt>
                <c:pt idx="5">
                  <c:v>24</c:v>
                </c:pt>
                <c:pt idx="6">
                  <c:v>25</c:v>
                </c:pt>
                <c:pt idx="7">
                  <c:v>27</c:v>
                </c:pt>
                <c:pt idx="8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14-4128-83DD-8C152AF31943}"/>
            </c:ext>
          </c:extLst>
        </c:ser>
        <c:ser>
          <c:idx val="2"/>
          <c:order val="2"/>
          <c:tx>
            <c:strRef>
              <c:f>'idade igra'!$G$218</c:f>
              <c:strCache>
                <c:ptCount val="1"/>
                <c:pt idx="0">
                  <c:v>Indeterminate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1510002151000412E-3"/>
                  <c:y val="-2.81756280817093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F14-4128-83DD-8C152AF3194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28715660953275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F14-4128-83DD-8C152AF319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'idade igra'!$H$215:$P$215</c:f>
              <c:strCache>
                <c:ptCount val="9"/>
                <c:pt idx="0">
                  <c:v>&lt;=10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&gt;80</c:v>
                </c:pt>
              </c:strCache>
            </c:strRef>
          </c:cat>
          <c:val>
            <c:numRef>
              <c:f>'idade igra'!$H$218:$P$218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12</c:v>
                </c:pt>
                <c:pt idx="3">
                  <c:v>28</c:v>
                </c:pt>
                <c:pt idx="4">
                  <c:v>26</c:v>
                </c:pt>
                <c:pt idx="5">
                  <c:v>21</c:v>
                </c:pt>
                <c:pt idx="6">
                  <c:v>22</c:v>
                </c:pt>
                <c:pt idx="7">
                  <c:v>30</c:v>
                </c:pt>
                <c:pt idx="8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14-4128-83DD-8C152AF319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overlap val="100"/>
        <c:axId val="305722520"/>
        <c:axId val="305721344"/>
      </c:barChart>
      <c:catAx>
        <c:axId val="305722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800" b="1">
                    <a:solidFill>
                      <a:schemeClr val="tx1"/>
                    </a:solidFill>
                  </a:rPr>
                  <a:t>Age groups (years)</a:t>
                </a:r>
              </a:p>
            </c:rich>
          </c:tx>
          <c:layout>
            <c:manualLayout>
              <c:xMode val="edge"/>
              <c:yMode val="edge"/>
              <c:x val="0.41080428777334238"/>
              <c:y val="0.936808204210444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721344"/>
        <c:crosses val="autoZero"/>
        <c:auto val="1"/>
        <c:lblAlgn val="ctr"/>
        <c:lblOffset val="100"/>
        <c:noMultiLvlLbl val="0"/>
      </c:catAx>
      <c:valAx>
        <c:axId val="3057213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 sz="800">
                    <a:solidFill>
                      <a:sysClr val="windowText" lastClr="000000"/>
                    </a:solidFill>
                  </a:rPr>
                  <a:t>n</a:t>
                </a:r>
              </a:p>
            </c:rich>
          </c:tx>
          <c:layout>
            <c:manualLayout>
              <c:xMode val="edge"/>
              <c:yMode val="edge"/>
              <c:x val="2.1518978766071114E-2"/>
              <c:y val="0.4199303743993731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%" sourceLinked="0"/>
        <c:majorTickMark val="out"/>
        <c:minorTickMark val="none"/>
        <c:tickLblPos val="none"/>
        <c:crossAx val="30572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913087735403292"/>
          <c:y val="0.27682887373288279"/>
          <c:w val="0.13873934450385578"/>
          <c:h val="0.294870149918745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2019-11-28T06:55:00Z</dcterms:created>
  <dcterms:modified xsi:type="dcterms:W3CDTF">2019-11-28T06:56:00Z</dcterms:modified>
</cp:coreProperties>
</file>