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F6EAF" w14:textId="77777777" w:rsidR="00124A6C" w:rsidRPr="00124A6C" w:rsidRDefault="00124A6C" w:rsidP="00124A6C">
      <w:pPr>
        <w:pStyle w:val="Didefault"/>
        <w:spacing w:after="40" w:line="480" w:lineRule="auto"/>
        <w:rPr>
          <w:rFonts w:ascii="Arial" w:eastAsia="Arial" w:hAnsi="Arial" w:cs="Arial"/>
          <w:b/>
          <w:bCs/>
          <w:lang w:val="en-US"/>
        </w:rPr>
      </w:pPr>
      <w:r w:rsidRPr="00124A6C">
        <w:rPr>
          <w:rFonts w:ascii="Arial" w:hAnsi="Arial" w:cs="Arial"/>
          <w:b/>
          <w:bCs/>
          <w:lang w:val="en-US"/>
        </w:rPr>
        <w:t>Online Supplementary Material to:</w:t>
      </w:r>
    </w:p>
    <w:p w14:paraId="698D7C05" w14:textId="77777777" w:rsidR="00C64958" w:rsidRPr="00D801A8" w:rsidRDefault="00C64958" w:rsidP="00C64958">
      <w:pPr>
        <w:pStyle w:val="DidefaultA"/>
        <w:spacing w:after="40" w:line="480" w:lineRule="auto"/>
        <w:jc w:val="center"/>
        <w:rPr>
          <w:rFonts w:ascii="Arial" w:eastAsia="Arial" w:hAnsi="Arial" w:cs="Arial"/>
          <w:b/>
          <w:bCs/>
          <w:sz w:val="36"/>
          <w:szCs w:val="36"/>
          <w:lang w:val="en-US"/>
        </w:rPr>
      </w:pPr>
      <w:r w:rsidRPr="00D801A8">
        <w:rPr>
          <w:rFonts w:ascii="Arial" w:hAnsi="Arial"/>
          <w:b/>
          <w:bCs/>
          <w:sz w:val="36"/>
          <w:szCs w:val="36"/>
          <w:lang w:val="en-US"/>
        </w:rPr>
        <w:t>Rationale and Evidence on the use of Tocilizumab in COVID-19:</w:t>
      </w:r>
      <w:r w:rsidRPr="00D801A8">
        <w:rPr>
          <w:rFonts w:ascii="Arial" w:eastAsia="Arial" w:hAnsi="Arial" w:cs="Arial"/>
          <w:b/>
          <w:bCs/>
          <w:sz w:val="36"/>
          <w:szCs w:val="36"/>
          <w:lang w:val="en-US"/>
        </w:rPr>
        <w:t xml:space="preserve"> </w:t>
      </w:r>
    </w:p>
    <w:p w14:paraId="4F84B872" w14:textId="73DBBE01" w:rsidR="00C64958" w:rsidRPr="003E2BD4" w:rsidRDefault="00C64958" w:rsidP="00C64958">
      <w:pPr>
        <w:pStyle w:val="DidefaultA"/>
        <w:spacing w:after="40" w:line="480" w:lineRule="auto"/>
        <w:jc w:val="center"/>
        <w:rPr>
          <w:rFonts w:ascii="Arial" w:eastAsia="Arial" w:hAnsi="Arial" w:cs="Arial"/>
          <w:b/>
          <w:bCs/>
          <w:sz w:val="36"/>
          <w:szCs w:val="36"/>
        </w:rPr>
      </w:pPr>
      <w:r w:rsidRPr="003E2BD4">
        <w:rPr>
          <w:rFonts w:ascii="Arial" w:hAnsi="Arial"/>
          <w:b/>
          <w:bCs/>
          <w:sz w:val="36"/>
          <w:szCs w:val="36"/>
        </w:rPr>
        <w:t>A Systematic Review</w:t>
      </w:r>
    </w:p>
    <w:p w14:paraId="31A4CDA0" w14:textId="501525AC" w:rsidR="00C64958" w:rsidRPr="00D70A5E" w:rsidRDefault="00C64958" w:rsidP="00C64958">
      <w:pPr>
        <w:pStyle w:val="DidefaultA"/>
        <w:spacing w:after="40" w:line="480" w:lineRule="auto"/>
        <w:jc w:val="center"/>
        <w:rPr>
          <w:rFonts w:ascii="Arial" w:hAnsi="Arial"/>
          <w:sz w:val="24"/>
          <w:szCs w:val="24"/>
        </w:rPr>
      </w:pPr>
      <w:r w:rsidRPr="00D801A8">
        <w:rPr>
          <w:rStyle w:val="Hyperlink0"/>
          <w:lang w:val="it-IT"/>
        </w:rPr>
        <w:t>Andrea Cortegiani</w:t>
      </w:r>
      <w:r w:rsidRPr="00D70A5E">
        <w:rPr>
          <w:rFonts w:ascii="Arial" w:hAnsi="Arial"/>
          <w:sz w:val="24"/>
          <w:szCs w:val="24"/>
          <w:vertAlign w:val="superscript"/>
        </w:rPr>
        <w:t>1</w:t>
      </w:r>
      <w:r w:rsidRPr="00D801A8">
        <w:rPr>
          <w:rStyle w:val="Hyperlink0"/>
          <w:lang w:val="it-IT"/>
        </w:rPr>
        <w:t>, Mariachiara Ippolito</w:t>
      </w:r>
      <w:r w:rsidRPr="00D70A5E">
        <w:rPr>
          <w:rFonts w:ascii="Arial" w:hAnsi="Arial"/>
          <w:sz w:val="24"/>
          <w:szCs w:val="24"/>
          <w:vertAlign w:val="superscript"/>
        </w:rPr>
        <w:t>1</w:t>
      </w:r>
      <w:r w:rsidRPr="00D801A8">
        <w:rPr>
          <w:rStyle w:val="Hyperlink0"/>
          <w:lang w:val="it-IT"/>
        </w:rPr>
        <w:t>, Massimiliano Greco</w:t>
      </w:r>
      <w:r w:rsidRPr="00D70A5E">
        <w:rPr>
          <w:rFonts w:ascii="Arial" w:hAnsi="Arial"/>
          <w:sz w:val="24"/>
          <w:szCs w:val="24"/>
          <w:vertAlign w:val="superscript"/>
        </w:rPr>
        <w:t>2,3</w:t>
      </w:r>
      <w:r w:rsidRPr="00D801A8">
        <w:rPr>
          <w:rStyle w:val="Hyperlink0"/>
          <w:lang w:val="it-IT"/>
        </w:rPr>
        <w:t>, Veronica Granone</w:t>
      </w:r>
      <w:r w:rsidRPr="00D70A5E">
        <w:rPr>
          <w:rFonts w:ascii="Arial" w:hAnsi="Arial"/>
          <w:sz w:val="24"/>
          <w:szCs w:val="24"/>
          <w:vertAlign w:val="superscript"/>
        </w:rPr>
        <w:t>2,3</w:t>
      </w:r>
      <w:r w:rsidRPr="00D801A8">
        <w:rPr>
          <w:rStyle w:val="Hyperlink0"/>
          <w:lang w:val="it-IT"/>
        </w:rPr>
        <w:t>, Alessandro Protti</w:t>
      </w:r>
      <w:r w:rsidRPr="00D70A5E">
        <w:rPr>
          <w:rFonts w:ascii="Arial" w:hAnsi="Arial"/>
          <w:sz w:val="24"/>
          <w:szCs w:val="24"/>
          <w:vertAlign w:val="superscript"/>
        </w:rPr>
        <w:t>2,3</w:t>
      </w:r>
      <w:r w:rsidRPr="00D801A8">
        <w:rPr>
          <w:rStyle w:val="Hyperlink0"/>
          <w:lang w:val="it-IT"/>
        </w:rPr>
        <w:t>, Cesare Gregoretti</w:t>
      </w:r>
      <w:r w:rsidRPr="00D801A8">
        <w:rPr>
          <w:rStyle w:val="Hyperlink0"/>
          <w:vertAlign w:val="superscript"/>
          <w:lang w:val="it-IT"/>
        </w:rPr>
        <w:t>1,4</w:t>
      </w:r>
      <w:r w:rsidRPr="00D801A8">
        <w:rPr>
          <w:rStyle w:val="Hyperlink0"/>
          <w:lang w:val="it-IT"/>
        </w:rPr>
        <w:t>, Antonino Giarratano</w:t>
      </w:r>
      <w:r w:rsidRPr="00D70A5E">
        <w:rPr>
          <w:rFonts w:ascii="Arial" w:hAnsi="Arial"/>
          <w:sz w:val="24"/>
          <w:szCs w:val="24"/>
          <w:vertAlign w:val="superscript"/>
        </w:rPr>
        <w:t>1</w:t>
      </w:r>
      <w:r w:rsidRPr="00D801A8">
        <w:rPr>
          <w:rStyle w:val="Hyperlink0"/>
          <w:lang w:val="it-IT"/>
        </w:rPr>
        <w:t>, Sharon Einav</w:t>
      </w:r>
      <w:r w:rsidRPr="00D801A8">
        <w:rPr>
          <w:rStyle w:val="Hyperlink0"/>
          <w:vertAlign w:val="superscript"/>
          <w:lang w:val="it-IT"/>
        </w:rPr>
        <w:t>5</w:t>
      </w:r>
      <w:r w:rsidRPr="00D801A8">
        <w:rPr>
          <w:rStyle w:val="Hyperlink0"/>
          <w:lang w:val="it-IT"/>
        </w:rPr>
        <w:t>, Maurizio Cecconi</w:t>
      </w:r>
      <w:r w:rsidRPr="00D70A5E">
        <w:rPr>
          <w:rFonts w:ascii="Arial" w:hAnsi="Arial"/>
          <w:sz w:val="24"/>
          <w:szCs w:val="24"/>
          <w:vertAlign w:val="superscript"/>
        </w:rPr>
        <w:t>2</w:t>
      </w:r>
      <w:r>
        <w:rPr>
          <w:rFonts w:ascii="Arial" w:hAnsi="Arial"/>
          <w:sz w:val="24"/>
          <w:szCs w:val="24"/>
          <w:vertAlign w:val="superscript"/>
        </w:rPr>
        <w:t>,3</w:t>
      </w:r>
    </w:p>
    <w:p w14:paraId="1A712F4C" w14:textId="77777777" w:rsidR="00C64958" w:rsidRPr="00D70A5E" w:rsidRDefault="00C64958" w:rsidP="00C64958">
      <w:pPr>
        <w:pStyle w:val="DidefaultA"/>
        <w:spacing w:after="40" w:line="480" w:lineRule="auto"/>
        <w:jc w:val="center"/>
        <w:rPr>
          <w:rStyle w:val="Hyperlink0"/>
        </w:rPr>
      </w:pPr>
      <w:r w:rsidRPr="00D801A8">
        <w:rPr>
          <w:rFonts w:ascii="Arial" w:hAnsi="Arial"/>
          <w:sz w:val="24"/>
          <w:szCs w:val="24"/>
          <w:vertAlign w:val="superscript"/>
          <w:lang w:val="en-US"/>
        </w:rPr>
        <w:t>1</w:t>
      </w:r>
      <w:r w:rsidRPr="00D70A5E">
        <w:rPr>
          <w:rStyle w:val="Hyperlink0"/>
        </w:rPr>
        <w:t>Department of Surgical, Oncological and Oral Science (Di.Chir.On.S.), Section of Anaesthesia, Analgesia, Intensive Care and Emergency, Policlinico Paolo Giaccone, University of Palermo, Italy</w:t>
      </w:r>
    </w:p>
    <w:p w14:paraId="0330249F" w14:textId="77777777" w:rsidR="00C64958" w:rsidRPr="00D70A5E" w:rsidRDefault="00C64958" w:rsidP="00C64958">
      <w:pPr>
        <w:pStyle w:val="DidefaultA"/>
        <w:spacing w:after="40" w:line="480" w:lineRule="auto"/>
        <w:jc w:val="center"/>
        <w:rPr>
          <w:rStyle w:val="Hyperlink0"/>
        </w:rPr>
      </w:pPr>
      <w:r w:rsidRPr="00D801A8">
        <w:rPr>
          <w:rFonts w:ascii="Arial" w:hAnsi="Arial"/>
          <w:sz w:val="24"/>
          <w:szCs w:val="24"/>
          <w:vertAlign w:val="superscript"/>
          <w:lang w:val="en-US"/>
        </w:rPr>
        <w:t>2</w:t>
      </w:r>
      <w:r w:rsidRPr="00D70A5E">
        <w:rPr>
          <w:rStyle w:val="Hyperlink0"/>
        </w:rPr>
        <w:t>Department of Anesthesiology and Intensive Care, Humanitas Clinical and Research Center – IRCCS, Milan, Italy</w:t>
      </w:r>
    </w:p>
    <w:p w14:paraId="68F9891A" w14:textId="533E5B7D" w:rsidR="00C64958" w:rsidRDefault="00D801A8" w:rsidP="00C64958">
      <w:pPr>
        <w:pStyle w:val="DidefaultA"/>
        <w:spacing w:after="40" w:line="480" w:lineRule="auto"/>
        <w:jc w:val="center"/>
        <w:rPr>
          <w:rStyle w:val="Hyperlink0"/>
        </w:rPr>
      </w:pPr>
      <w:r>
        <w:rPr>
          <w:rFonts w:ascii="Arial" w:hAnsi="Arial"/>
          <w:sz w:val="24"/>
          <w:szCs w:val="24"/>
          <w:vertAlign w:val="superscript"/>
          <w:lang w:val="en-US"/>
        </w:rPr>
        <w:t>3</w:t>
      </w:r>
      <w:r w:rsidR="00C64958" w:rsidRPr="00D70A5E">
        <w:rPr>
          <w:rStyle w:val="Hyperlink0"/>
        </w:rPr>
        <w:t>Department of Biomedical Science, Humanitas University, Milan, Italy</w:t>
      </w:r>
    </w:p>
    <w:p w14:paraId="480DA422" w14:textId="1A48B782" w:rsidR="00C64958" w:rsidRDefault="00D801A8" w:rsidP="00C64958">
      <w:pPr>
        <w:pStyle w:val="DidefaultA"/>
        <w:spacing w:after="40" w:line="480" w:lineRule="auto"/>
        <w:jc w:val="center"/>
        <w:rPr>
          <w:rStyle w:val="Hyperlink0"/>
        </w:rPr>
      </w:pPr>
      <w:r w:rsidRPr="00D801A8">
        <w:rPr>
          <w:rStyle w:val="Hyperlink0"/>
          <w:vertAlign w:val="superscript"/>
        </w:rPr>
        <w:t>4</w:t>
      </w:r>
      <w:r w:rsidR="00C64958">
        <w:rPr>
          <w:rStyle w:val="Hyperlink0"/>
        </w:rPr>
        <w:t>Fondazione “Giglio”, Cefalù, Italy</w:t>
      </w:r>
    </w:p>
    <w:p w14:paraId="4E5E763B" w14:textId="77777777" w:rsidR="00C64958" w:rsidRPr="00D70A5E" w:rsidRDefault="00C64958" w:rsidP="00C64958">
      <w:pPr>
        <w:pStyle w:val="DidefaultA"/>
        <w:spacing w:after="40" w:line="480" w:lineRule="auto"/>
        <w:jc w:val="center"/>
        <w:rPr>
          <w:rStyle w:val="Hyperlink0"/>
        </w:rPr>
      </w:pPr>
      <w:r>
        <w:rPr>
          <w:rStyle w:val="Hyperlink0"/>
          <w:vertAlign w:val="superscript"/>
        </w:rPr>
        <w:t>5</w:t>
      </w:r>
      <w:r w:rsidRPr="0014704E">
        <w:rPr>
          <w:rStyle w:val="Hyperlink0"/>
        </w:rPr>
        <w:t>Intensive Care Unit of the Shaare Zedek Medical Medical Centre and Hebrew University Faculty of Medicine, Jerusalem, Israel</w:t>
      </w:r>
    </w:p>
    <w:p w14:paraId="18EA9306" w14:textId="77777777" w:rsidR="00C64958" w:rsidRPr="00D801A8" w:rsidRDefault="00C64958" w:rsidP="00C64958">
      <w:pPr>
        <w:pStyle w:val="DidefaultA"/>
        <w:spacing w:after="40" w:line="480" w:lineRule="auto"/>
        <w:jc w:val="center"/>
        <w:rPr>
          <w:rFonts w:ascii="Arial" w:eastAsia="Arial" w:hAnsi="Arial" w:cs="Arial"/>
          <w:sz w:val="24"/>
          <w:szCs w:val="24"/>
          <w:lang w:val="en-US"/>
        </w:rPr>
      </w:pPr>
    </w:p>
    <w:p w14:paraId="7A16FBA2" w14:textId="77777777" w:rsidR="00C64958" w:rsidRPr="00D70A5E" w:rsidRDefault="00C64958" w:rsidP="00C64958">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0" w:after="40" w:line="480" w:lineRule="auto"/>
        <w:jc w:val="center"/>
        <w:rPr>
          <w:rStyle w:val="Hyperlink0"/>
        </w:rPr>
      </w:pPr>
      <w:r w:rsidRPr="00D70A5E">
        <w:rPr>
          <w:rStyle w:val="Hyperlink0"/>
        </w:rPr>
        <w:t>Corresponding author: Andrea Cortegiani; Department of Surgical, Oncological and Oral Science (Di.Chir.On.S). Section of Anaesthesia, Analgesia, Intensive Care and</w:t>
      </w:r>
    </w:p>
    <w:p w14:paraId="5EC0675E" w14:textId="77777777" w:rsidR="00C64958" w:rsidRPr="00927572" w:rsidRDefault="00C64958" w:rsidP="00C64958">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0" w:after="40" w:line="480" w:lineRule="auto"/>
        <w:jc w:val="center"/>
        <w:rPr>
          <w:rStyle w:val="Hyperlink0"/>
        </w:rPr>
      </w:pPr>
      <w:r w:rsidRPr="00927572">
        <w:rPr>
          <w:rStyle w:val="Hyperlink0"/>
        </w:rPr>
        <w:lastRenderedPageBreak/>
        <w:t>Emergency. Policlinico Paolo Giaccone. University of Palermo, Italy.</w:t>
      </w:r>
    </w:p>
    <w:p w14:paraId="164A622F" w14:textId="77777777" w:rsidR="00C64958" w:rsidRPr="00D70A5E" w:rsidRDefault="00C64958" w:rsidP="00C64958">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0" w:after="40" w:line="480" w:lineRule="auto"/>
        <w:jc w:val="center"/>
        <w:rPr>
          <w:rStyle w:val="Hyperlink0"/>
        </w:rPr>
      </w:pPr>
      <w:r w:rsidRPr="00D70A5E">
        <w:rPr>
          <w:rStyle w:val="Hyperlink0"/>
        </w:rPr>
        <w:t xml:space="preserve">Email: </w:t>
      </w:r>
      <w:hyperlink r:id="rId8" w:history="1">
        <w:r w:rsidRPr="00D70A5E">
          <w:rPr>
            <w:rStyle w:val="Hyperlink0"/>
          </w:rPr>
          <w:t>andrea.cortegiani@unipa.it</w:t>
        </w:r>
      </w:hyperlink>
      <w:r w:rsidRPr="00D70A5E">
        <w:rPr>
          <w:rStyle w:val="Hyperlink0"/>
        </w:rPr>
        <w:t>; Phone: +390916552700</w:t>
      </w:r>
    </w:p>
    <w:p w14:paraId="6EE60AFC" w14:textId="77777777" w:rsidR="00124A6C" w:rsidRDefault="00124A6C" w:rsidP="00124A6C">
      <w:pPr>
        <w:pStyle w:val="Didefault"/>
        <w:spacing w:after="40" w:line="480" w:lineRule="auto"/>
        <w:rPr>
          <w:rFonts w:ascii="Arial" w:eastAsia="Arial" w:hAnsi="Arial" w:cs="Arial"/>
          <w:b/>
          <w:bCs/>
          <w:lang w:val="en-US"/>
        </w:rPr>
      </w:pPr>
    </w:p>
    <w:p w14:paraId="3EA5612B" w14:textId="77777777" w:rsidR="00C64958" w:rsidRPr="00124A6C" w:rsidRDefault="00C64958" w:rsidP="00124A6C">
      <w:pPr>
        <w:pStyle w:val="Didefault"/>
        <w:spacing w:after="40" w:line="480" w:lineRule="auto"/>
        <w:rPr>
          <w:rFonts w:ascii="Arial" w:eastAsia="Arial" w:hAnsi="Arial" w:cs="Arial"/>
          <w:b/>
          <w:bCs/>
          <w:lang w:val="en-US"/>
        </w:rPr>
      </w:pPr>
    </w:p>
    <w:p w14:paraId="6A373598" w14:textId="6310014D" w:rsidR="00124A6C" w:rsidRPr="00124A6C" w:rsidRDefault="00124A6C" w:rsidP="00124A6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0" w:after="40" w:line="480" w:lineRule="auto"/>
        <w:jc w:val="center"/>
        <w:rPr>
          <w:rStyle w:val="Hyperlink0"/>
          <w:rFonts w:cs="Arial"/>
        </w:rPr>
      </w:pPr>
    </w:p>
    <w:p w14:paraId="780ED530" w14:textId="29DBDD5B" w:rsidR="00124A6C" w:rsidRPr="00124A6C" w:rsidRDefault="00124A6C" w:rsidP="00124A6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0" w:after="40" w:line="480" w:lineRule="auto"/>
        <w:rPr>
          <w:rStyle w:val="Hyperlink0"/>
          <w:rFonts w:cs="Arial"/>
          <w:b/>
          <w:bCs/>
        </w:rPr>
      </w:pPr>
      <w:r w:rsidRPr="00124A6C">
        <w:rPr>
          <w:rStyle w:val="Hyperlink0"/>
          <w:rFonts w:cs="Arial"/>
          <w:b/>
          <w:bCs/>
        </w:rPr>
        <w:t>CONTENT</w:t>
      </w:r>
    </w:p>
    <w:p w14:paraId="7E310C7C" w14:textId="2C2FB669" w:rsidR="00D801A8" w:rsidRPr="00124A6C" w:rsidRDefault="00D801A8" w:rsidP="00927572">
      <w:pPr>
        <w:pStyle w:val="CorpoA"/>
        <w:spacing w:after="40" w:line="480" w:lineRule="auto"/>
        <w:jc w:val="both"/>
        <w:rPr>
          <w:rFonts w:ascii="Arial" w:hAnsi="Arial" w:cs="Arial"/>
          <w:b/>
          <w:bCs/>
          <w:sz w:val="24"/>
          <w:szCs w:val="24"/>
          <w:lang w:val="en-US"/>
        </w:rPr>
      </w:pPr>
      <w:r>
        <w:rPr>
          <w:rFonts w:ascii="Arial" w:hAnsi="Arial" w:cs="Arial"/>
          <w:b/>
          <w:bCs/>
          <w:sz w:val="24"/>
          <w:szCs w:val="24"/>
          <w:lang w:val="en-US"/>
        </w:rPr>
        <w:t xml:space="preserve">Page 3 - </w:t>
      </w:r>
      <w:r w:rsidRPr="00124A6C">
        <w:rPr>
          <w:rFonts w:ascii="Arial" w:hAnsi="Arial" w:cs="Arial"/>
          <w:b/>
          <w:bCs/>
          <w:sz w:val="24"/>
          <w:szCs w:val="24"/>
          <w:lang w:val="en-US"/>
        </w:rPr>
        <w:t xml:space="preserve">Table </w:t>
      </w:r>
      <w:r w:rsidR="0068569D">
        <w:rPr>
          <w:rFonts w:ascii="Arial" w:hAnsi="Arial" w:cs="Arial"/>
          <w:b/>
          <w:bCs/>
          <w:sz w:val="24"/>
          <w:szCs w:val="24"/>
          <w:lang w:val="en-US"/>
        </w:rPr>
        <w:t>A</w:t>
      </w:r>
      <w:r>
        <w:rPr>
          <w:rFonts w:ascii="Arial" w:hAnsi="Arial" w:cs="Arial"/>
          <w:b/>
          <w:bCs/>
          <w:sz w:val="24"/>
          <w:szCs w:val="24"/>
          <w:lang w:val="en-US"/>
        </w:rPr>
        <w:t>.</w:t>
      </w:r>
      <w:r w:rsidRPr="00124A6C">
        <w:rPr>
          <w:rFonts w:ascii="Arial" w:hAnsi="Arial" w:cs="Arial"/>
          <w:b/>
          <w:bCs/>
          <w:sz w:val="24"/>
          <w:szCs w:val="24"/>
          <w:lang w:val="en-US"/>
        </w:rPr>
        <w:t>1. Characteristics of the ongoing studies</w:t>
      </w:r>
    </w:p>
    <w:p w14:paraId="3AB8DDFE" w14:textId="6672A8A2" w:rsidR="00D801A8" w:rsidRDefault="00D801A8" w:rsidP="00927572">
      <w:pPr>
        <w:tabs>
          <w:tab w:val="left" w:pos="-1080"/>
          <w:tab w:val="left" w:pos="-720"/>
          <w:tab w:val="left" w:pos="270"/>
        </w:tabs>
        <w:spacing w:line="480" w:lineRule="auto"/>
        <w:jc w:val="both"/>
        <w:rPr>
          <w:rStyle w:val="Hyperlink0"/>
          <w:rFonts w:cs="Arial"/>
          <w:b/>
          <w:bCs/>
        </w:rPr>
      </w:pPr>
      <w:r>
        <w:rPr>
          <w:rStyle w:val="Hyperlink0"/>
          <w:rFonts w:cs="Arial"/>
          <w:b/>
          <w:bCs/>
        </w:rPr>
        <w:t xml:space="preserve">Page 20 - </w:t>
      </w:r>
      <w:r w:rsidRPr="00124A6C">
        <w:rPr>
          <w:rStyle w:val="Hyperlink0"/>
          <w:rFonts w:cs="Arial"/>
          <w:b/>
          <w:bCs/>
        </w:rPr>
        <w:t xml:space="preserve">Table </w:t>
      </w:r>
      <w:r w:rsidR="0068569D">
        <w:rPr>
          <w:rStyle w:val="Hyperlink0"/>
          <w:rFonts w:cs="Arial"/>
          <w:b/>
          <w:bCs/>
        </w:rPr>
        <w:t>A</w:t>
      </w:r>
      <w:r>
        <w:rPr>
          <w:rStyle w:val="Hyperlink0"/>
          <w:rFonts w:cs="Arial"/>
          <w:b/>
          <w:bCs/>
        </w:rPr>
        <w:t>.</w:t>
      </w:r>
      <w:r w:rsidRPr="00124A6C">
        <w:rPr>
          <w:rStyle w:val="Hyperlink0"/>
          <w:rFonts w:cs="Arial"/>
          <w:b/>
          <w:bCs/>
        </w:rPr>
        <w:t>2. Risk of bias of single arm included studies</w:t>
      </w:r>
    </w:p>
    <w:p w14:paraId="6129374F" w14:textId="77777777" w:rsidR="00D801A8" w:rsidRDefault="00D801A8" w:rsidP="00927572">
      <w:pPr>
        <w:tabs>
          <w:tab w:val="left" w:pos="-1080"/>
          <w:tab w:val="left" w:pos="-720"/>
          <w:tab w:val="left" w:pos="270"/>
        </w:tabs>
        <w:spacing w:line="480" w:lineRule="auto"/>
        <w:jc w:val="both"/>
        <w:rPr>
          <w:rStyle w:val="Hyperlink0"/>
          <w:rFonts w:cs="Arial"/>
          <w:b/>
          <w:bCs/>
        </w:rPr>
      </w:pPr>
      <w:r>
        <w:rPr>
          <w:rStyle w:val="Hyperlink0"/>
          <w:rFonts w:cs="Arial"/>
          <w:b/>
          <w:bCs/>
        </w:rPr>
        <w:t>Page 21 - References</w:t>
      </w:r>
    </w:p>
    <w:p w14:paraId="0AF930D4" w14:textId="14D2E74C" w:rsidR="0016396F" w:rsidRDefault="0016396F" w:rsidP="00124A6C">
      <w:pPr>
        <w:tabs>
          <w:tab w:val="left" w:pos="-1080"/>
          <w:tab w:val="left" w:pos="-720"/>
          <w:tab w:val="left" w:pos="270"/>
        </w:tabs>
        <w:rPr>
          <w:rStyle w:val="Hyperlink0"/>
          <w:rFonts w:cs="Arial"/>
          <w:b/>
          <w:bCs/>
        </w:rPr>
      </w:pPr>
    </w:p>
    <w:p w14:paraId="79FFFD83" w14:textId="6CAD7F8D" w:rsidR="0016396F" w:rsidRDefault="0016396F" w:rsidP="00124A6C">
      <w:pPr>
        <w:tabs>
          <w:tab w:val="left" w:pos="-1080"/>
          <w:tab w:val="left" w:pos="-720"/>
          <w:tab w:val="left" w:pos="270"/>
        </w:tabs>
        <w:rPr>
          <w:rStyle w:val="Hyperlink0"/>
          <w:rFonts w:cs="Arial"/>
          <w:b/>
          <w:bCs/>
        </w:rPr>
      </w:pPr>
    </w:p>
    <w:p w14:paraId="570332E4" w14:textId="30C4399C" w:rsidR="0016396F" w:rsidRDefault="0016396F" w:rsidP="00124A6C">
      <w:pPr>
        <w:tabs>
          <w:tab w:val="left" w:pos="-1080"/>
          <w:tab w:val="left" w:pos="-720"/>
          <w:tab w:val="left" w:pos="270"/>
        </w:tabs>
        <w:rPr>
          <w:rStyle w:val="Hyperlink0"/>
          <w:rFonts w:cs="Arial"/>
          <w:b/>
          <w:bCs/>
        </w:rPr>
      </w:pPr>
    </w:p>
    <w:p w14:paraId="72E2D4E9" w14:textId="030ED42D" w:rsidR="0016396F" w:rsidRDefault="0016396F" w:rsidP="00124A6C">
      <w:pPr>
        <w:tabs>
          <w:tab w:val="left" w:pos="-1080"/>
          <w:tab w:val="left" w:pos="-720"/>
          <w:tab w:val="left" w:pos="270"/>
        </w:tabs>
        <w:rPr>
          <w:rStyle w:val="Hyperlink0"/>
          <w:rFonts w:cs="Arial"/>
          <w:b/>
          <w:bCs/>
        </w:rPr>
      </w:pPr>
    </w:p>
    <w:p w14:paraId="6AEE7A9E" w14:textId="59E2E90C" w:rsidR="0016396F" w:rsidRDefault="0016396F" w:rsidP="00124A6C">
      <w:pPr>
        <w:tabs>
          <w:tab w:val="left" w:pos="-1080"/>
          <w:tab w:val="left" w:pos="-720"/>
          <w:tab w:val="left" w:pos="270"/>
        </w:tabs>
        <w:rPr>
          <w:rStyle w:val="Hyperlink0"/>
          <w:rFonts w:cs="Arial"/>
          <w:b/>
          <w:bCs/>
        </w:rPr>
      </w:pPr>
    </w:p>
    <w:p w14:paraId="7113669F" w14:textId="1054C5DF" w:rsidR="0016396F" w:rsidRDefault="0016396F" w:rsidP="00124A6C">
      <w:pPr>
        <w:tabs>
          <w:tab w:val="left" w:pos="-1080"/>
          <w:tab w:val="left" w:pos="-720"/>
          <w:tab w:val="left" w:pos="270"/>
        </w:tabs>
        <w:rPr>
          <w:rStyle w:val="Hyperlink0"/>
          <w:rFonts w:cs="Arial"/>
          <w:b/>
          <w:bCs/>
        </w:rPr>
      </w:pPr>
    </w:p>
    <w:p w14:paraId="1F37A2E7" w14:textId="347135CF" w:rsidR="0016396F" w:rsidRDefault="0016396F" w:rsidP="00124A6C">
      <w:pPr>
        <w:tabs>
          <w:tab w:val="left" w:pos="-1080"/>
          <w:tab w:val="left" w:pos="-720"/>
          <w:tab w:val="left" w:pos="270"/>
        </w:tabs>
        <w:rPr>
          <w:rStyle w:val="Hyperlink0"/>
          <w:rFonts w:cs="Arial"/>
          <w:b/>
          <w:bCs/>
        </w:rPr>
      </w:pPr>
    </w:p>
    <w:p w14:paraId="762A2162" w14:textId="494FAEFA" w:rsidR="0016396F" w:rsidRDefault="0016396F" w:rsidP="00124A6C">
      <w:pPr>
        <w:tabs>
          <w:tab w:val="left" w:pos="-1080"/>
          <w:tab w:val="left" w:pos="-720"/>
          <w:tab w:val="left" w:pos="270"/>
        </w:tabs>
        <w:rPr>
          <w:rStyle w:val="Hyperlink0"/>
          <w:rFonts w:cs="Arial"/>
          <w:b/>
          <w:bCs/>
        </w:rPr>
      </w:pPr>
    </w:p>
    <w:p w14:paraId="10F888C3" w14:textId="29A34F72" w:rsidR="0016396F" w:rsidRDefault="0016396F" w:rsidP="00124A6C">
      <w:pPr>
        <w:tabs>
          <w:tab w:val="left" w:pos="-1080"/>
          <w:tab w:val="left" w:pos="-720"/>
          <w:tab w:val="left" w:pos="270"/>
        </w:tabs>
        <w:rPr>
          <w:rStyle w:val="Hyperlink0"/>
          <w:rFonts w:cs="Arial"/>
          <w:b/>
          <w:bCs/>
        </w:rPr>
      </w:pPr>
    </w:p>
    <w:p w14:paraId="792BA180" w14:textId="19DFAA95" w:rsidR="0016396F" w:rsidRDefault="0016396F" w:rsidP="00124A6C">
      <w:pPr>
        <w:tabs>
          <w:tab w:val="left" w:pos="-1080"/>
          <w:tab w:val="left" w:pos="-720"/>
          <w:tab w:val="left" w:pos="270"/>
        </w:tabs>
        <w:rPr>
          <w:rStyle w:val="Hyperlink0"/>
          <w:rFonts w:cs="Arial"/>
          <w:b/>
          <w:bCs/>
        </w:rPr>
      </w:pPr>
    </w:p>
    <w:p w14:paraId="349FCC01" w14:textId="71620CD7" w:rsidR="0016396F" w:rsidRDefault="0016396F" w:rsidP="00124A6C">
      <w:pPr>
        <w:tabs>
          <w:tab w:val="left" w:pos="-1080"/>
          <w:tab w:val="left" w:pos="-720"/>
          <w:tab w:val="left" w:pos="270"/>
        </w:tabs>
        <w:rPr>
          <w:rStyle w:val="Hyperlink0"/>
          <w:rFonts w:cs="Arial"/>
          <w:b/>
          <w:bCs/>
        </w:rPr>
      </w:pPr>
    </w:p>
    <w:p w14:paraId="0FF3BB6D" w14:textId="77777777" w:rsidR="00124A6C" w:rsidRPr="00124A6C" w:rsidRDefault="00124A6C" w:rsidP="00124A6C">
      <w:pPr>
        <w:pStyle w:val="CorpoA"/>
        <w:spacing w:after="40" w:line="40" w:lineRule="atLeast"/>
        <w:jc w:val="both"/>
        <w:rPr>
          <w:rFonts w:ascii="Arial" w:eastAsia="Arial" w:hAnsi="Arial" w:cs="Arial"/>
          <w:b/>
          <w:bCs/>
          <w:sz w:val="24"/>
          <w:szCs w:val="24"/>
          <w:lang w:val="en-US"/>
        </w:rPr>
      </w:pPr>
    </w:p>
    <w:p w14:paraId="4E293EC1" w14:textId="3987331B" w:rsidR="00124A6C" w:rsidRPr="00124A6C" w:rsidRDefault="00124A6C" w:rsidP="00124A6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0" w:after="40" w:line="480" w:lineRule="auto"/>
        <w:jc w:val="center"/>
        <w:rPr>
          <w:rFonts w:ascii="Arial" w:hAnsi="Arial" w:cs="Arial"/>
          <w:lang w:val="en-US"/>
        </w:rPr>
      </w:pPr>
    </w:p>
    <w:tbl>
      <w:tblPr>
        <w:tblStyle w:val="Tabellasemplice-21"/>
        <w:tblW w:w="0" w:type="auto"/>
        <w:jc w:val="center"/>
        <w:tblLook w:val="04A0" w:firstRow="1" w:lastRow="0" w:firstColumn="1" w:lastColumn="0" w:noHBand="0" w:noVBand="1"/>
      </w:tblPr>
      <w:tblGrid>
        <w:gridCol w:w="1551"/>
        <w:gridCol w:w="940"/>
        <w:gridCol w:w="1225"/>
        <w:gridCol w:w="1046"/>
        <w:gridCol w:w="1421"/>
        <w:gridCol w:w="3430"/>
        <w:gridCol w:w="3430"/>
        <w:gridCol w:w="1177"/>
      </w:tblGrid>
      <w:tr w:rsidR="00D16ECF" w:rsidRPr="00124A6C" w14:paraId="4713B552" w14:textId="77777777" w:rsidTr="00D801A8">
        <w:trPr>
          <w:cnfStyle w:val="100000000000" w:firstRow="1" w:lastRow="0" w:firstColumn="0" w:lastColumn="0" w:oddVBand="0" w:evenVBand="0" w:oddHBand="0" w:evenHBand="0" w:firstRowFirstColumn="0" w:firstRowLastColumn="0" w:lastRowFirstColumn="0" w:lastRowLastColumn="0"/>
          <w:trHeight w:val="744"/>
          <w:jc w:val="center"/>
        </w:trPr>
        <w:tc>
          <w:tcPr>
            <w:cnfStyle w:val="001000000000" w:firstRow="0" w:lastRow="0" w:firstColumn="1" w:lastColumn="0" w:oddVBand="0" w:evenVBand="0" w:oddHBand="0" w:evenHBand="0" w:firstRowFirstColumn="0" w:firstRowLastColumn="0" w:lastRowFirstColumn="0" w:lastRowLastColumn="0"/>
            <w:tcW w:w="0" w:type="auto"/>
          </w:tcPr>
          <w:p w14:paraId="719E2B1A" w14:textId="77777777" w:rsidR="002D7DAF" w:rsidRPr="00124A6C" w:rsidRDefault="003A6640" w:rsidP="005B6AB7">
            <w:pPr>
              <w:pStyle w:val="Stiletabella2A"/>
              <w:spacing w:line="240" w:lineRule="auto"/>
              <w:jc w:val="left"/>
              <w:rPr>
                <w:rFonts w:cs="Arial"/>
              </w:rPr>
            </w:pPr>
            <w:r w:rsidRPr="00124A6C">
              <w:rPr>
                <w:rFonts w:cs="Arial"/>
              </w:rPr>
              <w:lastRenderedPageBreak/>
              <w:t>ID</w:t>
            </w:r>
          </w:p>
        </w:tc>
        <w:tc>
          <w:tcPr>
            <w:tcW w:w="0" w:type="auto"/>
          </w:tcPr>
          <w:p w14:paraId="5BE87EA7" w14:textId="350EFBFB" w:rsidR="002D7DAF" w:rsidRPr="00124A6C" w:rsidRDefault="003A6640" w:rsidP="00F80D1D">
            <w:pPr>
              <w:pStyle w:val="Stiletabella2A"/>
              <w:spacing w:line="240" w:lineRule="auto"/>
              <w:cnfStyle w:val="100000000000" w:firstRow="1" w:lastRow="0" w:firstColumn="0" w:lastColumn="0" w:oddVBand="0" w:evenVBand="0" w:oddHBand="0" w:evenHBand="0" w:firstRowFirstColumn="0" w:firstRowLastColumn="0" w:lastRowFirstColumn="0" w:lastRowLastColumn="0"/>
              <w:rPr>
                <w:rFonts w:cs="Arial"/>
              </w:rPr>
            </w:pPr>
            <w:r w:rsidRPr="00124A6C">
              <w:rPr>
                <w:rFonts w:cs="Arial"/>
              </w:rPr>
              <w:t>Recruiting status</w:t>
            </w:r>
          </w:p>
        </w:tc>
        <w:tc>
          <w:tcPr>
            <w:tcW w:w="0" w:type="auto"/>
          </w:tcPr>
          <w:p w14:paraId="014FB067" w14:textId="77777777" w:rsidR="002D7DAF" w:rsidRPr="00124A6C" w:rsidRDefault="003A6640" w:rsidP="00F80D1D">
            <w:pPr>
              <w:pStyle w:val="Stiletabella2A"/>
              <w:spacing w:line="240" w:lineRule="auto"/>
              <w:cnfStyle w:val="100000000000" w:firstRow="1" w:lastRow="0" w:firstColumn="0" w:lastColumn="0" w:oddVBand="0" w:evenVBand="0" w:oddHBand="0" w:evenHBand="0" w:firstRowFirstColumn="0" w:firstRowLastColumn="0" w:lastRowFirstColumn="0" w:lastRowLastColumn="0"/>
              <w:rPr>
                <w:rFonts w:cs="Arial"/>
              </w:rPr>
            </w:pPr>
            <w:r w:rsidRPr="00124A6C">
              <w:rPr>
                <w:rFonts w:cs="Arial"/>
              </w:rPr>
              <w:t>Study design</w:t>
            </w:r>
          </w:p>
        </w:tc>
        <w:tc>
          <w:tcPr>
            <w:tcW w:w="0" w:type="auto"/>
          </w:tcPr>
          <w:p w14:paraId="692F09D3" w14:textId="77777777" w:rsidR="002D7DAF" w:rsidRPr="00124A6C" w:rsidRDefault="003A6640" w:rsidP="00F80D1D">
            <w:pPr>
              <w:pStyle w:val="Stiletabella2A"/>
              <w:spacing w:line="240" w:lineRule="auto"/>
              <w:cnfStyle w:val="100000000000" w:firstRow="1" w:lastRow="0" w:firstColumn="0" w:lastColumn="0" w:oddVBand="0" w:evenVBand="0" w:oddHBand="0" w:evenHBand="0" w:firstRowFirstColumn="0" w:firstRowLastColumn="0" w:lastRowFirstColumn="0" w:lastRowLastColumn="0"/>
              <w:rPr>
                <w:rFonts w:cs="Arial"/>
              </w:rPr>
            </w:pPr>
            <w:r w:rsidRPr="00124A6C">
              <w:rPr>
                <w:rFonts w:cs="Arial"/>
              </w:rPr>
              <w:t xml:space="preserve">Country </w:t>
            </w:r>
          </w:p>
        </w:tc>
        <w:tc>
          <w:tcPr>
            <w:tcW w:w="0" w:type="auto"/>
          </w:tcPr>
          <w:p w14:paraId="4C98DC83" w14:textId="77777777" w:rsidR="002D7DAF" w:rsidRPr="00124A6C" w:rsidRDefault="003A6640" w:rsidP="00F80D1D">
            <w:pPr>
              <w:pStyle w:val="Stiletabella2A"/>
              <w:spacing w:line="240" w:lineRule="auto"/>
              <w:cnfStyle w:val="100000000000" w:firstRow="1" w:lastRow="0" w:firstColumn="0" w:lastColumn="0" w:oddVBand="0" w:evenVBand="0" w:oddHBand="0" w:evenHBand="0" w:firstRowFirstColumn="0" w:firstRowLastColumn="0" w:lastRowFirstColumn="0" w:lastRowLastColumn="0"/>
              <w:rPr>
                <w:rFonts w:cs="Arial"/>
              </w:rPr>
            </w:pPr>
            <w:r w:rsidRPr="00124A6C">
              <w:rPr>
                <w:rFonts w:cs="Arial"/>
                <w:lang w:val="fr-FR"/>
              </w:rPr>
              <w:t xml:space="preserve"> Population </w:t>
            </w:r>
          </w:p>
          <w:p w14:paraId="1F50725F" w14:textId="77777777" w:rsidR="002D7DAF" w:rsidRPr="00124A6C" w:rsidRDefault="003A6640" w:rsidP="00F80D1D">
            <w:pPr>
              <w:pStyle w:val="Stiletabella2A"/>
              <w:spacing w:line="240" w:lineRule="auto"/>
              <w:cnfStyle w:val="100000000000" w:firstRow="1" w:lastRow="0" w:firstColumn="0" w:lastColumn="0" w:oddVBand="0" w:evenVBand="0" w:oddHBand="0" w:evenHBand="0" w:firstRowFirstColumn="0" w:firstRowLastColumn="0" w:lastRowFirstColumn="0" w:lastRowLastColumn="0"/>
              <w:rPr>
                <w:rFonts w:cs="Arial"/>
              </w:rPr>
            </w:pPr>
            <w:r w:rsidRPr="00124A6C">
              <w:rPr>
                <w:rFonts w:cs="Arial"/>
                <w:lang w:val="en-US"/>
              </w:rPr>
              <w:t xml:space="preserve">(n patients) </w:t>
            </w:r>
          </w:p>
        </w:tc>
        <w:tc>
          <w:tcPr>
            <w:tcW w:w="0" w:type="auto"/>
          </w:tcPr>
          <w:p w14:paraId="6C4065C0" w14:textId="1BD17154" w:rsidR="002D7DAF" w:rsidRPr="00124A6C" w:rsidRDefault="003A6640" w:rsidP="00F80D1D">
            <w:pPr>
              <w:pStyle w:val="DidefaultA"/>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24A6C">
              <w:rPr>
                <w:rFonts w:ascii="Arial" w:hAnsi="Arial" w:cs="Arial"/>
                <w:sz w:val="20"/>
                <w:szCs w:val="20"/>
              </w:rPr>
              <w:t>Intervention Group</w:t>
            </w:r>
            <w:r w:rsidR="00422A78" w:rsidRPr="00124A6C">
              <w:rPr>
                <w:rFonts w:ascii="Arial" w:hAnsi="Arial" w:cs="Arial"/>
                <w:sz w:val="20"/>
                <w:szCs w:val="20"/>
              </w:rPr>
              <w:t xml:space="preserve"> </w:t>
            </w:r>
            <w:r w:rsidR="00422A78" w:rsidRPr="00124A6C">
              <w:rPr>
                <w:rFonts w:ascii="Arial" w:hAnsi="Arial" w:cs="Arial"/>
                <w:sz w:val="20"/>
                <w:szCs w:val="20"/>
                <w:vertAlign w:val="superscript"/>
              </w:rPr>
              <w:t>§</w:t>
            </w:r>
          </w:p>
        </w:tc>
        <w:tc>
          <w:tcPr>
            <w:tcW w:w="0" w:type="auto"/>
          </w:tcPr>
          <w:p w14:paraId="7D8C5C46" w14:textId="77777777" w:rsidR="002D7DAF" w:rsidRPr="00124A6C" w:rsidRDefault="003A6640" w:rsidP="00F80D1D">
            <w:pPr>
              <w:pStyle w:val="DidefaultA"/>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24A6C">
              <w:rPr>
                <w:rFonts w:ascii="Arial" w:hAnsi="Arial" w:cs="Arial"/>
                <w:sz w:val="20"/>
                <w:szCs w:val="20"/>
              </w:rPr>
              <w:t xml:space="preserve">Comparison Group(s) </w:t>
            </w:r>
          </w:p>
        </w:tc>
        <w:tc>
          <w:tcPr>
            <w:tcW w:w="0" w:type="auto"/>
          </w:tcPr>
          <w:p w14:paraId="0CBCEE6E" w14:textId="77777777" w:rsidR="002D7DAF" w:rsidRPr="00124A6C" w:rsidRDefault="003A6640" w:rsidP="00F80D1D">
            <w:pPr>
              <w:pStyle w:val="DidefaultA"/>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24A6C">
              <w:rPr>
                <w:rFonts w:ascii="Arial" w:hAnsi="Arial" w:cs="Arial"/>
                <w:sz w:val="20"/>
                <w:szCs w:val="20"/>
              </w:rPr>
              <w:t xml:space="preserve">Primary Outcomes </w:t>
            </w:r>
          </w:p>
        </w:tc>
      </w:tr>
      <w:tr w:rsidR="00D16ECF" w:rsidRPr="00124A6C" w14:paraId="1B040BB2" w14:textId="77777777" w:rsidTr="00D801A8">
        <w:trPr>
          <w:cnfStyle w:val="000000100000" w:firstRow="0" w:lastRow="0" w:firstColumn="0" w:lastColumn="0" w:oddVBand="0" w:evenVBand="0" w:oddHBand="1" w:evenHBand="0" w:firstRowFirstColumn="0" w:firstRowLastColumn="0" w:lastRowFirstColumn="0" w:lastRowLastColumn="0"/>
          <w:trHeight w:val="3108"/>
          <w:jc w:val="center"/>
        </w:trPr>
        <w:tc>
          <w:tcPr>
            <w:cnfStyle w:val="001000000000" w:firstRow="0" w:lastRow="0" w:firstColumn="1" w:lastColumn="0" w:oddVBand="0" w:evenVBand="0" w:oddHBand="0" w:evenHBand="0" w:firstRowFirstColumn="0" w:firstRowLastColumn="0" w:lastRowFirstColumn="0" w:lastRowLastColumn="0"/>
            <w:tcW w:w="0" w:type="auto"/>
          </w:tcPr>
          <w:p w14:paraId="5A1FEFF1" w14:textId="77777777" w:rsidR="002D7DAF" w:rsidRPr="00124A6C" w:rsidRDefault="003A6640" w:rsidP="005B6AB7">
            <w:pPr>
              <w:pStyle w:val="DidefaultA"/>
              <w:rPr>
                <w:rFonts w:ascii="Arial" w:hAnsi="Arial" w:cs="Arial"/>
                <w:b w:val="0"/>
                <w:bCs w:val="0"/>
                <w:sz w:val="20"/>
                <w:szCs w:val="20"/>
              </w:rPr>
            </w:pPr>
            <w:r w:rsidRPr="00124A6C">
              <w:rPr>
                <w:rFonts w:ascii="Arial" w:hAnsi="Arial" w:cs="Arial"/>
                <w:b w:val="0"/>
                <w:bCs w:val="0"/>
                <w:sz w:val="20"/>
                <w:szCs w:val="20"/>
                <w:shd w:val="clear" w:color="auto" w:fill="FFFFFF"/>
              </w:rPr>
              <w:t>NCT04310228 / ChiCTR2000030894</w:t>
            </w:r>
          </w:p>
        </w:tc>
        <w:tc>
          <w:tcPr>
            <w:tcW w:w="0" w:type="auto"/>
          </w:tcPr>
          <w:p w14:paraId="1644D2A3" w14:textId="77777777" w:rsidR="002D7DAF" w:rsidRPr="00124A6C" w:rsidRDefault="003A6640" w:rsidP="00F80D1D">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124A6C">
              <w:rPr>
                <w:rFonts w:cs="Arial"/>
              </w:rPr>
              <w:t>Recruiting</w:t>
            </w:r>
          </w:p>
        </w:tc>
        <w:tc>
          <w:tcPr>
            <w:tcW w:w="0" w:type="auto"/>
          </w:tcPr>
          <w:p w14:paraId="695161C6" w14:textId="7B6CE9A3" w:rsidR="002D7DAF" w:rsidRPr="00124A6C" w:rsidRDefault="003A6640" w:rsidP="00F80D1D">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124A6C">
              <w:rPr>
                <w:rFonts w:cs="Arial"/>
              </w:rPr>
              <w:t>Multicentre RCT</w:t>
            </w:r>
          </w:p>
        </w:tc>
        <w:tc>
          <w:tcPr>
            <w:tcW w:w="0" w:type="auto"/>
          </w:tcPr>
          <w:p w14:paraId="7220C95C" w14:textId="77777777" w:rsidR="002D7DAF" w:rsidRPr="00124A6C" w:rsidRDefault="003A6640" w:rsidP="00F80D1D">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124A6C">
              <w:rPr>
                <w:rFonts w:cs="Arial"/>
              </w:rPr>
              <w:t>China</w:t>
            </w:r>
          </w:p>
        </w:tc>
        <w:tc>
          <w:tcPr>
            <w:tcW w:w="0" w:type="auto"/>
          </w:tcPr>
          <w:p w14:paraId="6ED9C5DB" w14:textId="1FB4B934" w:rsidR="002D7DAF" w:rsidRPr="00124A6C" w:rsidRDefault="00401F03" w:rsidP="00F80D1D">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 xml:space="preserve">Patients with </w:t>
            </w:r>
            <w:r w:rsidR="003A6640" w:rsidRPr="00124A6C">
              <w:rPr>
                <w:rFonts w:cs="Arial"/>
                <w:lang w:val="en-US"/>
              </w:rPr>
              <w:t xml:space="preserve">COVID-19 </w:t>
            </w:r>
            <w:r w:rsidRPr="00124A6C">
              <w:rPr>
                <w:rFonts w:cs="Arial"/>
                <w:lang w:val="en-US"/>
              </w:rPr>
              <w:t>and</w:t>
            </w:r>
            <w:r w:rsidR="003A6640" w:rsidRPr="00124A6C">
              <w:rPr>
                <w:rFonts w:cs="Arial"/>
                <w:lang w:val="en-US"/>
              </w:rPr>
              <w:t xml:space="preserve"> high IL-6 (n=150)</w:t>
            </w:r>
          </w:p>
        </w:tc>
        <w:tc>
          <w:tcPr>
            <w:tcW w:w="0" w:type="auto"/>
          </w:tcPr>
          <w:p w14:paraId="33885114" w14:textId="77777777" w:rsidR="002D7DAF" w:rsidRPr="00124A6C" w:rsidRDefault="003A6640" w:rsidP="00F80D1D">
            <w:pPr>
              <w:pStyle w:val="DidefaultA"/>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shd w:val="clear" w:color="auto" w:fill="FFFFFF"/>
                <w:lang w:val="en-US"/>
              </w:rPr>
            </w:pPr>
            <w:r w:rsidRPr="00124A6C">
              <w:rPr>
                <w:rFonts w:ascii="Arial" w:hAnsi="Arial" w:cs="Arial"/>
                <w:sz w:val="20"/>
                <w:szCs w:val="20"/>
                <w:shd w:val="clear" w:color="auto" w:fill="FFFFFF"/>
                <w:lang w:val="en-US"/>
              </w:rPr>
              <w:t>Combination group (Favipiravir + Tocilizumab)</w:t>
            </w:r>
          </w:p>
          <w:p w14:paraId="0F9B431C" w14:textId="75107A80" w:rsidR="002D7DAF" w:rsidRPr="00124A6C" w:rsidRDefault="003A6640" w:rsidP="00F80D1D">
            <w:pPr>
              <w:pStyle w:val="DidefaultA"/>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shd w:val="clear" w:color="auto" w:fill="FFFFFF"/>
                <w:lang w:val="en-US"/>
              </w:rPr>
            </w:pPr>
            <w:r w:rsidRPr="00124A6C">
              <w:rPr>
                <w:rFonts w:ascii="Arial" w:hAnsi="Arial" w:cs="Arial"/>
                <w:sz w:val="20"/>
                <w:szCs w:val="20"/>
                <w:shd w:val="clear" w:color="auto" w:fill="FFFFFF"/>
                <w:lang w:val="en-US"/>
              </w:rPr>
              <w:t>Favipiravir: oral 1600mg BID on the  day</w:t>
            </w:r>
            <w:r w:rsidR="00C570A9">
              <w:rPr>
                <w:rFonts w:ascii="Arial" w:hAnsi="Arial" w:cs="Arial"/>
                <w:sz w:val="20"/>
                <w:szCs w:val="20"/>
                <w:shd w:val="clear" w:color="auto" w:fill="FFFFFF"/>
                <w:lang w:val="en-US"/>
              </w:rPr>
              <w:t>1</w:t>
            </w:r>
            <w:r w:rsidRPr="00124A6C">
              <w:rPr>
                <w:rFonts w:ascii="Arial" w:hAnsi="Arial" w:cs="Arial"/>
                <w:sz w:val="20"/>
                <w:szCs w:val="20"/>
                <w:shd w:val="clear" w:color="auto" w:fill="FFFFFF"/>
                <w:lang w:val="en-US"/>
              </w:rPr>
              <w:t xml:space="preserve">; from the </w:t>
            </w:r>
            <w:r w:rsidR="00C570A9">
              <w:rPr>
                <w:rFonts w:ascii="Arial" w:hAnsi="Arial" w:cs="Arial"/>
                <w:sz w:val="20"/>
                <w:szCs w:val="20"/>
                <w:shd w:val="clear" w:color="auto" w:fill="FFFFFF"/>
                <w:lang w:val="en-US"/>
              </w:rPr>
              <w:t xml:space="preserve">day 2 </w:t>
            </w:r>
            <w:r w:rsidRPr="00124A6C">
              <w:rPr>
                <w:rFonts w:ascii="Arial" w:hAnsi="Arial" w:cs="Arial"/>
                <w:sz w:val="20"/>
                <w:szCs w:val="20"/>
                <w:shd w:val="clear" w:color="auto" w:fill="FFFFFF"/>
                <w:lang w:val="en-US"/>
              </w:rPr>
              <w:t>to day</w:t>
            </w:r>
            <w:r w:rsidR="00C570A9">
              <w:rPr>
                <w:rFonts w:ascii="Arial" w:hAnsi="Arial" w:cs="Arial"/>
                <w:sz w:val="20"/>
                <w:szCs w:val="20"/>
                <w:shd w:val="clear" w:color="auto" w:fill="FFFFFF"/>
                <w:lang w:val="en-US"/>
              </w:rPr>
              <w:t xml:space="preserve"> 7</w:t>
            </w:r>
            <w:r w:rsidRPr="00124A6C">
              <w:rPr>
                <w:rFonts w:ascii="Arial" w:hAnsi="Arial" w:cs="Arial"/>
                <w:sz w:val="20"/>
                <w:szCs w:val="20"/>
                <w:shd w:val="clear" w:color="auto" w:fill="FFFFFF"/>
                <w:lang w:val="en-US"/>
              </w:rPr>
              <w:t>, 600mg BID;</w:t>
            </w:r>
          </w:p>
          <w:p w14:paraId="526A50A7" w14:textId="77777777" w:rsidR="002D7DAF" w:rsidRPr="00124A6C" w:rsidRDefault="003A6640" w:rsidP="00F80D1D">
            <w:pPr>
              <w:pStyle w:val="DidefaultA"/>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shd w:val="clear" w:color="auto" w:fill="FFFFFF"/>
                <w:lang w:val="en-US"/>
              </w:rPr>
            </w:pPr>
            <w:r w:rsidRPr="00124A6C">
              <w:rPr>
                <w:rFonts w:ascii="Arial" w:hAnsi="Arial" w:cs="Arial"/>
                <w:sz w:val="20"/>
                <w:szCs w:val="20"/>
                <w:shd w:val="clear" w:color="auto" w:fill="FFFFFF"/>
                <w:lang w:val="en-US"/>
              </w:rPr>
              <w:t>Tocilizumab: e.v. first dose of 4 ~ 8mg/kg (recommended dose 400mg).</w:t>
            </w:r>
          </w:p>
          <w:p w14:paraId="53A4FB72" w14:textId="77777777" w:rsidR="002D7DAF" w:rsidRPr="00124A6C" w:rsidRDefault="003A6640" w:rsidP="00F80D1D">
            <w:pPr>
              <w:pStyle w:val="DidefaultA"/>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sz w:val="20"/>
                <w:szCs w:val="20"/>
                <w:shd w:val="clear" w:color="auto" w:fill="FFFFFF"/>
                <w:lang w:val="en-US"/>
              </w:rPr>
              <w:t>Additional application (the same dose as before) is still febrile within 24 hours, with ≥ 12 hours interval between two doses.</w:t>
            </w:r>
          </w:p>
        </w:tc>
        <w:tc>
          <w:tcPr>
            <w:tcW w:w="0" w:type="auto"/>
          </w:tcPr>
          <w:p w14:paraId="7B4F2A03" w14:textId="4D1E84CD" w:rsidR="002D7DAF" w:rsidRPr="00124A6C" w:rsidRDefault="003A6640" w:rsidP="00F80D1D">
            <w:pPr>
              <w:pStyle w:val="DidefaultA"/>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shd w:val="clear" w:color="auto" w:fill="FFFFFF"/>
                <w:lang w:val="en-US"/>
              </w:rPr>
            </w:pPr>
            <w:r w:rsidRPr="00124A6C">
              <w:rPr>
                <w:rFonts w:ascii="Arial" w:hAnsi="Arial" w:cs="Arial"/>
                <w:sz w:val="20"/>
                <w:szCs w:val="20"/>
                <w:shd w:val="clear" w:color="auto" w:fill="FFFFFF"/>
                <w:lang w:val="fr-FR"/>
              </w:rPr>
              <w:t>Favipiravir group</w:t>
            </w:r>
            <w:r w:rsidRPr="00124A6C">
              <w:rPr>
                <w:rFonts w:ascii="Arial" w:hAnsi="Arial" w:cs="Arial"/>
                <w:sz w:val="20"/>
                <w:szCs w:val="20"/>
                <w:shd w:val="clear" w:color="auto" w:fill="FFFFFF"/>
                <w:lang w:val="en-US"/>
              </w:rPr>
              <w:t>: oral 1600mg BID on day</w:t>
            </w:r>
            <w:r w:rsidR="00C570A9">
              <w:rPr>
                <w:rFonts w:ascii="Arial" w:hAnsi="Arial" w:cs="Arial"/>
                <w:sz w:val="20"/>
                <w:szCs w:val="20"/>
                <w:shd w:val="clear" w:color="auto" w:fill="FFFFFF"/>
                <w:lang w:val="en-US"/>
              </w:rPr>
              <w:t xml:space="preserve"> 1</w:t>
            </w:r>
            <w:r w:rsidRPr="00124A6C">
              <w:rPr>
                <w:rFonts w:ascii="Arial" w:hAnsi="Arial" w:cs="Arial"/>
                <w:sz w:val="20"/>
                <w:szCs w:val="20"/>
                <w:shd w:val="clear" w:color="auto" w:fill="FFFFFF"/>
                <w:lang w:val="en-US"/>
              </w:rPr>
              <w:t xml:space="preserve">; from </w:t>
            </w:r>
            <w:r w:rsidR="00C570A9">
              <w:rPr>
                <w:rFonts w:ascii="Arial" w:hAnsi="Arial" w:cs="Arial"/>
                <w:sz w:val="20"/>
                <w:szCs w:val="20"/>
                <w:shd w:val="clear" w:color="auto" w:fill="FFFFFF"/>
                <w:lang w:val="en-US"/>
              </w:rPr>
              <w:t>day 2</w:t>
            </w:r>
            <w:r w:rsidRPr="00124A6C">
              <w:rPr>
                <w:rFonts w:ascii="Arial" w:hAnsi="Arial" w:cs="Arial"/>
                <w:sz w:val="20"/>
                <w:szCs w:val="20"/>
                <w:shd w:val="clear" w:color="auto" w:fill="FFFFFF"/>
                <w:lang w:val="en-US"/>
              </w:rPr>
              <w:t xml:space="preserve"> to day</w:t>
            </w:r>
            <w:r w:rsidR="00C570A9">
              <w:rPr>
                <w:rFonts w:ascii="Arial" w:hAnsi="Arial" w:cs="Arial"/>
                <w:sz w:val="20"/>
                <w:szCs w:val="20"/>
                <w:shd w:val="clear" w:color="auto" w:fill="FFFFFF"/>
                <w:lang w:val="en-US"/>
              </w:rPr>
              <w:t xml:space="preserve"> 7</w:t>
            </w:r>
            <w:r w:rsidRPr="00124A6C">
              <w:rPr>
                <w:rFonts w:ascii="Arial" w:hAnsi="Arial" w:cs="Arial"/>
                <w:sz w:val="20"/>
                <w:szCs w:val="20"/>
                <w:shd w:val="clear" w:color="auto" w:fill="FFFFFF"/>
                <w:lang w:val="en-US"/>
              </w:rPr>
              <w:t>, 600mg BID;</w:t>
            </w:r>
          </w:p>
          <w:p w14:paraId="270BC0FC" w14:textId="77777777" w:rsidR="002D7DAF" w:rsidRPr="00124A6C" w:rsidRDefault="003A6640" w:rsidP="00F80D1D">
            <w:pPr>
              <w:pStyle w:val="DidefaultA"/>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shd w:val="clear" w:color="auto" w:fill="FFFFFF"/>
                <w:lang w:val="en-US"/>
              </w:rPr>
            </w:pPr>
            <w:r w:rsidRPr="00124A6C">
              <w:rPr>
                <w:rFonts w:ascii="Arial" w:hAnsi="Arial" w:cs="Arial"/>
                <w:sz w:val="20"/>
                <w:szCs w:val="20"/>
                <w:shd w:val="clear" w:color="auto" w:fill="FFFFFF"/>
                <w:lang w:val="en-US"/>
              </w:rPr>
              <w:t>Tocilizumab group</w:t>
            </w:r>
          </w:p>
          <w:p w14:paraId="08F73BD2" w14:textId="77777777" w:rsidR="002D7DAF" w:rsidRPr="00124A6C" w:rsidRDefault="003A6640" w:rsidP="00F80D1D">
            <w:pPr>
              <w:pStyle w:val="DidefaultA"/>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shd w:val="clear" w:color="auto" w:fill="FFFFFF"/>
                <w:lang w:val="en-US"/>
              </w:rPr>
            </w:pPr>
            <w:r w:rsidRPr="00124A6C">
              <w:rPr>
                <w:rFonts w:ascii="Arial" w:hAnsi="Arial" w:cs="Arial"/>
                <w:sz w:val="20"/>
                <w:szCs w:val="20"/>
                <w:shd w:val="clear" w:color="auto" w:fill="FFFFFF"/>
                <w:lang w:val="en-US"/>
              </w:rPr>
              <w:t>e.v. first dose of 4 ~ 8mg/kg (recommended dose 400mg).</w:t>
            </w:r>
          </w:p>
          <w:p w14:paraId="0FBEAA94" w14:textId="77777777" w:rsidR="002D7DAF" w:rsidRPr="00124A6C" w:rsidRDefault="003A6640" w:rsidP="00F80D1D">
            <w:pPr>
              <w:pStyle w:val="DidefaultA"/>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sz w:val="20"/>
                <w:szCs w:val="20"/>
                <w:shd w:val="clear" w:color="auto" w:fill="FFFFFF"/>
                <w:lang w:val="en-US"/>
              </w:rPr>
              <w:t>Additional application (the same dose as before) is still febrile within 24 hours, with ≥ 12 hours interval between two doses.</w:t>
            </w:r>
          </w:p>
        </w:tc>
        <w:tc>
          <w:tcPr>
            <w:tcW w:w="0" w:type="auto"/>
          </w:tcPr>
          <w:p w14:paraId="20A2A797" w14:textId="77777777" w:rsidR="002D7DAF" w:rsidRPr="00124A6C" w:rsidRDefault="003A6640" w:rsidP="00F80D1D">
            <w:pPr>
              <w:pStyle w:val="DidefaultA"/>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24A6C">
              <w:rPr>
                <w:rFonts w:ascii="Arial" w:hAnsi="Arial" w:cs="Arial"/>
                <w:sz w:val="20"/>
                <w:szCs w:val="20"/>
                <w:shd w:val="clear" w:color="auto" w:fill="FFFFFF"/>
              </w:rPr>
              <w:t>Clinical cure rate</w:t>
            </w:r>
          </w:p>
        </w:tc>
      </w:tr>
      <w:tr w:rsidR="00D16ECF" w:rsidRPr="00124A6C" w14:paraId="40BE439F" w14:textId="77777777" w:rsidTr="00D801A8">
        <w:trPr>
          <w:trHeight w:val="1012"/>
          <w:jc w:val="center"/>
        </w:trPr>
        <w:tc>
          <w:tcPr>
            <w:cnfStyle w:val="001000000000" w:firstRow="0" w:lastRow="0" w:firstColumn="1" w:lastColumn="0" w:oddVBand="0" w:evenVBand="0" w:oddHBand="0" w:evenHBand="0" w:firstRowFirstColumn="0" w:firstRowLastColumn="0" w:lastRowFirstColumn="0" w:lastRowLastColumn="0"/>
            <w:tcW w:w="0" w:type="auto"/>
          </w:tcPr>
          <w:p w14:paraId="05417C37" w14:textId="77777777" w:rsidR="002D7DAF" w:rsidRPr="00124A6C" w:rsidRDefault="003A6640" w:rsidP="005B6AB7">
            <w:pPr>
              <w:pStyle w:val="DidefaultA"/>
              <w:rPr>
                <w:rFonts w:ascii="Arial" w:hAnsi="Arial" w:cs="Arial"/>
                <w:b w:val="0"/>
                <w:bCs w:val="0"/>
                <w:sz w:val="20"/>
                <w:szCs w:val="20"/>
              </w:rPr>
            </w:pPr>
            <w:r w:rsidRPr="00124A6C">
              <w:rPr>
                <w:rFonts w:ascii="Arial" w:hAnsi="Arial" w:cs="Arial"/>
                <w:b w:val="0"/>
                <w:bCs w:val="0"/>
                <w:sz w:val="20"/>
                <w:szCs w:val="20"/>
              </w:rPr>
              <w:t>ChiCTR2000029765</w:t>
            </w:r>
          </w:p>
        </w:tc>
        <w:tc>
          <w:tcPr>
            <w:tcW w:w="0" w:type="auto"/>
          </w:tcPr>
          <w:p w14:paraId="3C470792" w14:textId="77777777" w:rsidR="002D7DAF" w:rsidRPr="00124A6C" w:rsidRDefault="003A6640"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124A6C">
              <w:rPr>
                <w:rFonts w:cs="Arial"/>
              </w:rPr>
              <w:t>Recruiting</w:t>
            </w:r>
          </w:p>
        </w:tc>
        <w:tc>
          <w:tcPr>
            <w:tcW w:w="0" w:type="auto"/>
          </w:tcPr>
          <w:p w14:paraId="0BFA51B8" w14:textId="1C4C05C2" w:rsidR="002D7DAF" w:rsidRPr="00124A6C" w:rsidRDefault="003A6640"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124A6C">
              <w:rPr>
                <w:rFonts w:cs="Arial"/>
              </w:rPr>
              <w:t>Multicentre RCT</w:t>
            </w:r>
          </w:p>
        </w:tc>
        <w:tc>
          <w:tcPr>
            <w:tcW w:w="0" w:type="auto"/>
          </w:tcPr>
          <w:p w14:paraId="1D1DC5FB" w14:textId="77777777" w:rsidR="002D7DAF" w:rsidRPr="00124A6C" w:rsidRDefault="003A6640"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124A6C">
              <w:rPr>
                <w:rFonts w:cs="Arial"/>
              </w:rPr>
              <w:t>China</w:t>
            </w:r>
          </w:p>
        </w:tc>
        <w:tc>
          <w:tcPr>
            <w:tcW w:w="0" w:type="auto"/>
          </w:tcPr>
          <w:p w14:paraId="1A40E243" w14:textId="0C7BDF9B" w:rsidR="002D7DAF" w:rsidRPr="00124A6C" w:rsidRDefault="00401F03"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 xml:space="preserve">Patients with </w:t>
            </w:r>
            <w:r w:rsidR="003A6640" w:rsidRPr="00124A6C">
              <w:rPr>
                <w:rFonts w:cs="Arial"/>
                <w:lang w:val="en-US"/>
              </w:rPr>
              <w:t xml:space="preserve">COVID-19 pneumonia </w:t>
            </w:r>
            <w:r w:rsidRPr="00124A6C">
              <w:rPr>
                <w:rFonts w:cs="Arial"/>
                <w:lang w:val="en-US"/>
              </w:rPr>
              <w:t>and</w:t>
            </w:r>
            <w:r w:rsidR="003A6640" w:rsidRPr="00124A6C">
              <w:rPr>
                <w:rFonts w:cs="Arial"/>
                <w:lang w:val="en-US"/>
              </w:rPr>
              <w:t xml:space="preserve"> high IL-6 (n=188)</w:t>
            </w:r>
          </w:p>
        </w:tc>
        <w:tc>
          <w:tcPr>
            <w:tcW w:w="0" w:type="auto"/>
          </w:tcPr>
          <w:p w14:paraId="4634E108" w14:textId="77777777" w:rsidR="002D7DAF" w:rsidRPr="00124A6C" w:rsidRDefault="003A6640"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124A6C">
              <w:rPr>
                <w:rFonts w:cs="Arial"/>
              </w:rPr>
              <w:t>Tocilizumab</w:t>
            </w:r>
          </w:p>
        </w:tc>
        <w:tc>
          <w:tcPr>
            <w:tcW w:w="0" w:type="auto"/>
          </w:tcPr>
          <w:p w14:paraId="75A9CEB0" w14:textId="77777777" w:rsidR="002D7DAF" w:rsidRPr="00124A6C" w:rsidRDefault="003A6640"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124A6C">
              <w:rPr>
                <w:rFonts w:cs="Arial"/>
              </w:rPr>
              <w:t>Conventional therapy</w:t>
            </w:r>
          </w:p>
        </w:tc>
        <w:tc>
          <w:tcPr>
            <w:tcW w:w="0" w:type="auto"/>
          </w:tcPr>
          <w:p w14:paraId="0E6B2D87" w14:textId="77777777" w:rsidR="002D7DAF" w:rsidRPr="00124A6C" w:rsidRDefault="003A6640" w:rsidP="00F80D1D">
            <w:pPr>
              <w:pStyle w:val="DidefaultA"/>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24A6C">
              <w:rPr>
                <w:rFonts w:ascii="Arial" w:hAnsi="Arial" w:cs="Arial"/>
                <w:sz w:val="20"/>
                <w:szCs w:val="20"/>
                <w:shd w:val="clear" w:color="auto" w:fill="FFFFFF"/>
              </w:rPr>
              <w:t>Clinical cure rate</w:t>
            </w:r>
          </w:p>
        </w:tc>
      </w:tr>
      <w:tr w:rsidR="00D16ECF" w:rsidRPr="0068569D" w14:paraId="361C001C" w14:textId="77777777" w:rsidTr="00D801A8">
        <w:trPr>
          <w:cnfStyle w:val="000000100000" w:firstRow="0" w:lastRow="0" w:firstColumn="0" w:lastColumn="0" w:oddVBand="0" w:evenVBand="0" w:oddHBand="1" w:evenHBand="0" w:firstRowFirstColumn="0" w:firstRowLastColumn="0" w:lastRowFirstColumn="0" w:lastRowLastColumn="0"/>
          <w:trHeight w:val="1763"/>
          <w:jc w:val="center"/>
        </w:trPr>
        <w:tc>
          <w:tcPr>
            <w:cnfStyle w:val="001000000000" w:firstRow="0" w:lastRow="0" w:firstColumn="1" w:lastColumn="0" w:oddVBand="0" w:evenVBand="0" w:oddHBand="0" w:evenHBand="0" w:firstRowFirstColumn="0" w:firstRowLastColumn="0" w:lastRowFirstColumn="0" w:lastRowLastColumn="0"/>
            <w:tcW w:w="0" w:type="auto"/>
          </w:tcPr>
          <w:p w14:paraId="714A3413" w14:textId="77777777" w:rsidR="002D7DAF" w:rsidRPr="00124A6C" w:rsidRDefault="003A6640" w:rsidP="005B6AB7">
            <w:pPr>
              <w:pStyle w:val="Didefault"/>
              <w:rPr>
                <w:rFonts w:ascii="Arial" w:hAnsi="Arial" w:cs="Arial"/>
                <w:b w:val="0"/>
                <w:bCs w:val="0"/>
                <w:sz w:val="20"/>
                <w:szCs w:val="20"/>
              </w:rPr>
            </w:pPr>
            <w:r w:rsidRPr="00124A6C">
              <w:rPr>
                <w:rFonts w:ascii="Arial" w:hAnsi="Arial" w:cs="Arial"/>
                <w:b w:val="0"/>
                <w:bCs w:val="0"/>
                <w:sz w:val="20"/>
                <w:szCs w:val="20"/>
                <w:shd w:val="clear" w:color="auto" w:fill="FFFFFF"/>
              </w:rPr>
              <w:t>NCT04315480</w:t>
            </w:r>
          </w:p>
        </w:tc>
        <w:tc>
          <w:tcPr>
            <w:tcW w:w="0" w:type="auto"/>
          </w:tcPr>
          <w:p w14:paraId="46BCA221" w14:textId="1D9F76C2" w:rsidR="002D7DAF" w:rsidRPr="00124A6C" w:rsidRDefault="00401F03" w:rsidP="00F80D1D">
            <w:pPr>
              <w:pStyle w:val="Corp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24A6C">
              <w:rPr>
                <w:rFonts w:ascii="Arial" w:hAnsi="Arial" w:cs="Arial"/>
                <w:sz w:val="20"/>
                <w:szCs w:val="20"/>
                <w:lang w:val="en-US"/>
                <w14:textOutline w14:w="12700" w14:cap="flat" w14:cmpd="sng" w14:algn="ctr">
                  <w14:noFill/>
                  <w14:prstDash w14:val="solid"/>
                  <w14:miter w14:lim="400000"/>
                </w14:textOutline>
              </w:rPr>
              <w:t>Active, not recruiting</w:t>
            </w:r>
          </w:p>
        </w:tc>
        <w:tc>
          <w:tcPr>
            <w:tcW w:w="0" w:type="auto"/>
          </w:tcPr>
          <w:p w14:paraId="6AE5F488" w14:textId="77777777" w:rsidR="00085EFE" w:rsidRDefault="003A6640" w:rsidP="00F80D1D">
            <w:pPr>
              <w:pStyle w:val="Corp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14:textOutline w14:w="12700" w14:cap="flat" w14:cmpd="sng" w14:algn="ctr">
                  <w14:noFill/>
                  <w14:prstDash w14:val="solid"/>
                  <w14:miter w14:lim="400000"/>
                </w14:textOutline>
              </w:rPr>
            </w:pPr>
            <w:r w:rsidRPr="00124A6C">
              <w:rPr>
                <w:rFonts w:ascii="Arial" w:hAnsi="Arial" w:cs="Arial"/>
                <w:sz w:val="20"/>
                <w:szCs w:val="20"/>
                <w:lang w:val="en-US"/>
                <w14:textOutline w14:w="12700" w14:cap="flat" w14:cmpd="sng" w14:algn="ctr">
                  <w14:noFill/>
                  <w14:prstDash w14:val="solid"/>
                  <w14:miter w14:lim="400000"/>
                </w14:textOutline>
              </w:rPr>
              <w:t>S</w:t>
            </w:r>
            <w:r w:rsidR="00085EFE">
              <w:rPr>
                <w:rFonts w:ascii="Arial" w:hAnsi="Arial" w:cs="Arial"/>
                <w:sz w:val="20"/>
                <w:szCs w:val="20"/>
                <w:lang w:val="en-US"/>
                <w14:textOutline w14:w="12700" w14:cap="flat" w14:cmpd="sng" w14:algn="ctr">
                  <w14:noFill/>
                  <w14:prstDash w14:val="solid"/>
                  <w14:miter w14:lim="400000"/>
                </w14:textOutline>
              </w:rPr>
              <w:t xml:space="preserve">ingle-centre </w:t>
            </w:r>
          </w:p>
          <w:p w14:paraId="4DA4B51D" w14:textId="303135B4" w:rsidR="002D7DAF" w:rsidRPr="00124A6C" w:rsidRDefault="00085EFE" w:rsidP="00F80D1D">
            <w:pPr>
              <w:pStyle w:val="Corp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14:textOutline w14:w="12700" w14:cap="flat" w14:cmpd="sng" w14:algn="ctr">
                  <w14:noFill/>
                  <w14:prstDash w14:val="solid"/>
                  <w14:miter w14:lim="400000"/>
                </w14:textOutline>
              </w:rPr>
              <w:t>S</w:t>
            </w:r>
            <w:r w:rsidR="003A6640" w:rsidRPr="00124A6C">
              <w:rPr>
                <w:rFonts w:ascii="Arial" w:hAnsi="Arial" w:cs="Arial"/>
                <w:sz w:val="20"/>
                <w:szCs w:val="20"/>
                <w:lang w:val="en-US"/>
                <w14:textOutline w14:w="12700" w14:cap="flat" w14:cmpd="sng" w14:algn="ctr">
                  <w14:noFill/>
                  <w14:prstDash w14:val="solid"/>
                  <w14:miter w14:lim="400000"/>
                </w14:textOutline>
              </w:rPr>
              <w:t>imon's Two-stages Optimal Design Trial</w:t>
            </w:r>
          </w:p>
        </w:tc>
        <w:tc>
          <w:tcPr>
            <w:tcW w:w="0" w:type="auto"/>
          </w:tcPr>
          <w:p w14:paraId="42C4ED4E" w14:textId="77777777" w:rsidR="002D7DAF" w:rsidRPr="00124A6C" w:rsidRDefault="003A6640" w:rsidP="00F80D1D">
            <w:pPr>
              <w:pStyle w:val="Corp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24A6C">
              <w:rPr>
                <w:rFonts w:ascii="Arial" w:hAnsi="Arial" w:cs="Arial"/>
                <w:sz w:val="20"/>
                <w:szCs w:val="20"/>
                <w:lang w:val="en-US"/>
                <w14:textOutline w14:w="12700" w14:cap="flat" w14:cmpd="sng" w14:algn="ctr">
                  <w14:noFill/>
                  <w14:prstDash w14:val="solid"/>
                  <w14:miter w14:lim="400000"/>
                </w14:textOutline>
              </w:rPr>
              <w:t>Italy</w:t>
            </w:r>
          </w:p>
        </w:tc>
        <w:tc>
          <w:tcPr>
            <w:tcW w:w="0" w:type="auto"/>
          </w:tcPr>
          <w:p w14:paraId="17D0A606" w14:textId="518E3EB9" w:rsidR="002D7DAF" w:rsidRPr="00124A6C" w:rsidRDefault="00401F03" w:rsidP="00F80D1D">
            <w:pPr>
              <w:pStyle w:val="Corp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US"/>
              </w:rPr>
            </w:pPr>
            <w:r w:rsidRPr="00124A6C">
              <w:rPr>
                <w:rFonts w:ascii="Arial" w:hAnsi="Arial" w:cs="Arial"/>
                <w:sz w:val="20"/>
                <w:szCs w:val="20"/>
                <w:lang w:val="en-US"/>
                <w14:textOutline w14:w="12700" w14:cap="flat" w14:cmpd="sng" w14:algn="ctr">
                  <w14:noFill/>
                  <w14:prstDash w14:val="solid"/>
                  <w14:miter w14:lim="400000"/>
                </w14:textOutline>
              </w:rPr>
              <w:t xml:space="preserve">Patients with </w:t>
            </w:r>
            <w:r w:rsidR="003A6640" w:rsidRPr="00124A6C">
              <w:rPr>
                <w:rFonts w:ascii="Arial" w:hAnsi="Arial" w:cs="Arial"/>
                <w:sz w:val="20"/>
                <w:szCs w:val="20"/>
                <w:lang w:val="en-US"/>
                <w14:textOutline w14:w="12700" w14:cap="flat" w14:cmpd="sng" w14:algn="ctr">
                  <w14:noFill/>
                  <w14:prstDash w14:val="solid"/>
                  <w14:miter w14:lim="400000"/>
                </w14:textOutline>
              </w:rPr>
              <w:t xml:space="preserve">COVID-19 </w:t>
            </w:r>
          </w:p>
          <w:p w14:paraId="3A7E021B" w14:textId="32D3BA7A" w:rsidR="002D7DAF" w:rsidRPr="00124A6C" w:rsidRDefault="003A6640" w:rsidP="00F80D1D">
            <w:pPr>
              <w:pStyle w:val="Corp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sz w:val="20"/>
                <w:szCs w:val="20"/>
                <w:lang w:val="en-US"/>
                <w14:textOutline w14:w="12700" w14:cap="flat" w14:cmpd="sng" w14:algn="ctr">
                  <w14:noFill/>
                  <w14:prstDash w14:val="solid"/>
                  <w14:miter w14:lim="400000"/>
                </w14:textOutline>
              </w:rPr>
              <w:t>(n=3</w:t>
            </w:r>
            <w:r w:rsidR="00401F03" w:rsidRPr="00124A6C">
              <w:rPr>
                <w:rFonts w:ascii="Arial" w:hAnsi="Arial" w:cs="Arial"/>
                <w:sz w:val="20"/>
                <w:szCs w:val="20"/>
                <w:lang w:val="en-US"/>
                <w14:textOutline w14:w="12700" w14:cap="flat" w14:cmpd="sng" w14:algn="ctr">
                  <w14:noFill/>
                  <w14:prstDash w14:val="solid"/>
                  <w14:miter w14:lim="400000"/>
                </w14:textOutline>
              </w:rPr>
              <w:t>8</w:t>
            </w:r>
            <w:r w:rsidRPr="00124A6C">
              <w:rPr>
                <w:rFonts w:ascii="Arial" w:hAnsi="Arial" w:cs="Arial"/>
                <w:sz w:val="20"/>
                <w:szCs w:val="20"/>
                <w:lang w:val="en-US"/>
                <w14:textOutline w14:w="12700" w14:cap="flat" w14:cmpd="sng" w14:algn="ctr">
                  <w14:noFill/>
                  <w14:prstDash w14:val="solid"/>
                  <w14:miter w14:lim="400000"/>
                </w14:textOutline>
              </w:rPr>
              <w:t>)</w:t>
            </w:r>
          </w:p>
        </w:tc>
        <w:tc>
          <w:tcPr>
            <w:tcW w:w="0" w:type="auto"/>
          </w:tcPr>
          <w:p w14:paraId="0F239C0E" w14:textId="23F45951" w:rsidR="002D7DAF" w:rsidRPr="00124A6C" w:rsidRDefault="003A6640" w:rsidP="00F80D1D">
            <w:pPr>
              <w:pStyle w:val="Corp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sz w:val="20"/>
                <w:szCs w:val="20"/>
                <w:lang w:val="en-US"/>
                <w14:textOutline w14:w="12700" w14:cap="flat" w14:cmpd="sng" w14:algn="ctr">
                  <w14:noFill/>
                  <w14:prstDash w14:val="solid"/>
                  <w14:miter w14:lim="400000"/>
                </w14:textOutline>
              </w:rPr>
              <w:t xml:space="preserve">Tocilizumab </w:t>
            </w:r>
            <w:r w:rsidR="00F23134" w:rsidRPr="00124A6C">
              <w:rPr>
                <w:rFonts w:ascii="Arial" w:hAnsi="Arial" w:cs="Arial"/>
                <w:sz w:val="20"/>
                <w:szCs w:val="20"/>
                <w:lang w:val="en-US"/>
                <w14:textOutline w14:w="12700" w14:cap="flat" w14:cmpd="sng" w14:algn="ctr">
                  <w14:noFill/>
                  <w14:prstDash w14:val="solid"/>
                  <w14:miter w14:lim="400000"/>
                </w14:textOutline>
              </w:rPr>
              <w:t>i</w:t>
            </w:r>
            <w:r w:rsidRPr="00124A6C">
              <w:rPr>
                <w:rFonts w:ascii="Arial" w:hAnsi="Arial" w:cs="Arial"/>
                <w:sz w:val="20"/>
                <w:szCs w:val="20"/>
                <w:lang w:val="en-US"/>
                <w14:textOutline w14:w="12700" w14:cap="flat" w14:cmpd="sng" w14:algn="ctr">
                  <w14:noFill/>
                  <w14:prstDash w14:val="solid"/>
                  <w14:miter w14:lim="400000"/>
                </w14:textOutline>
              </w:rPr>
              <w:t>.v 8 mg/kg single administration</w:t>
            </w:r>
          </w:p>
        </w:tc>
        <w:tc>
          <w:tcPr>
            <w:tcW w:w="0" w:type="auto"/>
          </w:tcPr>
          <w:p w14:paraId="64267B2F" w14:textId="77777777" w:rsidR="002D7DAF" w:rsidRPr="00124A6C" w:rsidRDefault="003A6640" w:rsidP="00F80D1D">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All the patients enrolled are treated with tocilizumab</w:t>
            </w:r>
          </w:p>
        </w:tc>
        <w:tc>
          <w:tcPr>
            <w:tcW w:w="0" w:type="auto"/>
          </w:tcPr>
          <w:p w14:paraId="33509976" w14:textId="77777777" w:rsidR="002D7DAF" w:rsidRPr="00124A6C" w:rsidRDefault="003A6640" w:rsidP="00F80D1D">
            <w:pPr>
              <w:pStyle w:val="Didefaul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sz w:val="20"/>
                <w:szCs w:val="20"/>
                <w:shd w:val="clear" w:color="auto" w:fill="FFFFFF"/>
                <w:lang w:val="en-US"/>
              </w:rPr>
              <w:t xml:space="preserve">Arrest in deterioration of pulmonary function or improving in pulmonary function at day 7 </w:t>
            </w:r>
          </w:p>
        </w:tc>
      </w:tr>
      <w:tr w:rsidR="00D16ECF" w:rsidRPr="0068569D" w14:paraId="655C24DD" w14:textId="77777777" w:rsidTr="00D801A8">
        <w:trPr>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6B3D0D82" w14:textId="77777777" w:rsidR="002D7DAF" w:rsidRPr="00124A6C" w:rsidRDefault="003A6640" w:rsidP="005B6AB7">
            <w:pPr>
              <w:pStyle w:val="DidefaultA"/>
              <w:rPr>
                <w:rFonts w:ascii="Arial" w:hAnsi="Arial" w:cs="Arial"/>
                <w:b w:val="0"/>
                <w:bCs w:val="0"/>
                <w:sz w:val="20"/>
                <w:szCs w:val="20"/>
              </w:rPr>
            </w:pPr>
            <w:r w:rsidRPr="00124A6C">
              <w:rPr>
                <w:rFonts w:ascii="Arial" w:hAnsi="Arial" w:cs="Arial"/>
                <w:b w:val="0"/>
                <w:bCs w:val="0"/>
                <w:sz w:val="20"/>
                <w:szCs w:val="20"/>
                <w:shd w:val="clear" w:color="auto" w:fill="FFFFFF"/>
              </w:rPr>
              <w:t>NCT04306705</w:t>
            </w:r>
          </w:p>
        </w:tc>
        <w:tc>
          <w:tcPr>
            <w:tcW w:w="0" w:type="auto"/>
          </w:tcPr>
          <w:p w14:paraId="203C1E2D" w14:textId="77777777" w:rsidR="002D7DAF" w:rsidRPr="00124A6C" w:rsidRDefault="003A6640"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124A6C">
              <w:rPr>
                <w:rFonts w:cs="Arial"/>
              </w:rPr>
              <w:t>Recruiting</w:t>
            </w:r>
          </w:p>
        </w:tc>
        <w:tc>
          <w:tcPr>
            <w:tcW w:w="0" w:type="auto"/>
          </w:tcPr>
          <w:p w14:paraId="3D5E7831" w14:textId="0722D81A" w:rsidR="002D7DAF" w:rsidRPr="00085EFE" w:rsidRDefault="00085EFE"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085EFE">
              <w:rPr>
                <w:rFonts w:cs="Arial"/>
                <w:lang w:val="en-US"/>
              </w:rPr>
              <w:t>Multicentre r</w:t>
            </w:r>
            <w:r w:rsidR="003A6640" w:rsidRPr="00085EFE">
              <w:rPr>
                <w:rFonts w:cs="Arial"/>
                <w:lang w:val="en-US"/>
              </w:rPr>
              <w:t>etrospective cohort study</w:t>
            </w:r>
          </w:p>
        </w:tc>
        <w:tc>
          <w:tcPr>
            <w:tcW w:w="0" w:type="auto"/>
          </w:tcPr>
          <w:p w14:paraId="6C35D374" w14:textId="77777777" w:rsidR="002D7DAF" w:rsidRPr="00124A6C" w:rsidRDefault="003A6640"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124A6C">
              <w:rPr>
                <w:rFonts w:cs="Arial"/>
              </w:rPr>
              <w:t>China</w:t>
            </w:r>
          </w:p>
        </w:tc>
        <w:tc>
          <w:tcPr>
            <w:tcW w:w="0" w:type="auto"/>
          </w:tcPr>
          <w:p w14:paraId="67FDF94E" w14:textId="5A9E298F" w:rsidR="002D7DAF" w:rsidRPr="00124A6C" w:rsidRDefault="00401F03"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 xml:space="preserve">Patients with </w:t>
            </w:r>
            <w:r w:rsidR="003A6640" w:rsidRPr="00124A6C">
              <w:rPr>
                <w:rFonts w:cs="Arial"/>
                <w:lang w:val="en-US"/>
              </w:rPr>
              <w:t xml:space="preserve">COVID-19 </w:t>
            </w:r>
          </w:p>
          <w:p w14:paraId="15522265" w14:textId="77777777" w:rsidR="002D7DAF" w:rsidRPr="00124A6C" w:rsidRDefault="003A6640"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(n=120)</w:t>
            </w:r>
          </w:p>
        </w:tc>
        <w:tc>
          <w:tcPr>
            <w:tcW w:w="0" w:type="auto"/>
          </w:tcPr>
          <w:p w14:paraId="0AFE363D" w14:textId="3EC13A74" w:rsidR="002D7DAF" w:rsidRPr="00124A6C" w:rsidRDefault="003A6640" w:rsidP="00F80D1D">
            <w:pPr>
              <w:pStyle w:val="CorpoA"/>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24A6C">
              <w:rPr>
                <w:rFonts w:ascii="Arial" w:hAnsi="Arial" w:cs="Arial"/>
                <w:sz w:val="20"/>
                <w:szCs w:val="20"/>
              </w:rPr>
              <w:t xml:space="preserve"> Tocilizumab </w:t>
            </w:r>
            <w:r w:rsidR="00F23134" w:rsidRPr="00124A6C">
              <w:rPr>
                <w:rFonts w:ascii="Arial" w:hAnsi="Arial" w:cs="Arial"/>
                <w:sz w:val="20"/>
                <w:szCs w:val="20"/>
              </w:rPr>
              <w:t>i</w:t>
            </w:r>
            <w:r w:rsidRPr="00124A6C">
              <w:rPr>
                <w:rFonts w:ascii="Arial" w:hAnsi="Arial" w:cs="Arial"/>
                <w:sz w:val="20"/>
                <w:szCs w:val="20"/>
              </w:rPr>
              <w:t>.v. 8 mg/kg</w:t>
            </w:r>
          </w:p>
        </w:tc>
        <w:tc>
          <w:tcPr>
            <w:tcW w:w="0" w:type="auto"/>
          </w:tcPr>
          <w:p w14:paraId="557388D1" w14:textId="77777777" w:rsidR="002D7DAF" w:rsidRPr="00124A6C" w:rsidRDefault="003A6640" w:rsidP="00F80D1D">
            <w:pPr>
              <w:pStyle w:val="DidefaultA"/>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24A6C">
              <w:rPr>
                <w:rFonts w:ascii="Arial" w:hAnsi="Arial" w:cs="Arial"/>
                <w:sz w:val="20"/>
                <w:szCs w:val="20"/>
                <w:shd w:val="clear" w:color="auto" w:fill="FFFFFF"/>
              </w:rPr>
              <w:t>Continuous Renal Replacement Therapy</w:t>
            </w:r>
          </w:p>
        </w:tc>
        <w:tc>
          <w:tcPr>
            <w:tcW w:w="0" w:type="auto"/>
          </w:tcPr>
          <w:p w14:paraId="4C549EC7" w14:textId="77777777" w:rsidR="002D7DAF" w:rsidRPr="00124A6C" w:rsidRDefault="003A6640" w:rsidP="00F80D1D">
            <w:pPr>
              <w:pStyle w:val="DidefaultA"/>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sz w:val="20"/>
                <w:szCs w:val="20"/>
                <w:shd w:val="clear" w:color="auto" w:fill="FFFFFF"/>
                <w:lang w:val="en-US"/>
              </w:rPr>
              <w:t>Normalization of Fever and Oxygen Saturation at day 14</w:t>
            </w:r>
          </w:p>
        </w:tc>
      </w:tr>
      <w:tr w:rsidR="00D16ECF" w:rsidRPr="0068569D" w14:paraId="12C200FC" w14:textId="77777777" w:rsidTr="00D801A8">
        <w:trPr>
          <w:cnfStyle w:val="000000100000" w:firstRow="0" w:lastRow="0" w:firstColumn="0" w:lastColumn="0" w:oddVBand="0" w:evenVBand="0" w:oddHBand="1" w:evenHBand="0" w:firstRowFirstColumn="0" w:firstRowLastColumn="0" w:lastRowFirstColumn="0" w:lastRowLastColumn="0"/>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1AFF13B2" w14:textId="77777777" w:rsidR="002D6353" w:rsidRPr="00124A6C" w:rsidRDefault="002D6353"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lastRenderedPageBreak/>
              <w:t>NCT04335071</w:t>
            </w:r>
          </w:p>
          <w:p w14:paraId="46A34C3C" w14:textId="77777777" w:rsidR="00785269" w:rsidRPr="00124A6C" w:rsidRDefault="00785269" w:rsidP="005B6AB7">
            <w:pPr>
              <w:pStyle w:val="DidefaultA"/>
              <w:rPr>
                <w:rFonts w:ascii="Arial" w:hAnsi="Arial" w:cs="Arial"/>
                <w:b w:val="0"/>
                <w:bCs w:val="0"/>
                <w:sz w:val="20"/>
                <w:szCs w:val="20"/>
                <w:shd w:val="clear" w:color="auto" w:fill="FFFFFF"/>
              </w:rPr>
            </w:pPr>
          </w:p>
        </w:tc>
        <w:tc>
          <w:tcPr>
            <w:tcW w:w="0" w:type="auto"/>
          </w:tcPr>
          <w:p w14:paraId="6A1D1CB4" w14:textId="666E5B4C" w:rsidR="00785269" w:rsidRPr="00124A6C" w:rsidRDefault="00401F03" w:rsidP="00F80D1D">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124A6C">
              <w:rPr>
                <w:rFonts w:cs="Arial"/>
              </w:rPr>
              <w:t>Recruiting</w:t>
            </w:r>
          </w:p>
        </w:tc>
        <w:tc>
          <w:tcPr>
            <w:tcW w:w="0" w:type="auto"/>
          </w:tcPr>
          <w:p w14:paraId="79E30D17" w14:textId="5EC9199C" w:rsidR="00785269" w:rsidRPr="00124A6C" w:rsidRDefault="002D6353" w:rsidP="00F80D1D">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124A6C">
              <w:rPr>
                <w:rFonts w:cs="Arial"/>
              </w:rPr>
              <w:t>Multice</w:t>
            </w:r>
            <w:r w:rsidR="00326A03">
              <w:rPr>
                <w:rFonts w:cs="Arial"/>
              </w:rPr>
              <w:t>n</w:t>
            </w:r>
            <w:r w:rsidRPr="00124A6C">
              <w:rPr>
                <w:rFonts w:cs="Arial"/>
              </w:rPr>
              <w:t>tre RCT</w:t>
            </w:r>
          </w:p>
        </w:tc>
        <w:tc>
          <w:tcPr>
            <w:tcW w:w="0" w:type="auto"/>
          </w:tcPr>
          <w:p w14:paraId="167A2B30" w14:textId="77777777" w:rsidR="00785269" w:rsidRPr="00124A6C" w:rsidRDefault="002D6353" w:rsidP="00F80D1D">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124A6C">
              <w:rPr>
                <w:rFonts w:cs="Arial"/>
              </w:rPr>
              <w:t>Switzerland</w:t>
            </w:r>
          </w:p>
        </w:tc>
        <w:tc>
          <w:tcPr>
            <w:tcW w:w="0" w:type="auto"/>
          </w:tcPr>
          <w:p w14:paraId="67D77F6A" w14:textId="3A6C8DA9" w:rsidR="00785269" w:rsidRPr="00124A6C" w:rsidRDefault="00401F03" w:rsidP="00F80D1D">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 xml:space="preserve">Patients with </w:t>
            </w:r>
            <w:r w:rsidR="002D6353" w:rsidRPr="00124A6C">
              <w:rPr>
                <w:rFonts w:cs="Arial"/>
                <w:lang w:val="en-US"/>
              </w:rPr>
              <w:t>COVID-19 (n=100)</w:t>
            </w:r>
          </w:p>
        </w:tc>
        <w:tc>
          <w:tcPr>
            <w:tcW w:w="0" w:type="auto"/>
          </w:tcPr>
          <w:p w14:paraId="51400170" w14:textId="63C8A77E" w:rsidR="002D6353" w:rsidRPr="00124A6C" w:rsidRDefault="002D6353" w:rsidP="00F80D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 xml:space="preserve">Tocilizumab </w:t>
            </w:r>
            <w:r w:rsidR="00F23134" w:rsidRPr="00124A6C">
              <w:rPr>
                <w:rFonts w:ascii="Arial" w:hAnsi="Arial" w:cs="Arial"/>
                <w:color w:val="000000"/>
                <w:sz w:val="20"/>
                <w:szCs w:val="20"/>
                <w:shd w:val="clear" w:color="auto" w:fill="FFFFFF"/>
                <w:lang w:val="en-US"/>
              </w:rPr>
              <w:t>i</w:t>
            </w:r>
            <w:r w:rsidRPr="00124A6C">
              <w:rPr>
                <w:rFonts w:ascii="Arial" w:hAnsi="Arial" w:cs="Arial"/>
                <w:color w:val="000000"/>
                <w:sz w:val="20"/>
                <w:szCs w:val="20"/>
                <w:shd w:val="clear" w:color="auto" w:fill="FFFFFF"/>
                <w:lang w:val="en-US"/>
              </w:rPr>
              <w:t>.v. 8 mg/kg single administration (</w:t>
            </w:r>
            <w:r w:rsidRPr="00124A6C">
              <w:rPr>
                <w:rFonts w:ascii="Arial" w:hAnsi="Arial" w:cs="Arial"/>
                <w:sz w:val="20"/>
                <w:szCs w:val="20"/>
                <w:lang w:val="en-US"/>
              </w:rPr>
              <w:t>up to a maximum of 800mg per dose)</w:t>
            </w:r>
            <w:r w:rsidRPr="00124A6C">
              <w:rPr>
                <w:rFonts w:ascii="Arial" w:hAnsi="Arial" w:cs="Arial"/>
                <w:color w:val="000000"/>
                <w:sz w:val="20"/>
                <w:szCs w:val="20"/>
                <w:shd w:val="clear" w:color="auto" w:fill="FFFFFF"/>
                <w:lang w:val="en-US"/>
              </w:rPr>
              <w:t>. Second dose if no clinical improvement.</w:t>
            </w:r>
          </w:p>
          <w:p w14:paraId="1F84102A" w14:textId="77777777" w:rsidR="00785269" w:rsidRPr="00124A6C" w:rsidRDefault="00785269" w:rsidP="00F80D1D">
            <w:pPr>
              <w:pStyle w:val="CorpoA"/>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c>
          <w:tcPr>
            <w:tcW w:w="0" w:type="auto"/>
          </w:tcPr>
          <w:p w14:paraId="286CD302" w14:textId="77777777" w:rsidR="00785269" w:rsidRPr="00124A6C" w:rsidRDefault="002D6353" w:rsidP="00F80D1D">
            <w:pPr>
              <w:pStyle w:val="DidefaultA"/>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lang w:val="en-US"/>
              </w:rPr>
            </w:pPr>
            <w:r w:rsidRPr="00124A6C">
              <w:rPr>
                <w:rFonts w:ascii="Arial" w:hAnsi="Arial" w:cs="Arial"/>
                <w:sz w:val="20"/>
                <w:szCs w:val="20"/>
                <w:shd w:val="clear" w:color="auto" w:fill="FFFFFF"/>
                <w:lang w:val="en-US"/>
              </w:rPr>
              <w:t>Placebo</w:t>
            </w:r>
          </w:p>
        </w:tc>
        <w:tc>
          <w:tcPr>
            <w:tcW w:w="0" w:type="auto"/>
          </w:tcPr>
          <w:p w14:paraId="5FD53E40" w14:textId="20CD7A04" w:rsidR="00785269" w:rsidRPr="00124A6C" w:rsidRDefault="002D6353" w:rsidP="00631497">
            <w:pPr>
              <w:pStyle w:val="DidefaultA"/>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lang w:val="en-US"/>
              </w:rPr>
            </w:pPr>
            <w:r w:rsidRPr="00124A6C">
              <w:rPr>
                <w:rFonts w:ascii="Arial" w:hAnsi="Arial" w:cs="Arial"/>
                <w:sz w:val="20"/>
                <w:szCs w:val="20"/>
                <w:shd w:val="clear" w:color="auto" w:fill="FFFFFF"/>
                <w:lang w:val="en-US"/>
              </w:rPr>
              <w:t>ICU admission at day 7,</w:t>
            </w:r>
            <w:r w:rsidR="00631497" w:rsidRPr="00124A6C">
              <w:rPr>
                <w:rFonts w:ascii="Arial" w:hAnsi="Arial" w:cs="Arial"/>
                <w:sz w:val="20"/>
                <w:szCs w:val="20"/>
                <w:shd w:val="clear" w:color="auto" w:fill="FFFFFF"/>
                <w:lang w:val="en-US"/>
              </w:rPr>
              <w:t xml:space="preserve"> i</w:t>
            </w:r>
            <w:r w:rsidRPr="00124A6C">
              <w:rPr>
                <w:rFonts w:ascii="Arial" w:hAnsi="Arial" w:cs="Arial"/>
                <w:sz w:val="20"/>
                <w:szCs w:val="20"/>
                <w:shd w:val="clear" w:color="auto" w:fill="FFFFFF"/>
                <w:lang w:val="en-US"/>
              </w:rPr>
              <w:t>ntubation at day 14, mortality at day 28</w:t>
            </w:r>
          </w:p>
        </w:tc>
      </w:tr>
      <w:tr w:rsidR="00D16ECF" w:rsidRPr="0068569D" w14:paraId="0643E14E" w14:textId="77777777" w:rsidTr="00D801A8">
        <w:trPr>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37AC6DF5" w14:textId="77777777" w:rsidR="002D6353" w:rsidRPr="00124A6C" w:rsidRDefault="002D6353"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t>NCT04345445</w:t>
            </w:r>
          </w:p>
          <w:p w14:paraId="6D03227F" w14:textId="77777777" w:rsidR="00785269" w:rsidRPr="00124A6C" w:rsidRDefault="00785269" w:rsidP="005B6AB7">
            <w:pPr>
              <w:pStyle w:val="DidefaultA"/>
              <w:rPr>
                <w:rFonts w:ascii="Arial" w:hAnsi="Arial" w:cs="Arial"/>
                <w:b w:val="0"/>
                <w:bCs w:val="0"/>
                <w:sz w:val="20"/>
                <w:szCs w:val="20"/>
                <w:shd w:val="clear" w:color="auto" w:fill="FFFFFF"/>
                <w:lang w:val="en-US"/>
              </w:rPr>
            </w:pPr>
          </w:p>
        </w:tc>
        <w:tc>
          <w:tcPr>
            <w:tcW w:w="0" w:type="auto"/>
          </w:tcPr>
          <w:p w14:paraId="7C68562E" w14:textId="74044E3D" w:rsidR="00785269" w:rsidRPr="00124A6C" w:rsidRDefault="00F23134" w:rsidP="00F80D1D">
            <w:pPr>
              <w:pStyle w:val="Stiletabella2A"/>
              <w:spacing w:line="240" w:lineRule="auto"/>
              <w:jc w:val="left"/>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rPr>
              <w:t>Not yet recruiting</w:t>
            </w:r>
          </w:p>
        </w:tc>
        <w:tc>
          <w:tcPr>
            <w:tcW w:w="0" w:type="auto"/>
          </w:tcPr>
          <w:p w14:paraId="49BF18F3" w14:textId="538AC025" w:rsidR="00785269" w:rsidRPr="00124A6C" w:rsidRDefault="009D6549"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Single centre crossover</w:t>
            </w:r>
            <w:r w:rsidR="00F23134" w:rsidRPr="00124A6C">
              <w:rPr>
                <w:rFonts w:cs="Arial"/>
                <w:lang w:val="en-US"/>
              </w:rPr>
              <w:t xml:space="preserve"> randomized </w:t>
            </w:r>
            <w:r w:rsidRPr="00124A6C">
              <w:rPr>
                <w:rFonts w:cs="Arial"/>
                <w:lang w:val="en-US"/>
              </w:rPr>
              <w:t>trial</w:t>
            </w:r>
          </w:p>
        </w:tc>
        <w:tc>
          <w:tcPr>
            <w:tcW w:w="0" w:type="auto"/>
          </w:tcPr>
          <w:p w14:paraId="432CEE08" w14:textId="77777777" w:rsidR="00785269" w:rsidRPr="00124A6C" w:rsidRDefault="002D6353"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Malaysia</w:t>
            </w:r>
          </w:p>
        </w:tc>
        <w:tc>
          <w:tcPr>
            <w:tcW w:w="0" w:type="auto"/>
          </w:tcPr>
          <w:p w14:paraId="2DB474E3" w14:textId="4293BB74" w:rsidR="00785269" w:rsidRPr="00124A6C" w:rsidRDefault="00F23134"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 xml:space="preserve">Patients with </w:t>
            </w:r>
            <w:r w:rsidR="009D6549" w:rsidRPr="00124A6C">
              <w:rPr>
                <w:rFonts w:cs="Arial"/>
                <w:lang w:val="en-US"/>
              </w:rPr>
              <w:t xml:space="preserve">COVID-19 </w:t>
            </w:r>
          </w:p>
          <w:p w14:paraId="7EF4E2FB" w14:textId="77777777" w:rsidR="009D6549" w:rsidRPr="00124A6C" w:rsidRDefault="009D6549"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(n=310)</w:t>
            </w:r>
          </w:p>
        </w:tc>
        <w:tc>
          <w:tcPr>
            <w:tcW w:w="0" w:type="auto"/>
          </w:tcPr>
          <w:p w14:paraId="13B4B212" w14:textId="74388408" w:rsidR="009D6549" w:rsidRPr="00124A6C" w:rsidRDefault="009D6549" w:rsidP="00F80D1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 xml:space="preserve">Tocilizumab </w:t>
            </w:r>
            <w:r w:rsidR="00F23134" w:rsidRPr="00124A6C">
              <w:rPr>
                <w:rFonts w:ascii="Arial" w:hAnsi="Arial" w:cs="Arial"/>
                <w:color w:val="000000"/>
                <w:sz w:val="20"/>
                <w:szCs w:val="20"/>
                <w:shd w:val="clear" w:color="auto" w:fill="FFFFFF"/>
                <w:lang w:val="en-US"/>
              </w:rPr>
              <w:t>i</w:t>
            </w:r>
            <w:r w:rsidRPr="00124A6C">
              <w:rPr>
                <w:rFonts w:ascii="Arial" w:hAnsi="Arial" w:cs="Arial"/>
                <w:color w:val="000000"/>
                <w:sz w:val="20"/>
                <w:szCs w:val="20"/>
                <w:shd w:val="clear" w:color="auto" w:fill="FFFFFF"/>
                <w:lang w:val="en-US"/>
              </w:rPr>
              <w:t>.v. 8 mg/kg single administration</w:t>
            </w:r>
          </w:p>
          <w:p w14:paraId="16200BD2" w14:textId="77777777" w:rsidR="00785269" w:rsidRPr="00124A6C" w:rsidRDefault="00785269" w:rsidP="00F80D1D">
            <w:pPr>
              <w:pStyle w:val="CorpoA"/>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0" w:type="auto"/>
          </w:tcPr>
          <w:p w14:paraId="6672425D" w14:textId="5CB18830" w:rsidR="002D6353" w:rsidRPr="00124A6C" w:rsidRDefault="009D6549" w:rsidP="00F80D1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M</w:t>
            </w:r>
            <w:r w:rsidR="002D6353" w:rsidRPr="00124A6C">
              <w:rPr>
                <w:rFonts w:ascii="Arial" w:hAnsi="Arial" w:cs="Arial"/>
                <w:color w:val="000000"/>
                <w:sz w:val="20"/>
                <w:szCs w:val="20"/>
                <w:shd w:val="clear" w:color="auto" w:fill="FFFFFF"/>
                <w:lang w:val="en-US"/>
              </w:rPr>
              <w:t>ethylprednisolone</w:t>
            </w:r>
            <w:r w:rsidRPr="00124A6C">
              <w:rPr>
                <w:rFonts w:ascii="Arial" w:hAnsi="Arial" w:cs="Arial"/>
                <w:color w:val="000000"/>
                <w:sz w:val="20"/>
                <w:szCs w:val="20"/>
                <w:shd w:val="clear" w:color="auto" w:fill="FFFFFF"/>
                <w:lang w:val="en-US"/>
              </w:rPr>
              <w:t xml:space="preserve"> </w:t>
            </w:r>
            <w:r w:rsidR="00F23134" w:rsidRPr="00124A6C">
              <w:rPr>
                <w:rFonts w:ascii="Arial" w:hAnsi="Arial" w:cs="Arial"/>
                <w:color w:val="000000"/>
                <w:sz w:val="20"/>
                <w:szCs w:val="20"/>
                <w:shd w:val="clear" w:color="auto" w:fill="FFFFFF"/>
                <w:lang w:val="en-US"/>
              </w:rPr>
              <w:t>i</w:t>
            </w:r>
            <w:r w:rsidRPr="00124A6C">
              <w:rPr>
                <w:rFonts w:ascii="Arial" w:hAnsi="Arial" w:cs="Arial"/>
                <w:color w:val="000000"/>
                <w:sz w:val="20"/>
                <w:szCs w:val="20"/>
                <w:shd w:val="clear" w:color="auto" w:fill="FFFFFF"/>
                <w:lang w:val="en-US"/>
              </w:rPr>
              <w:t xml:space="preserve">.v. </w:t>
            </w:r>
            <w:r w:rsidR="002D6353" w:rsidRPr="00124A6C">
              <w:rPr>
                <w:rFonts w:ascii="Arial" w:hAnsi="Arial" w:cs="Arial"/>
                <w:color w:val="000000"/>
                <w:sz w:val="20"/>
                <w:szCs w:val="20"/>
                <w:shd w:val="clear" w:color="auto" w:fill="FFFFFF"/>
                <w:lang w:val="en-US"/>
              </w:rPr>
              <w:t>120mg/day for 3 days</w:t>
            </w:r>
          </w:p>
          <w:p w14:paraId="4868EA23" w14:textId="77777777" w:rsidR="00785269" w:rsidRPr="00124A6C" w:rsidRDefault="00785269" w:rsidP="00F80D1D">
            <w:pPr>
              <w:pStyle w:val="DidefaultA"/>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lang w:val="en-US"/>
              </w:rPr>
            </w:pPr>
          </w:p>
        </w:tc>
        <w:tc>
          <w:tcPr>
            <w:tcW w:w="0" w:type="auto"/>
          </w:tcPr>
          <w:p w14:paraId="7BEB2052" w14:textId="77777777" w:rsidR="00785269" w:rsidRPr="00124A6C" w:rsidRDefault="009D6549" w:rsidP="00F80D1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Need of mechanical ventilation and mean days of ventilation through study completion and at 6 months</w:t>
            </w:r>
          </w:p>
        </w:tc>
      </w:tr>
      <w:tr w:rsidR="00D16ECF" w:rsidRPr="00124A6C" w14:paraId="2604DD25" w14:textId="77777777" w:rsidTr="00D801A8">
        <w:trPr>
          <w:cnfStyle w:val="000000100000" w:firstRow="0" w:lastRow="0" w:firstColumn="0" w:lastColumn="0" w:oddVBand="0" w:evenVBand="0" w:oddHBand="1" w:evenHBand="0" w:firstRowFirstColumn="0" w:firstRowLastColumn="0" w:lastRowFirstColumn="0" w:lastRowLastColumn="0"/>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75271605" w14:textId="77777777" w:rsidR="00F23134" w:rsidRPr="00124A6C" w:rsidRDefault="00F23134"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t>NCT04333914</w:t>
            </w:r>
          </w:p>
          <w:p w14:paraId="7784AFDB" w14:textId="77777777" w:rsidR="00F23134" w:rsidRPr="00124A6C" w:rsidRDefault="00F23134" w:rsidP="005B6AB7">
            <w:pPr>
              <w:rPr>
                <w:rFonts w:ascii="Arial" w:hAnsi="Arial" w:cs="Arial"/>
                <w:b w:val="0"/>
                <w:bCs w:val="0"/>
                <w:color w:val="000000"/>
                <w:sz w:val="20"/>
                <w:szCs w:val="20"/>
                <w:shd w:val="clear" w:color="auto" w:fill="FFFFFF"/>
              </w:rPr>
            </w:pPr>
          </w:p>
        </w:tc>
        <w:tc>
          <w:tcPr>
            <w:tcW w:w="0" w:type="auto"/>
          </w:tcPr>
          <w:p w14:paraId="221C0248" w14:textId="2DF653BE" w:rsidR="00F23134" w:rsidRPr="00124A6C" w:rsidRDefault="00F23134" w:rsidP="00F80D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E7F4E4"/>
              </w:rPr>
            </w:pPr>
            <w:r w:rsidRPr="00124A6C">
              <w:rPr>
                <w:rFonts w:ascii="Arial" w:hAnsi="Arial" w:cs="Arial"/>
                <w:sz w:val="20"/>
                <w:szCs w:val="20"/>
              </w:rPr>
              <w:t>Recruiting</w:t>
            </w:r>
          </w:p>
        </w:tc>
        <w:tc>
          <w:tcPr>
            <w:tcW w:w="0" w:type="auto"/>
          </w:tcPr>
          <w:p w14:paraId="27905707" w14:textId="63E87067" w:rsidR="00F23134" w:rsidRPr="00124A6C" w:rsidRDefault="00F23134" w:rsidP="00F80D1D">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124A6C">
              <w:rPr>
                <w:rFonts w:cs="Arial"/>
              </w:rPr>
              <w:t>Multicentre RCT</w:t>
            </w:r>
          </w:p>
        </w:tc>
        <w:tc>
          <w:tcPr>
            <w:tcW w:w="0" w:type="auto"/>
          </w:tcPr>
          <w:p w14:paraId="67677D55" w14:textId="77777777" w:rsidR="00F23134" w:rsidRPr="00124A6C" w:rsidRDefault="00F23134" w:rsidP="00F80D1D">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France</w:t>
            </w:r>
          </w:p>
        </w:tc>
        <w:tc>
          <w:tcPr>
            <w:tcW w:w="0" w:type="auto"/>
          </w:tcPr>
          <w:p w14:paraId="08402543" w14:textId="77777777" w:rsidR="00F23134" w:rsidRPr="00124A6C" w:rsidRDefault="00F23134" w:rsidP="00F80D1D">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COVID-19 pneumonia and advanced or metastatic hematological or solid tumor</w:t>
            </w:r>
          </w:p>
          <w:p w14:paraId="1FE226BA" w14:textId="77777777" w:rsidR="00F23134" w:rsidRPr="00124A6C" w:rsidRDefault="00F23134" w:rsidP="00F80D1D">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(273)</w:t>
            </w:r>
          </w:p>
        </w:tc>
        <w:tc>
          <w:tcPr>
            <w:tcW w:w="0" w:type="auto"/>
          </w:tcPr>
          <w:p w14:paraId="41F46791" w14:textId="77777777" w:rsidR="00F23134" w:rsidRPr="00124A6C" w:rsidRDefault="00F23134" w:rsidP="00F80D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Tocilizumab (Only if moderate-severe)</w:t>
            </w:r>
          </w:p>
          <w:p w14:paraId="5835EFC7" w14:textId="26D9845E" w:rsidR="00F23134" w:rsidRPr="00124A6C" w:rsidRDefault="00F23134" w:rsidP="00F80D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400 mg i.v intravenously, single infusion at Day 1.</w:t>
            </w:r>
          </w:p>
          <w:p w14:paraId="283C97C9" w14:textId="77777777" w:rsidR="00F23134" w:rsidRPr="00124A6C" w:rsidRDefault="00F23134" w:rsidP="00F80D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lang w:val="en-US"/>
              </w:rPr>
              <w:br/>
            </w:r>
          </w:p>
        </w:tc>
        <w:tc>
          <w:tcPr>
            <w:tcW w:w="0" w:type="auto"/>
          </w:tcPr>
          <w:p w14:paraId="3797C27A" w14:textId="30EB2795" w:rsidR="00F23134" w:rsidRPr="00124A6C" w:rsidRDefault="00F23134" w:rsidP="00F80D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Chloroquine analogue (GNS651)</w:t>
            </w:r>
          </w:p>
          <w:p w14:paraId="540C8E99" w14:textId="77777777" w:rsidR="00F23134" w:rsidRPr="00124A6C" w:rsidRDefault="00F23134" w:rsidP="00F80D1D">
            <w:pPr>
              <w:pStyle w:val="Normale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If mild/asymptomatic: 200mg bid loading dose for 2 days then, 200 qd orally for 14 consecutive days.</w:t>
            </w:r>
          </w:p>
          <w:p w14:paraId="00C759FB" w14:textId="77777777" w:rsidR="00F23134" w:rsidRPr="00124A6C" w:rsidRDefault="00F23134" w:rsidP="00F80D1D">
            <w:pPr>
              <w:pStyle w:val="Normale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shd w:val="clear" w:color="auto" w:fill="FFFFFF"/>
                <w:lang w:val="en-US"/>
              </w:rPr>
              <w:t>If moderate-severe</w:t>
            </w:r>
            <w:r w:rsidRPr="00124A6C">
              <w:rPr>
                <w:rFonts w:ascii="Arial" w:hAnsi="Arial" w:cs="Arial"/>
                <w:color w:val="000000"/>
                <w:sz w:val="20"/>
                <w:szCs w:val="20"/>
                <w:lang w:val="en-US"/>
              </w:rPr>
              <w:t xml:space="preserve"> :200mg bid loading dose for 2 days then, 200 qd/day orally, per os, for 14 consecutive days.</w:t>
            </w:r>
          </w:p>
          <w:p w14:paraId="7AD38FDA" w14:textId="77777777" w:rsidR="00F23134" w:rsidRPr="00124A6C" w:rsidRDefault="00F23134" w:rsidP="00F80D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p w14:paraId="21429BB4" w14:textId="77777777" w:rsidR="00F23134" w:rsidRPr="00124A6C" w:rsidRDefault="00F23134" w:rsidP="00F80D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Nivolumab:</w:t>
            </w:r>
          </w:p>
          <w:p w14:paraId="135C1100" w14:textId="77777777" w:rsidR="00F23134" w:rsidRPr="00124A6C" w:rsidRDefault="00F23134" w:rsidP="00F80D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Only if mild/asymptomatic: 0.3mg/Kg, intravenously, single infusion at Day 1.</w:t>
            </w:r>
          </w:p>
          <w:p w14:paraId="4E04E0DA" w14:textId="77777777" w:rsidR="00F23134" w:rsidRPr="00124A6C" w:rsidRDefault="00F23134" w:rsidP="00F80D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lang w:val="en-US"/>
              </w:rPr>
              <w:br/>
            </w:r>
            <w:r w:rsidRPr="00124A6C">
              <w:rPr>
                <w:rFonts w:ascii="Arial" w:hAnsi="Arial" w:cs="Arial"/>
                <w:color w:val="000000"/>
                <w:sz w:val="20"/>
                <w:szCs w:val="20"/>
                <w:shd w:val="clear" w:color="auto" w:fill="FFFFFF"/>
                <w:lang w:val="en-US"/>
              </w:rPr>
              <w:t>Standard of care group:</w:t>
            </w:r>
          </w:p>
          <w:p w14:paraId="35C8F01E" w14:textId="673E4186" w:rsidR="00F23134" w:rsidRPr="00124A6C" w:rsidRDefault="00F23134" w:rsidP="00F80D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shd w:val="clear" w:color="auto" w:fill="FFFFFF"/>
                <w:lang w:val="en-US"/>
              </w:rPr>
              <w:t>Conventional therapy</w:t>
            </w:r>
          </w:p>
        </w:tc>
        <w:tc>
          <w:tcPr>
            <w:tcW w:w="0" w:type="auto"/>
          </w:tcPr>
          <w:p w14:paraId="78B07EFE" w14:textId="77777777" w:rsidR="00F23134" w:rsidRPr="00124A6C" w:rsidRDefault="00F23134" w:rsidP="00F80D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Survival rate at day 28</w:t>
            </w:r>
          </w:p>
        </w:tc>
      </w:tr>
      <w:tr w:rsidR="00D16ECF" w:rsidRPr="0068569D" w14:paraId="7BC70424" w14:textId="77777777" w:rsidTr="00D801A8">
        <w:trPr>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23A4AC7C" w14:textId="77777777" w:rsidR="00F80D1D" w:rsidRPr="00124A6C" w:rsidRDefault="00F80D1D"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lastRenderedPageBreak/>
              <w:t>NCT04332094</w:t>
            </w:r>
          </w:p>
          <w:p w14:paraId="7F79D4EE" w14:textId="77777777" w:rsidR="00F80D1D" w:rsidRPr="00124A6C" w:rsidRDefault="00F80D1D" w:rsidP="005B6AB7">
            <w:pPr>
              <w:pStyle w:val="DidefaultA"/>
              <w:rPr>
                <w:rFonts w:ascii="Arial" w:hAnsi="Arial" w:cs="Arial"/>
                <w:b w:val="0"/>
                <w:bCs w:val="0"/>
                <w:sz w:val="20"/>
                <w:szCs w:val="20"/>
                <w:shd w:val="clear" w:color="auto" w:fill="FFFFFF"/>
                <w:lang w:val="en-US"/>
              </w:rPr>
            </w:pPr>
          </w:p>
        </w:tc>
        <w:tc>
          <w:tcPr>
            <w:tcW w:w="0" w:type="auto"/>
          </w:tcPr>
          <w:p w14:paraId="66BD5E37" w14:textId="5E5FD884" w:rsidR="00F80D1D" w:rsidRPr="00124A6C" w:rsidRDefault="00F80D1D"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rPr>
              <w:t>Recruiting</w:t>
            </w:r>
          </w:p>
        </w:tc>
        <w:tc>
          <w:tcPr>
            <w:tcW w:w="0" w:type="auto"/>
          </w:tcPr>
          <w:p w14:paraId="09D43E93" w14:textId="672D0D7C" w:rsidR="00F80D1D" w:rsidRPr="00124A6C" w:rsidRDefault="00F80D1D"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124A6C">
              <w:rPr>
                <w:rFonts w:cs="Arial"/>
              </w:rPr>
              <w:t>Multicentre RCT</w:t>
            </w:r>
          </w:p>
        </w:tc>
        <w:tc>
          <w:tcPr>
            <w:tcW w:w="0" w:type="auto"/>
          </w:tcPr>
          <w:p w14:paraId="2E7131AB" w14:textId="77777777" w:rsidR="00F80D1D" w:rsidRPr="00124A6C" w:rsidRDefault="00F80D1D"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Spain</w:t>
            </w:r>
          </w:p>
        </w:tc>
        <w:tc>
          <w:tcPr>
            <w:tcW w:w="0" w:type="auto"/>
          </w:tcPr>
          <w:p w14:paraId="478B43AA" w14:textId="77777777" w:rsidR="00F80D1D" w:rsidRPr="00124A6C" w:rsidRDefault="00F80D1D"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COVID-19 pneumonia</w:t>
            </w:r>
          </w:p>
          <w:p w14:paraId="44AFA2BB" w14:textId="77777777" w:rsidR="00F80D1D" w:rsidRPr="00124A6C" w:rsidRDefault="00F80D1D"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(n=276)</w:t>
            </w:r>
          </w:p>
        </w:tc>
        <w:tc>
          <w:tcPr>
            <w:tcW w:w="0" w:type="auto"/>
          </w:tcPr>
          <w:p w14:paraId="2102AED6" w14:textId="77777777" w:rsidR="00F80D1D" w:rsidRPr="00124A6C" w:rsidRDefault="00F80D1D" w:rsidP="00F80D1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Tocilizumab</w:t>
            </w:r>
          </w:p>
          <w:p w14:paraId="7EFA057B" w14:textId="77777777" w:rsidR="00F80D1D" w:rsidRPr="00124A6C" w:rsidRDefault="00F80D1D" w:rsidP="00F80D1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162 mg sc x 2 doses + tocilizumab 162mg sc x 2 doses at 12 hours (day 1)</w:t>
            </w:r>
          </w:p>
          <w:p w14:paraId="58B1334C" w14:textId="77777777" w:rsidR="00F80D1D" w:rsidRPr="00124A6C" w:rsidRDefault="00F80D1D" w:rsidP="00F80D1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lang w:val="en-US"/>
              </w:rPr>
              <w:br/>
            </w:r>
            <w:r w:rsidRPr="00124A6C">
              <w:rPr>
                <w:rFonts w:ascii="Arial" w:hAnsi="Arial" w:cs="Arial"/>
                <w:color w:val="000000"/>
                <w:sz w:val="20"/>
                <w:szCs w:val="20"/>
                <w:shd w:val="clear" w:color="auto" w:fill="FFFFFF"/>
                <w:lang w:val="en-US"/>
              </w:rPr>
              <w:t>Drug: Hydroxychloroquine</w:t>
            </w:r>
          </w:p>
          <w:p w14:paraId="2109CEF1" w14:textId="77777777" w:rsidR="00F80D1D" w:rsidRPr="00124A6C" w:rsidRDefault="00F80D1D" w:rsidP="00F80D1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400 mg / 12h v.o. day 1 followed by 200 mg / 12h v.o. for 6 days (7 days in total)</w:t>
            </w:r>
          </w:p>
          <w:p w14:paraId="1054AF59" w14:textId="77777777" w:rsidR="00F80D1D" w:rsidRPr="00124A6C" w:rsidRDefault="00F80D1D" w:rsidP="00F80D1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lang w:val="en-US"/>
              </w:rPr>
              <w:br/>
            </w:r>
            <w:r w:rsidRPr="00124A6C">
              <w:rPr>
                <w:rFonts w:ascii="Arial" w:hAnsi="Arial" w:cs="Arial"/>
                <w:color w:val="000000"/>
                <w:sz w:val="20"/>
                <w:szCs w:val="20"/>
                <w:shd w:val="clear" w:color="auto" w:fill="FFFFFF"/>
                <w:lang w:val="en-US"/>
              </w:rPr>
              <w:t xml:space="preserve">Azithromycin </w:t>
            </w:r>
            <w:r w:rsidRPr="00124A6C">
              <w:rPr>
                <w:rFonts w:ascii="Arial" w:hAnsi="Arial" w:cs="Arial"/>
                <w:color w:val="000000"/>
                <w:sz w:val="20"/>
                <w:szCs w:val="20"/>
                <w:lang w:val="en-US"/>
              </w:rPr>
              <w:t>oral</w:t>
            </w:r>
            <w:r w:rsidRPr="00124A6C">
              <w:rPr>
                <w:rFonts w:ascii="Arial" w:hAnsi="Arial" w:cs="Arial"/>
                <w:sz w:val="20"/>
                <w:szCs w:val="20"/>
                <w:lang w:val="en-US"/>
              </w:rPr>
              <w:t xml:space="preserve"> </w:t>
            </w:r>
            <w:r w:rsidRPr="00124A6C">
              <w:rPr>
                <w:rFonts w:ascii="Arial" w:hAnsi="Arial" w:cs="Arial"/>
                <w:color w:val="000000"/>
                <w:sz w:val="20"/>
                <w:szCs w:val="20"/>
                <w:lang w:val="en-US"/>
              </w:rPr>
              <w:t>500 mg / day for 3 days</w:t>
            </w:r>
          </w:p>
          <w:p w14:paraId="1BD79ADD" w14:textId="77777777" w:rsidR="00F80D1D" w:rsidRPr="00124A6C" w:rsidRDefault="00F80D1D" w:rsidP="00F80D1D">
            <w:pPr>
              <w:pStyle w:val="CorpoA"/>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0" w:type="auto"/>
          </w:tcPr>
          <w:p w14:paraId="395CC63C" w14:textId="77777777" w:rsidR="00F80D1D" w:rsidRPr="00124A6C" w:rsidRDefault="00F80D1D" w:rsidP="00F80D1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Hydroxychloroquine oral</w:t>
            </w:r>
          </w:p>
          <w:p w14:paraId="372DBD3F" w14:textId="77777777" w:rsidR="00F80D1D" w:rsidRPr="00124A6C" w:rsidRDefault="00F80D1D" w:rsidP="00F80D1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400 mg / 12h day 1 followed by 200 mg / 12h v.o. for 6 days (7 days in total)</w:t>
            </w:r>
          </w:p>
          <w:p w14:paraId="70C1DE5E" w14:textId="77777777" w:rsidR="00F80D1D" w:rsidRPr="00124A6C" w:rsidRDefault="00F80D1D" w:rsidP="00F80D1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lang w:val="en-US"/>
              </w:rPr>
              <w:br/>
            </w:r>
            <w:r w:rsidRPr="00124A6C">
              <w:rPr>
                <w:rFonts w:ascii="Arial" w:hAnsi="Arial" w:cs="Arial"/>
                <w:color w:val="000000"/>
                <w:sz w:val="20"/>
                <w:szCs w:val="20"/>
                <w:shd w:val="clear" w:color="auto" w:fill="FFFFFF"/>
                <w:lang w:val="en-US"/>
              </w:rPr>
              <w:t>Azithromycin</w:t>
            </w:r>
            <w:r w:rsidRPr="00124A6C">
              <w:rPr>
                <w:rFonts w:ascii="Arial" w:hAnsi="Arial" w:cs="Arial"/>
                <w:sz w:val="20"/>
                <w:szCs w:val="20"/>
                <w:lang w:val="en-US"/>
              </w:rPr>
              <w:t xml:space="preserve"> oral </w:t>
            </w:r>
            <w:r w:rsidRPr="00124A6C">
              <w:rPr>
                <w:rFonts w:ascii="Arial" w:hAnsi="Arial" w:cs="Arial"/>
                <w:color w:val="000000"/>
                <w:sz w:val="20"/>
                <w:szCs w:val="20"/>
                <w:lang w:val="en-US"/>
              </w:rPr>
              <w:t>500 mg / day v.o. for 3 days</w:t>
            </w:r>
          </w:p>
          <w:p w14:paraId="587CBD19" w14:textId="77777777" w:rsidR="00F80D1D" w:rsidRPr="00124A6C" w:rsidRDefault="00F80D1D" w:rsidP="00F80D1D">
            <w:pPr>
              <w:pStyle w:val="DidefaultA"/>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lang w:val="en-US"/>
              </w:rPr>
            </w:pPr>
          </w:p>
        </w:tc>
        <w:tc>
          <w:tcPr>
            <w:tcW w:w="0" w:type="auto"/>
          </w:tcPr>
          <w:p w14:paraId="446F5926" w14:textId="77777777" w:rsidR="00F80D1D" w:rsidRPr="00124A6C" w:rsidRDefault="00F80D1D" w:rsidP="00F80D1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In-hospital mortality and need for mechanical ventilation in the Intensive Care Unit at day 14 and at dimission</w:t>
            </w:r>
          </w:p>
          <w:p w14:paraId="7EBBE450" w14:textId="77777777" w:rsidR="00F80D1D" w:rsidRPr="00124A6C" w:rsidRDefault="00F80D1D" w:rsidP="00F80D1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p w14:paraId="0932C548" w14:textId="77777777" w:rsidR="00F80D1D" w:rsidRPr="00124A6C" w:rsidRDefault="00F80D1D" w:rsidP="00F80D1D">
            <w:pPr>
              <w:pStyle w:val="DidefaultA"/>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lang w:val="en-US"/>
              </w:rPr>
            </w:pPr>
          </w:p>
        </w:tc>
      </w:tr>
      <w:tr w:rsidR="00D16ECF" w:rsidRPr="00124A6C" w14:paraId="174442C5" w14:textId="77777777" w:rsidTr="00D801A8">
        <w:trPr>
          <w:cnfStyle w:val="000000100000" w:firstRow="0" w:lastRow="0" w:firstColumn="0" w:lastColumn="0" w:oddVBand="0" w:evenVBand="0" w:oddHBand="1" w:evenHBand="0" w:firstRowFirstColumn="0" w:firstRowLastColumn="0" w:lastRowFirstColumn="0" w:lastRowLastColumn="0"/>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1CF6C0A2" w14:textId="77777777" w:rsidR="00F80D1D" w:rsidRPr="00124A6C" w:rsidRDefault="00F80D1D"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t>NCT04330638</w:t>
            </w:r>
          </w:p>
          <w:p w14:paraId="4148BB87" w14:textId="77777777" w:rsidR="00F80D1D" w:rsidRPr="00124A6C" w:rsidRDefault="00F80D1D" w:rsidP="005B6AB7">
            <w:pPr>
              <w:pStyle w:val="DidefaultA"/>
              <w:rPr>
                <w:rFonts w:ascii="Arial" w:hAnsi="Arial" w:cs="Arial"/>
                <w:b w:val="0"/>
                <w:bCs w:val="0"/>
                <w:sz w:val="20"/>
                <w:szCs w:val="20"/>
                <w:shd w:val="clear" w:color="auto" w:fill="FFFFFF"/>
                <w:lang w:val="en-US"/>
              </w:rPr>
            </w:pPr>
          </w:p>
        </w:tc>
        <w:tc>
          <w:tcPr>
            <w:tcW w:w="0" w:type="auto"/>
          </w:tcPr>
          <w:p w14:paraId="56917B14" w14:textId="5476BA66" w:rsidR="00F80D1D" w:rsidRPr="00124A6C" w:rsidRDefault="00F80D1D" w:rsidP="00F80D1D">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rPr>
              <w:t>Recruiting</w:t>
            </w:r>
          </w:p>
        </w:tc>
        <w:tc>
          <w:tcPr>
            <w:tcW w:w="0" w:type="auto"/>
          </w:tcPr>
          <w:p w14:paraId="262B827D" w14:textId="466B47BB" w:rsidR="00F80D1D" w:rsidRPr="00124A6C" w:rsidRDefault="00F80D1D" w:rsidP="00F80D1D">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124A6C">
              <w:rPr>
                <w:rFonts w:cs="Arial"/>
              </w:rPr>
              <w:t>Multicentre RCT</w:t>
            </w:r>
          </w:p>
        </w:tc>
        <w:tc>
          <w:tcPr>
            <w:tcW w:w="0" w:type="auto"/>
          </w:tcPr>
          <w:p w14:paraId="6E39AF2D" w14:textId="77777777" w:rsidR="00F80D1D" w:rsidRPr="00124A6C" w:rsidRDefault="00F80D1D" w:rsidP="00F80D1D">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Belgium</w:t>
            </w:r>
          </w:p>
        </w:tc>
        <w:tc>
          <w:tcPr>
            <w:tcW w:w="0" w:type="auto"/>
          </w:tcPr>
          <w:p w14:paraId="36025346" w14:textId="08640FAD" w:rsidR="00F80D1D" w:rsidRPr="00124A6C" w:rsidRDefault="00F80D1D" w:rsidP="00F80D1D">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Patients with COVID-19 (n=342)</w:t>
            </w:r>
          </w:p>
        </w:tc>
        <w:tc>
          <w:tcPr>
            <w:tcW w:w="0" w:type="auto"/>
          </w:tcPr>
          <w:p w14:paraId="12417D13" w14:textId="77777777" w:rsidR="00F80D1D" w:rsidRPr="00124A6C" w:rsidRDefault="00F80D1D" w:rsidP="00F80D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Anakinra-Tocilizumab group:</w:t>
            </w:r>
          </w:p>
          <w:p w14:paraId="7567F0CE" w14:textId="77777777" w:rsidR="00F80D1D" w:rsidRPr="00124A6C" w:rsidRDefault="00F80D1D" w:rsidP="00F80D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Anakinra s.c 100 mg/day for 28 days or until hospital discharge</w:t>
            </w:r>
          </w:p>
          <w:p w14:paraId="2F8E03CD" w14:textId="77777777" w:rsidR="00F80D1D" w:rsidRPr="00124A6C" w:rsidRDefault="00F80D1D" w:rsidP="00F80D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p w14:paraId="763497C7" w14:textId="77777777" w:rsidR="00F80D1D" w:rsidRPr="00124A6C" w:rsidRDefault="00F80D1D" w:rsidP="00F80D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lang w:val="en-US"/>
              </w:rPr>
              <w:t>Tocilizumab e.v. 8 mg/kg (</w:t>
            </w:r>
            <w:r w:rsidRPr="00124A6C">
              <w:rPr>
                <w:rFonts w:ascii="Arial" w:hAnsi="Arial" w:cs="Arial"/>
                <w:sz w:val="20"/>
                <w:szCs w:val="20"/>
                <w:lang w:val="en-US"/>
              </w:rPr>
              <w:t>up to a maximum of 800mg per dose), single administration</w:t>
            </w:r>
          </w:p>
          <w:p w14:paraId="5AAF91FF" w14:textId="77777777" w:rsidR="00F80D1D" w:rsidRPr="00124A6C" w:rsidRDefault="00F80D1D" w:rsidP="00F80D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p>
          <w:p w14:paraId="1C80C246" w14:textId="77777777" w:rsidR="00F80D1D" w:rsidRPr="00124A6C" w:rsidRDefault="00F80D1D" w:rsidP="00F80D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Tocilizumab group:</w:t>
            </w:r>
          </w:p>
          <w:p w14:paraId="12A9BAB8" w14:textId="77777777" w:rsidR="00F80D1D" w:rsidRPr="00124A6C" w:rsidRDefault="00F80D1D" w:rsidP="00F80D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lang w:val="en-US"/>
              </w:rPr>
              <w:t>Tocilizumab e.v. 8 mg/kg (</w:t>
            </w:r>
            <w:r w:rsidRPr="00124A6C">
              <w:rPr>
                <w:rFonts w:ascii="Arial" w:hAnsi="Arial" w:cs="Arial"/>
                <w:sz w:val="20"/>
                <w:szCs w:val="20"/>
                <w:lang w:val="en-US"/>
              </w:rPr>
              <w:t>up to a maximum of 800mg per dose), single administration</w:t>
            </w:r>
          </w:p>
          <w:p w14:paraId="146CDCAB" w14:textId="77777777" w:rsidR="00F80D1D" w:rsidRPr="00124A6C" w:rsidRDefault="00F80D1D" w:rsidP="00F80D1D">
            <w:pPr>
              <w:pStyle w:val="CorpoA"/>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c>
          <w:tcPr>
            <w:tcW w:w="0" w:type="auto"/>
          </w:tcPr>
          <w:p w14:paraId="2F5A4BF6" w14:textId="77777777" w:rsidR="00F80D1D" w:rsidRPr="00124A6C" w:rsidRDefault="00F80D1D" w:rsidP="00F80D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Anakinra-Siltuximab group:</w:t>
            </w:r>
          </w:p>
          <w:p w14:paraId="3620ECEB" w14:textId="77777777" w:rsidR="00F80D1D" w:rsidRPr="00124A6C" w:rsidRDefault="00F80D1D" w:rsidP="00F80D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Anakinra s.c 100 mg/day for 28 days or until hospital discharge</w:t>
            </w:r>
          </w:p>
          <w:p w14:paraId="282DB0F7" w14:textId="77777777" w:rsidR="00F80D1D" w:rsidRPr="00124A6C" w:rsidRDefault="00F80D1D" w:rsidP="00F80D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p w14:paraId="7BEAB30B" w14:textId="77777777" w:rsidR="00F80D1D" w:rsidRPr="00124A6C" w:rsidRDefault="00F80D1D" w:rsidP="00F80D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Siltuximab e.v. 11 mg/kg, single administration</w:t>
            </w:r>
          </w:p>
          <w:p w14:paraId="75E3997D" w14:textId="77777777" w:rsidR="00F80D1D" w:rsidRPr="00124A6C" w:rsidRDefault="00F80D1D" w:rsidP="00F80D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p>
          <w:p w14:paraId="37845136" w14:textId="77777777" w:rsidR="00F80D1D" w:rsidRPr="00124A6C" w:rsidRDefault="00F80D1D" w:rsidP="00F80D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shd w:val="clear" w:color="auto" w:fill="FFFFFF"/>
                <w:lang w:val="en-US"/>
              </w:rPr>
              <w:t>Siltuximab group:</w:t>
            </w:r>
          </w:p>
          <w:p w14:paraId="6A2C67BF" w14:textId="77777777" w:rsidR="00F80D1D" w:rsidRPr="00124A6C" w:rsidRDefault="00F80D1D" w:rsidP="00F80D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Siltuximab e.v. 11 mg/kg, single administration</w:t>
            </w:r>
          </w:p>
          <w:p w14:paraId="4494F024" w14:textId="77777777" w:rsidR="00F80D1D" w:rsidRPr="00124A6C" w:rsidRDefault="00F80D1D" w:rsidP="00F80D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Anakinra group:</w:t>
            </w:r>
          </w:p>
          <w:p w14:paraId="20CD622E" w14:textId="77777777" w:rsidR="00F80D1D" w:rsidRPr="00124A6C" w:rsidRDefault="00F80D1D" w:rsidP="00F80D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Anakinra s.c 100 mg/day for 28 days or until hospital discharge</w:t>
            </w:r>
          </w:p>
          <w:p w14:paraId="023C5508" w14:textId="77777777" w:rsidR="00F80D1D" w:rsidRPr="00124A6C" w:rsidRDefault="00F80D1D" w:rsidP="00F80D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Usual Care group:</w:t>
            </w:r>
          </w:p>
          <w:p w14:paraId="5F96D0F9" w14:textId="77777777" w:rsidR="00F80D1D" w:rsidRPr="00124A6C" w:rsidRDefault="00F80D1D" w:rsidP="00F80D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lang w:val="en-US"/>
              </w:rPr>
            </w:pPr>
            <w:r w:rsidRPr="00124A6C">
              <w:rPr>
                <w:rFonts w:ascii="Arial" w:hAnsi="Arial" w:cs="Arial"/>
                <w:color w:val="000000"/>
                <w:sz w:val="20"/>
                <w:szCs w:val="20"/>
                <w:lang w:val="en-US"/>
              </w:rPr>
              <w:t>Conventional therapy</w:t>
            </w:r>
          </w:p>
        </w:tc>
        <w:tc>
          <w:tcPr>
            <w:tcW w:w="0" w:type="auto"/>
          </w:tcPr>
          <w:p w14:paraId="37DBBBB9" w14:textId="77777777" w:rsidR="00F80D1D" w:rsidRPr="00124A6C" w:rsidRDefault="00F80D1D" w:rsidP="00F80D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24A6C">
              <w:rPr>
                <w:rFonts w:ascii="Arial" w:hAnsi="Arial" w:cs="Arial"/>
                <w:color w:val="000000"/>
                <w:sz w:val="20"/>
                <w:szCs w:val="20"/>
                <w:shd w:val="clear" w:color="auto" w:fill="FFFFFF"/>
              </w:rPr>
              <w:t>Time to clinical Improvement</w:t>
            </w:r>
          </w:p>
          <w:p w14:paraId="03BD7BD5" w14:textId="77777777" w:rsidR="00F80D1D" w:rsidRPr="00124A6C" w:rsidRDefault="00F80D1D" w:rsidP="00F80D1D">
            <w:pPr>
              <w:pStyle w:val="DidefaultA"/>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lang w:val="en-US"/>
              </w:rPr>
            </w:pPr>
          </w:p>
        </w:tc>
      </w:tr>
      <w:tr w:rsidR="00D16ECF" w:rsidRPr="0068569D" w14:paraId="5C8491C0" w14:textId="77777777" w:rsidTr="00D801A8">
        <w:trPr>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30C22F5F" w14:textId="77777777" w:rsidR="00F80D1D" w:rsidRPr="00124A6C" w:rsidRDefault="00F80D1D"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t>NCT04332913</w:t>
            </w:r>
          </w:p>
          <w:p w14:paraId="24A02502" w14:textId="77777777" w:rsidR="00F80D1D" w:rsidRPr="00124A6C" w:rsidRDefault="00F80D1D" w:rsidP="005B6AB7">
            <w:pPr>
              <w:pStyle w:val="DidefaultA"/>
              <w:rPr>
                <w:rFonts w:ascii="Arial" w:hAnsi="Arial" w:cs="Arial"/>
                <w:b w:val="0"/>
                <w:bCs w:val="0"/>
                <w:sz w:val="20"/>
                <w:szCs w:val="20"/>
                <w:shd w:val="clear" w:color="auto" w:fill="FFFFFF"/>
                <w:lang w:val="en-US"/>
              </w:rPr>
            </w:pPr>
          </w:p>
        </w:tc>
        <w:tc>
          <w:tcPr>
            <w:tcW w:w="0" w:type="auto"/>
          </w:tcPr>
          <w:p w14:paraId="764E78E0" w14:textId="62088E51" w:rsidR="00F80D1D" w:rsidRPr="00124A6C" w:rsidRDefault="00F80D1D"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rPr>
              <w:t>Recruiting</w:t>
            </w:r>
          </w:p>
        </w:tc>
        <w:tc>
          <w:tcPr>
            <w:tcW w:w="0" w:type="auto"/>
          </w:tcPr>
          <w:p w14:paraId="3B802E99" w14:textId="77777777" w:rsidR="00F80D1D" w:rsidRPr="00124A6C" w:rsidRDefault="00F80D1D" w:rsidP="00085EF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Single centre prospective observational clinical study</w:t>
            </w:r>
          </w:p>
        </w:tc>
        <w:tc>
          <w:tcPr>
            <w:tcW w:w="0" w:type="auto"/>
          </w:tcPr>
          <w:p w14:paraId="3F887BEC" w14:textId="77777777" w:rsidR="00F80D1D" w:rsidRPr="00124A6C" w:rsidRDefault="00F80D1D"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Italy</w:t>
            </w:r>
          </w:p>
        </w:tc>
        <w:tc>
          <w:tcPr>
            <w:tcW w:w="0" w:type="auto"/>
          </w:tcPr>
          <w:p w14:paraId="6384DEE2" w14:textId="77777777" w:rsidR="00F80D1D" w:rsidRPr="00124A6C" w:rsidRDefault="00F80D1D"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Hospitalized patients with COVID-19 with high level of IL-6</w:t>
            </w:r>
          </w:p>
          <w:p w14:paraId="7206EC7D" w14:textId="7B676C06" w:rsidR="00F80D1D" w:rsidRPr="00124A6C" w:rsidRDefault="00F80D1D"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(n=30)</w:t>
            </w:r>
          </w:p>
        </w:tc>
        <w:tc>
          <w:tcPr>
            <w:tcW w:w="0" w:type="auto"/>
          </w:tcPr>
          <w:p w14:paraId="0EAB7CDC" w14:textId="77777777" w:rsidR="00F80D1D" w:rsidRPr="00124A6C" w:rsidRDefault="00F80D1D" w:rsidP="00F80D1D">
            <w:pPr>
              <w:pStyle w:val="CorpoA"/>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sz w:val="20"/>
                <w:szCs w:val="20"/>
                <w:lang w:val="en-US"/>
              </w:rPr>
              <w:t>Tocilizumab</w:t>
            </w:r>
          </w:p>
        </w:tc>
        <w:tc>
          <w:tcPr>
            <w:tcW w:w="0" w:type="auto"/>
          </w:tcPr>
          <w:p w14:paraId="63E1CABA" w14:textId="77777777" w:rsidR="00F80D1D" w:rsidRPr="00124A6C" w:rsidRDefault="00F80D1D" w:rsidP="00F80D1D">
            <w:pPr>
              <w:pStyle w:val="DidefaultA"/>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lang w:val="en-US"/>
              </w:rPr>
            </w:pPr>
            <w:r w:rsidRPr="00124A6C">
              <w:rPr>
                <w:rFonts w:ascii="Arial" w:hAnsi="Arial" w:cs="Arial"/>
                <w:sz w:val="20"/>
                <w:szCs w:val="20"/>
                <w:shd w:val="clear" w:color="auto" w:fill="FFFFFF"/>
                <w:lang w:val="en-US"/>
              </w:rPr>
              <w:t>NA</w:t>
            </w:r>
          </w:p>
        </w:tc>
        <w:tc>
          <w:tcPr>
            <w:tcW w:w="0" w:type="auto"/>
          </w:tcPr>
          <w:p w14:paraId="682B345C" w14:textId="77777777" w:rsidR="00F80D1D" w:rsidRPr="00124A6C" w:rsidRDefault="00F80D1D" w:rsidP="00F80D1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 xml:space="preserve">Fever disappearance and return to normal SpO2 at day 14 </w:t>
            </w:r>
          </w:p>
        </w:tc>
      </w:tr>
      <w:tr w:rsidR="00D16ECF" w:rsidRPr="0068569D" w14:paraId="694B66E9" w14:textId="77777777" w:rsidTr="00D801A8">
        <w:trPr>
          <w:cnfStyle w:val="000000100000" w:firstRow="0" w:lastRow="0" w:firstColumn="0" w:lastColumn="0" w:oddVBand="0" w:evenVBand="0" w:oddHBand="1" w:evenHBand="0" w:firstRowFirstColumn="0" w:firstRowLastColumn="0" w:lastRowFirstColumn="0" w:lastRowLastColumn="0"/>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64D854E7" w14:textId="77777777" w:rsidR="00F80D1D" w:rsidRPr="00124A6C" w:rsidRDefault="00F80D1D"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lastRenderedPageBreak/>
              <w:t>NCT04339712</w:t>
            </w:r>
          </w:p>
          <w:p w14:paraId="5A3E202C" w14:textId="77777777" w:rsidR="00F80D1D" w:rsidRPr="00124A6C" w:rsidRDefault="00F80D1D" w:rsidP="005B6AB7">
            <w:pPr>
              <w:pStyle w:val="DidefaultA"/>
              <w:rPr>
                <w:rFonts w:ascii="Arial" w:hAnsi="Arial" w:cs="Arial"/>
                <w:b w:val="0"/>
                <w:bCs w:val="0"/>
                <w:sz w:val="20"/>
                <w:szCs w:val="20"/>
                <w:shd w:val="clear" w:color="auto" w:fill="FFFFFF"/>
                <w:lang w:val="en-US"/>
              </w:rPr>
            </w:pPr>
          </w:p>
        </w:tc>
        <w:tc>
          <w:tcPr>
            <w:tcW w:w="0" w:type="auto"/>
          </w:tcPr>
          <w:p w14:paraId="6CC8790E" w14:textId="79CC1807" w:rsidR="00F80D1D" w:rsidRPr="00124A6C" w:rsidRDefault="00F80D1D" w:rsidP="00F80D1D">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rPr>
              <w:t>Recruiting</w:t>
            </w:r>
            <w:r w:rsidRPr="00124A6C">
              <w:rPr>
                <w:rFonts w:cs="Arial"/>
                <w:lang w:val="en-US"/>
              </w:rPr>
              <w:t xml:space="preserve"> </w:t>
            </w:r>
          </w:p>
        </w:tc>
        <w:tc>
          <w:tcPr>
            <w:tcW w:w="0" w:type="auto"/>
          </w:tcPr>
          <w:p w14:paraId="61D8F8EF" w14:textId="00AC40A4" w:rsidR="00F80D1D" w:rsidRPr="00085EFE" w:rsidRDefault="00F80D1D" w:rsidP="00F80D1D">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085EFE">
              <w:rPr>
                <w:rFonts w:cs="Arial"/>
              </w:rPr>
              <w:t>Multicentre</w:t>
            </w:r>
            <w:r w:rsidR="00085EFE" w:rsidRPr="00085EFE">
              <w:rPr>
                <w:rFonts w:cs="Arial"/>
              </w:rPr>
              <w:t xml:space="preserve"> non-randomized</w:t>
            </w:r>
            <w:r w:rsidRPr="00085EFE">
              <w:rPr>
                <w:rFonts w:cs="Arial"/>
              </w:rPr>
              <w:t xml:space="preserve"> clinical trial</w:t>
            </w:r>
          </w:p>
        </w:tc>
        <w:tc>
          <w:tcPr>
            <w:tcW w:w="0" w:type="auto"/>
          </w:tcPr>
          <w:p w14:paraId="5BD2C390" w14:textId="77777777" w:rsidR="00F80D1D" w:rsidRPr="00124A6C" w:rsidRDefault="00F80D1D" w:rsidP="00F80D1D">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Greece</w:t>
            </w:r>
          </w:p>
        </w:tc>
        <w:tc>
          <w:tcPr>
            <w:tcW w:w="0" w:type="auto"/>
          </w:tcPr>
          <w:p w14:paraId="3FA543E1" w14:textId="56F781E5" w:rsidR="00F80D1D" w:rsidRPr="00124A6C" w:rsidRDefault="00F80D1D" w:rsidP="00F80D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sz w:val="20"/>
                <w:szCs w:val="20"/>
                <w:lang w:val="en-US"/>
              </w:rPr>
              <w:t xml:space="preserve">Patients with COVID-19 with </w:t>
            </w:r>
            <w:r w:rsidRPr="00124A6C">
              <w:rPr>
                <w:rFonts w:ascii="Arial" w:hAnsi="Arial" w:cs="Arial"/>
                <w:color w:val="000000"/>
                <w:sz w:val="20"/>
                <w:szCs w:val="20"/>
                <w:shd w:val="clear" w:color="auto" w:fill="FFFFFF"/>
                <w:lang w:val="en-US"/>
              </w:rPr>
              <w:t>MAS or immune dysregulation</w:t>
            </w:r>
          </w:p>
          <w:p w14:paraId="4229DD0A" w14:textId="77777777" w:rsidR="00F80D1D" w:rsidRPr="00124A6C" w:rsidRDefault="00F80D1D" w:rsidP="00F80D1D">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(n=40)</w:t>
            </w:r>
          </w:p>
        </w:tc>
        <w:tc>
          <w:tcPr>
            <w:tcW w:w="0" w:type="auto"/>
          </w:tcPr>
          <w:p w14:paraId="5B119B5A" w14:textId="77777777" w:rsidR="00F80D1D" w:rsidRPr="00124A6C" w:rsidRDefault="00F80D1D" w:rsidP="00F80D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Tocilizumab</w:t>
            </w:r>
          </w:p>
          <w:p w14:paraId="4D81B9EA" w14:textId="77777777" w:rsidR="00F80D1D" w:rsidRPr="00124A6C" w:rsidRDefault="00F80D1D" w:rsidP="00F80D1D">
            <w:pPr>
              <w:pStyle w:val="Normale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lang w:val="en-US"/>
              </w:rPr>
              <w:t xml:space="preserve">If immune dysregulation: tocilizumab i.v. 8mg/kg (up to a maximum of 800mg) single administration. </w:t>
            </w:r>
          </w:p>
        </w:tc>
        <w:tc>
          <w:tcPr>
            <w:tcW w:w="0" w:type="auto"/>
          </w:tcPr>
          <w:p w14:paraId="04C62745" w14:textId="77777777" w:rsidR="00F80D1D" w:rsidRPr="00124A6C" w:rsidRDefault="00F80D1D" w:rsidP="00F80D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If MAS: anakinra i.v. 200mg TID  for 7 days. ( if kidney disfunction 100mg TID for 15 days)</w:t>
            </w:r>
          </w:p>
          <w:p w14:paraId="40DD2CB3" w14:textId="77777777" w:rsidR="00F80D1D" w:rsidRPr="00124A6C" w:rsidRDefault="00F80D1D" w:rsidP="00F80D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p>
        </w:tc>
        <w:tc>
          <w:tcPr>
            <w:tcW w:w="0" w:type="auto"/>
          </w:tcPr>
          <w:p w14:paraId="0008B66F" w14:textId="77777777" w:rsidR="00F80D1D" w:rsidRPr="00124A6C" w:rsidRDefault="00F80D1D" w:rsidP="00F80D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Change of SOFA score, improvement of lung involvement and increase of pO2/FiO2 ratio at day 8</w:t>
            </w:r>
          </w:p>
        </w:tc>
      </w:tr>
      <w:tr w:rsidR="00D16ECF" w:rsidRPr="0068569D" w14:paraId="18764186" w14:textId="77777777" w:rsidTr="00D801A8">
        <w:trPr>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0CB7E765" w14:textId="77777777" w:rsidR="00F80D1D" w:rsidRPr="00124A6C" w:rsidRDefault="00F80D1D"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t>NCT04335305</w:t>
            </w:r>
          </w:p>
          <w:p w14:paraId="0634BA47" w14:textId="77777777" w:rsidR="00F80D1D" w:rsidRPr="00124A6C" w:rsidRDefault="00F80D1D" w:rsidP="005B6AB7">
            <w:pPr>
              <w:pStyle w:val="DidefaultA"/>
              <w:rPr>
                <w:rFonts w:ascii="Arial" w:hAnsi="Arial" w:cs="Arial"/>
                <w:b w:val="0"/>
                <w:bCs w:val="0"/>
                <w:sz w:val="20"/>
                <w:szCs w:val="20"/>
                <w:shd w:val="clear" w:color="auto" w:fill="FFFFFF"/>
                <w:lang w:val="en-US"/>
              </w:rPr>
            </w:pPr>
          </w:p>
        </w:tc>
        <w:tc>
          <w:tcPr>
            <w:tcW w:w="0" w:type="auto"/>
          </w:tcPr>
          <w:p w14:paraId="7CA3E8B1" w14:textId="4ED49F21" w:rsidR="00F80D1D" w:rsidRPr="00124A6C" w:rsidRDefault="00F80D1D"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rPr>
              <w:t>Recruiting</w:t>
            </w:r>
            <w:r w:rsidRPr="00124A6C">
              <w:rPr>
                <w:rFonts w:cs="Arial"/>
                <w:lang w:val="en-US"/>
              </w:rPr>
              <w:t xml:space="preserve"> </w:t>
            </w:r>
          </w:p>
        </w:tc>
        <w:tc>
          <w:tcPr>
            <w:tcW w:w="0" w:type="auto"/>
          </w:tcPr>
          <w:p w14:paraId="3722C6C9" w14:textId="1CABAA2D" w:rsidR="00F80D1D" w:rsidRPr="00124A6C" w:rsidRDefault="00F80D1D"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124A6C">
              <w:rPr>
                <w:rFonts w:cs="Arial"/>
              </w:rPr>
              <w:t>Multicentre RCT</w:t>
            </w:r>
          </w:p>
        </w:tc>
        <w:tc>
          <w:tcPr>
            <w:tcW w:w="0" w:type="auto"/>
          </w:tcPr>
          <w:p w14:paraId="4C30E9DB" w14:textId="77777777" w:rsidR="00F80D1D" w:rsidRPr="00124A6C" w:rsidRDefault="00F80D1D"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Spain</w:t>
            </w:r>
          </w:p>
        </w:tc>
        <w:tc>
          <w:tcPr>
            <w:tcW w:w="0" w:type="auto"/>
          </w:tcPr>
          <w:p w14:paraId="0B88526D" w14:textId="726BB7D6" w:rsidR="00F80D1D" w:rsidRPr="00124A6C" w:rsidRDefault="00F80D1D" w:rsidP="00F80D1D">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Patients with COVID-19 and hyperinflammatory status (n=24)</w:t>
            </w:r>
          </w:p>
        </w:tc>
        <w:tc>
          <w:tcPr>
            <w:tcW w:w="0" w:type="auto"/>
          </w:tcPr>
          <w:p w14:paraId="23C6D347" w14:textId="77777777" w:rsidR="00F80D1D" w:rsidRPr="00124A6C" w:rsidRDefault="00F80D1D" w:rsidP="00F80D1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 xml:space="preserve">Tocilizumab 8 mg/kg i.v.  (up to 800 mg per dose) over 60 minutes single dose </w:t>
            </w:r>
          </w:p>
          <w:p w14:paraId="4F4DA167" w14:textId="77777777" w:rsidR="00F80D1D" w:rsidRPr="00124A6C" w:rsidRDefault="00F80D1D" w:rsidP="00F80D1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 xml:space="preserve">Plus </w:t>
            </w:r>
          </w:p>
          <w:p w14:paraId="07CEC73D" w14:textId="57E6E0DF" w:rsidR="00F80D1D" w:rsidRPr="00124A6C" w:rsidRDefault="00F80D1D" w:rsidP="00F80D1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Pembrolizumab (MK3475) 200 mg i.v. over 30 minutes single dose.</w:t>
            </w:r>
          </w:p>
          <w:p w14:paraId="73C4F310" w14:textId="38C840D8" w:rsidR="00F80D1D" w:rsidRPr="00124A6C" w:rsidRDefault="00F80D1D" w:rsidP="00F80D1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Additional same dose of TCZ if no improvement in 12h. If SpO2 ≤ 94% on room air additional dose of pembrolizumab (MK-3475) after 3 weeks and/or an additional dose of tocilizumab after 4 weeks at physician's discretion</w:t>
            </w:r>
          </w:p>
        </w:tc>
        <w:tc>
          <w:tcPr>
            <w:tcW w:w="0" w:type="auto"/>
          </w:tcPr>
          <w:p w14:paraId="65ADB2EF" w14:textId="6CB09C58" w:rsidR="00F80D1D" w:rsidRPr="00124A6C" w:rsidRDefault="00F80D1D" w:rsidP="00F80D1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Standard care</w:t>
            </w:r>
          </w:p>
          <w:p w14:paraId="53B65A0F" w14:textId="77777777" w:rsidR="00F80D1D" w:rsidRPr="00124A6C" w:rsidRDefault="00F80D1D" w:rsidP="00F80D1D">
            <w:pPr>
              <w:pStyle w:val="DidefaultA"/>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lang w:val="en-US"/>
              </w:rPr>
            </w:pPr>
          </w:p>
        </w:tc>
        <w:tc>
          <w:tcPr>
            <w:tcW w:w="0" w:type="auto"/>
          </w:tcPr>
          <w:p w14:paraId="15A9C61F" w14:textId="32EB0048" w:rsidR="00F80D1D" w:rsidRPr="00124A6C" w:rsidRDefault="00F80D1D" w:rsidP="00F80D1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 xml:space="preserve">Percentage of patients with normalization of SpO2 ≥96% </w:t>
            </w:r>
            <w:r w:rsidR="00A35CCB" w:rsidRPr="00124A6C">
              <w:rPr>
                <w:rFonts w:ascii="Arial" w:hAnsi="Arial" w:cs="Arial"/>
                <w:color w:val="000000"/>
                <w:sz w:val="20"/>
                <w:szCs w:val="20"/>
                <w:shd w:val="clear" w:color="auto" w:fill="FFFFFF"/>
                <w:lang w:val="en-US"/>
              </w:rPr>
              <w:t>at day 14</w:t>
            </w:r>
          </w:p>
          <w:p w14:paraId="2D22507B" w14:textId="77777777" w:rsidR="00F80D1D" w:rsidRPr="00124A6C" w:rsidRDefault="00F80D1D" w:rsidP="00F80D1D">
            <w:pPr>
              <w:pStyle w:val="DidefaultA"/>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lang w:val="en-US"/>
              </w:rPr>
            </w:pPr>
          </w:p>
        </w:tc>
      </w:tr>
      <w:tr w:rsidR="00D16ECF" w:rsidRPr="0068569D" w14:paraId="2EB299AF" w14:textId="77777777" w:rsidTr="00D801A8">
        <w:trPr>
          <w:cnfStyle w:val="000000100000" w:firstRow="0" w:lastRow="0" w:firstColumn="0" w:lastColumn="0" w:oddVBand="0" w:evenVBand="0" w:oddHBand="1" w:evenHBand="0" w:firstRowFirstColumn="0" w:firstRowLastColumn="0" w:lastRowFirstColumn="0" w:lastRowLastColumn="0"/>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0BBC660F" w14:textId="77777777" w:rsidR="00F80D1D" w:rsidRPr="00124A6C" w:rsidRDefault="00F80D1D"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t>NCT04346355</w:t>
            </w:r>
          </w:p>
          <w:p w14:paraId="55A3FFA6" w14:textId="77777777" w:rsidR="00F80D1D" w:rsidRPr="00124A6C" w:rsidRDefault="00F80D1D" w:rsidP="005B6AB7">
            <w:pPr>
              <w:pStyle w:val="DidefaultA"/>
              <w:rPr>
                <w:rFonts w:ascii="Arial" w:hAnsi="Arial" w:cs="Arial"/>
                <w:b w:val="0"/>
                <w:bCs w:val="0"/>
                <w:sz w:val="20"/>
                <w:szCs w:val="20"/>
                <w:shd w:val="clear" w:color="auto" w:fill="FFFFFF"/>
                <w:lang w:val="en-US"/>
              </w:rPr>
            </w:pPr>
          </w:p>
        </w:tc>
        <w:tc>
          <w:tcPr>
            <w:tcW w:w="0" w:type="auto"/>
          </w:tcPr>
          <w:p w14:paraId="276E37D1" w14:textId="743B2E1B" w:rsidR="00F80D1D" w:rsidRPr="00124A6C" w:rsidRDefault="00A35CCB" w:rsidP="00F80D1D">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rPr>
              <w:t>Recruiting</w:t>
            </w:r>
            <w:r w:rsidRPr="00124A6C">
              <w:rPr>
                <w:rFonts w:cs="Arial"/>
                <w:lang w:val="en-US"/>
              </w:rPr>
              <w:t xml:space="preserve"> </w:t>
            </w:r>
          </w:p>
        </w:tc>
        <w:tc>
          <w:tcPr>
            <w:tcW w:w="0" w:type="auto"/>
          </w:tcPr>
          <w:p w14:paraId="4A6014C8" w14:textId="6B388135" w:rsidR="00F80D1D" w:rsidRPr="00124A6C" w:rsidRDefault="00F80D1D" w:rsidP="00F80D1D">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124A6C">
              <w:rPr>
                <w:rFonts w:cs="Arial"/>
              </w:rPr>
              <w:t>Multicentre RCT</w:t>
            </w:r>
          </w:p>
        </w:tc>
        <w:tc>
          <w:tcPr>
            <w:tcW w:w="0" w:type="auto"/>
          </w:tcPr>
          <w:p w14:paraId="630A1DE9" w14:textId="77777777" w:rsidR="00F80D1D" w:rsidRPr="00124A6C" w:rsidRDefault="00F80D1D" w:rsidP="00F80D1D">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Italy</w:t>
            </w:r>
          </w:p>
        </w:tc>
        <w:tc>
          <w:tcPr>
            <w:tcW w:w="0" w:type="auto"/>
          </w:tcPr>
          <w:p w14:paraId="162A6B02" w14:textId="2DCE854D" w:rsidR="00F80D1D" w:rsidRPr="00124A6C" w:rsidRDefault="00A35CCB" w:rsidP="00F80D1D">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 xml:space="preserve">Patients with </w:t>
            </w:r>
            <w:r w:rsidR="00F80D1D" w:rsidRPr="00124A6C">
              <w:rPr>
                <w:rFonts w:cs="Arial"/>
                <w:lang w:val="en-US"/>
              </w:rPr>
              <w:t>COVID-19 (n=398)</w:t>
            </w:r>
          </w:p>
        </w:tc>
        <w:tc>
          <w:tcPr>
            <w:tcW w:w="0" w:type="auto"/>
          </w:tcPr>
          <w:p w14:paraId="7457ECC3" w14:textId="59191439" w:rsidR="00F80D1D" w:rsidRPr="00124A6C" w:rsidRDefault="00F80D1D" w:rsidP="00F80D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Tocilizumab within 8 hours from entering the study</w:t>
            </w:r>
            <w:r w:rsidR="00A35CCB" w:rsidRPr="00124A6C">
              <w:rPr>
                <w:rFonts w:ascii="Arial" w:hAnsi="Arial" w:cs="Arial"/>
                <w:color w:val="000000"/>
                <w:sz w:val="20"/>
                <w:szCs w:val="20"/>
                <w:shd w:val="clear" w:color="auto" w:fill="FFFFFF"/>
                <w:lang w:val="en-US"/>
              </w:rPr>
              <w:t xml:space="preserve"> </w:t>
            </w:r>
            <w:r w:rsidRPr="00124A6C">
              <w:rPr>
                <w:rFonts w:ascii="Arial" w:hAnsi="Arial" w:cs="Arial"/>
                <w:color w:val="000000"/>
                <w:sz w:val="20"/>
                <w:szCs w:val="20"/>
                <w:shd w:val="clear" w:color="auto" w:fill="FFFFFF"/>
                <w:lang w:val="en-US"/>
              </w:rPr>
              <w:t xml:space="preserve">8 mg/kg </w:t>
            </w:r>
            <w:r w:rsidR="00A35CCB" w:rsidRPr="00124A6C">
              <w:rPr>
                <w:rFonts w:ascii="Arial" w:hAnsi="Arial" w:cs="Arial"/>
                <w:color w:val="000000"/>
                <w:sz w:val="20"/>
                <w:szCs w:val="20"/>
                <w:shd w:val="clear" w:color="auto" w:fill="FFFFFF"/>
                <w:lang w:val="en-US"/>
              </w:rPr>
              <w:t>i.v.</w:t>
            </w:r>
            <w:r w:rsidRPr="00124A6C">
              <w:rPr>
                <w:rFonts w:ascii="Arial" w:hAnsi="Arial" w:cs="Arial"/>
                <w:color w:val="000000"/>
                <w:sz w:val="20"/>
                <w:szCs w:val="20"/>
                <w:shd w:val="clear" w:color="auto" w:fill="FFFFFF"/>
                <w:lang w:val="en-US"/>
              </w:rPr>
              <w:t xml:space="preserve"> </w:t>
            </w:r>
            <w:r w:rsidR="00A35CCB" w:rsidRPr="00124A6C">
              <w:rPr>
                <w:rFonts w:ascii="Arial" w:hAnsi="Arial" w:cs="Arial"/>
                <w:color w:val="000000"/>
                <w:sz w:val="20"/>
                <w:szCs w:val="20"/>
                <w:shd w:val="clear" w:color="auto" w:fill="FFFFFF"/>
                <w:lang w:val="en-US"/>
              </w:rPr>
              <w:t>(</w:t>
            </w:r>
            <w:r w:rsidRPr="00124A6C">
              <w:rPr>
                <w:rFonts w:ascii="Arial" w:hAnsi="Arial" w:cs="Arial"/>
                <w:color w:val="000000"/>
                <w:sz w:val="20"/>
                <w:szCs w:val="20"/>
                <w:shd w:val="clear" w:color="auto" w:fill="FFFFFF"/>
                <w:lang w:val="en-US"/>
              </w:rPr>
              <w:t>up to 800 mg</w:t>
            </w:r>
            <w:r w:rsidR="00A35CCB" w:rsidRPr="00124A6C">
              <w:rPr>
                <w:rFonts w:ascii="Arial" w:hAnsi="Arial" w:cs="Arial"/>
                <w:color w:val="000000"/>
                <w:sz w:val="20"/>
                <w:szCs w:val="20"/>
                <w:shd w:val="clear" w:color="auto" w:fill="FFFFFF"/>
                <w:lang w:val="en-US"/>
              </w:rPr>
              <w:t>)</w:t>
            </w:r>
            <w:r w:rsidRPr="00124A6C">
              <w:rPr>
                <w:rFonts w:ascii="Arial" w:hAnsi="Arial" w:cs="Arial"/>
                <w:color w:val="000000"/>
                <w:sz w:val="20"/>
                <w:szCs w:val="20"/>
                <w:shd w:val="clear" w:color="auto" w:fill="FFFFFF"/>
                <w:lang w:val="en-US"/>
              </w:rPr>
              <w:t xml:space="preserve"> with </w:t>
            </w:r>
            <w:r w:rsidR="00A35CCB" w:rsidRPr="00124A6C">
              <w:rPr>
                <w:rFonts w:ascii="Arial" w:hAnsi="Arial" w:cs="Arial"/>
                <w:color w:val="000000"/>
                <w:sz w:val="20"/>
                <w:szCs w:val="20"/>
                <w:shd w:val="clear" w:color="auto" w:fill="FFFFFF"/>
                <w:lang w:val="en-US"/>
              </w:rPr>
              <w:t>repetition</w:t>
            </w:r>
            <w:r w:rsidRPr="00124A6C">
              <w:rPr>
                <w:rFonts w:ascii="Arial" w:hAnsi="Arial" w:cs="Arial"/>
                <w:color w:val="000000"/>
                <w:sz w:val="20"/>
                <w:szCs w:val="20"/>
                <w:shd w:val="clear" w:color="auto" w:fill="FFFFFF"/>
                <w:lang w:val="en-US"/>
              </w:rPr>
              <w:t xml:space="preserve"> after 12 hours </w:t>
            </w:r>
            <w:r w:rsidR="00A35CCB" w:rsidRPr="00124A6C">
              <w:rPr>
                <w:rFonts w:ascii="Arial" w:hAnsi="Arial" w:cs="Arial"/>
                <w:color w:val="000000"/>
                <w:sz w:val="20"/>
                <w:szCs w:val="20"/>
                <w:shd w:val="clear" w:color="auto" w:fill="FFFFFF"/>
                <w:lang w:val="en-US"/>
              </w:rPr>
              <w:t>i</w:t>
            </w:r>
            <w:r w:rsidRPr="00124A6C">
              <w:rPr>
                <w:rFonts w:ascii="Arial" w:hAnsi="Arial" w:cs="Arial"/>
                <w:color w:val="000000"/>
                <w:sz w:val="20"/>
                <w:szCs w:val="20"/>
                <w:shd w:val="clear" w:color="auto" w:fill="FFFFFF"/>
                <w:lang w:val="en-US"/>
              </w:rPr>
              <w:t xml:space="preserve">n case of </w:t>
            </w:r>
            <w:r w:rsidR="00A35CCB" w:rsidRPr="00124A6C">
              <w:rPr>
                <w:rFonts w:ascii="Arial" w:hAnsi="Arial" w:cs="Arial"/>
                <w:color w:val="000000"/>
                <w:sz w:val="20"/>
                <w:szCs w:val="20"/>
                <w:shd w:val="clear" w:color="auto" w:fill="FFFFFF"/>
                <w:lang w:val="en-US"/>
              </w:rPr>
              <w:t>worsening</w:t>
            </w:r>
          </w:p>
          <w:p w14:paraId="6C22E827" w14:textId="77777777" w:rsidR="00F80D1D" w:rsidRPr="00124A6C" w:rsidRDefault="00F80D1D" w:rsidP="00F80D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p w14:paraId="12310EFD" w14:textId="77777777" w:rsidR="00F80D1D" w:rsidRPr="00124A6C" w:rsidRDefault="00F80D1D" w:rsidP="00F80D1D">
            <w:pPr>
              <w:pStyle w:val="CorpoA"/>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c>
          <w:tcPr>
            <w:tcW w:w="0" w:type="auto"/>
          </w:tcPr>
          <w:p w14:paraId="7F18CC42" w14:textId="0AA136B4" w:rsidR="00F80D1D" w:rsidRPr="00124A6C" w:rsidRDefault="00A35CCB" w:rsidP="00F80D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Standard care.</w:t>
            </w:r>
          </w:p>
          <w:p w14:paraId="756103B3" w14:textId="2EACB7EF" w:rsidR="00F80D1D" w:rsidRPr="00124A6C" w:rsidRDefault="00F80D1D" w:rsidP="00F80D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 xml:space="preserve">In </w:t>
            </w:r>
            <w:r w:rsidR="00A35CCB" w:rsidRPr="00124A6C">
              <w:rPr>
                <w:rFonts w:ascii="Arial" w:hAnsi="Arial" w:cs="Arial"/>
                <w:color w:val="000000"/>
                <w:sz w:val="20"/>
                <w:szCs w:val="20"/>
                <w:lang w:val="en-US"/>
              </w:rPr>
              <w:t>case of worsening,</w:t>
            </w:r>
            <w:r w:rsidRPr="00124A6C">
              <w:rPr>
                <w:rFonts w:ascii="Arial" w:hAnsi="Arial" w:cs="Arial"/>
                <w:color w:val="000000"/>
                <w:sz w:val="20"/>
                <w:szCs w:val="20"/>
                <w:lang w:val="en-US"/>
              </w:rPr>
              <w:t xml:space="preserve"> </w:t>
            </w:r>
            <w:r w:rsidR="00A35CCB" w:rsidRPr="00124A6C">
              <w:rPr>
                <w:rFonts w:ascii="Arial" w:hAnsi="Arial" w:cs="Arial"/>
                <w:color w:val="000000"/>
                <w:sz w:val="20"/>
                <w:szCs w:val="20"/>
                <w:lang w:val="en-US"/>
              </w:rPr>
              <w:t xml:space="preserve">TCZ </w:t>
            </w:r>
            <w:r w:rsidRPr="00124A6C">
              <w:rPr>
                <w:rFonts w:ascii="Arial" w:hAnsi="Arial" w:cs="Arial"/>
                <w:color w:val="000000"/>
                <w:sz w:val="20"/>
                <w:szCs w:val="20"/>
                <w:lang w:val="en-US"/>
              </w:rPr>
              <w:t xml:space="preserve">8 mg/kg </w:t>
            </w:r>
            <w:r w:rsidR="00A35CCB" w:rsidRPr="00124A6C">
              <w:rPr>
                <w:rFonts w:ascii="Arial" w:hAnsi="Arial" w:cs="Arial"/>
                <w:color w:val="000000"/>
                <w:sz w:val="20"/>
                <w:szCs w:val="20"/>
                <w:lang w:val="en-US"/>
              </w:rPr>
              <w:t>i.v.</w:t>
            </w:r>
            <w:r w:rsidRPr="00124A6C">
              <w:rPr>
                <w:rFonts w:ascii="Arial" w:hAnsi="Arial" w:cs="Arial"/>
                <w:color w:val="000000"/>
                <w:sz w:val="20"/>
                <w:szCs w:val="20"/>
                <w:lang w:val="en-US"/>
              </w:rPr>
              <w:t xml:space="preserve"> </w:t>
            </w:r>
            <w:r w:rsidR="00A35CCB" w:rsidRPr="00124A6C">
              <w:rPr>
                <w:rFonts w:ascii="Arial" w:hAnsi="Arial" w:cs="Arial"/>
                <w:color w:val="000000"/>
                <w:sz w:val="20"/>
                <w:szCs w:val="20"/>
                <w:lang w:val="en-US"/>
              </w:rPr>
              <w:t>(</w:t>
            </w:r>
            <w:r w:rsidRPr="00124A6C">
              <w:rPr>
                <w:rFonts w:ascii="Arial" w:hAnsi="Arial" w:cs="Arial"/>
                <w:color w:val="000000"/>
                <w:sz w:val="20"/>
                <w:szCs w:val="20"/>
                <w:lang w:val="en-US"/>
              </w:rPr>
              <w:t>up to 800 mg</w:t>
            </w:r>
            <w:r w:rsidR="00A35CCB" w:rsidRPr="00124A6C">
              <w:rPr>
                <w:rFonts w:ascii="Arial" w:hAnsi="Arial" w:cs="Arial"/>
                <w:color w:val="000000"/>
                <w:sz w:val="20"/>
                <w:szCs w:val="20"/>
                <w:lang w:val="en-US"/>
              </w:rPr>
              <w:t>)</w:t>
            </w:r>
            <w:r w:rsidRPr="00124A6C">
              <w:rPr>
                <w:rFonts w:ascii="Arial" w:hAnsi="Arial" w:cs="Arial"/>
                <w:color w:val="000000"/>
                <w:sz w:val="20"/>
                <w:szCs w:val="20"/>
                <w:lang w:val="en-US"/>
              </w:rPr>
              <w:t xml:space="preserve"> with repetition of the same dosage after 12 hours</w:t>
            </w:r>
          </w:p>
          <w:p w14:paraId="25D7D075" w14:textId="77777777" w:rsidR="00F80D1D" w:rsidRPr="00124A6C" w:rsidRDefault="00F80D1D" w:rsidP="00F80D1D">
            <w:pPr>
              <w:pStyle w:val="DidefaultA"/>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lang w:val="en-US"/>
              </w:rPr>
            </w:pPr>
          </w:p>
        </w:tc>
        <w:tc>
          <w:tcPr>
            <w:tcW w:w="0" w:type="auto"/>
          </w:tcPr>
          <w:p w14:paraId="6364D7AB" w14:textId="194B9B08" w:rsidR="00F80D1D" w:rsidRPr="00124A6C" w:rsidRDefault="00A35CCB" w:rsidP="00F80D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ICU admission</w:t>
            </w:r>
            <w:r w:rsidR="00F80D1D" w:rsidRPr="00124A6C">
              <w:rPr>
                <w:rFonts w:ascii="Arial" w:hAnsi="Arial" w:cs="Arial"/>
                <w:color w:val="000000"/>
                <w:sz w:val="20"/>
                <w:szCs w:val="20"/>
                <w:shd w:val="clear" w:color="auto" w:fill="FFFFFF"/>
                <w:lang w:val="en-US"/>
              </w:rPr>
              <w:t xml:space="preserve"> with invasive mechanical ventilation or death from any cause or clinical </w:t>
            </w:r>
            <w:r w:rsidRPr="00124A6C">
              <w:rPr>
                <w:rFonts w:ascii="Arial" w:hAnsi="Arial" w:cs="Arial"/>
                <w:color w:val="000000"/>
                <w:sz w:val="20"/>
                <w:szCs w:val="20"/>
                <w:shd w:val="clear" w:color="auto" w:fill="FFFFFF"/>
                <w:lang w:val="en-US"/>
              </w:rPr>
              <w:t>worsening</w:t>
            </w:r>
            <w:r w:rsidR="00F80D1D" w:rsidRPr="00124A6C">
              <w:rPr>
                <w:rFonts w:ascii="Arial" w:hAnsi="Arial" w:cs="Arial"/>
                <w:color w:val="000000"/>
                <w:sz w:val="20"/>
                <w:szCs w:val="20"/>
                <w:shd w:val="clear" w:color="auto" w:fill="FFFFFF"/>
                <w:lang w:val="en-US"/>
              </w:rPr>
              <w:t xml:space="preserve"> at day 14</w:t>
            </w:r>
          </w:p>
        </w:tc>
      </w:tr>
      <w:tr w:rsidR="00D16ECF" w:rsidRPr="0068569D" w14:paraId="0C525C65" w14:textId="77777777" w:rsidTr="00D801A8">
        <w:trPr>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14BE8AE5" w14:textId="77777777" w:rsidR="00A35CCB" w:rsidRPr="00124A6C" w:rsidRDefault="00A35CCB"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lastRenderedPageBreak/>
              <w:t>NCT04320615</w:t>
            </w:r>
          </w:p>
          <w:p w14:paraId="6CE32F22" w14:textId="77777777" w:rsidR="00A35CCB" w:rsidRPr="00124A6C" w:rsidRDefault="00A35CCB" w:rsidP="005B6AB7">
            <w:pPr>
              <w:pStyle w:val="DidefaultA"/>
              <w:rPr>
                <w:rFonts w:ascii="Arial" w:hAnsi="Arial" w:cs="Arial"/>
                <w:b w:val="0"/>
                <w:bCs w:val="0"/>
                <w:sz w:val="20"/>
                <w:szCs w:val="20"/>
                <w:shd w:val="clear" w:color="auto" w:fill="FFFFFF"/>
                <w:lang w:val="en-US"/>
              </w:rPr>
            </w:pPr>
          </w:p>
        </w:tc>
        <w:tc>
          <w:tcPr>
            <w:tcW w:w="0" w:type="auto"/>
          </w:tcPr>
          <w:p w14:paraId="6563E5DA" w14:textId="52AADBEC" w:rsidR="00A35CCB" w:rsidRPr="00124A6C" w:rsidRDefault="00A35CCB" w:rsidP="00A35CCB">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rPr>
              <w:t>Active, not recruiting</w:t>
            </w:r>
          </w:p>
        </w:tc>
        <w:tc>
          <w:tcPr>
            <w:tcW w:w="0" w:type="auto"/>
          </w:tcPr>
          <w:p w14:paraId="4475DBB9" w14:textId="71C1BFD8" w:rsidR="00A35CCB" w:rsidRPr="00124A6C" w:rsidRDefault="00A35CCB" w:rsidP="00A35CCB">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124A6C">
              <w:rPr>
                <w:rFonts w:cs="Arial"/>
              </w:rPr>
              <w:t>Multicentre RCT</w:t>
            </w:r>
          </w:p>
        </w:tc>
        <w:tc>
          <w:tcPr>
            <w:tcW w:w="0" w:type="auto"/>
          </w:tcPr>
          <w:p w14:paraId="787B27E3" w14:textId="45D65D9C" w:rsidR="00A35CCB" w:rsidRPr="00124A6C" w:rsidRDefault="00A35CCB" w:rsidP="00A35CCB">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USA, Canada, Denmark, France, Germany, Italy, Netherlands, Spain, UK</w:t>
            </w:r>
          </w:p>
        </w:tc>
        <w:tc>
          <w:tcPr>
            <w:tcW w:w="0" w:type="auto"/>
          </w:tcPr>
          <w:p w14:paraId="27B62DF2" w14:textId="34E529F7" w:rsidR="00A35CCB" w:rsidRPr="00124A6C" w:rsidRDefault="00A35CCB" w:rsidP="00A35CCB">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Patients with COVID-19 (n=450)</w:t>
            </w:r>
          </w:p>
        </w:tc>
        <w:tc>
          <w:tcPr>
            <w:tcW w:w="0" w:type="auto"/>
          </w:tcPr>
          <w:p w14:paraId="740F8D46" w14:textId="6E3DC491" w:rsidR="00A35CCB" w:rsidRPr="00124A6C" w:rsidRDefault="00A35CCB" w:rsidP="00A35C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TCZ i.v.  8 mg/kg (up to 800 mg). Up to 1 additional dose if clinical worsening or no improvement</w:t>
            </w:r>
          </w:p>
        </w:tc>
        <w:tc>
          <w:tcPr>
            <w:tcW w:w="0" w:type="auto"/>
          </w:tcPr>
          <w:p w14:paraId="13ABACD2" w14:textId="77777777" w:rsidR="00A35CCB" w:rsidRPr="00124A6C" w:rsidRDefault="00A35CCB" w:rsidP="00A35CCB">
            <w:pPr>
              <w:pStyle w:val="DidefaultA"/>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lang w:val="en-US"/>
              </w:rPr>
            </w:pPr>
            <w:r w:rsidRPr="00124A6C">
              <w:rPr>
                <w:rFonts w:ascii="Arial" w:hAnsi="Arial" w:cs="Arial"/>
                <w:sz w:val="20"/>
                <w:szCs w:val="20"/>
                <w:shd w:val="clear" w:color="auto" w:fill="FFFFFF"/>
                <w:lang w:val="en-US"/>
              </w:rPr>
              <w:t>Placebo</w:t>
            </w:r>
          </w:p>
        </w:tc>
        <w:tc>
          <w:tcPr>
            <w:tcW w:w="0" w:type="auto"/>
          </w:tcPr>
          <w:p w14:paraId="3C11A777" w14:textId="77777777" w:rsidR="00A35CCB" w:rsidRPr="00124A6C" w:rsidRDefault="00A35CCB" w:rsidP="00A35C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Clinical Status Assessed Using a 7-Category Ordinal Scale at day 28</w:t>
            </w:r>
          </w:p>
        </w:tc>
      </w:tr>
      <w:tr w:rsidR="00D16ECF" w:rsidRPr="0068569D" w14:paraId="31B35E76" w14:textId="77777777" w:rsidTr="00D801A8">
        <w:trPr>
          <w:cnfStyle w:val="000000100000" w:firstRow="0" w:lastRow="0" w:firstColumn="0" w:lastColumn="0" w:oddVBand="0" w:evenVBand="0" w:oddHBand="1" w:evenHBand="0" w:firstRowFirstColumn="0" w:firstRowLastColumn="0" w:lastRowFirstColumn="0" w:lastRowLastColumn="0"/>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4EAF5234" w14:textId="77777777" w:rsidR="00A35CCB" w:rsidRPr="00124A6C" w:rsidRDefault="00A35CCB"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t>NCT04331808</w:t>
            </w:r>
          </w:p>
          <w:p w14:paraId="36F1619E" w14:textId="77777777" w:rsidR="00A35CCB" w:rsidRPr="00124A6C" w:rsidRDefault="00A35CCB" w:rsidP="005B6AB7">
            <w:pPr>
              <w:pStyle w:val="DidefaultA"/>
              <w:rPr>
                <w:rFonts w:ascii="Arial" w:hAnsi="Arial" w:cs="Arial"/>
                <w:b w:val="0"/>
                <w:bCs w:val="0"/>
                <w:sz w:val="20"/>
                <w:szCs w:val="20"/>
                <w:shd w:val="clear" w:color="auto" w:fill="FFFFFF"/>
                <w:lang w:val="en-US"/>
              </w:rPr>
            </w:pPr>
          </w:p>
        </w:tc>
        <w:tc>
          <w:tcPr>
            <w:tcW w:w="0" w:type="auto"/>
          </w:tcPr>
          <w:p w14:paraId="1A8729D6" w14:textId="03761F18" w:rsidR="00A35CCB" w:rsidRPr="00124A6C" w:rsidRDefault="00A35CCB" w:rsidP="00A35CCB">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rPr>
              <w:t>Active, not recruiting</w:t>
            </w:r>
          </w:p>
        </w:tc>
        <w:tc>
          <w:tcPr>
            <w:tcW w:w="0" w:type="auto"/>
          </w:tcPr>
          <w:p w14:paraId="4E5CA9C5" w14:textId="275B998A" w:rsidR="00A35CCB" w:rsidRPr="00124A6C" w:rsidRDefault="00A35CCB" w:rsidP="00A35CCB">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Single-centre RCT</w:t>
            </w:r>
          </w:p>
        </w:tc>
        <w:tc>
          <w:tcPr>
            <w:tcW w:w="0" w:type="auto"/>
          </w:tcPr>
          <w:p w14:paraId="53E9B8CA" w14:textId="77777777" w:rsidR="00A35CCB" w:rsidRPr="00124A6C" w:rsidRDefault="00A35CCB" w:rsidP="00A35CCB">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France</w:t>
            </w:r>
          </w:p>
        </w:tc>
        <w:tc>
          <w:tcPr>
            <w:tcW w:w="0" w:type="auto"/>
          </w:tcPr>
          <w:p w14:paraId="48630F80" w14:textId="788AA9B0" w:rsidR="00A35CCB" w:rsidRPr="00124A6C" w:rsidRDefault="00A35CCB" w:rsidP="00A35CCB">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Patients with COVID-19 (n=228)</w:t>
            </w:r>
          </w:p>
        </w:tc>
        <w:tc>
          <w:tcPr>
            <w:tcW w:w="0" w:type="auto"/>
          </w:tcPr>
          <w:p w14:paraId="1B566D7B" w14:textId="3890B773" w:rsidR="00A35CCB" w:rsidRPr="00124A6C" w:rsidRDefault="00A35CCB" w:rsidP="00A35CC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Tocilizumab 8mg/kg at day 1 and if no response second injection at day 3</w:t>
            </w:r>
          </w:p>
          <w:p w14:paraId="5DB2C233" w14:textId="77777777" w:rsidR="00A35CCB" w:rsidRPr="00124A6C" w:rsidRDefault="00A35CCB" w:rsidP="00A35CCB">
            <w:pPr>
              <w:pStyle w:val="CorpoA"/>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c>
          <w:tcPr>
            <w:tcW w:w="0" w:type="auto"/>
          </w:tcPr>
          <w:p w14:paraId="2DD11969" w14:textId="6120D617" w:rsidR="00A35CCB" w:rsidRPr="00124A6C" w:rsidRDefault="00A35CCB" w:rsidP="00A35CCB">
            <w:pPr>
              <w:pStyle w:val="DidefaultA"/>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lang w:val="en-US"/>
              </w:rPr>
            </w:pPr>
            <w:r w:rsidRPr="00124A6C">
              <w:rPr>
                <w:rFonts w:ascii="Arial" w:hAnsi="Arial" w:cs="Arial"/>
                <w:sz w:val="20"/>
                <w:szCs w:val="20"/>
                <w:shd w:val="clear" w:color="auto" w:fill="FFFFFF"/>
                <w:lang w:val="en-US"/>
              </w:rPr>
              <w:t>Standard care</w:t>
            </w:r>
          </w:p>
        </w:tc>
        <w:tc>
          <w:tcPr>
            <w:tcW w:w="0" w:type="auto"/>
          </w:tcPr>
          <w:p w14:paraId="49C8A6CA" w14:textId="0759F2F1" w:rsidR="00A35CCB" w:rsidRPr="00124A6C" w:rsidRDefault="00A35CCB" w:rsidP="00A35CC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Survival without needs of ventilator utilization at day 14, WHO progression scale &lt;=5 at day 4</w:t>
            </w:r>
            <w:r w:rsidRPr="00124A6C">
              <w:rPr>
                <w:rFonts w:ascii="Arial" w:hAnsi="Arial" w:cs="Arial"/>
                <w:sz w:val="20"/>
                <w:szCs w:val="20"/>
                <w:lang w:val="en-US"/>
              </w:rPr>
              <w:t>, c</w:t>
            </w:r>
            <w:r w:rsidRPr="00124A6C">
              <w:rPr>
                <w:rFonts w:ascii="Arial" w:hAnsi="Arial" w:cs="Arial"/>
                <w:color w:val="000000"/>
                <w:sz w:val="20"/>
                <w:szCs w:val="20"/>
                <w:shd w:val="clear" w:color="auto" w:fill="FFFFFF"/>
                <w:lang w:val="en-US"/>
              </w:rPr>
              <w:t>umulative incidence of successful tracheal extubation (defined as duration extubation &gt; 48h) at day 14</w:t>
            </w:r>
            <w:r w:rsidRPr="00124A6C">
              <w:rPr>
                <w:rFonts w:ascii="Arial" w:hAnsi="Arial" w:cs="Arial"/>
                <w:sz w:val="20"/>
                <w:szCs w:val="20"/>
                <w:lang w:val="en-US"/>
              </w:rPr>
              <w:t xml:space="preserve">, </w:t>
            </w:r>
            <w:r w:rsidRPr="00124A6C">
              <w:rPr>
                <w:rFonts w:ascii="Arial" w:hAnsi="Arial" w:cs="Arial"/>
                <w:color w:val="000000"/>
                <w:sz w:val="20"/>
                <w:szCs w:val="20"/>
                <w:shd w:val="clear" w:color="auto" w:fill="FFFFFF"/>
                <w:lang w:val="en-US"/>
              </w:rPr>
              <w:t xml:space="preserve">decrease of WHO score of at least 1 point at </w:t>
            </w:r>
            <w:r w:rsidRPr="00124A6C">
              <w:rPr>
                <w:rFonts w:ascii="Arial" w:hAnsi="Arial" w:cs="Arial"/>
                <w:color w:val="000000"/>
                <w:sz w:val="20"/>
                <w:szCs w:val="20"/>
                <w:shd w:val="clear" w:color="auto" w:fill="FFFFFF"/>
                <w:lang w:val="en-US"/>
              </w:rPr>
              <w:lastRenderedPageBreak/>
              <w:t>day 4</w:t>
            </w:r>
          </w:p>
        </w:tc>
      </w:tr>
      <w:tr w:rsidR="00D16ECF" w:rsidRPr="00124A6C" w14:paraId="0228720A" w14:textId="77777777" w:rsidTr="00D801A8">
        <w:trPr>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493BAEDB" w14:textId="77777777" w:rsidR="004722D4" w:rsidRPr="00124A6C" w:rsidRDefault="004722D4"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lastRenderedPageBreak/>
              <w:t>NCT04347031</w:t>
            </w:r>
          </w:p>
          <w:p w14:paraId="11AFE72C" w14:textId="77777777" w:rsidR="004722D4" w:rsidRPr="00124A6C" w:rsidRDefault="004722D4" w:rsidP="005B6AB7">
            <w:pPr>
              <w:rPr>
                <w:rFonts w:ascii="Arial" w:hAnsi="Arial" w:cs="Arial"/>
                <w:b w:val="0"/>
                <w:bCs w:val="0"/>
                <w:color w:val="000000"/>
                <w:sz w:val="20"/>
                <w:szCs w:val="20"/>
                <w:shd w:val="clear" w:color="auto" w:fill="FFFFFF"/>
              </w:rPr>
            </w:pPr>
          </w:p>
        </w:tc>
        <w:tc>
          <w:tcPr>
            <w:tcW w:w="0" w:type="auto"/>
          </w:tcPr>
          <w:p w14:paraId="669CAD8A" w14:textId="2652C1EB" w:rsidR="004722D4" w:rsidRPr="00124A6C" w:rsidRDefault="004722D4" w:rsidP="004722D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E7F4E4"/>
              </w:rPr>
            </w:pPr>
            <w:r w:rsidRPr="00124A6C">
              <w:rPr>
                <w:rFonts w:ascii="Arial" w:hAnsi="Arial" w:cs="Arial"/>
                <w:sz w:val="20"/>
                <w:szCs w:val="20"/>
              </w:rPr>
              <w:t>Active, not recruiting</w:t>
            </w:r>
          </w:p>
        </w:tc>
        <w:tc>
          <w:tcPr>
            <w:tcW w:w="0" w:type="auto"/>
          </w:tcPr>
          <w:p w14:paraId="23BA7235" w14:textId="67C9A77B" w:rsidR="004722D4" w:rsidRPr="00124A6C" w:rsidRDefault="004722D4" w:rsidP="004722D4">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Single-centre randomized trial</w:t>
            </w:r>
          </w:p>
        </w:tc>
        <w:tc>
          <w:tcPr>
            <w:tcW w:w="0" w:type="auto"/>
          </w:tcPr>
          <w:p w14:paraId="42BC2462" w14:textId="77777777" w:rsidR="004722D4" w:rsidRPr="00124A6C" w:rsidRDefault="004722D4" w:rsidP="004722D4">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Russian Federation</w:t>
            </w:r>
          </w:p>
        </w:tc>
        <w:tc>
          <w:tcPr>
            <w:tcW w:w="0" w:type="auto"/>
          </w:tcPr>
          <w:p w14:paraId="46CCA83B" w14:textId="77777777" w:rsidR="004722D4" w:rsidRPr="00124A6C" w:rsidRDefault="004722D4" w:rsidP="004722D4">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COVID-19 pneumonia (n=320)</w:t>
            </w:r>
          </w:p>
        </w:tc>
        <w:tc>
          <w:tcPr>
            <w:tcW w:w="0" w:type="auto"/>
          </w:tcPr>
          <w:p w14:paraId="345EB71A" w14:textId="1D2B8EE2" w:rsidR="004722D4" w:rsidRPr="00124A6C" w:rsidRDefault="004722D4" w:rsidP="004722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Combination: Hydroxychloroquine + azithromycin + Tocilizumab (dosage NA)</w:t>
            </w:r>
          </w:p>
          <w:p w14:paraId="30A327DA" w14:textId="05931E09" w:rsidR="004722D4" w:rsidRPr="00124A6C" w:rsidRDefault="004722D4" w:rsidP="004722D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Day 1: 800 mg of HCQ (2 tablets 200 mg X 2)</w:t>
            </w:r>
          </w:p>
          <w:p w14:paraId="7E3CB401" w14:textId="3947758A" w:rsidR="004722D4" w:rsidRPr="00124A6C" w:rsidRDefault="004722D4" w:rsidP="004722D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 xml:space="preserve">Day 2 to 7: 400 mg of HCQ (1 tablet 200 mg X 2) per day </w:t>
            </w:r>
          </w:p>
          <w:p w14:paraId="79D27415" w14:textId="00C76B4F" w:rsidR="004722D4" w:rsidRPr="00124A6C" w:rsidRDefault="004722D4" w:rsidP="004722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Combination: Mefloquine + azithromycin + Tocilizumab (dosage NA)</w:t>
            </w:r>
          </w:p>
          <w:p w14:paraId="19BC5539" w14:textId="1689E03C" w:rsidR="004722D4" w:rsidRPr="00124A6C" w:rsidRDefault="004722D4" w:rsidP="004722D4">
            <w:pPr>
              <w:pStyle w:val="Normale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Day 1: 750 mg of mefloquine per day, (tablet 250 mg X 3)</w:t>
            </w:r>
          </w:p>
          <w:p w14:paraId="691E2E77" w14:textId="360E2905" w:rsidR="004722D4" w:rsidRPr="00124A6C" w:rsidRDefault="004722D4" w:rsidP="004722D4">
            <w:pPr>
              <w:numPr>
                <w:ilvl w:val="0"/>
                <w:numId w:val="10"/>
              </w:numPr>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Day 2: 500 mg of mefloquine, (tablets 250 mg X 2)</w:t>
            </w:r>
          </w:p>
          <w:p w14:paraId="2AAE1D79" w14:textId="3296835A" w:rsidR="004722D4" w:rsidRPr="00124A6C" w:rsidRDefault="004722D4" w:rsidP="004722D4">
            <w:pPr>
              <w:numPr>
                <w:ilvl w:val="0"/>
                <w:numId w:val="10"/>
              </w:numPr>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lang w:val="en-US"/>
              </w:rPr>
              <w:t>Day 3 to 7: 250 mg of mefloquine</w:t>
            </w:r>
          </w:p>
        </w:tc>
        <w:tc>
          <w:tcPr>
            <w:tcW w:w="0" w:type="auto"/>
          </w:tcPr>
          <w:p w14:paraId="63311006" w14:textId="79403026" w:rsidR="004722D4" w:rsidRPr="00124A6C" w:rsidRDefault="004722D4" w:rsidP="004722D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Hydroxychloroquine</w:t>
            </w:r>
          </w:p>
          <w:p w14:paraId="30F95D94" w14:textId="3B8B1F00" w:rsidR="004722D4" w:rsidRPr="00124A6C" w:rsidRDefault="004722D4" w:rsidP="004722D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Day 1: 800 mg of HCQ (2 tablets 200 mg X 2)</w:t>
            </w:r>
          </w:p>
          <w:p w14:paraId="6987B807" w14:textId="77777777" w:rsidR="004722D4" w:rsidRPr="00124A6C" w:rsidRDefault="004722D4" w:rsidP="004722D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 xml:space="preserve">Day 2 to 7: 400 mg of HCQ (1 tablet 200 mg X 2) per day </w:t>
            </w:r>
          </w:p>
          <w:p w14:paraId="05C54FF5" w14:textId="77777777" w:rsidR="004722D4" w:rsidRPr="00124A6C" w:rsidRDefault="004722D4" w:rsidP="004722D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 xml:space="preserve">Mefloquine </w:t>
            </w:r>
          </w:p>
          <w:p w14:paraId="56E7196F" w14:textId="7260C728" w:rsidR="004722D4" w:rsidRPr="00124A6C" w:rsidRDefault="004722D4" w:rsidP="004722D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Day 1: 750 mg of mefloquine per day, (tablet 250 mg X 3)</w:t>
            </w:r>
          </w:p>
          <w:p w14:paraId="7AC7A41E" w14:textId="77777777" w:rsidR="004722D4" w:rsidRPr="00124A6C" w:rsidRDefault="004722D4" w:rsidP="004722D4">
            <w:pPr>
              <w:numPr>
                <w:ilvl w:val="0"/>
                <w:numId w:val="10"/>
              </w:numPr>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Day 2: 500 mg of mefloquine, (tablets 250 mg X 2)</w:t>
            </w:r>
          </w:p>
          <w:p w14:paraId="33D0E246" w14:textId="57F00936" w:rsidR="004722D4" w:rsidRPr="00124A6C" w:rsidRDefault="004722D4" w:rsidP="004722D4">
            <w:pPr>
              <w:pStyle w:val="DidefaultA"/>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lang w:val="en-US"/>
              </w:rPr>
            </w:pPr>
            <w:r w:rsidRPr="00124A6C">
              <w:rPr>
                <w:rFonts w:ascii="Arial" w:hAnsi="Arial" w:cs="Arial"/>
                <w:sz w:val="20"/>
                <w:szCs w:val="20"/>
                <w:lang w:val="en-US"/>
              </w:rPr>
              <w:t>Day 3 to 7: 250 mg of mefloquine.</w:t>
            </w:r>
          </w:p>
        </w:tc>
        <w:tc>
          <w:tcPr>
            <w:tcW w:w="0" w:type="auto"/>
          </w:tcPr>
          <w:p w14:paraId="59222DD4" w14:textId="2833A43C" w:rsidR="004722D4" w:rsidRPr="00124A6C" w:rsidRDefault="00631497" w:rsidP="004722D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R</w:t>
            </w:r>
            <w:r w:rsidR="004722D4" w:rsidRPr="00124A6C">
              <w:rPr>
                <w:rFonts w:ascii="Arial" w:hAnsi="Arial" w:cs="Arial"/>
                <w:color w:val="000000"/>
                <w:sz w:val="20"/>
                <w:szCs w:val="20"/>
                <w:lang w:val="en-US"/>
              </w:rPr>
              <w:t xml:space="preserve">espiratory failure requiring ICU care at </w:t>
            </w:r>
            <w:r w:rsidRPr="00124A6C">
              <w:rPr>
                <w:rFonts w:ascii="Arial" w:hAnsi="Arial" w:cs="Arial"/>
                <w:color w:val="000000"/>
                <w:sz w:val="20"/>
                <w:szCs w:val="20"/>
                <w:lang w:val="en-US"/>
              </w:rPr>
              <w:t>3</w:t>
            </w:r>
            <w:r w:rsidR="004722D4" w:rsidRPr="00124A6C">
              <w:rPr>
                <w:rFonts w:ascii="Arial" w:hAnsi="Arial" w:cs="Arial"/>
                <w:color w:val="000000"/>
                <w:sz w:val="20"/>
                <w:szCs w:val="20"/>
                <w:lang w:val="en-US"/>
              </w:rPr>
              <w:t xml:space="preserve"> months</w:t>
            </w:r>
            <w:r w:rsidRPr="00124A6C">
              <w:rPr>
                <w:rFonts w:ascii="Arial" w:hAnsi="Arial" w:cs="Arial"/>
                <w:color w:val="000000"/>
                <w:sz w:val="20"/>
                <w:szCs w:val="20"/>
                <w:lang w:val="en-US"/>
              </w:rPr>
              <w:t xml:space="preserve">; </w:t>
            </w:r>
            <w:r w:rsidR="004722D4" w:rsidRPr="00124A6C">
              <w:rPr>
                <w:rFonts w:ascii="Arial" w:hAnsi="Arial" w:cs="Arial"/>
                <w:color w:val="000000"/>
                <w:sz w:val="20"/>
                <w:szCs w:val="20"/>
                <w:lang w:val="en-US"/>
              </w:rPr>
              <w:t>clinical recover</w:t>
            </w:r>
            <w:r w:rsidRPr="00124A6C">
              <w:rPr>
                <w:rFonts w:ascii="Arial" w:hAnsi="Arial" w:cs="Arial"/>
                <w:color w:val="000000"/>
                <w:sz w:val="20"/>
                <w:szCs w:val="20"/>
                <w:lang w:val="en-US"/>
              </w:rPr>
              <w:t xml:space="preserve">y at 3 months; </w:t>
            </w:r>
          </w:p>
          <w:p w14:paraId="3BE959D7" w14:textId="4F27528B" w:rsidR="004722D4" w:rsidRPr="00124A6C" w:rsidRDefault="00631497" w:rsidP="004722D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mortality at 3 months</w:t>
            </w:r>
          </w:p>
        </w:tc>
      </w:tr>
      <w:tr w:rsidR="00D16ECF" w:rsidRPr="0068569D" w14:paraId="304A2138" w14:textId="77777777" w:rsidTr="00D801A8">
        <w:trPr>
          <w:cnfStyle w:val="000000100000" w:firstRow="0" w:lastRow="0" w:firstColumn="0" w:lastColumn="0" w:oddVBand="0" w:evenVBand="0" w:oddHBand="1" w:evenHBand="0" w:firstRowFirstColumn="0" w:firstRowLastColumn="0" w:lastRowFirstColumn="0" w:lastRowLastColumn="0"/>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64AB9072" w14:textId="77777777" w:rsidR="004722D4" w:rsidRPr="00124A6C" w:rsidRDefault="004722D4" w:rsidP="005B6AB7">
            <w:pPr>
              <w:rPr>
                <w:rFonts w:ascii="Arial" w:hAnsi="Arial" w:cs="Arial"/>
                <w:b w:val="0"/>
                <w:bCs w:val="0"/>
                <w:color w:val="000000" w:themeColor="text1"/>
                <w:sz w:val="20"/>
                <w:szCs w:val="20"/>
              </w:rPr>
            </w:pPr>
            <w:r w:rsidRPr="00124A6C">
              <w:rPr>
                <w:rFonts w:ascii="Arial" w:hAnsi="Arial" w:cs="Arial"/>
                <w:b w:val="0"/>
                <w:bCs w:val="0"/>
                <w:color w:val="000000" w:themeColor="text1"/>
                <w:sz w:val="20"/>
                <w:szCs w:val="20"/>
                <w:shd w:val="clear" w:color="auto" w:fill="FFFFFF"/>
              </w:rPr>
              <w:t>ChiCTR2000030196</w:t>
            </w:r>
          </w:p>
          <w:p w14:paraId="24D142B4" w14:textId="77777777" w:rsidR="004722D4" w:rsidRPr="00124A6C" w:rsidRDefault="004722D4" w:rsidP="005B6AB7">
            <w:pPr>
              <w:rPr>
                <w:rFonts w:ascii="Arial" w:hAnsi="Arial" w:cs="Arial"/>
                <w:b w:val="0"/>
                <w:bCs w:val="0"/>
                <w:color w:val="000000" w:themeColor="text1"/>
                <w:sz w:val="20"/>
                <w:szCs w:val="20"/>
                <w:shd w:val="clear" w:color="auto" w:fill="FFFFFF"/>
              </w:rPr>
            </w:pPr>
          </w:p>
        </w:tc>
        <w:tc>
          <w:tcPr>
            <w:tcW w:w="0" w:type="auto"/>
          </w:tcPr>
          <w:p w14:paraId="0AF8C358" w14:textId="77777777" w:rsidR="004722D4" w:rsidRPr="00124A6C" w:rsidRDefault="004722D4" w:rsidP="004722D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24A6C">
              <w:rPr>
                <w:rFonts w:ascii="Arial" w:hAnsi="Arial" w:cs="Arial"/>
                <w:color w:val="000000" w:themeColor="text1"/>
                <w:sz w:val="20"/>
                <w:szCs w:val="20"/>
                <w:shd w:val="clear" w:color="auto" w:fill="FFFFFF"/>
              </w:rPr>
              <w:t>Not yet recruiting</w:t>
            </w:r>
          </w:p>
          <w:p w14:paraId="046AB32E" w14:textId="77777777" w:rsidR="004722D4" w:rsidRPr="00124A6C" w:rsidRDefault="004722D4" w:rsidP="004722D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shd w:val="clear" w:color="auto" w:fill="F9DEDE"/>
              </w:rPr>
            </w:pPr>
          </w:p>
        </w:tc>
        <w:tc>
          <w:tcPr>
            <w:tcW w:w="0" w:type="auto"/>
          </w:tcPr>
          <w:p w14:paraId="0C68A5A2" w14:textId="30E9B4EF" w:rsidR="004722D4" w:rsidRPr="00124A6C" w:rsidRDefault="004722D4" w:rsidP="004722D4">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color w:val="000000" w:themeColor="text1"/>
                <w:lang w:val="en-US"/>
              </w:rPr>
            </w:pPr>
            <w:r w:rsidRPr="00124A6C">
              <w:rPr>
                <w:rFonts w:cs="Arial"/>
                <w:color w:val="000000" w:themeColor="text1"/>
                <w:lang w:val="en-US"/>
              </w:rPr>
              <w:t xml:space="preserve">Multicentre </w:t>
            </w:r>
            <w:r w:rsidR="00085EFE">
              <w:rPr>
                <w:rFonts w:cs="Arial"/>
                <w:color w:val="000000" w:themeColor="text1"/>
                <w:lang w:val="en-US"/>
              </w:rPr>
              <w:t xml:space="preserve">single-arm </w:t>
            </w:r>
            <w:r w:rsidRPr="00124A6C">
              <w:rPr>
                <w:rFonts w:cs="Arial"/>
                <w:color w:val="000000" w:themeColor="text1"/>
                <w:lang w:val="en-US"/>
              </w:rPr>
              <w:t>clinical trial</w:t>
            </w:r>
          </w:p>
        </w:tc>
        <w:tc>
          <w:tcPr>
            <w:tcW w:w="0" w:type="auto"/>
          </w:tcPr>
          <w:p w14:paraId="25A6FAFD" w14:textId="77777777" w:rsidR="004722D4" w:rsidRPr="00124A6C" w:rsidRDefault="004722D4" w:rsidP="004722D4">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color w:val="000000" w:themeColor="text1"/>
                <w:lang w:val="en-US"/>
              </w:rPr>
            </w:pPr>
            <w:r w:rsidRPr="00124A6C">
              <w:rPr>
                <w:rFonts w:cs="Arial"/>
                <w:color w:val="000000" w:themeColor="text1"/>
                <w:lang w:val="en-US"/>
              </w:rPr>
              <w:t>China</w:t>
            </w:r>
          </w:p>
        </w:tc>
        <w:tc>
          <w:tcPr>
            <w:tcW w:w="0" w:type="auto"/>
          </w:tcPr>
          <w:p w14:paraId="11F78C29" w14:textId="77777777" w:rsidR="004722D4" w:rsidRPr="00124A6C" w:rsidRDefault="004722D4" w:rsidP="004722D4">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color w:val="000000" w:themeColor="text1"/>
                <w:lang w:val="en-US"/>
              </w:rPr>
            </w:pPr>
            <w:r w:rsidRPr="00124A6C">
              <w:rPr>
                <w:rFonts w:cs="Arial"/>
                <w:color w:val="000000" w:themeColor="text1"/>
                <w:lang w:val="en-US"/>
              </w:rPr>
              <w:t>COVID-19 pneumonia with high IL-6 (n=60)</w:t>
            </w:r>
          </w:p>
        </w:tc>
        <w:tc>
          <w:tcPr>
            <w:tcW w:w="0" w:type="auto"/>
          </w:tcPr>
          <w:p w14:paraId="60C8C8F9" w14:textId="77777777" w:rsidR="004722D4" w:rsidRPr="00124A6C" w:rsidRDefault="004722D4" w:rsidP="004722D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shd w:val="clear" w:color="auto" w:fill="FFFFFF"/>
              </w:rPr>
            </w:pPr>
            <w:r w:rsidRPr="00124A6C">
              <w:rPr>
                <w:rFonts w:ascii="Arial" w:hAnsi="Arial" w:cs="Arial"/>
                <w:color w:val="000000" w:themeColor="text1"/>
                <w:sz w:val="20"/>
                <w:szCs w:val="20"/>
                <w:shd w:val="clear" w:color="auto" w:fill="FFFFFF"/>
              </w:rPr>
              <w:t>Tocilizumab</w:t>
            </w:r>
          </w:p>
        </w:tc>
        <w:tc>
          <w:tcPr>
            <w:tcW w:w="0" w:type="auto"/>
          </w:tcPr>
          <w:p w14:paraId="11D2EE9F" w14:textId="77777777" w:rsidR="004722D4" w:rsidRPr="00124A6C" w:rsidRDefault="004722D4" w:rsidP="004722D4">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color w:val="000000" w:themeColor="text1"/>
                <w:lang w:val="en-US"/>
              </w:rPr>
            </w:pPr>
            <w:r w:rsidRPr="00124A6C">
              <w:rPr>
                <w:rFonts w:cs="Arial"/>
                <w:color w:val="000000" w:themeColor="text1"/>
                <w:lang w:val="en-US"/>
              </w:rPr>
              <w:t>All the patients enrolled are treated with tocilizumab</w:t>
            </w:r>
          </w:p>
        </w:tc>
        <w:tc>
          <w:tcPr>
            <w:tcW w:w="0" w:type="auto"/>
          </w:tcPr>
          <w:p w14:paraId="64190E65" w14:textId="17293A0E" w:rsidR="004722D4" w:rsidRPr="00124A6C" w:rsidRDefault="00631497" w:rsidP="004722D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124A6C">
              <w:rPr>
                <w:rFonts w:ascii="Arial" w:hAnsi="Arial" w:cs="Arial"/>
                <w:color w:val="000000" w:themeColor="text1"/>
                <w:sz w:val="20"/>
                <w:szCs w:val="20"/>
                <w:lang w:val="en-US"/>
              </w:rPr>
              <w:t>Relieve of cytokine release syndrome</w:t>
            </w:r>
          </w:p>
        </w:tc>
      </w:tr>
      <w:tr w:rsidR="00D16ECF" w:rsidRPr="0068569D" w14:paraId="01931B2A" w14:textId="77777777" w:rsidTr="00D801A8">
        <w:trPr>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422224D9" w14:textId="77777777" w:rsidR="004722D4" w:rsidRPr="00124A6C" w:rsidRDefault="004722D4"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t>NCT04349410</w:t>
            </w:r>
          </w:p>
          <w:p w14:paraId="2D394E25" w14:textId="77777777" w:rsidR="004722D4" w:rsidRPr="00124A6C" w:rsidRDefault="004722D4" w:rsidP="005B6AB7">
            <w:pPr>
              <w:rPr>
                <w:rFonts w:ascii="Arial" w:hAnsi="Arial" w:cs="Arial"/>
                <w:b w:val="0"/>
                <w:bCs w:val="0"/>
                <w:color w:val="000000"/>
                <w:sz w:val="20"/>
                <w:szCs w:val="20"/>
                <w:shd w:val="clear" w:color="auto" w:fill="FFFFFF"/>
                <w:lang w:val="en-US"/>
              </w:rPr>
            </w:pPr>
          </w:p>
        </w:tc>
        <w:tc>
          <w:tcPr>
            <w:tcW w:w="0" w:type="auto"/>
          </w:tcPr>
          <w:p w14:paraId="0A77BDC2" w14:textId="5CAAB94E" w:rsidR="004722D4" w:rsidRPr="00124A6C" w:rsidRDefault="004722D4" w:rsidP="004722D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shd w:val="clear" w:color="auto" w:fill="FFFFFF"/>
                <w:lang w:val="en-US"/>
              </w:rPr>
            </w:pPr>
            <w:r w:rsidRPr="00124A6C">
              <w:rPr>
                <w:rFonts w:ascii="Arial" w:hAnsi="Arial" w:cs="Arial"/>
                <w:color w:val="000000" w:themeColor="text1"/>
                <w:sz w:val="20"/>
                <w:szCs w:val="20"/>
                <w:shd w:val="clear" w:color="auto" w:fill="FFFFFF"/>
                <w:lang w:val="en-US"/>
              </w:rPr>
              <w:t>Enrolling</w:t>
            </w:r>
            <w:r w:rsidR="00631497" w:rsidRPr="00124A6C">
              <w:rPr>
                <w:rFonts w:ascii="Arial" w:hAnsi="Arial" w:cs="Arial"/>
                <w:color w:val="000000" w:themeColor="text1"/>
                <w:sz w:val="20"/>
                <w:szCs w:val="20"/>
                <w:shd w:val="clear" w:color="auto" w:fill="FFFFFF"/>
                <w:lang w:val="en-US"/>
              </w:rPr>
              <w:t xml:space="preserve"> by invitation</w:t>
            </w:r>
          </w:p>
        </w:tc>
        <w:tc>
          <w:tcPr>
            <w:tcW w:w="0" w:type="auto"/>
          </w:tcPr>
          <w:p w14:paraId="2EB76690" w14:textId="0DDBF231" w:rsidR="004722D4" w:rsidRPr="00124A6C" w:rsidRDefault="004722D4" w:rsidP="004722D4">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Single-centr</w:t>
            </w:r>
            <w:r w:rsidR="00D96F44" w:rsidRPr="00124A6C">
              <w:rPr>
                <w:rFonts w:cs="Arial"/>
                <w:lang w:val="en-US"/>
              </w:rPr>
              <w:t>e</w:t>
            </w:r>
            <w:r w:rsidRPr="00124A6C">
              <w:rPr>
                <w:rFonts w:cs="Arial"/>
                <w:lang w:val="en-US"/>
              </w:rPr>
              <w:t xml:space="preserve"> </w:t>
            </w:r>
            <w:r w:rsidR="00D96F44" w:rsidRPr="00124A6C">
              <w:rPr>
                <w:rFonts w:cs="Arial"/>
                <w:lang w:val="en-US"/>
              </w:rPr>
              <w:t>RCT</w:t>
            </w:r>
          </w:p>
        </w:tc>
        <w:tc>
          <w:tcPr>
            <w:tcW w:w="0" w:type="auto"/>
          </w:tcPr>
          <w:p w14:paraId="4CE666CC" w14:textId="6BF25CB5" w:rsidR="004722D4" w:rsidRPr="00124A6C" w:rsidRDefault="004722D4" w:rsidP="004722D4">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USA</w:t>
            </w:r>
          </w:p>
        </w:tc>
        <w:tc>
          <w:tcPr>
            <w:tcW w:w="0" w:type="auto"/>
          </w:tcPr>
          <w:p w14:paraId="2EFA1615" w14:textId="77777777" w:rsidR="004722D4" w:rsidRPr="00124A6C" w:rsidRDefault="004722D4" w:rsidP="004722D4">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Patients with COVID-19</w:t>
            </w:r>
          </w:p>
          <w:p w14:paraId="3E027AB3" w14:textId="1BDD014C" w:rsidR="004722D4" w:rsidRPr="00124A6C" w:rsidRDefault="004722D4" w:rsidP="004722D4">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(n=500)</w:t>
            </w:r>
          </w:p>
        </w:tc>
        <w:tc>
          <w:tcPr>
            <w:tcW w:w="0" w:type="auto"/>
          </w:tcPr>
          <w:p w14:paraId="40A68C9A" w14:textId="54B1AD0E" w:rsidR="004722D4" w:rsidRPr="00124A6C" w:rsidRDefault="004722D4" w:rsidP="004722D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Tocilizumab 8mg/kg IV (</w:t>
            </w:r>
            <w:r w:rsidR="00D96F44" w:rsidRPr="00124A6C">
              <w:rPr>
                <w:rFonts w:ascii="Arial" w:hAnsi="Arial" w:cs="Arial"/>
                <w:color w:val="000000"/>
                <w:sz w:val="20"/>
                <w:szCs w:val="20"/>
                <w:shd w:val="clear" w:color="auto" w:fill="FFFFFF"/>
                <w:lang w:val="en-US"/>
              </w:rPr>
              <w:t>up to</w:t>
            </w:r>
            <w:r w:rsidRPr="00124A6C">
              <w:rPr>
                <w:rFonts w:ascii="Arial" w:hAnsi="Arial" w:cs="Arial"/>
                <w:color w:val="000000"/>
                <w:sz w:val="20"/>
                <w:szCs w:val="20"/>
                <w:shd w:val="clear" w:color="auto" w:fill="FFFFFF"/>
                <w:lang w:val="en-US"/>
              </w:rPr>
              <w:t xml:space="preserve"> 800 mg)</w:t>
            </w:r>
            <w:r w:rsidR="00D96F44" w:rsidRPr="00124A6C">
              <w:rPr>
                <w:rFonts w:ascii="Arial" w:hAnsi="Arial" w:cs="Arial"/>
                <w:color w:val="000000"/>
                <w:sz w:val="20"/>
                <w:szCs w:val="20"/>
                <w:shd w:val="clear" w:color="auto" w:fill="FFFFFF"/>
                <w:lang w:val="en-US"/>
              </w:rPr>
              <w:t>.</w:t>
            </w:r>
            <w:r w:rsidRPr="00124A6C">
              <w:rPr>
                <w:rFonts w:ascii="Arial" w:hAnsi="Arial" w:cs="Arial"/>
                <w:color w:val="000000"/>
                <w:sz w:val="20"/>
                <w:szCs w:val="20"/>
                <w:shd w:val="clear" w:color="auto" w:fill="FFFFFF"/>
                <w:lang w:val="en-US"/>
              </w:rPr>
              <w:t xml:space="preserve"> If </w:t>
            </w:r>
            <w:r w:rsidR="00D96F44" w:rsidRPr="00124A6C">
              <w:rPr>
                <w:rFonts w:ascii="Arial" w:hAnsi="Arial" w:cs="Arial"/>
                <w:color w:val="000000"/>
                <w:sz w:val="20"/>
                <w:szCs w:val="20"/>
                <w:shd w:val="clear" w:color="auto" w:fill="FFFFFF"/>
                <w:lang w:val="en-US"/>
              </w:rPr>
              <w:t xml:space="preserve">no </w:t>
            </w:r>
            <w:r w:rsidRPr="00124A6C">
              <w:rPr>
                <w:rFonts w:ascii="Arial" w:hAnsi="Arial" w:cs="Arial"/>
                <w:color w:val="000000"/>
                <w:sz w:val="20"/>
                <w:szCs w:val="20"/>
                <w:shd w:val="clear" w:color="auto" w:fill="FFFFFF"/>
                <w:lang w:val="en-US"/>
              </w:rPr>
              <w:t>clinical improvement, three additional doses at q 8-hour intervals</w:t>
            </w:r>
            <w:r w:rsidR="00D96F44" w:rsidRPr="00124A6C">
              <w:rPr>
                <w:rFonts w:ascii="Arial" w:hAnsi="Arial" w:cs="Arial"/>
                <w:color w:val="000000"/>
                <w:sz w:val="20"/>
                <w:szCs w:val="20"/>
                <w:shd w:val="clear" w:color="auto" w:fill="FFFFFF"/>
                <w:lang w:val="en-US"/>
              </w:rPr>
              <w:t xml:space="preserve">, </w:t>
            </w:r>
            <w:r w:rsidRPr="00124A6C">
              <w:rPr>
                <w:rFonts w:ascii="Arial" w:hAnsi="Arial" w:cs="Arial"/>
                <w:color w:val="000000"/>
                <w:sz w:val="20"/>
                <w:szCs w:val="20"/>
                <w:shd w:val="clear" w:color="auto" w:fill="FFFFFF"/>
                <w:lang w:val="en-US"/>
              </w:rPr>
              <w:t>for a total of 4-doses maximum.</w:t>
            </w:r>
          </w:p>
          <w:p w14:paraId="0029EFA9" w14:textId="11756077" w:rsidR="004722D4" w:rsidRPr="00124A6C" w:rsidRDefault="00D96F44" w:rsidP="00D96F4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Any patient demonstrating cytokine release syndrome will automatically receive this treatment arm.</w:t>
            </w:r>
          </w:p>
        </w:tc>
        <w:tc>
          <w:tcPr>
            <w:tcW w:w="0" w:type="auto"/>
          </w:tcPr>
          <w:p w14:paraId="3DCF66AC" w14:textId="77777777" w:rsidR="004722D4" w:rsidRPr="00124A6C" w:rsidRDefault="004722D4" w:rsidP="004722D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Active comparators.</w:t>
            </w:r>
          </w:p>
          <w:p w14:paraId="7AF9139A" w14:textId="3625BA81" w:rsidR="00D96F44" w:rsidRPr="00124A6C" w:rsidRDefault="004722D4" w:rsidP="004722D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Drug: Hydroxychloroquine</w:t>
            </w:r>
            <w:r w:rsidR="00D96F44" w:rsidRPr="00124A6C">
              <w:rPr>
                <w:rFonts w:ascii="Arial" w:hAnsi="Arial" w:cs="Arial"/>
                <w:color w:val="000000"/>
                <w:sz w:val="20"/>
                <w:szCs w:val="20"/>
                <w:shd w:val="clear" w:color="auto" w:fill="FFFFFF"/>
                <w:lang w:val="en-US"/>
              </w:rPr>
              <w:t xml:space="preserve"> (200mg X3/die per 10 days) +</w:t>
            </w:r>
            <w:r w:rsidRPr="00124A6C">
              <w:rPr>
                <w:rFonts w:ascii="Arial" w:hAnsi="Arial" w:cs="Arial"/>
                <w:color w:val="000000"/>
                <w:sz w:val="20"/>
                <w:szCs w:val="20"/>
                <w:shd w:val="clear" w:color="auto" w:fill="FFFFFF"/>
                <w:lang w:val="en-US"/>
              </w:rPr>
              <w:t xml:space="preserve"> Azithromycin</w:t>
            </w:r>
            <w:r w:rsidR="00D96F44" w:rsidRPr="00124A6C">
              <w:rPr>
                <w:rFonts w:ascii="Arial" w:hAnsi="Arial" w:cs="Arial"/>
                <w:color w:val="000000"/>
                <w:sz w:val="20"/>
                <w:szCs w:val="20"/>
                <w:shd w:val="clear" w:color="auto" w:fill="FFFFFF"/>
                <w:lang w:val="en-US"/>
              </w:rPr>
              <w:t xml:space="preserve"> (500mg i.v. day1, then 250mg i.v. days 2 to 5).</w:t>
            </w:r>
          </w:p>
          <w:p w14:paraId="709FC868" w14:textId="3A0610AB" w:rsidR="00D96F44" w:rsidRPr="00124A6C" w:rsidRDefault="004722D4" w:rsidP="004722D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Drug: Hydroxychloroquine</w:t>
            </w:r>
            <w:r w:rsidR="00D96F44" w:rsidRPr="00124A6C">
              <w:rPr>
                <w:rFonts w:ascii="Arial" w:hAnsi="Arial" w:cs="Arial"/>
                <w:color w:val="000000"/>
                <w:sz w:val="20"/>
                <w:szCs w:val="20"/>
                <w:shd w:val="clear" w:color="auto" w:fill="FFFFFF"/>
                <w:lang w:val="en-US"/>
              </w:rPr>
              <w:t xml:space="preserve"> (200mg X3/die per 10 days)+</w:t>
            </w:r>
            <w:r w:rsidRPr="00124A6C">
              <w:rPr>
                <w:rFonts w:ascii="Arial" w:hAnsi="Arial" w:cs="Arial"/>
                <w:color w:val="000000"/>
                <w:sz w:val="20"/>
                <w:szCs w:val="20"/>
                <w:shd w:val="clear" w:color="auto" w:fill="FFFFFF"/>
                <w:lang w:val="en-US"/>
              </w:rPr>
              <w:t xml:space="preserve"> Doxycycline</w:t>
            </w:r>
            <w:r w:rsidR="00D96F44" w:rsidRPr="00124A6C">
              <w:rPr>
                <w:rFonts w:ascii="Arial" w:hAnsi="Arial" w:cs="Arial"/>
                <w:color w:val="000000"/>
                <w:sz w:val="20"/>
                <w:szCs w:val="20"/>
                <w:shd w:val="clear" w:color="auto" w:fill="FFFFFF"/>
                <w:lang w:val="en-US"/>
              </w:rPr>
              <w:t xml:space="preserve"> (100mg i.v.X2)</w:t>
            </w:r>
          </w:p>
          <w:p w14:paraId="4E08674B" w14:textId="13A91886" w:rsidR="00D96F44" w:rsidRPr="00124A6C" w:rsidRDefault="004722D4" w:rsidP="004722D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Drug: Hydroxychloroquine</w:t>
            </w:r>
            <w:r w:rsidR="00D96F44" w:rsidRPr="00124A6C">
              <w:rPr>
                <w:rFonts w:ascii="Arial" w:hAnsi="Arial" w:cs="Arial"/>
                <w:color w:val="000000"/>
                <w:sz w:val="20"/>
                <w:szCs w:val="20"/>
                <w:shd w:val="clear" w:color="auto" w:fill="FFFFFF"/>
                <w:lang w:val="en-US"/>
              </w:rPr>
              <w:t>(200mg X3/die per 10 days)+</w:t>
            </w:r>
            <w:r w:rsidRPr="00124A6C">
              <w:rPr>
                <w:rFonts w:ascii="Arial" w:hAnsi="Arial" w:cs="Arial"/>
                <w:color w:val="000000"/>
                <w:sz w:val="20"/>
                <w:szCs w:val="20"/>
                <w:shd w:val="clear" w:color="auto" w:fill="FFFFFF"/>
                <w:lang w:val="en-US"/>
              </w:rPr>
              <w:t xml:space="preserve"> Clindamycin</w:t>
            </w:r>
            <w:r w:rsidR="00D96F44" w:rsidRPr="00124A6C">
              <w:rPr>
                <w:rFonts w:ascii="Arial" w:hAnsi="Arial" w:cs="Arial"/>
                <w:color w:val="000000"/>
                <w:sz w:val="20"/>
                <w:szCs w:val="20"/>
                <w:shd w:val="clear" w:color="auto" w:fill="FFFFFF"/>
                <w:lang w:val="en-US"/>
              </w:rPr>
              <w:t>(p.o. 150-450mgX4 or 4800mg i.v./day for 7 days)</w:t>
            </w:r>
          </w:p>
          <w:p w14:paraId="56828750" w14:textId="7B7E7E92" w:rsidR="00D96F44" w:rsidRPr="00124A6C" w:rsidRDefault="004722D4" w:rsidP="004722D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 xml:space="preserve">Drug: </w:t>
            </w:r>
            <w:r w:rsidR="00D96F44" w:rsidRPr="00124A6C">
              <w:rPr>
                <w:rFonts w:ascii="Arial" w:hAnsi="Arial" w:cs="Arial"/>
                <w:color w:val="000000"/>
                <w:sz w:val="20"/>
                <w:szCs w:val="20"/>
                <w:shd w:val="clear" w:color="auto" w:fill="FFFFFF"/>
                <w:lang w:val="en-US"/>
              </w:rPr>
              <w:t>Hydroxychloroquine(200mg X3/die per 10 days)+ Clindamy</w:t>
            </w:r>
            <w:r w:rsidR="00D96F44" w:rsidRPr="00124A6C">
              <w:rPr>
                <w:rFonts w:ascii="Arial" w:hAnsi="Arial" w:cs="Arial"/>
                <w:color w:val="000000"/>
                <w:sz w:val="20"/>
                <w:szCs w:val="20"/>
                <w:shd w:val="clear" w:color="auto" w:fill="FFFFFF"/>
                <w:lang w:val="en-US"/>
              </w:rPr>
              <w:lastRenderedPageBreak/>
              <w:t xml:space="preserve">cin(p.o. 150-450mgX4 or 4800mg i.v./day for 7 days) + </w:t>
            </w:r>
            <w:r w:rsidRPr="00124A6C">
              <w:rPr>
                <w:rFonts w:ascii="Arial" w:hAnsi="Arial" w:cs="Arial"/>
                <w:color w:val="000000"/>
                <w:sz w:val="20"/>
                <w:szCs w:val="20"/>
                <w:shd w:val="clear" w:color="auto" w:fill="FFFFFF"/>
                <w:lang w:val="en-US"/>
              </w:rPr>
              <w:t xml:space="preserve">Primaquine </w:t>
            </w:r>
            <w:r w:rsidR="00D96F44" w:rsidRPr="00124A6C">
              <w:rPr>
                <w:rFonts w:ascii="Arial" w:hAnsi="Arial" w:cs="Arial"/>
                <w:color w:val="000000"/>
                <w:sz w:val="20"/>
                <w:szCs w:val="20"/>
                <w:shd w:val="clear" w:color="auto" w:fill="FFFFFF"/>
                <w:lang w:val="en-US"/>
              </w:rPr>
              <w:t>(200mg day1)</w:t>
            </w:r>
          </w:p>
          <w:p w14:paraId="260C0D7F" w14:textId="5DA175EF" w:rsidR="00D96F44" w:rsidRPr="00124A6C" w:rsidRDefault="004722D4" w:rsidP="004722D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Drug: Hydroxychloroquine</w:t>
            </w:r>
            <w:r w:rsidR="00D96F44" w:rsidRPr="00124A6C">
              <w:rPr>
                <w:rFonts w:ascii="Arial" w:hAnsi="Arial" w:cs="Arial"/>
                <w:color w:val="000000"/>
                <w:sz w:val="20"/>
                <w:szCs w:val="20"/>
                <w:shd w:val="clear" w:color="auto" w:fill="FFFFFF"/>
                <w:lang w:val="en-US"/>
              </w:rPr>
              <w:t xml:space="preserve"> (800mg + 400mg after 8h, then 400mg day 2 and day3)</w:t>
            </w:r>
            <w:r w:rsidRPr="00124A6C">
              <w:rPr>
                <w:rFonts w:ascii="Arial" w:hAnsi="Arial" w:cs="Arial"/>
                <w:color w:val="000000"/>
                <w:sz w:val="20"/>
                <w:szCs w:val="20"/>
                <w:shd w:val="clear" w:color="auto" w:fill="FFFFFF"/>
                <w:lang w:val="en-US"/>
              </w:rPr>
              <w:t xml:space="preserve">, </w:t>
            </w:r>
            <w:r w:rsidR="00D96F44" w:rsidRPr="00124A6C">
              <w:rPr>
                <w:rFonts w:ascii="Arial" w:hAnsi="Arial" w:cs="Arial"/>
                <w:color w:val="000000"/>
                <w:sz w:val="20"/>
                <w:szCs w:val="20"/>
                <w:shd w:val="clear" w:color="auto" w:fill="FFFFFF"/>
                <w:lang w:val="en-US"/>
              </w:rPr>
              <w:t xml:space="preserve">Clindamycin(p.o. 150-450mgX4 or 4800mg i.v./day for 7 days)+ </w:t>
            </w:r>
            <w:r w:rsidRPr="00124A6C">
              <w:rPr>
                <w:rFonts w:ascii="Arial" w:hAnsi="Arial" w:cs="Arial"/>
                <w:color w:val="000000"/>
                <w:sz w:val="20"/>
                <w:szCs w:val="20"/>
                <w:shd w:val="clear" w:color="auto" w:fill="FFFFFF"/>
                <w:lang w:val="en-US"/>
              </w:rPr>
              <w:t>Primaquine</w:t>
            </w:r>
            <w:r w:rsidR="00D96F44" w:rsidRPr="00124A6C">
              <w:rPr>
                <w:rFonts w:ascii="Arial" w:hAnsi="Arial" w:cs="Arial"/>
                <w:color w:val="000000"/>
                <w:sz w:val="20"/>
                <w:szCs w:val="20"/>
                <w:shd w:val="clear" w:color="auto" w:fill="FFFFFF"/>
                <w:lang w:val="en-US"/>
              </w:rPr>
              <w:t>(200mg day1)</w:t>
            </w:r>
          </w:p>
          <w:p w14:paraId="27BDEBB2" w14:textId="60509963" w:rsidR="00D96F44" w:rsidRPr="00124A6C" w:rsidRDefault="004722D4" w:rsidP="004722D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Drug: Remdesivir</w:t>
            </w:r>
            <w:r w:rsidR="00D96F44" w:rsidRPr="00124A6C">
              <w:rPr>
                <w:rFonts w:ascii="Arial" w:hAnsi="Arial" w:cs="Arial"/>
                <w:color w:val="000000"/>
                <w:sz w:val="20"/>
                <w:szCs w:val="20"/>
                <w:shd w:val="clear" w:color="auto" w:fill="FFFFFF"/>
                <w:lang w:val="en-US"/>
              </w:rPr>
              <w:t xml:space="preserve"> (200 mg i.v. day 1, then 100 mg/day for 10days)</w:t>
            </w:r>
          </w:p>
          <w:p w14:paraId="11D1E785" w14:textId="58165246" w:rsidR="00D96F44" w:rsidRPr="00124A6C" w:rsidRDefault="004722D4" w:rsidP="004722D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Drug: Methylprednisolone</w:t>
            </w:r>
            <w:r w:rsidR="00D96F44" w:rsidRPr="00124A6C">
              <w:rPr>
                <w:rFonts w:ascii="Arial" w:hAnsi="Arial" w:cs="Arial"/>
                <w:color w:val="000000"/>
                <w:sz w:val="20"/>
                <w:szCs w:val="20"/>
                <w:shd w:val="clear" w:color="auto" w:fill="FFFFFF"/>
                <w:lang w:val="en-US"/>
              </w:rPr>
              <w:t xml:space="preserve"> (80 mg i.v. X2 per 7days)</w:t>
            </w:r>
          </w:p>
          <w:p w14:paraId="1B5C43E5" w14:textId="19C7BDB7" w:rsidR="00D96F44" w:rsidRPr="00124A6C" w:rsidRDefault="004722D4" w:rsidP="004722D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Drug: Interferon-Alpha2B</w:t>
            </w:r>
            <w:r w:rsidR="00D96F44" w:rsidRPr="00124A6C">
              <w:rPr>
                <w:rFonts w:ascii="Arial" w:hAnsi="Arial" w:cs="Arial"/>
                <w:color w:val="000000"/>
                <w:sz w:val="20"/>
                <w:szCs w:val="20"/>
                <w:shd w:val="clear" w:color="auto" w:fill="FFFFFF"/>
                <w:lang w:val="en-US"/>
              </w:rPr>
              <w:t xml:space="preserve"> X2</w:t>
            </w:r>
          </w:p>
          <w:p w14:paraId="0FB13325" w14:textId="39F1ACEE" w:rsidR="00D96F44" w:rsidRPr="00124A6C" w:rsidRDefault="004722D4" w:rsidP="004722D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Drug: Losartan</w:t>
            </w:r>
            <w:r w:rsidR="00D96F44" w:rsidRPr="00124A6C">
              <w:rPr>
                <w:rFonts w:ascii="Arial" w:hAnsi="Arial" w:cs="Arial"/>
                <w:color w:val="000000"/>
                <w:sz w:val="20"/>
                <w:szCs w:val="20"/>
                <w:shd w:val="clear" w:color="auto" w:fill="FFFFFF"/>
                <w:lang w:val="en-US"/>
              </w:rPr>
              <w:t xml:space="preserve"> (25mg/die)</w:t>
            </w:r>
          </w:p>
          <w:p w14:paraId="63DBD692" w14:textId="4213EC36" w:rsidR="004722D4" w:rsidRPr="00124A6C" w:rsidRDefault="004722D4" w:rsidP="00D96F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Drug: Convalescent Serum</w:t>
            </w:r>
            <w:r w:rsidR="00D96F44" w:rsidRPr="00124A6C">
              <w:rPr>
                <w:rFonts w:ascii="Arial" w:hAnsi="Arial" w:cs="Arial"/>
                <w:color w:val="000000"/>
                <w:sz w:val="20"/>
                <w:szCs w:val="20"/>
                <w:shd w:val="clear" w:color="auto" w:fill="FFFFFF"/>
                <w:lang w:val="en-US"/>
              </w:rPr>
              <w:t xml:space="preserve"> drom COVID-19 survivors</w:t>
            </w:r>
          </w:p>
        </w:tc>
        <w:tc>
          <w:tcPr>
            <w:tcW w:w="0" w:type="auto"/>
          </w:tcPr>
          <w:p w14:paraId="03C39761" w14:textId="25F8915A" w:rsidR="004722D4" w:rsidRPr="00124A6C" w:rsidRDefault="004722D4" w:rsidP="004722D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lastRenderedPageBreak/>
              <w:t xml:space="preserve">Improvement in FMTVDM </w:t>
            </w:r>
            <w:r w:rsidR="00D96F44" w:rsidRPr="00124A6C">
              <w:rPr>
                <w:rFonts w:ascii="Arial" w:hAnsi="Arial" w:cs="Arial"/>
                <w:color w:val="000000"/>
                <w:sz w:val="20"/>
                <w:szCs w:val="20"/>
                <w:lang w:val="en-US"/>
              </w:rPr>
              <w:t>(The Fleming Method for Tissue and Vascular Differentiation and Metabolism ) m</w:t>
            </w:r>
            <w:r w:rsidRPr="00124A6C">
              <w:rPr>
                <w:rFonts w:ascii="Arial" w:hAnsi="Arial" w:cs="Arial"/>
                <w:color w:val="000000"/>
                <w:sz w:val="20"/>
                <w:szCs w:val="20"/>
                <w:lang w:val="en-US"/>
              </w:rPr>
              <w:t>easure</w:t>
            </w:r>
            <w:r w:rsidRPr="00124A6C">
              <w:rPr>
                <w:rFonts w:ascii="Arial" w:hAnsi="Arial" w:cs="Arial"/>
                <w:color w:val="000000"/>
                <w:sz w:val="20"/>
                <w:szCs w:val="20"/>
                <w:lang w:val="en-US"/>
              </w:rPr>
              <w:lastRenderedPageBreak/>
              <w:t>ment with nuclear imaging</w:t>
            </w:r>
            <w:r w:rsidR="00D96F44" w:rsidRPr="00124A6C">
              <w:rPr>
                <w:rFonts w:ascii="Arial" w:hAnsi="Arial" w:cs="Arial"/>
                <w:color w:val="000000"/>
                <w:sz w:val="20"/>
                <w:szCs w:val="20"/>
                <w:lang w:val="en-US"/>
              </w:rPr>
              <w:t xml:space="preserve"> at 72h</w:t>
            </w:r>
          </w:p>
        </w:tc>
      </w:tr>
      <w:tr w:rsidR="00D16ECF" w:rsidRPr="0068569D" w14:paraId="2B4667B7" w14:textId="77777777" w:rsidTr="00D801A8">
        <w:trPr>
          <w:cnfStyle w:val="000000100000" w:firstRow="0" w:lastRow="0" w:firstColumn="0" w:lastColumn="0" w:oddVBand="0" w:evenVBand="0" w:oddHBand="1" w:evenHBand="0" w:firstRowFirstColumn="0" w:firstRowLastColumn="0" w:lastRowFirstColumn="0" w:lastRowLastColumn="0"/>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28EE449E" w14:textId="77777777" w:rsidR="00FE473B" w:rsidRPr="00124A6C" w:rsidRDefault="00FE473B"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lastRenderedPageBreak/>
              <w:t>NCT04346693</w:t>
            </w:r>
          </w:p>
          <w:p w14:paraId="0CBD5671" w14:textId="77777777" w:rsidR="00FE473B" w:rsidRPr="00124A6C" w:rsidRDefault="00FE473B" w:rsidP="005B6AB7">
            <w:pPr>
              <w:rPr>
                <w:rFonts w:ascii="Arial" w:hAnsi="Arial" w:cs="Arial"/>
                <w:b w:val="0"/>
                <w:bCs w:val="0"/>
                <w:color w:val="000000"/>
                <w:sz w:val="20"/>
                <w:szCs w:val="20"/>
                <w:shd w:val="clear" w:color="auto" w:fill="FFFFFF"/>
                <w:lang w:val="en-US"/>
              </w:rPr>
            </w:pPr>
          </w:p>
        </w:tc>
        <w:tc>
          <w:tcPr>
            <w:tcW w:w="0" w:type="auto"/>
          </w:tcPr>
          <w:p w14:paraId="5D829B12" w14:textId="2DACF2F4" w:rsidR="00FE473B" w:rsidRPr="00124A6C" w:rsidRDefault="00FE473B" w:rsidP="00FE47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24A6C">
              <w:rPr>
                <w:rFonts w:ascii="Arial" w:hAnsi="Arial" w:cs="Arial"/>
                <w:color w:val="000000" w:themeColor="text1"/>
                <w:sz w:val="20"/>
                <w:szCs w:val="20"/>
                <w:shd w:val="clear" w:color="auto" w:fill="FFFFFF"/>
              </w:rPr>
              <w:t>Active, not recruiting</w:t>
            </w:r>
          </w:p>
          <w:p w14:paraId="56A9EFF6" w14:textId="77777777" w:rsidR="00FE473B" w:rsidRPr="00124A6C" w:rsidRDefault="00FE473B" w:rsidP="00FE473B">
            <w:pPr>
              <w:cnfStyle w:val="000000100000" w:firstRow="0" w:lastRow="0" w:firstColumn="0" w:lastColumn="0" w:oddVBand="0" w:evenVBand="0" w:oddHBand="1" w:evenHBand="0" w:firstRowFirstColumn="0" w:firstRowLastColumn="0" w:lastRowFirstColumn="0" w:lastRowLastColumn="0"/>
              <w:rPr>
                <w:rFonts w:ascii="Arial" w:hAnsi="Arial" w:cs="Arial"/>
                <w:color w:val="666666"/>
                <w:sz w:val="20"/>
                <w:szCs w:val="20"/>
                <w:shd w:val="clear" w:color="auto" w:fill="FFFFFF"/>
                <w:lang w:val="en-US"/>
              </w:rPr>
            </w:pPr>
          </w:p>
        </w:tc>
        <w:tc>
          <w:tcPr>
            <w:tcW w:w="0" w:type="auto"/>
          </w:tcPr>
          <w:p w14:paraId="50679213" w14:textId="6B9295F8" w:rsidR="00FE473B" w:rsidRPr="00124A6C" w:rsidRDefault="00FE473B" w:rsidP="00FE473B">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Single-centre randomized trial</w:t>
            </w:r>
          </w:p>
        </w:tc>
        <w:tc>
          <w:tcPr>
            <w:tcW w:w="0" w:type="auto"/>
          </w:tcPr>
          <w:p w14:paraId="305BB759" w14:textId="58D51F20" w:rsidR="00FE473B" w:rsidRPr="00124A6C" w:rsidRDefault="00FE473B" w:rsidP="00FE473B">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Russia</w:t>
            </w:r>
          </w:p>
        </w:tc>
        <w:tc>
          <w:tcPr>
            <w:tcW w:w="0" w:type="auto"/>
          </w:tcPr>
          <w:p w14:paraId="0033CAD6" w14:textId="77777777" w:rsidR="00FE473B" w:rsidRPr="00124A6C" w:rsidRDefault="00FE473B" w:rsidP="00FE473B">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Hospitalized patients with COVID-19</w:t>
            </w:r>
          </w:p>
          <w:p w14:paraId="4995A002" w14:textId="78A0FDC9" w:rsidR="00FE473B" w:rsidRPr="00124A6C" w:rsidRDefault="00FE473B" w:rsidP="00FE473B">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(n=320)</w:t>
            </w:r>
          </w:p>
        </w:tc>
        <w:tc>
          <w:tcPr>
            <w:tcW w:w="0" w:type="auto"/>
          </w:tcPr>
          <w:p w14:paraId="2AF59F25" w14:textId="208E4685" w:rsidR="00FE473B" w:rsidRPr="00124A6C" w:rsidRDefault="00FE473B" w:rsidP="00FE473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Hydroxychloroquine + azithromycin + / - tocilizumab + dalargin</w:t>
            </w:r>
          </w:p>
          <w:p w14:paraId="16CA9244" w14:textId="2CB81FF3" w:rsidR="00FE473B" w:rsidRPr="00124A6C" w:rsidRDefault="00FE473B" w:rsidP="00FE473B">
            <w:pPr>
              <w:pStyle w:val="Normale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HCQ 400 mg twice per day for 1-2 days then 200 mg twice daily per six days.</w:t>
            </w:r>
          </w:p>
          <w:p w14:paraId="7459FDE9" w14:textId="56D1B5C9" w:rsidR="00FE473B" w:rsidRPr="00124A6C" w:rsidRDefault="00FE473B" w:rsidP="00FE473B">
            <w:pPr>
              <w:pStyle w:val="Normale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TCZ 400 mg i.v.; if insufficient effect, administration is repeated after 12h (simultaneously no more than 800 mg)</w:t>
            </w:r>
          </w:p>
          <w:p w14:paraId="3B6ED13A" w14:textId="237A2D57" w:rsidR="00FE473B" w:rsidRPr="00124A6C" w:rsidRDefault="00FE473B" w:rsidP="00FE473B">
            <w:pPr>
              <w:pStyle w:val="Normale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AZ 500mg on day 1, then 250mg/day for the next four days</w:t>
            </w:r>
          </w:p>
          <w:p w14:paraId="029A9F09" w14:textId="2A5107C9" w:rsidR="00FE473B" w:rsidRPr="00124A6C" w:rsidRDefault="00FE473B" w:rsidP="00FE473B">
            <w:pPr>
              <w:pStyle w:val="Normale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Dalargin 10 mg i.v. daily symptoms remission And/or</w:t>
            </w:r>
          </w:p>
          <w:p w14:paraId="0C283BEE" w14:textId="7D7BA3E9" w:rsidR="00FE473B" w:rsidRPr="00124A6C" w:rsidRDefault="00FE473B" w:rsidP="00FE473B">
            <w:pPr>
              <w:pStyle w:val="Normale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i.m injection of Dalargin 1 mg/day for 10 days</w:t>
            </w:r>
          </w:p>
        </w:tc>
        <w:tc>
          <w:tcPr>
            <w:tcW w:w="0" w:type="auto"/>
          </w:tcPr>
          <w:p w14:paraId="22517719" w14:textId="77777777" w:rsidR="00FE473B" w:rsidRPr="00124A6C" w:rsidRDefault="00FE473B" w:rsidP="00FE473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Hydroxychloroquine + azithromycin + / - tocilizumab + dalargin</w:t>
            </w:r>
          </w:p>
          <w:p w14:paraId="2A52BC18" w14:textId="77777777" w:rsidR="00FE473B" w:rsidRPr="00124A6C" w:rsidRDefault="00FE473B" w:rsidP="00FE473B">
            <w:pPr>
              <w:pStyle w:val="Normale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HCQ 400 mg twice per day for 1-2 days then 200 mg twice daily per six days.</w:t>
            </w:r>
          </w:p>
          <w:p w14:paraId="4306BF88" w14:textId="77777777" w:rsidR="00FE473B" w:rsidRPr="00124A6C" w:rsidRDefault="00FE473B" w:rsidP="00FE473B">
            <w:pPr>
              <w:pStyle w:val="Normale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TCZ 400 mg i.v.; if insufficient effect, administration is repeated after 12h (simultaneously no more than 800 mg)</w:t>
            </w:r>
          </w:p>
          <w:p w14:paraId="74EEA3F0" w14:textId="77777777" w:rsidR="00FE473B" w:rsidRPr="00124A6C" w:rsidRDefault="00FE473B" w:rsidP="00FE473B">
            <w:pPr>
              <w:pStyle w:val="Normale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AZ 500mg on day 1, then 250mg/day for the next four days</w:t>
            </w:r>
          </w:p>
          <w:p w14:paraId="02141EBC" w14:textId="77777777" w:rsidR="00FE473B" w:rsidRPr="00124A6C" w:rsidRDefault="00FE473B" w:rsidP="00FE473B">
            <w:pPr>
              <w:pStyle w:val="Normale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Dalargin 10 mg i.v. daily symptoms remission And/or</w:t>
            </w:r>
          </w:p>
          <w:p w14:paraId="7E8FCCB5" w14:textId="0B4C1543" w:rsidR="00FE473B" w:rsidRPr="00124A6C" w:rsidRDefault="00FE473B" w:rsidP="00FE473B">
            <w:pPr>
              <w:pStyle w:val="Normale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i.m injection of Dalargin 1 mg/day for 10 days</w:t>
            </w:r>
          </w:p>
        </w:tc>
        <w:tc>
          <w:tcPr>
            <w:tcW w:w="0" w:type="auto"/>
          </w:tcPr>
          <w:p w14:paraId="68DA958E" w14:textId="3170A51D" w:rsidR="00FE473B" w:rsidRPr="00124A6C" w:rsidRDefault="00FE473B" w:rsidP="00FE473B">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Change of PCR viral load at day0, after 96 hours and at day10; ARDS at day 10; Hospitalization at day 10;</w:t>
            </w:r>
          </w:p>
          <w:p w14:paraId="6DAD453F" w14:textId="0182441C" w:rsidR="00FE473B" w:rsidRPr="00124A6C" w:rsidRDefault="00FE473B" w:rsidP="00FE473B">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Mortality at day 30 and day 90; Clinical status at day 10</w:t>
            </w:r>
          </w:p>
        </w:tc>
      </w:tr>
      <w:tr w:rsidR="00D16ECF" w:rsidRPr="0068569D" w14:paraId="206C7C97" w14:textId="77777777" w:rsidTr="00D801A8">
        <w:trPr>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261F540F" w14:textId="77777777" w:rsidR="00FE473B" w:rsidRPr="00124A6C" w:rsidRDefault="00FE473B"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lastRenderedPageBreak/>
              <w:t>NCT02735707</w:t>
            </w:r>
          </w:p>
          <w:p w14:paraId="3FCC6D39" w14:textId="77777777" w:rsidR="00FE473B" w:rsidRPr="00124A6C" w:rsidRDefault="00FE473B" w:rsidP="005B6AB7">
            <w:pPr>
              <w:rPr>
                <w:rFonts w:ascii="Arial" w:hAnsi="Arial" w:cs="Arial"/>
                <w:b w:val="0"/>
                <w:bCs w:val="0"/>
                <w:color w:val="000000"/>
                <w:sz w:val="20"/>
                <w:szCs w:val="20"/>
                <w:shd w:val="clear" w:color="auto" w:fill="FFFFFF"/>
                <w:lang w:val="en-US"/>
              </w:rPr>
            </w:pPr>
          </w:p>
        </w:tc>
        <w:tc>
          <w:tcPr>
            <w:tcW w:w="0" w:type="auto"/>
          </w:tcPr>
          <w:p w14:paraId="2086F468" w14:textId="3583E7D4" w:rsidR="00FE473B" w:rsidRPr="00124A6C" w:rsidRDefault="00FE473B" w:rsidP="00FE47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shd w:val="clear" w:color="auto" w:fill="FFFFFF"/>
                <w:lang w:val="en-US"/>
              </w:rPr>
            </w:pPr>
            <w:r w:rsidRPr="00124A6C">
              <w:rPr>
                <w:rFonts w:ascii="Arial" w:hAnsi="Arial" w:cs="Arial"/>
                <w:color w:val="000000" w:themeColor="text1"/>
                <w:sz w:val="20"/>
                <w:szCs w:val="20"/>
                <w:shd w:val="clear" w:color="auto" w:fill="FFFFFF"/>
                <w:lang w:val="en-US"/>
              </w:rPr>
              <w:t>Recruiting</w:t>
            </w:r>
          </w:p>
        </w:tc>
        <w:tc>
          <w:tcPr>
            <w:tcW w:w="0" w:type="auto"/>
          </w:tcPr>
          <w:p w14:paraId="745B054E" w14:textId="58698B61" w:rsidR="00FE473B" w:rsidRPr="00124A6C" w:rsidRDefault="00FE473B" w:rsidP="00FE473B">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lang w:val="en-US"/>
              </w:rPr>
            </w:pPr>
            <w:r w:rsidRPr="00124A6C">
              <w:rPr>
                <w:rFonts w:cs="Arial"/>
                <w:color w:val="000000" w:themeColor="text1"/>
                <w:shd w:val="clear" w:color="auto" w:fill="FFFFFF"/>
                <w:lang w:val="en-US"/>
              </w:rPr>
              <w:t>Multicen</w:t>
            </w:r>
            <w:r w:rsidR="00326A03">
              <w:rPr>
                <w:rFonts w:cs="Arial"/>
                <w:color w:val="000000" w:themeColor="text1"/>
                <w:shd w:val="clear" w:color="auto" w:fill="FFFFFF"/>
                <w:lang w:val="en-US"/>
              </w:rPr>
              <w:t>t</w:t>
            </w:r>
            <w:r w:rsidRPr="00124A6C">
              <w:rPr>
                <w:rFonts w:cs="Arial"/>
                <w:color w:val="000000" w:themeColor="text1"/>
                <w:shd w:val="clear" w:color="auto" w:fill="FFFFFF"/>
                <w:lang w:val="en-US"/>
              </w:rPr>
              <w:t>re RCT</w:t>
            </w:r>
          </w:p>
        </w:tc>
        <w:tc>
          <w:tcPr>
            <w:tcW w:w="0" w:type="auto"/>
          </w:tcPr>
          <w:p w14:paraId="62E78522" w14:textId="12954CCC" w:rsidR="00FE473B" w:rsidRPr="00124A6C" w:rsidRDefault="00FE473B" w:rsidP="00FE473B">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Australia, Belgium, Canada, Croatia, Germany, Hungary, Ireland, Netherlands, New Zealand, Portugal, Romania, Spain, UK</w:t>
            </w:r>
          </w:p>
        </w:tc>
        <w:tc>
          <w:tcPr>
            <w:tcW w:w="0" w:type="auto"/>
          </w:tcPr>
          <w:p w14:paraId="5E5DE6E3" w14:textId="77777777" w:rsidR="00FE473B" w:rsidRPr="00124A6C" w:rsidRDefault="00FE473B" w:rsidP="00FE473B">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ICU patients with suspected CAP or COVID-19</w:t>
            </w:r>
          </w:p>
          <w:p w14:paraId="66EB56AB" w14:textId="0D2E88E4" w:rsidR="00FE473B" w:rsidRPr="00124A6C" w:rsidRDefault="00FE473B" w:rsidP="00FE473B">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(n=7100)</w:t>
            </w:r>
          </w:p>
        </w:tc>
        <w:tc>
          <w:tcPr>
            <w:tcW w:w="0" w:type="auto"/>
          </w:tcPr>
          <w:p w14:paraId="6D68DED8" w14:textId="7AC0FA88" w:rsidR="00FE473B" w:rsidRPr="00124A6C" w:rsidRDefault="00FE473B" w:rsidP="00FE473B">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Tocilizuma</w:t>
            </w:r>
            <w:r w:rsidR="00CA6A93" w:rsidRPr="00124A6C">
              <w:rPr>
                <w:rFonts w:ascii="Arial" w:hAnsi="Arial" w:cs="Arial"/>
                <w:color w:val="000000"/>
                <w:sz w:val="20"/>
                <w:szCs w:val="20"/>
                <w:shd w:val="clear" w:color="auto" w:fill="FFFFFF"/>
                <w:lang w:val="en-US"/>
              </w:rPr>
              <w:t>b</w:t>
            </w:r>
            <w:r w:rsidRPr="00124A6C">
              <w:rPr>
                <w:rFonts w:ascii="Arial" w:hAnsi="Arial" w:cs="Arial"/>
                <w:color w:val="000000"/>
                <w:sz w:val="20"/>
                <w:szCs w:val="20"/>
                <w:shd w:val="clear" w:color="auto" w:fill="FFFFFF"/>
                <w:lang w:val="en-US"/>
              </w:rPr>
              <w:t xml:space="preserve"> single 8</w:t>
            </w:r>
            <w:r w:rsidR="00CA6A93" w:rsidRPr="00124A6C">
              <w:rPr>
                <w:rFonts w:ascii="Arial" w:hAnsi="Arial" w:cs="Arial"/>
                <w:color w:val="000000"/>
                <w:sz w:val="20"/>
                <w:szCs w:val="20"/>
                <w:shd w:val="clear" w:color="auto" w:fill="FFFFFF"/>
                <w:lang w:val="en-US"/>
              </w:rPr>
              <w:t xml:space="preserve"> </w:t>
            </w:r>
            <w:r w:rsidRPr="00124A6C">
              <w:rPr>
                <w:rFonts w:ascii="Arial" w:hAnsi="Arial" w:cs="Arial"/>
                <w:color w:val="000000"/>
                <w:sz w:val="20"/>
                <w:szCs w:val="20"/>
                <w:shd w:val="clear" w:color="auto" w:fill="FFFFFF"/>
                <w:lang w:val="en-US"/>
              </w:rPr>
              <w:t xml:space="preserve">mg/kg </w:t>
            </w:r>
            <w:r w:rsidR="00CA6A93" w:rsidRPr="00124A6C">
              <w:rPr>
                <w:rFonts w:ascii="Arial" w:hAnsi="Arial" w:cs="Arial"/>
                <w:color w:val="000000"/>
                <w:sz w:val="20"/>
                <w:szCs w:val="20"/>
                <w:shd w:val="clear" w:color="auto" w:fill="FFFFFF"/>
                <w:lang w:val="en-US"/>
              </w:rPr>
              <w:t>i.v. (up to</w:t>
            </w:r>
            <w:r w:rsidRPr="00124A6C">
              <w:rPr>
                <w:rFonts w:ascii="Arial" w:hAnsi="Arial" w:cs="Arial"/>
                <w:color w:val="000000"/>
                <w:sz w:val="20"/>
                <w:szCs w:val="20"/>
                <w:shd w:val="clear" w:color="auto" w:fill="FFFFFF"/>
                <w:lang w:val="en-US"/>
              </w:rPr>
              <w:t xml:space="preserve"> 800mg</w:t>
            </w:r>
            <w:r w:rsidR="00CA6A93" w:rsidRPr="00124A6C">
              <w:rPr>
                <w:rFonts w:ascii="Arial" w:hAnsi="Arial" w:cs="Arial"/>
                <w:color w:val="000000"/>
                <w:sz w:val="20"/>
                <w:szCs w:val="20"/>
                <w:shd w:val="clear" w:color="auto" w:fill="FFFFFF"/>
                <w:lang w:val="en-US"/>
              </w:rPr>
              <w:t>)</w:t>
            </w:r>
            <w:r w:rsidRPr="00124A6C">
              <w:rPr>
                <w:rFonts w:ascii="Arial" w:hAnsi="Arial" w:cs="Arial"/>
                <w:color w:val="000000"/>
                <w:sz w:val="20"/>
                <w:szCs w:val="20"/>
                <w:shd w:val="clear" w:color="auto" w:fill="FFFFFF"/>
                <w:lang w:val="en-US"/>
              </w:rPr>
              <w:t>.</w:t>
            </w:r>
          </w:p>
        </w:tc>
        <w:tc>
          <w:tcPr>
            <w:tcW w:w="0" w:type="auto"/>
          </w:tcPr>
          <w:p w14:paraId="4339B298" w14:textId="77777777" w:rsidR="00CA6A93" w:rsidRPr="00124A6C" w:rsidRDefault="00CA6A93" w:rsidP="00FE473B">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No intervention or</w:t>
            </w:r>
          </w:p>
          <w:p w14:paraId="5FD9CDCC" w14:textId="6B80B201" w:rsidR="00FE473B" w:rsidRPr="00124A6C" w:rsidRDefault="00FE473B" w:rsidP="00FE473B">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Drug: Hydrocortisone</w:t>
            </w:r>
          </w:p>
          <w:p w14:paraId="01A88842" w14:textId="43C0EFAE" w:rsidR="00FE473B" w:rsidRPr="00124A6C" w:rsidRDefault="00FE473B" w:rsidP="00CA6A9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 xml:space="preserve">50mg </w:t>
            </w:r>
            <w:r w:rsidR="00CA6A93" w:rsidRPr="00124A6C">
              <w:rPr>
                <w:rFonts w:ascii="Arial" w:hAnsi="Arial" w:cs="Arial"/>
                <w:color w:val="000000"/>
                <w:sz w:val="20"/>
                <w:szCs w:val="20"/>
                <w:shd w:val="clear" w:color="auto" w:fill="FFFFFF"/>
                <w:lang w:val="en-US"/>
              </w:rPr>
              <w:t>i.v.</w:t>
            </w:r>
            <w:r w:rsidRPr="00124A6C">
              <w:rPr>
                <w:rFonts w:ascii="Arial" w:hAnsi="Arial" w:cs="Arial"/>
                <w:color w:val="000000"/>
                <w:sz w:val="20"/>
                <w:szCs w:val="20"/>
                <w:shd w:val="clear" w:color="auto" w:fill="FFFFFF"/>
                <w:lang w:val="en-US"/>
              </w:rPr>
              <w:t xml:space="preserve"> every 6 hours for up to 7 days</w:t>
            </w:r>
            <w:r w:rsidR="00CA6A93" w:rsidRPr="00124A6C">
              <w:rPr>
                <w:rFonts w:ascii="Arial" w:hAnsi="Arial" w:cs="Arial"/>
                <w:color w:val="000000"/>
                <w:sz w:val="20"/>
                <w:szCs w:val="20"/>
                <w:shd w:val="clear" w:color="auto" w:fill="FFFFFF"/>
                <w:lang w:val="en-US"/>
              </w:rPr>
              <w:t xml:space="preserve"> or </w:t>
            </w:r>
            <w:r w:rsidRPr="00124A6C">
              <w:rPr>
                <w:rFonts w:ascii="Arial" w:hAnsi="Arial" w:cs="Arial"/>
                <w:color w:val="000000"/>
                <w:sz w:val="20"/>
                <w:szCs w:val="20"/>
                <w:shd w:val="clear" w:color="auto" w:fill="FFFFFF"/>
                <w:lang w:val="en-US"/>
              </w:rPr>
              <w:t>while the patient is in septic shock</w:t>
            </w:r>
            <w:r w:rsidR="00CA6A93" w:rsidRPr="00124A6C">
              <w:rPr>
                <w:rFonts w:ascii="Arial" w:hAnsi="Arial" w:cs="Arial"/>
                <w:color w:val="000000"/>
                <w:sz w:val="20"/>
                <w:szCs w:val="20"/>
                <w:shd w:val="clear" w:color="auto" w:fill="FFFFFF"/>
                <w:lang w:val="en-US"/>
              </w:rPr>
              <w:t>;</w:t>
            </w:r>
            <w:r w:rsidR="004B084C" w:rsidRPr="00124A6C">
              <w:rPr>
                <w:rFonts w:ascii="Arial" w:hAnsi="Arial" w:cs="Arial"/>
                <w:color w:val="000000"/>
                <w:sz w:val="20"/>
                <w:szCs w:val="20"/>
                <w:shd w:val="clear" w:color="auto" w:fill="FFFFFF"/>
                <w:lang w:val="en-US"/>
              </w:rPr>
              <w:t xml:space="preserve"> or 100mg every 6 hours for up to 7 days.</w:t>
            </w:r>
          </w:p>
          <w:p w14:paraId="5BB7AE5E" w14:textId="77777777" w:rsidR="004B084C" w:rsidRPr="00124A6C" w:rsidRDefault="004B084C" w:rsidP="00CA6A9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p w14:paraId="543C2E52" w14:textId="77777777" w:rsidR="00CA6A93" w:rsidRPr="00124A6C" w:rsidRDefault="00FE473B" w:rsidP="00FE473B">
            <w:pPr>
              <w:pStyle w:val="Normale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Dr</w:t>
            </w:r>
            <w:r w:rsidR="00CA6A93" w:rsidRPr="00124A6C">
              <w:rPr>
                <w:rFonts w:ascii="Arial" w:hAnsi="Arial" w:cs="Arial"/>
                <w:color w:val="000000"/>
                <w:sz w:val="20"/>
                <w:szCs w:val="20"/>
                <w:shd w:val="clear" w:color="auto" w:fill="FFFFFF"/>
                <w:lang w:val="en-US"/>
              </w:rPr>
              <w:t xml:space="preserve">ug: </w:t>
            </w:r>
            <w:r w:rsidRPr="00124A6C">
              <w:rPr>
                <w:rFonts w:ascii="Arial" w:hAnsi="Arial" w:cs="Arial"/>
                <w:color w:val="000000"/>
                <w:sz w:val="20"/>
                <w:szCs w:val="20"/>
                <w:shd w:val="clear" w:color="auto" w:fill="FFFFFF"/>
                <w:lang w:val="en-US"/>
              </w:rPr>
              <w:t>Ceftriaxone</w:t>
            </w:r>
          </w:p>
          <w:p w14:paraId="120AC306" w14:textId="77777777" w:rsidR="00CA6A93" w:rsidRPr="00124A6C" w:rsidRDefault="00FE473B" w:rsidP="00FE473B">
            <w:pPr>
              <w:pStyle w:val="Normale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Drug: Moxifloxacin or Levofloxacin</w:t>
            </w:r>
          </w:p>
          <w:p w14:paraId="10614A3D" w14:textId="77777777" w:rsidR="00CA6A93" w:rsidRPr="00124A6C" w:rsidRDefault="00FE473B" w:rsidP="00FE473B">
            <w:pPr>
              <w:pStyle w:val="Normale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Drug: Piperacillin-tazobactam</w:t>
            </w:r>
          </w:p>
          <w:p w14:paraId="14430811" w14:textId="77777777" w:rsidR="00CA6A93" w:rsidRPr="00124A6C" w:rsidRDefault="00FE473B" w:rsidP="00FE473B">
            <w:pPr>
              <w:pStyle w:val="Normale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Drug: Ceftaroline</w:t>
            </w:r>
          </w:p>
          <w:p w14:paraId="76D763B0" w14:textId="7F69ADF2" w:rsidR="00FE473B" w:rsidRPr="00124A6C" w:rsidRDefault="00FE473B" w:rsidP="00FE473B">
            <w:pPr>
              <w:pStyle w:val="Normale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Drug: Amoxicillin-clavulanate</w:t>
            </w:r>
          </w:p>
          <w:p w14:paraId="4FBF07FD" w14:textId="77777777" w:rsidR="00CA6A93" w:rsidRPr="00124A6C" w:rsidRDefault="00FE473B" w:rsidP="00FE473B">
            <w:pPr>
              <w:pStyle w:val="Normale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Drug: Macrolide administered for 3-5 days</w:t>
            </w:r>
          </w:p>
          <w:p w14:paraId="0B6B9520" w14:textId="6EA25FE8" w:rsidR="00FE473B" w:rsidRPr="00124A6C" w:rsidRDefault="00FE473B" w:rsidP="00FE473B">
            <w:pPr>
              <w:pStyle w:val="Normale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shd w:val="clear" w:color="auto" w:fill="FFFFFF"/>
                <w:lang w:val="en-US"/>
              </w:rPr>
              <w:t xml:space="preserve">Drug: Macrolide administered for up to 14 days </w:t>
            </w:r>
          </w:p>
          <w:p w14:paraId="018E14F8" w14:textId="52A8C4B0" w:rsidR="00FE473B" w:rsidRPr="00124A6C" w:rsidRDefault="00CA6A93" w:rsidP="00FE473B">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lang w:val="en-US"/>
              </w:rPr>
              <w:t>(Duration and dose of antibiotics determined by the treating clinician and local practice)</w:t>
            </w:r>
          </w:p>
          <w:p w14:paraId="04C30C3B" w14:textId="77777777" w:rsidR="00CA6A93" w:rsidRPr="00124A6C" w:rsidRDefault="00FE473B" w:rsidP="00FE473B">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Drug: Five-days oseltamivir</w:t>
            </w:r>
          </w:p>
          <w:p w14:paraId="366426E0" w14:textId="6ABFDE73" w:rsidR="00FE473B" w:rsidRPr="00124A6C" w:rsidRDefault="00FE473B" w:rsidP="00CA6A9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Drug: Ten-days oseltamivir enterally twice daily for 5 days or until hospital discharge</w:t>
            </w:r>
            <w:r w:rsidR="00CA6A93" w:rsidRPr="00124A6C">
              <w:rPr>
                <w:rFonts w:ascii="Arial" w:hAnsi="Arial" w:cs="Arial"/>
                <w:color w:val="000000"/>
                <w:sz w:val="20"/>
                <w:szCs w:val="20"/>
                <w:shd w:val="clear" w:color="auto" w:fill="FFFFFF"/>
                <w:lang w:val="en-US"/>
              </w:rPr>
              <w:t>.</w:t>
            </w:r>
          </w:p>
          <w:p w14:paraId="44580744" w14:textId="1C663D92" w:rsidR="00FE473B" w:rsidRPr="00124A6C" w:rsidRDefault="00FE473B" w:rsidP="00CA6A93">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shd w:val="clear" w:color="auto" w:fill="FFFFFF"/>
                <w:lang w:val="en-US"/>
              </w:rPr>
              <w:t xml:space="preserve">Drug: Lopinavir/ritonavir </w:t>
            </w:r>
            <w:r w:rsidRPr="00124A6C">
              <w:rPr>
                <w:rFonts w:ascii="Arial" w:hAnsi="Arial" w:cs="Arial"/>
                <w:color w:val="000000"/>
                <w:sz w:val="20"/>
                <w:szCs w:val="20"/>
                <w:lang w:val="en-US"/>
              </w:rPr>
              <w:t>400/100mg enterally, or 5ml 80/20mg per mL solution suspension via gastric tube, every 12 hours for a minimum of 5 days</w:t>
            </w:r>
          </w:p>
          <w:p w14:paraId="1954BB6B" w14:textId="77777777" w:rsidR="00CA6A93" w:rsidRPr="00124A6C" w:rsidRDefault="00CA6A93" w:rsidP="00CA6A93">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p>
          <w:p w14:paraId="329830FE" w14:textId="0589E1F4" w:rsidR="00FE473B" w:rsidRPr="00124A6C" w:rsidRDefault="00FE473B" w:rsidP="00FE473B">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Drug: Hydroxychloroquine 800mg administered enterally every 6 hours until 2 doses</w:t>
            </w:r>
            <w:r w:rsidR="00CA6A93" w:rsidRPr="00124A6C">
              <w:rPr>
                <w:rFonts w:ascii="Arial" w:hAnsi="Arial" w:cs="Arial"/>
                <w:color w:val="000000"/>
                <w:sz w:val="20"/>
                <w:szCs w:val="20"/>
                <w:shd w:val="clear" w:color="auto" w:fill="FFFFFF"/>
                <w:lang w:val="en-US"/>
              </w:rPr>
              <w:t>, then</w:t>
            </w:r>
            <w:r w:rsidRPr="00124A6C">
              <w:rPr>
                <w:rFonts w:ascii="Arial" w:hAnsi="Arial" w:cs="Arial"/>
                <w:color w:val="000000"/>
                <w:sz w:val="20"/>
                <w:szCs w:val="20"/>
                <w:shd w:val="clear" w:color="auto" w:fill="FFFFFF"/>
                <w:lang w:val="en-US"/>
              </w:rPr>
              <w:t xml:space="preserve"> 400mg every 12 hours for 12 doses or ICU discharge</w:t>
            </w:r>
            <w:r w:rsidR="00CA6A93" w:rsidRPr="00124A6C">
              <w:rPr>
                <w:rFonts w:ascii="Arial" w:hAnsi="Arial" w:cs="Arial"/>
                <w:color w:val="000000"/>
                <w:sz w:val="20"/>
                <w:szCs w:val="20"/>
                <w:shd w:val="clear" w:color="auto" w:fill="FFFFFF"/>
                <w:lang w:val="en-US"/>
              </w:rPr>
              <w:t>.</w:t>
            </w:r>
          </w:p>
          <w:p w14:paraId="7EAB5AD2" w14:textId="139C5CAA" w:rsidR="00FE473B" w:rsidRPr="00124A6C" w:rsidRDefault="00FE473B" w:rsidP="00FE473B">
            <w:pPr>
              <w:pStyle w:val="Normale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p>
          <w:p w14:paraId="099A44C9" w14:textId="67934792" w:rsidR="00FE473B" w:rsidRPr="00124A6C" w:rsidRDefault="00FE473B" w:rsidP="00CA6A93">
            <w:pPr>
              <w:pStyle w:val="Normale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shd w:val="clear" w:color="auto" w:fill="FFFFFF"/>
                <w:lang w:val="en-US"/>
              </w:rPr>
              <w:t xml:space="preserve">Drug: Hydroxychloroquine + lopinavir/ritonavir </w:t>
            </w:r>
            <w:r w:rsidR="00CA6A93" w:rsidRPr="00124A6C">
              <w:rPr>
                <w:rFonts w:ascii="Arial" w:hAnsi="Arial" w:cs="Arial"/>
                <w:color w:val="000000"/>
                <w:sz w:val="20"/>
                <w:szCs w:val="20"/>
                <w:shd w:val="clear" w:color="auto" w:fill="FFFFFF"/>
                <w:lang w:val="en-US"/>
              </w:rPr>
              <w:t>(same dosage as above)</w:t>
            </w:r>
          </w:p>
          <w:p w14:paraId="3C663DF9" w14:textId="7E4D89DD" w:rsidR="00FE473B" w:rsidRPr="00124A6C" w:rsidRDefault="00FE473B" w:rsidP="00FE473B">
            <w:pPr>
              <w:pStyle w:val="Normale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p>
          <w:p w14:paraId="1F3AA74C" w14:textId="7BCD3681" w:rsidR="00FE473B" w:rsidRPr="00124A6C" w:rsidRDefault="00FE473B" w:rsidP="00FE473B">
            <w:pPr>
              <w:pStyle w:val="Normale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Drug: Interferon-</w:t>
            </w:r>
            <w:r w:rsidRPr="00124A6C">
              <w:rPr>
                <w:rFonts w:ascii="Arial" w:hAnsi="Arial" w:cs="Arial"/>
                <w:color w:val="000000"/>
                <w:sz w:val="20"/>
                <w:szCs w:val="20"/>
                <w:shd w:val="clear" w:color="auto" w:fill="FFFFFF"/>
              </w:rPr>
              <w:t>β</w:t>
            </w:r>
            <w:r w:rsidRPr="00124A6C">
              <w:rPr>
                <w:rFonts w:ascii="Arial" w:hAnsi="Arial" w:cs="Arial"/>
                <w:color w:val="000000"/>
                <w:sz w:val="20"/>
                <w:szCs w:val="20"/>
                <w:shd w:val="clear" w:color="auto" w:fill="FFFFFF"/>
                <w:lang w:val="en-US"/>
              </w:rPr>
              <w:t>1a once daily for 6 days or until ICU discharge</w:t>
            </w:r>
            <w:r w:rsidR="004B084C" w:rsidRPr="00124A6C">
              <w:rPr>
                <w:rFonts w:ascii="Arial" w:hAnsi="Arial" w:cs="Arial"/>
                <w:color w:val="000000"/>
                <w:sz w:val="20"/>
                <w:szCs w:val="20"/>
                <w:shd w:val="clear" w:color="auto" w:fill="FFFFFF"/>
                <w:lang w:val="en-US"/>
              </w:rPr>
              <w:t>;</w:t>
            </w:r>
          </w:p>
          <w:p w14:paraId="0AB0DA1E" w14:textId="77777777" w:rsidR="004B084C" w:rsidRPr="00124A6C" w:rsidRDefault="004B084C" w:rsidP="00FE473B">
            <w:pPr>
              <w:pStyle w:val="Normale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p>
          <w:p w14:paraId="286C6B70" w14:textId="2DDD781F" w:rsidR="00FE473B" w:rsidRPr="00124A6C" w:rsidRDefault="00FE473B" w:rsidP="00FE473B">
            <w:pPr>
              <w:pStyle w:val="Normale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shd w:val="clear" w:color="auto" w:fill="FFFFFF"/>
                <w:lang w:val="en-US"/>
              </w:rPr>
              <w:t xml:space="preserve">Anakinra </w:t>
            </w:r>
            <w:r w:rsidRPr="00124A6C">
              <w:rPr>
                <w:rFonts w:ascii="Arial" w:hAnsi="Arial" w:cs="Arial"/>
                <w:color w:val="000000"/>
                <w:sz w:val="20"/>
                <w:szCs w:val="20"/>
                <w:lang w:val="en-US"/>
              </w:rPr>
              <w:t xml:space="preserve">300mg </w:t>
            </w:r>
            <w:r w:rsidR="004B084C" w:rsidRPr="00124A6C">
              <w:rPr>
                <w:rFonts w:ascii="Arial" w:hAnsi="Arial" w:cs="Arial"/>
                <w:color w:val="000000"/>
                <w:sz w:val="20"/>
                <w:szCs w:val="20"/>
                <w:lang w:val="en-US"/>
              </w:rPr>
              <w:t>a</w:t>
            </w:r>
            <w:r w:rsidRPr="00124A6C">
              <w:rPr>
                <w:rFonts w:ascii="Arial" w:hAnsi="Arial" w:cs="Arial"/>
                <w:color w:val="000000"/>
                <w:sz w:val="20"/>
                <w:szCs w:val="20"/>
                <w:lang w:val="en-US"/>
              </w:rPr>
              <w:t xml:space="preserve">s a bolus followed by maintenance doses of 100mg </w:t>
            </w:r>
            <w:r w:rsidR="004B084C" w:rsidRPr="00124A6C">
              <w:rPr>
                <w:rFonts w:ascii="Arial" w:hAnsi="Arial" w:cs="Arial"/>
                <w:color w:val="000000"/>
                <w:sz w:val="20"/>
                <w:szCs w:val="20"/>
                <w:lang w:val="en-US"/>
              </w:rPr>
              <w:t>e</w:t>
            </w:r>
            <w:r w:rsidRPr="00124A6C">
              <w:rPr>
                <w:rFonts w:ascii="Arial" w:hAnsi="Arial" w:cs="Arial"/>
                <w:color w:val="000000"/>
                <w:sz w:val="20"/>
                <w:szCs w:val="20"/>
                <w:lang w:val="en-US"/>
              </w:rPr>
              <w:t>very 6 hours.</w:t>
            </w:r>
          </w:p>
          <w:p w14:paraId="4C345E56" w14:textId="6852101E" w:rsidR="00FE473B" w:rsidRPr="00124A6C" w:rsidRDefault="00FE473B" w:rsidP="00FE473B">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p>
          <w:p w14:paraId="2CC349D8" w14:textId="77F575C7" w:rsidR="00FE473B" w:rsidRPr="00124A6C" w:rsidRDefault="00FE473B" w:rsidP="00FE473B">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p>
          <w:p w14:paraId="6B3A06EB" w14:textId="30A922EB" w:rsidR="00FE473B" w:rsidRPr="00124A6C" w:rsidRDefault="00FE473B" w:rsidP="004B084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Drug: Sarilumab single dose of 400mg</w:t>
            </w:r>
          </w:p>
        </w:tc>
        <w:tc>
          <w:tcPr>
            <w:tcW w:w="0" w:type="auto"/>
          </w:tcPr>
          <w:p w14:paraId="5FEBB43C" w14:textId="5D34C0C7" w:rsidR="00FE473B" w:rsidRPr="00124A6C" w:rsidRDefault="00FE473B" w:rsidP="00FE473B">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lastRenderedPageBreak/>
              <w:t xml:space="preserve">All-cause mortality </w:t>
            </w:r>
            <w:r w:rsidR="00CA6A93" w:rsidRPr="00124A6C">
              <w:rPr>
                <w:rFonts w:ascii="Arial" w:hAnsi="Arial" w:cs="Arial"/>
                <w:color w:val="000000"/>
                <w:sz w:val="20"/>
                <w:szCs w:val="20"/>
                <w:lang w:val="en-US"/>
              </w:rPr>
              <w:t>at day 90;</w:t>
            </w:r>
          </w:p>
          <w:p w14:paraId="2C28485A" w14:textId="1E7898F8" w:rsidR="00FE473B" w:rsidRPr="00124A6C" w:rsidRDefault="00FE473B" w:rsidP="00FE473B">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 xml:space="preserve">Days alive and outside of ICU </w:t>
            </w:r>
            <w:r w:rsidR="00CA6A93" w:rsidRPr="00124A6C">
              <w:rPr>
                <w:rFonts w:ascii="Arial" w:hAnsi="Arial" w:cs="Arial"/>
                <w:color w:val="000000"/>
                <w:sz w:val="20"/>
                <w:szCs w:val="20"/>
                <w:lang w:val="en-US"/>
              </w:rPr>
              <w:t>at day 21</w:t>
            </w:r>
          </w:p>
        </w:tc>
      </w:tr>
      <w:tr w:rsidR="00D16ECF" w:rsidRPr="00124A6C" w14:paraId="58A79AAA" w14:textId="77777777" w:rsidTr="00D801A8">
        <w:trPr>
          <w:cnfStyle w:val="000000100000" w:firstRow="0" w:lastRow="0" w:firstColumn="0" w:lastColumn="0" w:oddVBand="0" w:evenVBand="0" w:oddHBand="1" w:evenHBand="0" w:firstRowFirstColumn="0" w:firstRowLastColumn="0" w:lastRowFirstColumn="0" w:lastRowLastColumn="0"/>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3B7AD190" w14:textId="77777777" w:rsidR="004B084C" w:rsidRPr="00124A6C" w:rsidRDefault="004B084C"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t>NCT04374539</w:t>
            </w:r>
          </w:p>
          <w:p w14:paraId="1AB71425" w14:textId="77777777" w:rsidR="004B084C" w:rsidRPr="00124A6C" w:rsidRDefault="004B084C" w:rsidP="005B6AB7">
            <w:pPr>
              <w:rPr>
                <w:rFonts w:ascii="Arial" w:hAnsi="Arial" w:cs="Arial"/>
                <w:b w:val="0"/>
                <w:bCs w:val="0"/>
                <w:color w:val="000000"/>
                <w:sz w:val="20"/>
                <w:szCs w:val="20"/>
                <w:shd w:val="clear" w:color="auto" w:fill="FFFFFF"/>
                <w:lang w:val="en-US"/>
              </w:rPr>
            </w:pPr>
          </w:p>
        </w:tc>
        <w:tc>
          <w:tcPr>
            <w:tcW w:w="0" w:type="auto"/>
          </w:tcPr>
          <w:p w14:paraId="7C8C8610" w14:textId="15B23998" w:rsidR="004B084C" w:rsidRPr="00124A6C" w:rsidRDefault="004B084C" w:rsidP="004B084C">
            <w:pPr>
              <w:cnfStyle w:val="000000100000" w:firstRow="0" w:lastRow="0" w:firstColumn="0" w:lastColumn="0" w:oddVBand="0" w:evenVBand="0" w:oddHBand="1" w:evenHBand="0" w:firstRowFirstColumn="0" w:firstRowLastColumn="0" w:lastRowFirstColumn="0" w:lastRowLastColumn="0"/>
              <w:rPr>
                <w:rFonts w:ascii="Arial" w:hAnsi="Arial" w:cs="Arial"/>
                <w:color w:val="666666"/>
                <w:sz w:val="20"/>
                <w:szCs w:val="20"/>
                <w:shd w:val="clear" w:color="auto" w:fill="FFFFFF"/>
                <w:lang w:val="en-US"/>
              </w:rPr>
            </w:pPr>
            <w:r w:rsidRPr="00124A6C">
              <w:rPr>
                <w:rFonts w:ascii="Arial" w:hAnsi="Arial" w:cs="Arial"/>
                <w:color w:val="000000" w:themeColor="text1"/>
                <w:sz w:val="20"/>
                <w:szCs w:val="20"/>
                <w:shd w:val="clear" w:color="auto" w:fill="FFFFFF"/>
                <w:lang w:val="en-US"/>
              </w:rPr>
              <w:t>Recruiting</w:t>
            </w:r>
          </w:p>
        </w:tc>
        <w:tc>
          <w:tcPr>
            <w:tcW w:w="0" w:type="auto"/>
          </w:tcPr>
          <w:p w14:paraId="0D83567B" w14:textId="6414EBAB" w:rsidR="004B084C" w:rsidRPr="007C2284" w:rsidRDefault="004B084C" w:rsidP="00D801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2284">
              <w:rPr>
                <w:rFonts w:ascii="Arial" w:hAnsi="Arial" w:cs="Arial"/>
                <w:color w:val="000000"/>
                <w:sz w:val="20"/>
                <w:szCs w:val="20"/>
                <w:shd w:val="clear" w:color="auto" w:fill="FFFFFF"/>
              </w:rPr>
              <w:t>Multicent</w:t>
            </w:r>
            <w:r w:rsidR="007C2284" w:rsidRPr="007C2284">
              <w:rPr>
                <w:rFonts w:ascii="Arial" w:hAnsi="Arial" w:cs="Arial"/>
                <w:color w:val="000000"/>
                <w:sz w:val="20"/>
                <w:szCs w:val="20"/>
                <w:shd w:val="clear" w:color="auto" w:fill="FFFFFF"/>
              </w:rPr>
              <w:t>re</w:t>
            </w:r>
            <w:r w:rsidRPr="007C2284">
              <w:rPr>
                <w:rFonts w:ascii="Arial" w:hAnsi="Arial" w:cs="Arial"/>
                <w:color w:val="000000"/>
                <w:sz w:val="20"/>
                <w:szCs w:val="20"/>
                <w:shd w:val="clear" w:color="auto" w:fill="FFFFFF"/>
              </w:rPr>
              <w:t xml:space="preserve"> open label RCT</w:t>
            </w:r>
          </w:p>
          <w:p w14:paraId="35FFFD9D" w14:textId="71582F3E" w:rsidR="004B084C" w:rsidRPr="007C2284" w:rsidRDefault="004B084C" w:rsidP="004B084C">
            <w:pPr>
              <w:pStyle w:val="Stiletabella2A"/>
              <w:spacing w:line="240" w:lineRule="auto"/>
              <w:jc w:val="left"/>
              <w:cnfStyle w:val="000000100000" w:firstRow="0" w:lastRow="0" w:firstColumn="0" w:lastColumn="0" w:oddVBand="0" w:evenVBand="0" w:oddHBand="1" w:evenHBand="0" w:firstRowFirstColumn="0" w:firstRowLastColumn="0" w:lastRowFirstColumn="0" w:lastRowLastColumn="0"/>
              <w:rPr>
                <w:rFonts w:cs="Arial"/>
              </w:rPr>
            </w:pPr>
          </w:p>
        </w:tc>
        <w:tc>
          <w:tcPr>
            <w:tcW w:w="0" w:type="auto"/>
          </w:tcPr>
          <w:p w14:paraId="38B135CB" w14:textId="637969B6" w:rsidR="004B084C" w:rsidRPr="00124A6C" w:rsidRDefault="004B084C" w:rsidP="004B084C">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Spain</w:t>
            </w:r>
          </w:p>
        </w:tc>
        <w:tc>
          <w:tcPr>
            <w:tcW w:w="0" w:type="auto"/>
          </w:tcPr>
          <w:p w14:paraId="791FB71E" w14:textId="2BA31FC3" w:rsidR="004B084C" w:rsidRPr="00124A6C" w:rsidRDefault="004B084C" w:rsidP="004B084C">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Patients with COVID-19 admitted in ICU with invasive mechanical ventilation</w:t>
            </w:r>
          </w:p>
          <w:p w14:paraId="2C065575" w14:textId="3EB6DFE9" w:rsidR="004B084C" w:rsidRPr="00124A6C" w:rsidRDefault="004B084C" w:rsidP="004B084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(n=116)</w:t>
            </w:r>
          </w:p>
          <w:p w14:paraId="01698AB6" w14:textId="77777777" w:rsidR="004B084C" w:rsidRPr="00124A6C" w:rsidRDefault="004B084C" w:rsidP="004B084C">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p>
        </w:tc>
        <w:tc>
          <w:tcPr>
            <w:tcW w:w="0" w:type="auto"/>
          </w:tcPr>
          <w:p w14:paraId="17F7014D" w14:textId="77777777" w:rsidR="004B084C" w:rsidRPr="00124A6C" w:rsidRDefault="004B084C" w:rsidP="004B084C">
            <w:pPr>
              <w:pStyle w:val="Normale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 xml:space="preserve">Plasma exchanges with 5% human albumin and fresh frozen plasma in patients with quick &lt;50% or only with 5% albumin in patients with quick of 50% or more. </w:t>
            </w:r>
          </w:p>
          <w:p w14:paraId="79F99773" w14:textId="77777777" w:rsidR="004B084C" w:rsidRPr="00124A6C" w:rsidRDefault="004B084C" w:rsidP="004B084C">
            <w:pPr>
              <w:pStyle w:val="Normale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Polyclonal immunoglobulin at a dose of 100 mg / kg ev after each plasma exchange.</w:t>
            </w:r>
          </w:p>
          <w:p w14:paraId="7734049F" w14:textId="77777777" w:rsidR="004B084C" w:rsidRPr="00124A6C" w:rsidRDefault="004B084C" w:rsidP="004B084C">
            <w:pPr>
              <w:pStyle w:val="Normale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sz w:val="20"/>
                <w:szCs w:val="20"/>
                <w:lang w:val="en-US"/>
              </w:rPr>
              <w:t>And</w:t>
            </w:r>
          </w:p>
          <w:p w14:paraId="21A22CB1" w14:textId="77777777" w:rsidR="004B084C" w:rsidRPr="00124A6C" w:rsidRDefault="004B084C" w:rsidP="004B084C">
            <w:pPr>
              <w:pStyle w:val="Normale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Kaletra: lopinavir/ritonavir: 2c/12h 7 days</w:t>
            </w:r>
          </w:p>
          <w:p w14:paraId="65994F8D" w14:textId="77777777" w:rsidR="004B084C" w:rsidRPr="00124A6C" w:rsidRDefault="004B084C" w:rsidP="004B084C">
            <w:pPr>
              <w:numPr>
                <w:ilvl w:val="0"/>
                <w:numId w:val="14"/>
              </w:numPr>
              <w:shd w:val="clear" w:color="auto" w:fill="FFFFFF"/>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Hydroxychloroquine sulfate 400 mg/12h the first day followed by 200 mg /12h for 4 days</w:t>
            </w:r>
          </w:p>
          <w:p w14:paraId="458DB87A" w14:textId="77777777" w:rsidR="004B084C" w:rsidRPr="00124A6C" w:rsidRDefault="004B084C" w:rsidP="004B084C">
            <w:pPr>
              <w:numPr>
                <w:ilvl w:val="0"/>
                <w:numId w:val="14"/>
              </w:numPr>
              <w:shd w:val="clear" w:color="auto" w:fill="FFFFFF"/>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Azithromycin 500 mg first day, followed by 250 mg /d 4 days (oral or EV)</w:t>
            </w:r>
          </w:p>
          <w:p w14:paraId="68EAFB82" w14:textId="77777777" w:rsidR="004B084C" w:rsidRPr="00124A6C" w:rsidRDefault="004B084C" w:rsidP="004B084C">
            <w:pPr>
              <w:numPr>
                <w:ilvl w:val="0"/>
                <w:numId w:val="14"/>
              </w:numPr>
              <w:shd w:val="clear" w:color="auto" w:fill="FFFFFF"/>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Tocilizumab 400 mg (weight &lt;75Kg) or 600 mg (weight ≥ 75 Kg)</w:t>
            </w:r>
          </w:p>
          <w:p w14:paraId="19BF863E" w14:textId="77777777" w:rsidR="004B084C" w:rsidRPr="00124A6C" w:rsidRDefault="004B084C" w:rsidP="004B084C">
            <w:pPr>
              <w:numPr>
                <w:ilvl w:val="0"/>
                <w:numId w:val="14"/>
              </w:numPr>
              <w:shd w:val="clear" w:color="auto" w:fill="FFFFFF"/>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Methylprednisolone 250 mg EV three days and 30 mg/d another 3 days</w:t>
            </w:r>
          </w:p>
          <w:p w14:paraId="638DAE18" w14:textId="77777777" w:rsidR="004B084C" w:rsidRPr="00124A6C" w:rsidRDefault="004B084C" w:rsidP="004B084C">
            <w:pPr>
              <w:numPr>
                <w:ilvl w:val="0"/>
                <w:numId w:val="14"/>
              </w:numPr>
              <w:shd w:val="clear" w:color="auto" w:fill="FFFFFF"/>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Anakinra 200mg/ 12h first day, 200mg / 24h two more days</w:t>
            </w:r>
          </w:p>
          <w:p w14:paraId="4D5CCA0D" w14:textId="77777777" w:rsidR="004B084C" w:rsidRPr="00124A6C" w:rsidRDefault="004B084C" w:rsidP="004B084C">
            <w:pPr>
              <w:numPr>
                <w:ilvl w:val="0"/>
                <w:numId w:val="14"/>
              </w:numPr>
              <w:shd w:val="clear" w:color="auto" w:fill="FFFFFF"/>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24A6C">
              <w:rPr>
                <w:rFonts w:ascii="Arial" w:hAnsi="Arial" w:cs="Arial"/>
                <w:color w:val="000000"/>
                <w:sz w:val="20"/>
                <w:szCs w:val="20"/>
              </w:rPr>
              <w:t>Clexane 40-60 mg/d</w:t>
            </w:r>
          </w:p>
          <w:p w14:paraId="48FB130D" w14:textId="77777777" w:rsidR="004B084C" w:rsidRPr="00124A6C" w:rsidRDefault="004B084C" w:rsidP="004B084C">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lang w:val="en-US"/>
              </w:rPr>
            </w:pPr>
          </w:p>
        </w:tc>
        <w:tc>
          <w:tcPr>
            <w:tcW w:w="0" w:type="auto"/>
          </w:tcPr>
          <w:p w14:paraId="451F35F8" w14:textId="11930FC1" w:rsidR="004B084C" w:rsidRPr="00124A6C" w:rsidRDefault="004B084C" w:rsidP="004B084C">
            <w:pPr>
              <w:pStyle w:val="Normale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lopinavir/ritonavir: 2c/12h 7 days</w:t>
            </w:r>
          </w:p>
          <w:p w14:paraId="59664EAC" w14:textId="77777777" w:rsidR="004B084C" w:rsidRPr="00124A6C" w:rsidRDefault="004B084C" w:rsidP="004B084C">
            <w:pPr>
              <w:numPr>
                <w:ilvl w:val="0"/>
                <w:numId w:val="14"/>
              </w:numPr>
              <w:shd w:val="clear" w:color="auto" w:fill="FFFFFF"/>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Hydroxychloroquine sulfate 400 mg/12h the first day followed by 200 mg /12h for 4 days</w:t>
            </w:r>
          </w:p>
          <w:p w14:paraId="44E505AF" w14:textId="77777777" w:rsidR="004B084C" w:rsidRPr="00124A6C" w:rsidRDefault="004B084C" w:rsidP="004B084C">
            <w:pPr>
              <w:numPr>
                <w:ilvl w:val="0"/>
                <w:numId w:val="14"/>
              </w:numPr>
              <w:shd w:val="clear" w:color="auto" w:fill="FFFFFF"/>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Azithromycin 500 mg first day, followed by 250 mg /d 4 days (oral or EV)</w:t>
            </w:r>
          </w:p>
          <w:p w14:paraId="2117E551" w14:textId="77777777" w:rsidR="004B084C" w:rsidRPr="00124A6C" w:rsidRDefault="004B084C" w:rsidP="004B084C">
            <w:pPr>
              <w:numPr>
                <w:ilvl w:val="0"/>
                <w:numId w:val="14"/>
              </w:numPr>
              <w:shd w:val="clear" w:color="auto" w:fill="FFFFFF"/>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Tocilizumab 400 mg (weight &lt;75Kg) or 600 mg (weight ≥ 75 Kg)</w:t>
            </w:r>
          </w:p>
          <w:p w14:paraId="2CC506A1" w14:textId="77777777" w:rsidR="004B084C" w:rsidRPr="00124A6C" w:rsidRDefault="004B084C" w:rsidP="004B084C">
            <w:pPr>
              <w:numPr>
                <w:ilvl w:val="0"/>
                <w:numId w:val="14"/>
              </w:numPr>
              <w:shd w:val="clear" w:color="auto" w:fill="FFFFFF"/>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Methylprednisolone 250 mg EV three days and 30 mg/d another 3 days</w:t>
            </w:r>
          </w:p>
          <w:p w14:paraId="1D9C1CCA" w14:textId="77777777" w:rsidR="004B084C" w:rsidRPr="00124A6C" w:rsidRDefault="004B084C" w:rsidP="004B084C">
            <w:pPr>
              <w:numPr>
                <w:ilvl w:val="0"/>
                <w:numId w:val="14"/>
              </w:numPr>
              <w:shd w:val="clear" w:color="auto" w:fill="FFFFFF"/>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Anakinra 200mg/ 12h first day, 200mg / 24h two more days</w:t>
            </w:r>
          </w:p>
          <w:p w14:paraId="0909441B" w14:textId="77777777" w:rsidR="004B084C" w:rsidRPr="00124A6C" w:rsidRDefault="004B084C" w:rsidP="004B084C">
            <w:pPr>
              <w:numPr>
                <w:ilvl w:val="0"/>
                <w:numId w:val="14"/>
              </w:numPr>
              <w:shd w:val="clear" w:color="auto" w:fill="FFFFFF"/>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24A6C">
              <w:rPr>
                <w:rFonts w:ascii="Arial" w:hAnsi="Arial" w:cs="Arial"/>
                <w:color w:val="000000"/>
                <w:sz w:val="20"/>
                <w:szCs w:val="20"/>
              </w:rPr>
              <w:t>Clexane 40-60 mg/d</w:t>
            </w:r>
          </w:p>
          <w:p w14:paraId="6316B6A2" w14:textId="4E712200" w:rsidR="004B084C" w:rsidRPr="00124A6C" w:rsidRDefault="004B084C" w:rsidP="004B084C">
            <w:pPr>
              <w:pStyle w:val="Normale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c>
          <w:tcPr>
            <w:tcW w:w="0" w:type="auto"/>
          </w:tcPr>
          <w:p w14:paraId="79695325" w14:textId="4AE35EF3" w:rsidR="004B084C" w:rsidRPr="00124A6C" w:rsidRDefault="004B084C" w:rsidP="004B084C">
            <w:pPr>
              <w:shd w:val="clear" w:color="auto" w:fill="FFFFFF"/>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Mortality at day 28</w:t>
            </w:r>
          </w:p>
        </w:tc>
      </w:tr>
      <w:tr w:rsidR="00D16ECF" w:rsidRPr="0068569D" w14:paraId="032F33DE" w14:textId="77777777" w:rsidTr="00D801A8">
        <w:trPr>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108F3CE1" w14:textId="77777777" w:rsidR="004B084C" w:rsidRPr="00124A6C" w:rsidRDefault="004B084C"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lastRenderedPageBreak/>
              <w:t>NCT04380818</w:t>
            </w:r>
          </w:p>
          <w:p w14:paraId="1213A8B1" w14:textId="77777777" w:rsidR="004B084C" w:rsidRPr="00124A6C" w:rsidRDefault="004B084C" w:rsidP="005B6AB7">
            <w:pPr>
              <w:rPr>
                <w:rFonts w:ascii="Arial" w:hAnsi="Arial" w:cs="Arial"/>
                <w:b w:val="0"/>
                <w:bCs w:val="0"/>
                <w:color w:val="000000"/>
                <w:sz w:val="20"/>
                <w:szCs w:val="20"/>
                <w:shd w:val="clear" w:color="auto" w:fill="FFFFFF"/>
                <w:lang w:val="en-US"/>
              </w:rPr>
            </w:pPr>
          </w:p>
        </w:tc>
        <w:tc>
          <w:tcPr>
            <w:tcW w:w="0" w:type="auto"/>
          </w:tcPr>
          <w:p w14:paraId="173B5A6E" w14:textId="4DCEB09E" w:rsidR="004B084C" w:rsidRPr="00124A6C" w:rsidRDefault="004B084C" w:rsidP="004B084C">
            <w:pPr>
              <w:cnfStyle w:val="000000000000" w:firstRow="0" w:lastRow="0" w:firstColumn="0" w:lastColumn="0" w:oddVBand="0" w:evenVBand="0" w:oddHBand="0" w:evenHBand="0" w:firstRowFirstColumn="0" w:firstRowLastColumn="0" w:lastRowFirstColumn="0" w:lastRowLastColumn="0"/>
              <w:rPr>
                <w:rFonts w:ascii="Arial" w:hAnsi="Arial" w:cs="Arial"/>
                <w:color w:val="666666"/>
                <w:sz w:val="20"/>
                <w:szCs w:val="20"/>
                <w:shd w:val="clear" w:color="auto" w:fill="FFFFFF"/>
                <w:lang w:val="en-US"/>
              </w:rPr>
            </w:pPr>
            <w:r w:rsidRPr="00124A6C">
              <w:rPr>
                <w:rFonts w:ascii="Arial" w:hAnsi="Arial" w:cs="Arial"/>
                <w:color w:val="000000" w:themeColor="text1"/>
                <w:sz w:val="20"/>
                <w:szCs w:val="20"/>
                <w:shd w:val="clear" w:color="auto" w:fill="FFFFFF"/>
                <w:lang w:val="en-US"/>
              </w:rPr>
              <w:t>Recruiting</w:t>
            </w:r>
          </w:p>
        </w:tc>
        <w:tc>
          <w:tcPr>
            <w:tcW w:w="0" w:type="auto"/>
          </w:tcPr>
          <w:p w14:paraId="5B08F66A" w14:textId="11A1DA63" w:rsidR="004B084C" w:rsidRPr="007C2284" w:rsidRDefault="004B084C" w:rsidP="004B084C">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7C2284">
              <w:rPr>
                <w:rFonts w:cs="Arial"/>
              </w:rPr>
              <w:t xml:space="preserve">Multicentre nonrandomized clinical trial </w:t>
            </w:r>
          </w:p>
        </w:tc>
        <w:tc>
          <w:tcPr>
            <w:tcW w:w="0" w:type="auto"/>
          </w:tcPr>
          <w:p w14:paraId="01E23327" w14:textId="68189669" w:rsidR="004B084C" w:rsidRPr="00124A6C" w:rsidRDefault="004B084C" w:rsidP="004B084C">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Spain</w:t>
            </w:r>
          </w:p>
        </w:tc>
        <w:tc>
          <w:tcPr>
            <w:tcW w:w="0" w:type="auto"/>
          </w:tcPr>
          <w:p w14:paraId="5DD10F32" w14:textId="234748C7" w:rsidR="004B084C" w:rsidRPr="00124A6C" w:rsidRDefault="004B084C" w:rsidP="004B084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Moderate to severe COVID-19 with high IL6, PCR or D-dimer (n=106)</w:t>
            </w:r>
          </w:p>
        </w:tc>
        <w:tc>
          <w:tcPr>
            <w:tcW w:w="0" w:type="auto"/>
          </w:tcPr>
          <w:p w14:paraId="15F6C7FC" w14:textId="77777777" w:rsidR="004B084C" w:rsidRPr="00124A6C" w:rsidRDefault="004B084C" w:rsidP="004B084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Radiation: Low-dose radiotherapy</w:t>
            </w:r>
          </w:p>
          <w:p w14:paraId="65C80EAC" w14:textId="77777777" w:rsidR="004B084C" w:rsidRPr="00124A6C" w:rsidRDefault="004B084C" w:rsidP="004B084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lang w:val="en-US"/>
              </w:rPr>
              <w:br/>
            </w:r>
            <w:r w:rsidRPr="00124A6C">
              <w:rPr>
                <w:rFonts w:ascii="Arial" w:hAnsi="Arial" w:cs="Arial"/>
                <w:color w:val="000000"/>
                <w:sz w:val="20"/>
                <w:szCs w:val="20"/>
                <w:shd w:val="clear" w:color="auto" w:fill="FFFFFF"/>
                <w:lang w:val="en-US"/>
              </w:rPr>
              <w:t>Drug: Hydroxychloroquine Sulfate</w:t>
            </w:r>
          </w:p>
          <w:p w14:paraId="46B6ECDF" w14:textId="5C2EF6FB" w:rsidR="004B084C" w:rsidRPr="00124A6C" w:rsidRDefault="004B084C" w:rsidP="004B084C">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200 mg/12h for 5 days</w:t>
            </w:r>
          </w:p>
          <w:p w14:paraId="72A9F3F6" w14:textId="77777777" w:rsidR="004B084C" w:rsidRPr="00124A6C" w:rsidRDefault="004B084C" w:rsidP="004B084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lang w:val="en-US"/>
              </w:rPr>
              <w:br/>
            </w:r>
            <w:r w:rsidRPr="00124A6C">
              <w:rPr>
                <w:rFonts w:ascii="Arial" w:hAnsi="Arial" w:cs="Arial"/>
                <w:color w:val="000000"/>
                <w:sz w:val="20"/>
                <w:szCs w:val="20"/>
                <w:shd w:val="clear" w:color="auto" w:fill="FFFFFF"/>
                <w:lang w:val="en-US"/>
              </w:rPr>
              <w:t>Drug: Ritonavir/lopinavir</w:t>
            </w:r>
          </w:p>
          <w:p w14:paraId="7D01131C" w14:textId="77777777" w:rsidR="004B084C" w:rsidRPr="00124A6C" w:rsidRDefault="004B084C" w:rsidP="004B084C">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400/100 mg/12h for 7-10 days</w:t>
            </w:r>
          </w:p>
          <w:p w14:paraId="18976CCD" w14:textId="3BCA1641" w:rsidR="004B084C" w:rsidRPr="00124A6C" w:rsidRDefault="004B084C" w:rsidP="004B084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lang w:val="en-US"/>
              </w:rPr>
              <w:br/>
            </w:r>
            <w:r w:rsidRPr="00124A6C">
              <w:rPr>
                <w:rFonts w:ascii="Arial" w:hAnsi="Arial" w:cs="Arial"/>
                <w:color w:val="000000"/>
                <w:sz w:val="20"/>
                <w:szCs w:val="20"/>
                <w:shd w:val="clear" w:color="auto" w:fill="FFFFFF"/>
                <w:lang w:val="en-US"/>
              </w:rPr>
              <w:t>Drug: Tocilizumab</w:t>
            </w:r>
          </w:p>
          <w:p w14:paraId="1BB4ED37" w14:textId="5345BCE7" w:rsidR="004B084C" w:rsidRPr="00124A6C" w:rsidRDefault="004B084C" w:rsidP="004B084C">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600 mg/day for 1-2 doses</w:t>
            </w:r>
          </w:p>
          <w:p w14:paraId="06FD21EA" w14:textId="77777777" w:rsidR="004B084C" w:rsidRPr="00124A6C" w:rsidRDefault="004B084C" w:rsidP="004B084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lang w:val="en-US"/>
              </w:rPr>
              <w:br/>
            </w:r>
            <w:r w:rsidRPr="00124A6C">
              <w:rPr>
                <w:rFonts w:ascii="Arial" w:hAnsi="Arial" w:cs="Arial"/>
                <w:color w:val="000000"/>
                <w:sz w:val="20"/>
                <w:szCs w:val="20"/>
                <w:shd w:val="clear" w:color="auto" w:fill="FFFFFF"/>
                <w:lang w:val="en-US"/>
              </w:rPr>
              <w:t>Drug: Azithromycin</w:t>
            </w:r>
          </w:p>
          <w:p w14:paraId="380AB3B3" w14:textId="77777777" w:rsidR="004B084C" w:rsidRPr="00124A6C" w:rsidRDefault="004B084C" w:rsidP="004B084C">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500 mg/24h for 3 days</w:t>
            </w:r>
          </w:p>
          <w:p w14:paraId="0D9C9B85" w14:textId="77777777" w:rsidR="004B084C" w:rsidRPr="00124A6C" w:rsidRDefault="004B084C" w:rsidP="004B084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lang w:val="en-US"/>
              </w:rPr>
              <w:br/>
            </w:r>
            <w:r w:rsidRPr="00124A6C">
              <w:rPr>
                <w:rFonts w:ascii="Arial" w:hAnsi="Arial" w:cs="Arial"/>
                <w:color w:val="000000"/>
                <w:sz w:val="20"/>
                <w:szCs w:val="20"/>
                <w:shd w:val="clear" w:color="auto" w:fill="FFFFFF"/>
                <w:lang w:val="en-US"/>
              </w:rPr>
              <w:t>Drug: Corticosteroid</w:t>
            </w:r>
          </w:p>
          <w:p w14:paraId="4C06E75A" w14:textId="2CBACBD1" w:rsidR="004B084C" w:rsidRPr="00124A6C" w:rsidRDefault="004B084C" w:rsidP="004B084C">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 xml:space="preserve"> (methylprednisolone/dexamethasone/prednisone)</w:t>
            </w:r>
          </w:p>
          <w:p w14:paraId="3840DB91" w14:textId="7D6D46D7" w:rsidR="004B084C" w:rsidRPr="00124A6C" w:rsidRDefault="004B084C" w:rsidP="004B084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lang w:val="en-US"/>
              </w:rPr>
              <w:br/>
            </w:r>
            <w:r w:rsidRPr="00124A6C">
              <w:rPr>
                <w:rFonts w:ascii="Arial" w:hAnsi="Arial" w:cs="Arial"/>
                <w:color w:val="000000"/>
                <w:sz w:val="20"/>
                <w:szCs w:val="20"/>
                <w:shd w:val="clear" w:color="auto" w:fill="FFFFFF"/>
                <w:lang w:val="en-US"/>
              </w:rPr>
              <w:t>Drug: Low molecular weight heparin</w:t>
            </w:r>
            <w:r w:rsidRPr="00124A6C">
              <w:rPr>
                <w:rFonts w:ascii="Arial" w:hAnsi="Arial" w:cs="Arial"/>
                <w:color w:val="000000"/>
                <w:sz w:val="20"/>
                <w:szCs w:val="20"/>
                <w:lang w:val="en-US"/>
              </w:rPr>
              <w:br/>
            </w:r>
            <w:r w:rsidRPr="00124A6C">
              <w:rPr>
                <w:rFonts w:ascii="Arial" w:hAnsi="Arial" w:cs="Arial"/>
                <w:color w:val="000000"/>
                <w:sz w:val="20"/>
                <w:szCs w:val="20"/>
                <w:shd w:val="clear" w:color="auto" w:fill="FFFFFF"/>
                <w:lang w:val="en-US"/>
              </w:rPr>
              <w:t>Device: Oxygen supply</w:t>
            </w:r>
          </w:p>
        </w:tc>
        <w:tc>
          <w:tcPr>
            <w:tcW w:w="0" w:type="auto"/>
          </w:tcPr>
          <w:p w14:paraId="21D8043C" w14:textId="77777777" w:rsidR="004B084C" w:rsidRPr="00124A6C" w:rsidRDefault="004B084C" w:rsidP="004B084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Drug: Hydroxychloroquine Sulfate</w:t>
            </w:r>
          </w:p>
          <w:p w14:paraId="7727318F" w14:textId="77777777" w:rsidR="004B084C" w:rsidRPr="00124A6C" w:rsidRDefault="004B084C" w:rsidP="004B084C">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200 mg/12h for 5 days</w:t>
            </w:r>
          </w:p>
          <w:p w14:paraId="1C6B550E" w14:textId="77777777" w:rsidR="004B084C" w:rsidRPr="00124A6C" w:rsidRDefault="004B084C" w:rsidP="004B084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lang w:val="en-US"/>
              </w:rPr>
              <w:br/>
            </w:r>
            <w:r w:rsidRPr="00124A6C">
              <w:rPr>
                <w:rFonts w:ascii="Arial" w:hAnsi="Arial" w:cs="Arial"/>
                <w:color w:val="000000"/>
                <w:sz w:val="20"/>
                <w:szCs w:val="20"/>
                <w:shd w:val="clear" w:color="auto" w:fill="FFFFFF"/>
                <w:lang w:val="en-US"/>
              </w:rPr>
              <w:t>Drug: Ritonavir/lopinavir</w:t>
            </w:r>
          </w:p>
          <w:p w14:paraId="5CAAC6F6" w14:textId="77777777" w:rsidR="004B084C" w:rsidRPr="00124A6C" w:rsidRDefault="004B084C" w:rsidP="004B084C">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400/100 mg/12h for 7-10 days</w:t>
            </w:r>
          </w:p>
          <w:p w14:paraId="6FA85BDE" w14:textId="1529DE2E" w:rsidR="004B084C" w:rsidRPr="00124A6C" w:rsidRDefault="004B084C" w:rsidP="004B084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lang w:val="en-US"/>
              </w:rPr>
              <w:br/>
            </w:r>
            <w:r w:rsidRPr="00124A6C">
              <w:rPr>
                <w:rFonts w:ascii="Arial" w:hAnsi="Arial" w:cs="Arial"/>
                <w:color w:val="000000"/>
                <w:sz w:val="20"/>
                <w:szCs w:val="20"/>
                <w:shd w:val="clear" w:color="auto" w:fill="FFFFFF"/>
                <w:lang w:val="en-US"/>
              </w:rPr>
              <w:t xml:space="preserve">Drug: Tocilizumab </w:t>
            </w:r>
          </w:p>
          <w:p w14:paraId="28D95427" w14:textId="77777777" w:rsidR="004B084C" w:rsidRPr="00124A6C" w:rsidRDefault="004B084C" w:rsidP="004B084C">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600 mg/day for 1-2 doses</w:t>
            </w:r>
          </w:p>
          <w:p w14:paraId="6621DC78" w14:textId="77777777" w:rsidR="004B084C" w:rsidRPr="00124A6C" w:rsidRDefault="004B084C" w:rsidP="004B084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lang w:val="en-US"/>
              </w:rPr>
              <w:br/>
            </w:r>
            <w:r w:rsidRPr="00124A6C">
              <w:rPr>
                <w:rFonts w:ascii="Arial" w:hAnsi="Arial" w:cs="Arial"/>
                <w:color w:val="000000"/>
                <w:sz w:val="20"/>
                <w:szCs w:val="20"/>
                <w:shd w:val="clear" w:color="auto" w:fill="FFFFFF"/>
                <w:lang w:val="en-US"/>
              </w:rPr>
              <w:t>Drug: Azithromycin</w:t>
            </w:r>
          </w:p>
          <w:p w14:paraId="3C13D98F" w14:textId="77777777" w:rsidR="004B084C" w:rsidRPr="00124A6C" w:rsidRDefault="004B084C" w:rsidP="004B084C">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500 mg/24h for 3 days</w:t>
            </w:r>
          </w:p>
          <w:p w14:paraId="608E275A" w14:textId="77777777" w:rsidR="004B084C" w:rsidRPr="00124A6C" w:rsidRDefault="004B084C" w:rsidP="004B084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lang w:val="en-US"/>
              </w:rPr>
              <w:br/>
            </w:r>
            <w:r w:rsidRPr="00124A6C">
              <w:rPr>
                <w:rFonts w:ascii="Arial" w:hAnsi="Arial" w:cs="Arial"/>
                <w:color w:val="000000"/>
                <w:sz w:val="20"/>
                <w:szCs w:val="20"/>
                <w:shd w:val="clear" w:color="auto" w:fill="FFFFFF"/>
                <w:lang w:val="en-US"/>
              </w:rPr>
              <w:t>Drug: Corticosteroid</w:t>
            </w:r>
          </w:p>
          <w:p w14:paraId="488890D2" w14:textId="356CDF2F" w:rsidR="004B084C" w:rsidRPr="00124A6C" w:rsidRDefault="004B084C" w:rsidP="004B084C">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 xml:space="preserve"> (methylprednisolone/dexamethasone/prednisone)</w:t>
            </w:r>
          </w:p>
          <w:p w14:paraId="3A289C0F" w14:textId="77777777" w:rsidR="004B084C" w:rsidRPr="00124A6C" w:rsidRDefault="004B084C" w:rsidP="004B084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lang w:val="en-US"/>
              </w:rPr>
              <w:br/>
            </w:r>
            <w:r w:rsidRPr="00124A6C">
              <w:rPr>
                <w:rFonts w:ascii="Arial" w:hAnsi="Arial" w:cs="Arial"/>
                <w:color w:val="000000"/>
                <w:sz w:val="20"/>
                <w:szCs w:val="20"/>
                <w:shd w:val="clear" w:color="auto" w:fill="FFFFFF"/>
                <w:lang w:val="en-US"/>
              </w:rPr>
              <w:t>Drug: Low molecular weight heparin</w:t>
            </w:r>
          </w:p>
          <w:p w14:paraId="36C5B4A4" w14:textId="77777777" w:rsidR="004B084C" w:rsidRPr="00124A6C" w:rsidRDefault="004B084C" w:rsidP="004B084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24A6C">
              <w:rPr>
                <w:rFonts w:ascii="Arial" w:hAnsi="Arial" w:cs="Arial"/>
                <w:color w:val="000000"/>
                <w:sz w:val="20"/>
                <w:szCs w:val="20"/>
                <w:lang w:val="en-US"/>
              </w:rPr>
              <w:br/>
            </w:r>
            <w:r w:rsidRPr="00124A6C">
              <w:rPr>
                <w:rFonts w:ascii="Arial" w:hAnsi="Arial" w:cs="Arial"/>
                <w:color w:val="000000"/>
                <w:sz w:val="20"/>
                <w:szCs w:val="20"/>
                <w:shd w:val="clear" w:color="auto" w:fill="FFFFFF"/>
              </w:rPr>
              <w:t>Device: Oxygen supply</w:t>
            </w:r>
          </w:p>
          <w:p w14:paraId="59AFCDD2" w14:textId="77777777" w:rsidR="004B084C" w:rsidRPr="00124A6C" w:rsidRDefault="004B084C" w:rsidP="004B084C">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24A6C">
              <w:rPr>
                <w:rFonts w:ascii="Arial" w:hAnsi="Arial" w:cs="Arial"/>
                <w:color w:val="000000"/>
                <w:sz w:val="20"/>
                <w:szCs w:val="20"/>
              </w:rPr>
              <w:t>Oxygen</w:t>
            </w:r>
          </w:p>
          <w:p w14:paraId="2B341175" w14:textId="77777777" w:rsidR="004B084C" w:rsidRPr="00124A6C" w:rsidRDefault="004B084C" w:rsidP="004B084C">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p>
        </w:tc>
        <w:tc>
          <w:tcPr>
            <w:tcW w:w="0" w:type="auto"/>
          </w:tcPr>
          <w:p w14:paraId="4E61A889" w14:textId="67E2A8A9" w:rsidR="004B084C" w:rsidRPr="00124A6C" w:rsidRDefault="004B084C" w:rsidP="004B084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Change in P/F at day 2.</w:t>
            </w:r>
          </w:p>
          <w:p w14:paraId="078E8FCC" w14:textId="7EA981F0" w:rsidR="004B084C" w:rsidRPr="00124A6C" w:rsidRDefault="004B084C" w:rsidP="004B084C">
            <w:pPr>
              <w:pStyle w:val="Normale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In cases of impossibility the SaFiO2 will be determined</w:t>
            </w:r>
          </w:p>
        </w:tc>
      </w:tr>
      <w:tr w:rsidR="00D16ECF" w:rsidRPr="0068569D" w14:paraId="7E756FD8" w14:textId="77777777" w:rsidTr="00D801A8">
        <w:trPr>
          <w:cnfStyle w:val="000000100000" w:firstRow="0" w:lastRow="0" w:firstColumn="0" w:lastColumn="0" w:oddVBand="0" w:evenVBand="0" w:oddHBand="1" w:evenHBand="0" w:firstRowFirstColumn="0" w:firstRowLastColumn="0" w:lastRowFirstColumn="0" w:lastRowLastColumn="0"/>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559C928E" w14:textId="77777777" w:rsidR="004B084C" w:rsidRPr="00124A6C" w:rsidRDefault="004B084C"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t>NCT04381936</w:t>
            </w:r>
          </w:p>
          <w:p w14:paraId="72FA2486" w14:textId="77777777" w:rsidR="004B084C" w:rsidRPr="00124A6C" w:rsidRDefault="004B084C" w:rsidP="005B6AB7">
            <w:pPr>
              <w:rPr>
                <w:rFonts w:ascii="Arial" w:hAnsi="Arial" w:cs="Arial"/>
                <w:b w:val="0"/>
                <w:bCs w:val="0"/>
                <w:color w:val="000000"/>
                <w:sz w:val="20"/>
                <w:szCs w:val="20"/>
                <w:shd w:val="clear" w:color="auto" w:fill="FFFFFF"/>
                <w:lang w:val="en-US"/>
              </w:rPr>
            </w:pPr>
          </w:p>
        </w:tc>
        <w:tc>
          <w:tcPr>
            <w:tcW w:w="0" w:type="auto"/>
          </w:tcPr>
          <w:p w14:paraId="01581E06" w14:textId="12DB91CE" w:rsidR="004B084C" w:rsidRPr="00124A6C" w:rsidRDefault="004B084C" w:rsidP="004B084C">
            <w:pPr>
              <w:cnfStyle w:val="000000100000" w:firstRow="0" w:lastRow="0" w:firstColumn="0" w:lastColumn="0" w:oddVBand="0" w:evenVBand="0" w:oddHBand="1" w:evenHBand="0" w:firstRowFirstColumn="0" w:firstRowLastColumn="0" w:lastRowFirstColumn="0" w:lastRowLastColumn="0"/>
              <w:rPr>
                <w:rFonts w:ascii="Arial" w:hAnsi="Arial" w:cs="Arial"/>
                <w:color w:val="666666"/>
                <w:sz w:val="20"/>
                <w:szCs w:val="20"/>
                <w:shd w:val="clear" w:color="auto" w:fill="FFFFFF"/>
                <w:lang w:val="en-US"/>
              </w:rPr>
            </w:pPr>
            <w:r w:rsidRPr="00124A6C">
              <w:rPr>
                <w:rFonts w:ascii="Arial" w:hAnsi="Arial" w:cs="Arial"/>
                <w:color w:val="000000" w:themeColor="text1"/>
                <w:sz w:val="20"/>
                <w:szCs w:val="20"/>
                <w:shd w:val="clear" w:color="auto" w:fill="FFFFFF"/>
                <w:lang w:val="en-US"/>
              </w:rPr>
              <w:t>Recruiting</w:t>
            </w:r>
          </w:p>
        </w:tc>
        <w:tc>
          <w:tcPr>
            <w:tcW w:w="0" w:type="auto"/>
          </w:tcPr>
          <w:p w14:paraId="2C846AAD" w14:textId="7BB01D20" w:rsidR="004B084C" w:rsidRPr="00124A6C" w:rsidRDefault="004B084C" w:rsidP="004B084C">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Multicentre RCT</w:t>
            </w:r>
          </w:p>
        </w:tc>
        <w:tc>
          <w:tcPr>
            <w:tcW w:w="0" w:type="auto"/>
          </w:tcPr>
          <w:p w14:paraId="6EFD45EA" w14:textId="65DC7970" w:rsidR="004B084C" w:rsidRPr="00124A6C" w:rsidRDefault="004B084C" w:rsidP="004B084C">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UK</w:t>
            </w:r>
          </w:p>
        </w:tc>
        <w:tc>
          <w:tcPr>
            <w:tcW w:w="0" w:type="auto"/>
          </w:tcPr>
          <w:p w14:paraId="47D8543D" w14:textId="77777777" w:rsidR="004B084C" w:rsidRPr="00124A6C" w:rsidRDefault="004B084C" w:rsidP="004B084C">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Hospitalized patients with suspected or confirmed COVID-19</w:t>
            </w:r>
          </w:p>
          <w:p w14:paraId="057009E6" w14:textId="3EAAB17C" w:rsidR="004B084C" w:rsidRPr="00124A6C" w:rsidRDefault="004B084C" w:rsidP="00C570A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24A6C">
              <w:rPr>
                <w:rFonts w:ascii="Arial" w:hAnsi="Arial" w:cs="Arial"/>
                <w:sz w:val="20"/>
                <w:szCs w:val="20"/>
                <w:lang w:val="en-US"/>
              </w:rPr>
              <w:t>(n=</w:t>
            </w:r>
            <w:r w:rsidRPr="00124A6C">
              <w:rPr>
                <w:rFonts w:ascii="Arial" w:hAnsi="Arial" w:cs="Arial"/>
                <w:color w:val="000000"/>
                <w:sz w:val="20"/>
                <w:szCs w:val="20"/>
                <w:shd w:val="clear" w:color="auto" w:fill="FFFFFF"/>
              </w:rPr>
              <w:t>12000)</w:t>
            </w:r>
          </w:p>
        </w:tc>
        <w:tc>
          <w:tcPr>
            <w:tcW w:w="0" w:type="auto"/>
          </w:tcPr>
          <w:p w14:paraId="78360A13" w14:textId="314AD2AE" w:rsidR="004B084C" w:rsidRPr="00124A6C" w:rsidRDefault="004B084C" w:rsidP="004B084C">
            <w:pPr>
              <w:pStyle w:val="Normale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Eligible patients will be randomly allocated between the available 5 treatment arms</w:t>
            </w:r>
            <w:r w:rsidR="00AA6C5F" w:rsidRPr="00124A6C">
              <w:rPr>
                <w:rFonts w:ascii="Arial" w:hAnsi="Arial" w:cs="Arial"/>
                <w:color w:val="000000"/>
                <w:sz w:val="20"/>
                <w:szCs w:val="20"/>
                <w:lang w:val="en-US"/>
              </w:rPr>
              <w:t>:</w:t>
            </w:r>
          </w:p>
          <w:p w14:paraId="5D94461E" w14:textId="69D2371D" w:rsidR="00AA6C5F" w:rsidRPr="00124A6C" w:rsidRDefault="00AA6C5F" w:rsidP="00AA6C5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Tocilizumab</w:t>
            </w:r>
          </w:p>
          <w:p w14:paraId="499F1E48" w14:textId="47A37FC7" w:rsidR="00AA6C5F" w:rsidRPr="00124A6C" w:rsidRDefault="00AA6C5F" w:rsidP="00AA6C5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sz w:val="20"/>
                <w:szCs w:val="20"/>
                <w:lang w:val="en-US"/>
              </w:rPr>
              <w:t>Or</w:t>
            </w:r>
            <w:r w:rsidRPr="00124A6C">
              <w:rPr>
                <w:rFonts w:ascii="Arial" w:hAnsi="Arial" w:cs="Arial"/>
                <w:color w:val="000000"/>
                <w:sz w:val="20"/>
                <w:szCs w:val="20"/>
                <w:shd w:val="clear" w:color="auto" w:fill="FFFFFF"/>
                <w:lang w:val="en-US"/>
              </w:rPr>
              <w:t xml:space="preserve"> Azithromycin</w:t>
            </w:r>
          </w:p>
          <w:p w14:paraId="204EB372" w14:textId="445C3BE5" w:rsidR="00AA6C5F" w:rsidRPr="00124A6C" w:rsidRDefault="00AA6C5F" w:rsidP="00AA6C5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sz w:val="20"/>
                <w:szCs w:val="20"/>
                <w:lang w:val="en-US"/>
              </w:rPr>
              <w:t xml:space="preserve">Or </w:t>
            </w:r>
            <w:r w:rsidRPr="00124A6C">
              <w:rPr>
                <w:rFonts w:ascii="Arial" w:hAnsi="Arial" w:cs="Arial"/>
                <w:color w:val="000000"/>
                <w:sz w:val="20"/>
                <w:szCs w:val="20"/>
                <w:shd w:val="clear" w:color="auto" w:fill="FFFFFF"/>
                <w:lang w:val="en-US"/>
              </w:rPr>
              <w:t>Lopinavir-Ritonavir</w:t>
            </w:r>
          </w:p>
          <w:p w14:paraId="16873BF6" w14:textId="03ABF737" w:rsidR="00AA6C5F" w:rsidRPr="00124A6C" w:rsidRDefault="00AA6C5F" w:rsidP="00AA6C5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sz w:val="20"/>
                <w:szCs w:val="20"/>
                <w:lang w:val="en-US"/>
              </w:rPr>
              <w:t xml:space="preserve">Or </w:t>
            </w:r>
            <w:r w:rsidRPr="00124A6C">
              <w:rPr>
                <w:rFonts w:ascii="Arial" w:hAnsi="Arial" w:cs="Arial"/>
                <w:color w:val="000000"/>
                <w:sz w:val="20"/>
                <w:szCs w:val="20"/>
                <w:shd w:val="clear" w:color="auto" w:fill="FFFFFF"/>
                <w:lang w:val="en-US"/>
              </w:rPr>
              <w:t>Hydroxychloroquine</w:t>
            </w:r>
          </w:p>
          <w:p w14:paraId="5D1408C2" w14:textId="4E8CE253" w:rsidR="00AA6C5F" w:rsidRPr="00124A6C" w:rsidRDefault="00AA6C5F" w:rsidP="00AA6C5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sz w:val="20"/>
                <w:szCs w:val="20"/>
                <w:lang w:val="en-US"/>
              </w:rPr>
              <w:t xml:space="preserve">Or </w:t>
            </w:r>
            <w:r w:rsidRPr="00124A6C">
              <w:rPr>
                <w:rFonts w:ascii="Arial" w:hAnsi="Arial" w:cs="Arial"/>
                <w:color w:val="000000"/>
                <w:sz w:val="20"/>
                <w:szCs w:val="20"/>
                <w:shd w:val="clear" w:color="auto" w:fill="FFFFFF"/>
                <w:lang w:val="en-US"/>
              </w:rPr>
              <w:t>dexamethasone (in pregnancy or breastfeeding women, prednisolone)</w:t>
            </w:r>
          </w:p>
          <w:p w14:paraId="1301DD9A" w14:textId="64A0E3C0" w:rsidR="00AA6C5F" w:rsidRPr="00124A6C" w:rsidRDefault="00AA6C5F" w:rsidP="00AA6C5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p w14:paraId="2D2235B5" w14:textId="77777777" w:rsidR="004B084C" w:rsidRPr="00124A6C" w:rsidRDefault="004B084C" w:rsidP="00AA6C5F">
            <w:pPr>
              <w:pStyle w:val="Normale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Simultaneously, eligible patients will be randomly allocated between convalescent plasma or no additional treatment.</w:t>
            </w:r>
          </w:p>
          <w:p w14:paraId="14732551" w14:textId="77777777" w:rsidR="00AA6C5F" w:rsidRPr="00124A6C" w:rsidRDefault="00AA6C5F" w:rsidP="00AA6C5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Convalescent plasma</w:t>
            </w:r>
          </w:p>
          <w:p w14:paraId="36387D5E" w14:textId="330B693E" w:rsidR="00AA6C5F" w:rsidRPr="00124A6C" w:rsidRDefault="00AA6C5F" w:rsidP="00AA6C5F">
            <w:pPr>
              <w:pStyle w:val="Normale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 xml:space="preserve">Single unit of ABO compatible </w:t>
            </w:r>
            <w:r w:rsidRPr="00124A6C">
              <w:rPr>
                <w:rFonts w:ascii="Arial" w:hAnsi="Arial" w:cs="Arial"/>
                <w:color w:val="000000"/>
                <w:sz w:val="20"/>
                <w:szCs w:val="20"/>
                <w:lang w:val="en-US"/>
              </w:rPr>
              <w:lastRenderedPageBreak/>
              <w:t>(275mls +/- 75 mls) per day on day 1 and day 2</w:t>
            </w:r>
          </w:p>
        </w:tc>
        <w:tc>
          <w:tcPr>
            <w:tcW w:w="0" w:type="auto"/>
          </w:tcPr>
          <w:p w14:paraId="302E5D8F" w14:textId="022C9710" w:rsidR="004B084C" w:rsidRPr="00124A6C" w:rsidRDefault="00AA6C5F" w:rsidP="00AA6C5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sz w:val="20"/>
                <w:szCs w:val="20"/>
                <w:lang w:val="en-US"/>
              </w:rPr>
              <w:lastRenderedPageBreak/>
              <w:t>One of the five treatment arm without plasma.</w:t>
            </w:r>
          </w:p>
        </w:tc>
        <w:tc>
          <w:tcPr>
            <w:tcW w:w="0" w:type="auto"/>
          </w:tcPr>
          <w:p w14:paraId="7DC80BB1" w14:textId="38B84D04" w:rsidR="004B084C" w:rsidRPr="00124A6C" w:rsidRDefault="00AA6C5F" w:rsidP="00AA6C5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All-cause mortality at day 28</w:t>
            </w:r>
          </w:p>
        </w:tc>
      </w:tr>
      <w:tr w:rsidR="00D16ECF" w:rsidRPr="0068569D" w14:paraId="1A63164E" w14:textId="77777777" w:rsidTr="00D801A8">
        <w:trPr>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0D15C435" w14:textId="77777777" w:rsidR="00AA6C5F" w:rsidRPr="00124A6C" w:rsidRDefault="00AA6C5F"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t>NCT04322773</w:t>
            </w:r>
          </w:p>
          <w:p w14:paraId="48F46743" w14:textId="77777777" w:rsidR="00AA6C5F" w:rsidRPr="00124A6C" w:rsidRDefault="00AA6C5F" w:rsidP="005B6AB7">
            <w:pPr>
              <w:rPr>
                <w:rFonts w:ascii="Arial" w:hAnsi="Arial" w:cs="Arial"/>
                <w:b w:val="0"/>
                <w:bCs w:val="0"/>
                <w:color w:val="000000"/>
                <w:sz w:val="20"/>
                <w:szCs w:val="20"/>
                <w:shd w:val="clear" w:color="auto" w:fill="FFFFFF"/>
                <w:lang w:val="en-US"/>
              </w:rPr>
            </w:pPr>
          </w:p>
        </w:tc>
        <w:tc>
          <w:tcPr>
            <w:tcW w:w="0" w:type="auto"/>
          </w:tcPr>
          <w:p w14:paraId="632A5B64" w14:textId="0FEBB442" w:rsidR="00AA6C5F" w:rsidRPr="00124A6C" w:rsidRDefault="00AA6C5F" w:rsidP="00AA6C5F">
            <w:pPr>
              <w:cnfStyle w:val="000000000000" w:firstRow="0" w:lastRow="0" w:firstColumn="0" w:lastColumn="0" w:oddVBand="0" w:evenVBand="0" w:oddHBand="0" w:evenHBand="0" w:firstRowFirstColumn="0" w:firstRowLastColumn="0" w:lastRowFirstColumn="0" w:lastRowLastColumn="0"/>
              <w:rPr>
                <w:rFonts w:ascii="Arial" w:hAnsi="Arial" w:cs="Arial"/>
                <w:color w:val="666666"/>
                <w:sz w:val="20"/>
                <w:szCs w:val="20"/>
                <w:shd w:val="clear" w:color="auto" w:fill="FFFFFF"/>
                <w:lang w:val="en-US"/>
              </w:rPr>
            </w:pPr>
            <w:r w:rsidRPr="00124A6C">
              <w:rPr>
                <w:rFonts w:ascii="Arial" w:hAnsi="Arial" w:cs="Arial"/>
                <w:color w:val="000000" w:themeColor="text1"/>
                <w:sz w:val="20"/>
                <w:szCs w:val="20"/>
                <w:shd w:val="clear" w:color="auto" w:fill="FFFFFF"/>
                <w:lang w:val="en-US"/>
              </w:rPr>
              <w:t>Recruiting</w:t>
            </w:r>
          </w:p>
        </w:tc>
        <w:tc>
          <w:tcPr>
            <w:tcW w:w="0" w:type="auto"/>
          </w:tcPr>
          <w:p w14:paraId="6B0102B0" w14:textId="0943C496" w:rsidR="00AA6C5F" w:rsidRPr="00124A6C" w:rsidRDefault="00085EFE" w:rsidP="00D801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Mult</w:t>
            </w:r>
            <w:r>
              <w:rPr>
                <w:rFonts w:ascii="Arial" w:hAnsi="Arial" w:cs="Arial"/>
                <w:color w:val="000000"/>
                <w:sz w:val="20"/>
                <w:szCs w:val="20"/>
                <w:shd w:val="clear" w:color="auto" w:fill="FFFFFF"/>
                <w:lang w:val="en-US"/>
              </w:rPr>
              <w:t>icentre o</w:t>
            </w:r>
            <w:r w:rsidR="00AA6C5F" w:rsidRPr="00124A6C">
              <w:rPr>
                <w:rFonts w:ascii="Arial" w:hAnsi="Arial" w:cs="Arial"/>
                <w:color w:val="000000"/>
                <w:sz w:val="20"/>
                <w:szCs w:val="20"/>
                <w:shd w:val="clear" w:color="auto" w:fill="FFFFFF"/>
                <w:lang w:val="en-US"/>
              </w:rPr>
              <w:t>pen-Label, Sequential and Cluster Randomized Trial</w:t>
            </w:r>
          </w:p>
        </w:tc>
        <w:tc>
          <w:tcPr>
            <w:tcW w:w="0" w:type="auto"/>
          </w:tcPr>
          <w:p w14:paraId="20D10157" w14:textId="0EE05D90" w:rsidR="00AA6C5F" w:rsidRPr="00124A6C" w:rsidRDefault="00AA6C5F" w:rsidP="00AA6C5F">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Denmark</w:t>
            </w:r>
          </w:p>
        </w:tc>
        <w:tc>
          <w:tcPr>
            <w:tcW w:w="0" w:type="auto"/>
          </w:tcPr>
          <w:p w14:paraId="40461F61" w14:textId="5D16E63E" w:rsidR="00AA6C5F" w:rsidRPr="00124A6C" w:rsidRDefault="00AA6C5F" w:rsidP="00AA6C5F">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Patients with confirmed COVID-19, oxygen therapy</w:t>
            </w:r>
          </w:p>
          <w:p w14:paraId="0D2D338F" w14:textId="5EA20AB5" w:rsidR="00AA6C5F" w:rsidRPr="00124A6C" w:rsidRDefault="00AA6C5F" w:rsidP="00AA6C5F">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(n=200)</w:t>
            </w:r>
          </w:p>
        </w:tc>
        <w:tc>
          <w:tcPr>
            <w:tcW w:w="0" w:type="auto"/>
          </w:tcPr>
          <w:p w14:paraId="78D9761D" w14:textId="096ED5E6" w:rsidR="00AA6C5F" w:rsidRPr="00124A6C" w:rsidRDefault="00AA6C5F" w:rsidP="00AA6C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Tocilizumab iv</w:t>
            </w:r>
          </w:p>
          <w:p w14:paraId="49953B75" w14:textId="23ECA8A8" w:rsidR="00AA6C5F" w:rsidRPr="00124A6C" w:rsidRDefault="00AA6C5F" w:rsidP="00AA6C5F">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single dose 400 mg intravenously</w:t>
            </w:r>
          </w:p>
          <w:p w14:paraId="72775C01" w14:textId="6A26224E" w:rsidR="00AA6C5F" w:rsidRPr="00124A6C" w:rsidRDefault="00AA6C5F" w:rsidP="00AA6C5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shd w:val="clear" w:color="auto" w:fill="FFFFFF"/>
                <w:lang w:val="en-US"/>
              </w:rPr>
              <w:t xml:space="preserve">Or </w:t>
            </w:r>
            <w:r w:rsidRPr="00124A6C">
              <w:rPr>
                <w:rFonts w:ascii="Arial" w:hAnsi="Arial" w:cs="Arial"/>
                <w:color w:val="000000"/>
                <w:sz w:val="20"/>
                <w:szCs w:val="20"/>
                <w:lang w:val="en-US"/>
              </w:rPr>
              <w:t>2 x 162 mg subcutaneously</w:t>
            </w:r>
          </w:p>
          <w:p w14:paraId="02847535" w14:textId="77777777" w:rsidR="00AA6C5F" w:rsidRPr="00124A6C" w:rsidRDefault="00AA6C5F" w:rsidP="00AA6C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p w14:paraId="1A1FBD55" w14:textId="2E911B9E" w:rsidR="00AA6C5F" w:rsidRPr="00124A6C" w:rsidRDefault="00AA6C5F" w:rsidP="00AA6C5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p>
        </w:tc>
        <w:tc>
          <w:tcPr>
            <w:tcW w:w="0" w:type="auto"/>
          </w:tcPr>
          <w:p w14:paraId="4EAF2B30" w14:textId="4CEE2D37" w:rsidR="00AA6C5F" w:rsidRPr="00124A6C" w:rsidRDefault="00AA6C5F" w:rsidP="00AA6C5F">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 xml:space="preserve">Sarilumab 1 x 200 mg subcutaneously </w:t>
            </w:r>
            <w:r w:rsidRPr="00124A6C">
              <w:rPr>
                <w:rFonts w:ascii="Arial" w:hAnsi="Arial" w:cs="Arial"/>
                <w:sz w:val="20"/>
                <w:szCs w:val="20"/>
                <w:lang w:val="en-US"/>
              </w:rPr>
              <w:t>or standard care</w:t>
            </w:r>
          </w:p>
        </w:tc>
        <w:tc>
          <w:tcPr>
            <w:tcW w:w="0" w:type="auto"/>
          </w:tcPr>
          <w:p w14:paraId="54A60DF3" w14:textId="4721A78C" w:rsidR="00AA6C5F" w:rsidRPr="00124A6C" w:rsidRDefault="00AA6C5F" w:rsidP="00AA6C5F">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Time to independence from supplementary oxygen therapy</w:t>
            </w:r>
          </w:p>
          <w:p w14:paraId="0171F7A7" w14:textId="77777777" w:rsidR="00AA6C5F" w:rsidRPr="00124A6C" w:rsidRDefault="00AA6C5F" w:rsidP="00AA6C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p w14:paraId="3118AAF4" w14:textId="77777777" w:rsidR="00AA6C5F" w:rsidRPr="00124A6C" w:rsidRDefault="00AA6C5F" w:rsidP="00AA6C5F">
            <w:pPr>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p>
        </w:tc>
      </w:tr>
      <w:tr w:rsidR="00D16ECF" w:rsidRPr="0068569D" w14:paraId="3BC755DA" w14:textId="77777777" w:rsidTr="00D801A8">
        <w:trPr>
          <w:cnfStyle w:val="000000100000" w:firstRow="0" w:lastRow="0" w:firstColumn="0" w:lastColumn="0" w:oddVBand="0" w:evenVBand="0" w:oddHBand="1" w:evenHBand="0" w:firstRowFirstColumn="0" w:firstRowLastColumn="0" w:lastRowFirstColumn="0" w:lastRowLastColumn="0"/>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6AC55536" w14:textId="77777777" w:rsidR="00AA6C5F" w:rsidRPr="00124A6C" w:rsidRDefault="00AA6C5F"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t>NCT04361552</w:t>
            </w:r>
          </w:p>
          <w:p w14:paraId="2BF97F62" w14:textId="77777777" w:rsidR="00AA6C5F" w:rsidRPr="00124A6C" w:rsidRDefault="00AA6C5F" w:rsidP="005B6AB7">
            <w:pPr>
              <w:rPr>
                <w:rFonts w:ascii="Arial" w:hAnsi="Arial" w:cs="Arial"/>
                <w:b w:val="0"/>
                <w:bCs w:val="0"/>
                <w:color w:val="000000"/>
                <w:sz w:val="20"/>
                <w:szCs w:val="20"/>
                <w:shd w:val="clear" w:color="auto" w:fill="FFFFFF"/>
                <w:lang w:val="en-US"/>
              </w:rPr>
            </w:pPr>
          </w:p>
        </w:tc>
        <w:tc>
          <w:tcPr>
            <w:tcW w:w="0" w:type="auto"/>
          </w:tcPr>
          <w:p w14:paraId="1D98A360" w14:textId="375EB6A0" w:rsidR="00AA6C5F" w:rsidRPr="00124A6C" w:rsidRDefault="00AA6C5F" w:rsidP="00AA6C5F">
            <w:pPr>
              <w:cnfStyle w:val="000000100000" w:firstRow="0" w:lastRow="0" w:firstColumn="0" w:lastColumn="0" w:oddVBand="0" w:evenVBand="0" w:oddHBand="1" w:evenHBand="0" w:firstRowFirstColumn="0" w:firstRowLastColumn="0" w:lastRowFirstColumn="0" w:lastRowLastColumn="0"/>
              <w:rPr>
                <w:rFonts w:ascii="Arial" w:hAnsi="Arial" w:cs="Arial"/>
                <w:color w:val="666666"/>
                <w:sz w:val="20"/>
                <w:szCs w:val="20"/>
                <w:shd w:val="clear" w:color="auto" w:fill="FFFFFF"/>
                <w:lang w:val="en-US"/>
              </w:rPr>
            </w:pPr>
            <w:r w:rsidRPr="00124A6C">
              <w:rPr>
                <w:rFonts w:ascii="Arial" w:hAnsi="Arial" w:cs="Arial"/>
                <w:color w:val="000000" w:themeColor="text1"/>
                <w:sz w:val="20"/>
                <w:szCs w:val="20"/>
                <w:shd w:val="clear" w:color="auto" w:fill="FFFFFF"/>
                <w:lang w:val="en-US"/>
              </w:rPr>
              <w:t>Recruiting</w:t>
            </w:r>
          </w:p>
        </w:tc>
        <w:tc>
          <w:tcPr>
            <w:tcW w:w="0" w:type="auto"/>
          </w:tcPr>
          <w:p w14:paraId="4B6F14F7" w14:textId="52FF5B50" w:rsidR="00AA6C5F" w:rsidRPr="00085EFE" w:rsidRDefault="00085EFE" w:rsidP="00D801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85EFE">
              <w:rPr>
                <w:rFonts w:ascii="Arial" w:hAnsi="Arial" w:cs="Arial"/>
                <w:color w:val="000000"/>
                <w:sz w:val="20"/>
                <w:szCs w:val="20"/>
                <w:shd w:val="clear" w:color="auto" w:fill="FFFFFF"/>
                <w:lang w:val="en-US"/>
              </w:rPr>
              <w:t>Single-centre o</w:t>
            </w:r>
            <w:r w:rsidR="00AA6C5F" w:rsidRPr="00085EFE">
              <w:rPr>
                <w:rFonts w:ascii="Arial" w:hAnsi="Arial" w:cs="Arial"/>
                <w:color w:val="000000"/>
                <w:sz w:val="20"/>
                <w:szCs w:val="20"/>
                <w:shd w:val="clear" w:color="auto" w:fill="FFFFFF"/>
                <w:lang w:val="en-US"/>
              </w:rPr>
              <w:t>pen-Labeled, Randomized Trial</w:t>
            </w:r>
          </w:p>
          <w:p w14:paraId="03C06C60" w14:textId="0E1B6144" w:rsidR="00AA6C5F" w:rsidRPr="00124A6C" w:rsidRDefault="00AA6C5F" w:rsidP="00AA6C5F">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p>
        </w:tc>
        <w:tc>
          <w:tcPr>
            <w:tcW w:w="0" w:type="auto"/>
          </w:tcPr>
          <w:p w14:paraId="080A51D4" w14:textId="7A866F85" w:rsidR="00AA6C5F" w:rsidRPr="00124A6C" w:rsidRDefault="00AA6C5F" w:rsidP="00AA6C5F">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USA</w:t>
            </w:r>
          </w:p>
        </w:tc>
        <w:tc>
          <w:tcPr>
            <w:tcW w:w="0" w:type="auto"/>
          </w:tcPr>
          <w:p w14:paraId="52C35680" w14:textId="77777777" w:rsidR="00AA6C5F" w:rsidRPr="00124A6C" w:rsidRDefault="00AA6C5F" w:rsidP="00AA6C5F">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Hospitalized patients with covid-19</w:t>
            </w:r>
          </w:p>
          <w:p w14:paraId="0EF1F947" w14:textId="7EC56587" w:rsidR="00AA6C5F" w:rsidRPr="00124A6C" w:rsidRDefault="00AA6C5F" w:rsidP="00AA6C5F">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(n=180)</w:t>
            </w:r>
          </w:p>
        </w:tc>
        <w:tc>
          <w:tcPr>
            <w:tcW w:w="0" w:type="auto"/>
          </w:tcPr>
          <w:p w14:paraId="73F4C24D" w14:textId="60AF0CFE" w:rsidR="00AA6C5F" w:rsidRPr="00124A6C" w:rsidRDefault="00AA6C5F" w:rsidP="00AA6C5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Tocilizumab i.v</w:t>
            </w:r>
          </w:p>
        </w:tc>
        <w:tc>
          <w:tcPr>
            <w:tcW w:w="0" w:type="auto"/>
          </w:tcPr>
          <w:p w14:paraId="0FCEF5F1" w14:textId="2333AD9E" w:rsidR="00AA6C5F" w:rsidRPr="00124A6C" w:rsidRDefault="00AA6C5F" w:rsidP="00AA6C5F">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Standard care</w:t>
            </w:r>
          </w:p>
        </w:tc>
        <w:tc>
          <w:tcPr>
            <w:tcW w:w="0" w:type="auto"/>
          </w:tcPr>
          <w:p w14:paraId="11BDDCAB" w14:textId="7FB944FC" w:rsidR="00AA6C5F" w:rsidRPr="00124A6C" w:rsidRDefault="00AA6C5F" w:rsidP="00AA6C5F">
            <w:pPr>
              <w:shd w:val="clear" w:color="auto" w:fill="FFFFFF"/>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Length of invasive mechanical ventilation (MV)</w:t>
            </w:r>
          </w:p>
        </w:tc>
      </w:tr>
      <w:tr w:rsidR="00D16ECF" w:rsidRPr="00124A6C" w14:paraId="1EB22F8D" w14:textId="77777777" w:rsidTr="00D801A8">
        <w:trPr>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2DC526F5" w14:textId="77777777" w:rsidR="00AA6C5F" w:rsidRPr="00124A6C" w:rsidRDefault="00AA6C5F"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t>NCT04403685</w:t>
            </w:r>
          </w:p>
          <w:p w14:paraId="457E7394" w14:textId="77777777" w:rsidR="00AA6C5F" w:rsidRPr="00124A6C" w:rsidRDefault="00AA6C5F" w:rsidP="005B6AB7">
            <w:pPr>
              <w:rPr>
                <w:rFonts w:ascii="Arial" w:hAnsi="Arial" w:cs="Arial"/>
                <w:b w:val="0"/>
                <w:bCs w:val="0"/>
                <w:color w:val="000000"/>
                <w:sz w:val="20"/>
                <w:szCs w:val="20"/>
                <w:shd w:val="clear" w:color="auto" w:fill="FFFFFF"/>
                <w:lang w:val="en-US"/>
              </w:rPr>
            </w:pPr>
          </w:p>
        </w:tc>
        <w:tc>
          <w:tcPr>
            <w:tcW w:w="0" w:type="auto"/>
          </w:tcPr>
          <w:p w14:paraId="1F24DE6B" w14:textId="1D6617E2" w:rsidR="00AA6C5F" w:rsidRPr="00124A6C" w:rsidRDefault="00AA6C5F" w:rsidP="00AA6C5F">
            <w:pPr>
              <w:cnfStyle w:val="000000000000" w:firstRow="0" w:lastRow="0" w:firstColumn="0" w:lastColumn="0" w:oddVBand="0" w:evenVBand="0" w:oddHBand="0" w:evenHBand="0" w:firstRowFirstColumn="0" w:firstRowLastColumn="0" w:lastRowFirstColumn="0" w:lastRowLastColumn="0"/>
              <w:rPr>
                <w:rFonts w:ascii="Arial" w:hAnsi="Arial" w:cs="Arial"/>
                <w:color w:val="666666"/>
                <w:sz w:val="20"/>
                <w:szCs w:val="20"/>
                <w:shd w:val="clear" w:color="auto" w:fill="FFFFFF"/>
                <w:lang w:val="en-US"/>
              </w:rPr>
            </w:pPr>
            <w:r w:rsidRPr="00124A6C">
              <w:rPr>
                <w:rFonts w:ascii="Arial" w:hAnsi="Arial" w:cs="Arial"/>
                <w:color w:val="000000" w:themeColor="text1"/>
                <w:sz w:val="20"/>
                <w:szCs w:val="20"/>
                <w:shd w:val="clear" w:color="auto" w:fill="FFFFFF"/>
                <w:lang w:val="en-US"/>
              </w:rPr>
              <w:t>Recruiting</w:t>
            </w:r>
          </w:p>
        </w:tc>
        <w:tc>
          <w:tcPr>
            <w:tcW w:w="0" w:type="auto"/>
          </w:tcPr>
          <w:p w14:paraId="3F8882A2" w14:textId="2D546D96" w:rsidR="00AA6C5F" w:rsidRPr="00124A6C" w:rsidRDefault="00AA6C5F" w:rsidP="00AA6C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Multi-centre Randomized Clinical Trial</w:t>
            </w:r>
          </w:p>
          <w:p w14:paraId="647566B1" w14:textId="77777777" w:rsidR="00AA6C5F" w:rsidRPr="00124A6C" w:rsidRDefault="00AA6C5F" w:rsidP="00AA6C5F">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p>
        </w:tc>
        <w:tc>
          <w:tcPr>
            <w:tcW w:w="0" w:type="auto"/>
          </w:tcPr>
          <w:p w14:paraId="06F17A82" w14:textId="1F28C402" w:rsidR="00AA6C5F" w:rsidRPr="00124A6C" w:rsidRDefault="00AA6C5F" w:rsidP="00AA6C5F">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Brasil</w:t>
            </w:r>
          </w:p>
        </w:tc>
        <w:tc>
          <w:tcPr>
            <w:tcW w:w="0" w:type="auto"/>
          </w:tcPr>
          <w:p w14:paraId="7B4CBE45" w14:textId="11DCCF6A" w:rsidR="00AA6C5F" w:rsidRPr="00124A6C" w:rsidRDefault="00AA6C5F" w:rsidP="00AA6C5F">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Hospitalized patients with COVID-19 under oxygen therapy or MV and high inflammatory markers</w:t>
            </w:r>
          </w:p>
          <w:p w14:paraId="78F57768" w14:textId="0A194440" w:rsidR="00AA6C5F" w:rsidRPr="00124A6C" w:rsidRDefault="00AA6C5F" w:rsidP="00AA6C5F">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(n=150)</w:t>
            </w:r>
          </w:p>
        </w:tc>
        <w:tc>
          <w:tcPr>
            <w:tcW w:w="0" w:type="auto"/>
          </w:tcPr>
          <w:p w14:paraId="1C628230" w14:textId="77777777" w:rsidR="00AA6C5F" w:rsidRPr="00124A6C" w:rsidRDefault="00AA6C5F" w:rsidP="00AA6C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Tocilizumab</w:t>
            </w:r>
          </w:p>
          <w:p w14:paraId="0A293BEA" w14:textId="77777777" w:rsidR="00AA6C5F" w:rsidRPr="00124A6C" w:rsidRDefault="00AA6C5F" w:rsidP="00AA6C5F">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Single-dose infusion of 8 mg/kg. Maximum dose of 800 mg.</w:t>
            </w:r>
          </w:p>
          <w:p w14:paraId="7BF2DB18" w14:textId="77777777" w:rsidR="00AA6C5F" w:rsidRPr="00124A6C" w:rsidRDefault="00AA6C5F" w:rsidP="00AA6C5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p>
        </w:tc>
        <w:tc>
          <w:tcPr>
            <w:tcW w:w="0" w:type="auto"/>
          </w:tcPr>
          <w:p w14:paraId="2ECC33E9" w14:textId="5A087E26" w:rsidR="00AA6C5F" w:rsidRPr="00124A6C" w:rsidRDefault="00AA6C5F" w:rsidP="00AA6C5F">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Standard care</w:t>
            </w:r>
          </w:p>
        </w:tc>
        <w:tc>
          <w:tcPr>
            <w:tcW w:w="0" w:type="auto"/>
          </w:tcPr>
          <w:p w14:paraId="0BBD93B9" w14:textId="1C8112FF" w:rsidR="00AA6C5F" w:rsidRPr="00124A6C" w:rsidRDefault="00AA6C5F" w:rsidP="00AA6C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Clinical status at day 15</w:t>
            </w:r>
          </w:p>
          <w:p w14:paraId="6AF045C9" w14:textId="1EC27730" w:rsidR="00AA6C5F" w:rsidRPr="00124A6C" w:rsidRDefault="00AA6C5F" w:rsidP="00AA6C5F">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p>
        </w:tc>
      </w:tr>
      <w:tr w:rsidR="00D16ECF" w:rsidRPr="00124A6C" w14:paraId="511C7AE6" w14:textId="77777777" w:rsidTr="00D801A8">
        <w:trPr>
          <w:cnfStyle w:val="000000100000" w:firstRow="0" w:lastRow="0" w:firstColumn="0" w:lastColumn="0" w:oddVBand="0" w:evenVBand="0" w:oddHBand="1" w:evenHBand="0" w:firstRowFirstColumn="0" w:firstRowLastColumn="0" w:lastRowFirstColumn="0" w:lastRowLastColumn="0"/>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285C3D10" w14:textId="77777777" w:rsidR="00AA6C5F" w:rsidRPr="00124A6C" w:rsidRDefault="00AA6C5F"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t>NCT04361032</w:t>
            </w:r>
          </w:p>
          <w:p w14:paraId="53F453D3" w14:textId="77777777" w:rsidR="00AA6C5F" w:rsidRPr="00124A6C" w:rsidRDefault="00AA6C5F" w:rsidP="005B6AB7">
            <w:pPr>
              <w:rPr>
                <w:rFonts w:ascii="Arial" w:hAnsi="Arial" w:cs="Arial"/>
                <w:b w:val="0"/>
                <w:bCs w:val="0"/>
                <w:color w:val="000000"/>
                <w:sz w:val="20"/>
                <w:szCs w:val="20"/>
                <w:shd w:val="clear" w:color="auto" w:fill="FFFFFF"/>
                <w:lang w:val="en-US"/>
              </w:rPr>
            </w:pPr>
          </w:p>
        </w:tc>
        <w:tc>
          <w:tcPr>
            <w:tcW w:w="0" w:type="auto"/>
          </w:tcPr>
          <w:p w14:paraId="5F40A52F" w14:textId="05EFAAC1" w:rsidR="00AA6C5F" w:rsidRPr="00124A6C" w:rsidRDefault="00AA6C5F" w:rsidP="00AA6C5F">
            <w:pPr>
              <w:cnfStyle w:val="000000100000" w:firstRow="0" w:lastRow="0" w:firstColumn="0" w:lastColumn="0" w:oddVBand="0" w:evenVBand="0" w:oddHBand="1" w:evenHBand="0" w:firstRowFirstColumn="0" w:firstRowLastColumn="0" w:lastRowFirstColumn="0" w:lastRowLastColumn="0"/>
              <w:rPr>
                <w:rFonts w:ascii="Arial" w:hAnsi="Arial" w:cs="Arial"/>
                <w:color w:val="666666"/>
                <w:sz w:val="20"/>
                <w:szCs w:val="20"/>
                <w:shd w:val="clear" w:color="auto" w:fill="FFFFFF"/>
                <w:lang w:val="en-US"/>
              </w:rPr>
            </w:pPr>
            <w:r w:rsidRPr="00124A6C">
              <w:rPr>
                <w:rFonts w:ascii="Arial" w:hAnsi="Arial" w:cs="Arial"/>
                <w:color w:val="000000" w:themeColor="text1"/>
                <w:sz w:val="20"/>
                <w:szCs w:val="20"/>
                <w:shd w:val="clear" w:color="auto" w:fill="FFFFFF"/>
                <w:lang w:val="en-US"/>
              </w:rPr>
              <w:t xml:space="preserve">Not yet </w:t>
            </w:r>
            <w:r w:rsidR="00AD5AB5" w:rsidRPr="00124A6C">
              <w:rPr>
                <w:rFonts w:ascii="Arial" w:hAnsi="Arial" w:cs="Arial"/>
                <w:color w:val="000000" w:themeColor="text1"/>
                <w:sz w:val="20"/>
                <w:szCs w:val="20"/>
                <w:shd w:val="clear" w:color="auto" w:fill="FFFFFF"/>
                <w:lang w:val="en-US"/>
              </w:rPr>
              <w:t>r</w:t>
            </w:r>
            <w:r w:rsidRPr="00124A6C">
              <w:rPr>
                <w:rFonts w:ascii="Arial" w:hAnsi="Arial" w:cs="Arial"/>
                <w:color w:val="000000" w:themeColor="text1"/>
                <w:sz w:val="20"/>
                <w:szCs w:val="20"/>
                <w:shd w:val="clear" w:color="auto" w:fill="FFFFFF"/>
                <w:lang w:val="en-US"/>
              </w:rPr>
              <w:t>ecruiting</w:t>
            </w:r>
          </w:p>
        </w:tc>
        <w:tc>
          <w:tcPr>
            <w:tcW w:w="0" w:type="auto"/>
          </w:tcPr>
          <w:p w14:paraId="4E0DEC9E" w14:textId="07D95FF3" w:rsidR="00AA6C5F" w:rsidRPr="00124A6C" w:rsidRDefault="00AA6C5F" w:rsidP="00AA6C5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Multicentr</w:t>
            </w:r>
            <w:r w:rsidR="00085EFE">
              <w:rPr>
                <w:rFonts w:ascii="Arial" w:hAnsi="Arial" w:cs="Arial"/>
                <w:color w:val="000000"/>
                <w:sz w:val="20"/>
                <w:szCs w:val="20"/>
                <w:shd w:val="clear" w:color="auto" w:fill="FFFFFF"/>
                <w:lang w:val="en-US"/>
              </w:rPr>
              <w:t>e</w:t>
            </w:r>
            <w:r w:rsidRPr="00124A6C">
              <w:rPr>
                <w:rFonts w:ascii="Arial" w:hAnsi="Arial" w:cs="Arial"/>
                <w:color w:val="000000"/>
                <w:sz w:val="20"/>
                <w:szCs w:val="20"/>
                <w:shd w:val="clear" w:color="auto" w:fill="FFFFFF"/>
                <w:lang w:val="en-US"/>
              </w:rPr>
              <w:t>, Comparative, Randomized Study</w:t>
            </w:r>
          </w:p>
        </w:tc>
        <w:tc>
          <w:tcPr>
            <w:tcW w:w="0" w:type="auto"/>
          </w:tcPr>
          <w:p w14:paraId="073B3C7F" w14:textId="5BD8BFEE" w:rsidR="00AA6C5F" w:rsidRPr="00124A6C" w:rsidRDefault="00AA6C5F" w:rsidP="00AA6C5F">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Tunisia</w:t>
            </w:r>
          </w:p>
        </w:tc>
        <w:tc>
          <w:tcPr>
            <w:tcW w:w="0" w:type="auto"/>
          </w:tcPr>
          <w:p w14:paraId="29C2F89C" w14:textId="77777777" w:rsidR="00AA6C5F" w:rsidRPr="00124A6C" w:rsidRDefault="00AA6C5F" w:rsidP="00AA6C5F">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ICU patients with confirmed COVID-19</w:t>
            </w:r>
          </w:p>
          <w:p w14:paraId="068C987A" w14:textId="6BC40C7F" w:rsidR="00AA6C5F" w:rsidRPr="00124A6C" w:rsidRDefault="00AA6C5F" w:rsidP="00AA6C5F">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(n=260)</w:t>
            </w:r>
          </w:p>
        </w:tc>
        <w:tc>
          <w:tcPr>
            <w:tcW w:w="0" w:type="auto"/>
          </w:tcPr>
          <w:p w14:paraId="3F3F03DD" w14:textId="7B7B3A9D" w:rsidR="00AA6C5F" w:rsidRPr="00124A6C" w:rsidRDefault="00AA6C5F" w:rsidP="00AA6C5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Tocilizumab (LOC) (8mg/ kg per day) (1 injection per infusion). Only on the day1</w:t>
            </w:r>
          </w:p>
          <w:p w14:paraId="5AC2269B" w14:textId="77777777" w:rsidR="00AA6C5F" w:rsidRPr="00124A6C" w:rsidRDefault="00AA6C5F" w:rsidP="00AA6C5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lang w:val="en-US"/>
              </w:rPr>
            </w:pPr>
          </w:p>
        </w:tc>
        <w:tc>
          <w:tcPr>
            <w:tcW w:w="0" w:type="auto"/>
          </w:tcPr>
          <w:p w14:paraId="6550018A" w14:textId="66ED5FFE" w:rsidR="00AA6C5F" w:rsidRPr="00124A6C" w:rsidRDefault="00AA6C5F" w:rsidP="00AA6C5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Deferoxamine 500 mg i.v.</w:t>
            </w:r>
          </w:p>
        </w:tc>
        <w:tc>
          <w:tcPr>
            <w:tcW w:w="0" w:type="auto"/>
          </w:tcPr>
          <w:p w14:paraId="4958074A" w14:textId="2B14814C" w:rsidR="00AA6C5F" w:rsidRPr="00124A6C" w:rsidRDefault="00AA6C5F" w:rsidP="00AA6C5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shd w:val="clear" w:color="auto" w:fill="FFFFFF"/>
                <w:lang w:val="en-US"/>
              </w:rPr>
              <w:t>Mortality rate at day 90</w:t>
            </w:r>
          </w:p>
        </w:tc>
      </w:tr>
      <w:tr w:rsidR="00D16ECF" w:rsidRPr="0068569D" w14:paraId="70FC5FBC" w14:textId="77777777" w:rsidTr="00D801A8">
        <w:trPr>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7A3C9478" w14:textId="77777777" w:rsidR="00AA6C5F" w:rsidRPr="00124A6C" w:rsidRDefault="00AA6C5F"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lastRenderedPageBreak/>
              <w:t>NCT04377503</w:t>
            </w:r>
          </w:p>
          <w:p w14:paraId="74BDCCC7" w14:textId="77777777" w:rsidR="00AA6C5F" w:rsidRPr="00124A6C" w:rsidRDefault="00AA6C5F" w:rsidP="005B6AB7">
            <w:pPr>
              <w:rPr>
                <w:rFonts w:ascii="Arial" w:hAnsi="Arial" w:cs="Arial"/>
                <w:b w:val="0"/>
                <w:bCs w:val="0"/>
                <w:color w:val="000000"/>
                <w:sz w:val="20"/>
                <w:szCs w:val="20"/>
                <w:shd w:val="clear" w:color="auto" w:fill="FFFFFF"/>
                <w:lang w:val="en-US"/>
              </w:rPr>
            </w:pPr>
          </w:p>
        </w:tc>
        <w:tc>
          <w:tcPr>
            <w:tcW w:w="0" w:type="auto"/>
          </w:tcPr>
          <w:p w14:paraId="3065D1A6" w14:textId="1CAF2373" w:rsidR="00AA6C5F" w:rsidRPr="00124A6C" w:rsidRDefault="00AA6C5F" w:rsidP="00AA6C5F">
            <w:pPr>
              <w:cnfStyle w:val="000000000000" w:firstRow="0" w:lastRow="0" w:firstColumn="0" w:lastColumn="0" w:oddVBand="0" w:evenVBand="0" w:oddHBand="0" w:evenHBand="0" w:firstRowFirstColumn="0" w:firstRowLastColumn="0" w:lastRowFirstColumn="0" w:lastRowLastColumn="0"/>
              <w:rPr>
                <w:rFonts w:ascii="Arial" w:hAnsi="Arial" w:cs="Arial"/>
                <w:color w:val="666666"/>
                <w:sz w:val="20"/>
                <w:szCs w:val="20"/>
                <w:shd w:val="clear" w:color="auto" w:fill="FFFFFF"/>
                <w:lang w:val="en-US"/>
              </w:rPr>
            </w:pPr>
            <w:r w:rsidRPr="00124A6C">
              <w:rPr>
                <w:rFonts w:ascii="Arial" w:hAnsi="Arial" w:cs="Arial"/>
                <w:color w:val="000000" w:themeColor="text1"/>
                <w:sz w:val="20"/>
                <w:szCs w:val="20"/>
                <w:shd w:val="clear" w:color="auto" w:fill="FFFFFF"/>
                <w:lang w:val="en-US"/>
              </w:rPr>
              <w:t xml:space="preserve">Not yet </w:t>
            </w:r>
            <w:r w:rsidR="00AD5AB5" w:rsidRPr="00124A6C">
              <w:rPr>
                <w:rFonts w:ascii="Arial" w:hAnsi="Arial" w:cs="Arial"/>
                <w:color w:val="000000" w:themeColor="text1"/>
                <w:sz w:val="20"/>
                <w:szCs w:val="20"/>
                <w:shd w:val="clear" w:color="auto" w:fill="FFFFFF"/>
                <w:lang w:val="en-US"/>
              </w:rPr>
              <w:t>r</w:t>
            </w:r>
            <w:r w:rsidRPr="00124A6C">
              <w:rPr>
                <w:rFonts w:ascii="Arial" w:hAnsi="Arial" w:cs="Arial"/>
                <w:color w:val="000000" w:themeColor="text1"/>
                <w:sz w:val="20"/>
                <w:szCs w:val="20"/>
                <w:shd w:val="clear" w:color="auto" w:fill="FFFFFF"/>
                <w:lang w:val="en-US"/>
              </w:rPr>
              <w:t>ecruiting</w:t>
            </w:r>
          </w:p>
        </w:tc>
        <w:tc>
          <w:tcPr>
            <w:tcW w:w="0" w:type="auto"/>
          </w:tcPr>
          <w:p w14:paraId="2397320D" w14:textId="62A38A8C" w:rsidR="00AA6C5F" w:rsidRPr="00085EFE" w:rsidRDefault="00085EFE" w:rsidP="00AA6C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85EFE">
              <w:rPr>
                <w:rFonts w:ascii="Arial" w:hAnsi="Arial" w:cs="Arial"/>
                <w:color w:val="000000"/>
                <w:sz w:val="20"/>
                <w:szCs w:val="20"/>
                <w:shd w:val="clear" w:color="auto" w:fill="FFFFFF"/>
                <w:lang w:val="en-US"/>
              </w:rPr>
              <w:t>Single-centre p</w:t>
            </w:r>
            <w:r w:rsidR="00AA6C5F" w:rsidRPr="00085EFE">
              <w:rPr>
                <w:rFonts w:ascii="Arial" w:hAnsi="Arial" w:cs="Arial"/>
                <w:color w:val="000000"/>
                <w:sz w:val="20"/>
                <w:szCs w:val="20"/>
                <w:shd w:val="clear" w:color="auto" w:fill="FFFFFF"/>
                <w:lang w:val="en-US"/>
              </w:rPr>
              <w:t>rospective randomized controlled study</w:t>
            </w:r>
          </w:p>
          <w:p w14:paraId="4D28A1C0" w14:textId="77777777" w:rsidR="00AA6C5F" w:rsidRPr="00124A6C" w:rsidRDefault="00AA6C5F" w:rsidP="00AA6C5F">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p>
        </w:tc>
        <w:tc>
          <w:tcPr>
            <w:tcW w:w="0" w:type="auto"/>
          </w:tcPr>
          <w:p w14:paraId="2AD2116D" w14:textId="2BDD0A34" w:rsidR="00AA6C5F" w:rsidRPr="00124A6C" w:rsidRDefault="00AA6C5F" w:rsidP="00AA6C5F">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Brasil</w:t>
            </w:r>
          </w:p>
        </w:tc>
        <w:tc>
          <w:tcPr>
            <w:tcW w:w="0" w:type="auto"/>
          </w:tcPr>
          <w:p w14:paraId="50A5E6F6" w14:textId="77777777" w:rsidR="00AA6C5F" w:rsidRPr="00124A6C" w:rsidRDefault="00AA6C5F" w:rsidP="00AA6C5F">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Patients with confirmed COVID-19 and high IL-6 or inflammatory markers</w:t>
            </w:r>
          </w:p>
          <w:p w14:paraId="57F351CC" w14:textId="04A0E264" w:rsidR="00AA6C5F" w:rsidRPr="00124A6C" w:rsidRDefault="00AA6C5F" w:rsidP="00AA6C5F">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(n=40)</w:t>
            </w:r>
          </w:p>
        </w:tc>
        <w:tc>
          <w:tcPr>
            <w:tcW w:w="0" w:type="auto"/>
          </w:tcPr>
          <w:p w14:paraId="2C95D8BA" w14:textId="10203F07" w:rsidR="00AA6C5F" w:rsidRPr="00124A6C" w:rsidRDefault="00AA6C5F" w:rsidP="00AA6C5F">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Tocilizumab 8 mg/kg. The dose will be repeated after 12 hours.</w:t>
            </w:r>
          </w:p>
        </w:tc>
        <w:tc>
          <w:tcPr>
            <w:tcW w:w="0" w:type="auto"/>
          </w:tcPr>
          <w:p w14:paraId="5DF8F949" w14:textId="1AA5971E" w:rsidR="00AD5AB5" w:rsidRPr="00124A6C" w:rsidRDefault="00AA6C5F" w:rsidP="00AD5AB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shd w:val="clear" w:color="auto" w:fill="FFFFFF"/>
                <w:lang w:val="en-US"/>
              </w:rPr>
              <w:t xml:space="preserve">Methylprednisolone </w:t>
            </w:r>
          </w:p>
          <w:p w14:paraId="0BA81457" w14:textId="1B8F79BF" w:rsidR="00AA6C5F" w:rsidRPr="00124A6C" w:rsidRDefault="00AA6C5F" w:rsidP="00AA6C5F">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1.5 mg / kg / day divided into 2 daily doses for 7 days</w:t>
            </w:r>
            <w:r w:rsidR="00AD5AB5" w:rsidRPr="00124A6C">
              <w:rPr>
                <w:rFonts w:ascii="Arial" w:hAnsi="Arial" w:cs="Arial"/>
                <w:color w:val="000000"/>
                <w:sz w:val="20"/>
                <w:szCs w:val="20"/>
                <w:lang w:val="en-US"/>
              </w:rPr>
              <w:t>, t</w:t>
            </w:r>
            <w:r w:rsidRPr="00124A6C">
              <w:rPr>
                <w:rFonts w:ascii="Arial" w:hAnsi="Arial" w:cs="Arial"/>
                <w:color w:val="000000"/>
                <w:sz w:val="20"/>
                <w:szCs w:val="20"/>
                <w:lang w:val="en-US"/>
              </w:rPr>
              <w:t>hen 1 mg / kg / day for another 7 days. Finally 0.5 mg / kg / day until 21 days of use</w:t>
            </w:r>
          </w:p>
        </w:tc>
        <w:tc>
          <w:tcPr>
            <w:tcW w:w="0" w:type="auto"/>
          </w:tcPr>
          <w:p w14:paraId="5136015F" w14:textId="12D2C4C4" w:rsidR="00AA6C5F" w:rsidRPr="00124A6C" w:rsidRDefault="00AA6C5F" w:rsidP="00AA6C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Patient clinical status</w:t>
            </w:r>
            <w:r w:rsidR="00AD5AB5" w:rsidRPr="00124A6C">
              <w:rPr>
                <w:rFonts w:ascii="Arial" w:hAnsi="Arial" w:cs="Arial"/>
                <w:color w:val="000000"/>
                <w:sz w:val="20"/>
                <w:szCs w:val="20"/>
                <w:shd w:val="clear" w:color="auto" w:fill="FFFFFF"/>
                <w:lang w:val="en-US"/>
              </w:rPr>
              <w:t xml:space="preserve"> at day </w:t>
            </w:r>
            <w:r w:rsidRPr="00124A6C">
              <w:rPr>
                <w:rFonts w:ascii="Arial" w:hAnsi="Arial" w:cs="Arial"/>
                <w:color w:val="000000"/>
                <w:sz w:val="20"/>
                <w:szCs w:val="20"/>
                <w:shd w:val="clear" w:color="auto" w:fill="FFFFFF"/>
                <w:lang w:val="en-US"/>
              </w:rPr>
              <w:t>15</w:t>
            </w:r>
            <w:r w:rsidR="00AD5AB5" w:rsidRPr="00124A6C">
              <w:rPr>
                <w:rFonts w:ascii="Arial" w:hAnsi="Arial" w:cs="Arial"/>
                <w:color w:val="000000"/>
                <w:sz w:val="20"/>
                <w:szCs w:val="20"/>
                <w:shd w:val="clear" w:color="auto" w:fill="FFFFFF"/>
                <w:lang w:val="en-US"/>
              </w:rPr>
              <w:t>;</w:t>
            </w:r>
            <w:r w:rsidRPr="00124A6C">
              <w:rPr>
                <w:rFonts w:ascii="Arial" w:hAnsi="Arial" w:cs="Arial"/>
                <w:color w:val="000000"/>
                <w:sz w:val="20"/>
                <w:szCs w:val="20"/>
                <w:shd w:val="clear" w:color="auto" w:fill="FFFFFF"/>
                <w:lang w:val="en-US"/>
              </w:rPr>
              <w:t xml:space="preserve"> </w:t>
            </w:r>
          </w:p>
          <w:p w14:paraId="4A210CFF" w14:textId="2B19BE6B" w:rsidR="00AA6C5F" w:rsidRPr="00124A6C" w:rsidRDefault="00AA6C5F" w:rsidP="00AA6C5F">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 xml:space="preserve">A seven-category ordinal scale consisting of: 1) Death; 2) Hospitalized, on invasive mechanical ventilation or extracorporeal membrane oxygenation (ECMO); 3) Hospitalized, on non-invasive ventilation or high flow oxygen devices; 4) Hospitalized, requiring supplemental oxygen; 5) Hospitalized, not </w:t>
            </w:r>
            <w:r w:rsidRPr="00124A6C">
              <w:rPr>
                <w:rFonts w:ascii="Arial" w:hAnsi="Arial" w:cs="Arial"/>
                <w:color w:val="000000"/>
                <w:sz w:val="20"/>
                <w:szCs w:val="20"/>
                <w:lang w:val="en-US"/>
              </w:rPr>
              <w:lastRenderedPageBreak/>
              <w:t>requiring supplemental oxygen - requiring ongoing medical care (COVID-19 related or otherwise); 6) Hospitalized, not requiring supplemental oxygen - no longer requires ongoing medical care; 7) Not hospitalized, limitation on activities and/or requiring home oxygen; 8) Not hospitalized, no limitations on activities.</w:t>
            </w:r>
          </w:p>
        </w:tc>
      </w:tr>
      <w:tr w:rsidR="00D16ECF" w:rsidRPr="00124A6C" w14:paraId="0E3A6B1A" w14:textId="77777777" w:rsidTr="00D801A8">
        <w:trPr>
          <w:cnfStyle w:val="000000100000" w:firstRow="0" w:lastRow="0" w:firstColumn="0" w:lastColumn="0" w:oddVBand="0" w:evenVBand="0" w:oddHBand="1" w:evenHBand="0" w:firstRowFirstColumn="0" w:firstRowLastColumn="0" w:lastRowFirstColumn="0" w:lastRowLastColumn="0"/>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410305E3" w14:textId="77777777" w:rsidR="00AD5AB5" w:rsidRPr="00124A6C" w:rsidRDefault="00AD5AB5"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lastRenderedPageBreak/>
              <w:t>NCT04370834</w:t>
            </w:r>
          </w:p>
          <w:p w14:paraId="17A2EEAC" w14:textId="77777777" w:rsidR="00AD5AB5" w:rsidRPr="00124A6C" w:rsidRDefault="00AD5AB5" w:rsidP="005B6AB7">
            <w:pPr>
              <w:rPr>
                <w:rFonts w:ascii="Arial" w:hAnsi="Arial" w:cs="Arial"/>
                <w:b w:val="0"/>
                <w:bCs w:val="0"/>
                <w:color w:val="000000"/>
                <w:sz w:val="20"/>
                <w:szCs w:val="20"/>
                <w:shd w:val="clear" w:color="auto" w:fill="FFFFFF"/>
                <w:lang w:val="en-US"/>
              </w:rPr>
            </w:pPr>
          </w:p>
        </w:tc>
        <w:tc>
          <w:tcPr>
            <w:tcW w:w="0" w:type="auto"/>
          </w:tcPr>
          <w:p w14:paraId="60AAF86D" w14:textId="52C64E1A" w:rsidR="00AD5AB5" w:rsidRPr="00124A6C" w:rsidRDefault="00AD5AB5" w:rsidP="00AD5AB5">
            <w:pPr>
              <w:cnfStyle w:val="000000100000" w:firstRow="0" w:lastRow="0" w:firstColumn="0" w:lastColumn="0" w:oddVBand="0" w:evenVBand="0" w:oddHBand="1" w:evenHBand="0" w:firstRowFirstColumn="0" w:firstRowLastColumn="0" w:lastRowFirstColumn="0" w:lastRowLastColumn="0"/>
              <w:rPr>
                <w:rFonts w:ascii="Arial" w:hAnsi="Arial" w:cs="Arial"/>
                <w:color w:val="666666"/>
                <w:sz w:val="20"/>
                <w:szCs w:val="20"/>
                <w:shd w:val="clear" w:color="auto" w:fill="FFFFFF"/>
                <w:lang w:val="en-US"/>
              </w:rPr>
            </w:pPr>
            <w:r w:rsidRPr="00124A6C">
              <w:rPr>
                <w:rFonts w:ascii="Arial" w:hAnsi="Arial" w:cs="Arial"/>
                <w:color w:val="000000" w:themeColor="text1"/>
                <w:sz w:val="20"/>
                <w:szCs w:val="20"/>
                <w:shd w:val="clear" w:color="auto" w:fill="FFFFFF"/>
                <w:lang w:val="en-US"/>
              </w:rPr>
              <w:t>Not yet recruiting</w:t>
            </w:r>
          </w:p>
        </w:tc>
        <w:tc>
          <w:tcPr>
            <w:tcW w:w="0" w:type="auto"/>
          </w:tcPr>
          <w:p w14:paraId="1A09536E" w14:textId="0300DB59" w:rsidR="00AD5AB5" w:rsidRPr="00124A6C" w:rsidRDefault="00AD5AB5" w:rsidP="00AD5AB5">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Single-centre single arm interventional study</w:t>
            </w:r>
          </w:p>
        </w:tc>
        <w:tc>
          <w:tcPr>
            <w:tcW w:w="0" w:type="auto"/>
          </w:tcPr>
          <w:p w14:paraId="72D250AA" w14:textId="62D7E82A" w:rsidR="00AD5AB5" w:rsidRPr="00124A6C" w:rsidRDefault="00AD5AB5" w:rsidP="00AD5AB5">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USA</w:t>
            </w:r>
          </w:p>
        </w:tc>
        <w:tc>
          <w:tcPr>
            <w:tcW w:w="0" w:type="auto"/>
          </w:tcPr>
          <w:p w14:paraId="355497BA" w14:textId="77777777" w:rsidR="00AD5AB5" w:rsidRPr="00124A6C" w:rsidRDefault="00AD5AB5" w:rsidP="00AD5AB5">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Hospitalized patients with cancer and respiratory complications related to COVID-19 disease</w:t>
            </w:r>
          </w:p>
          <w:p w14:paraId="096D8252" w14:textId="343EF40B" w:rsidR="00AD5AB5" w:rsidRPr="00124A6C" w:rsidRDefault="00AD5AB5" w:rsidP="00AD5AB5">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(n=200)</w:t>
            </w:r>
          </w:p>
        </w:tc>
        <w:tc>
          <w:tcPr>
            <w:tcW w:w="0" w:type="auto"/>
          </w:tcPr>
          <w:p w14:paraId="7C8105DB" w14:textId="77777777" w:rsidR="00AD5AB5" w:rsidRPr="00124A6C" w:rsidRDefault="00AD5AB5" w:rsidP="00AD5AB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Tocilizumab i.v.</w:t>
            </w:r>
          </w:p>
          <w:p w14:paraId="492D414E" w14:textId="68797114" w:rsidR="00AD5AB5" w:rsidRPr="00124A6C" w:rsidRDefault="00AD5AB5" w:rsidP="00AD5AB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Patients with stable disease, incomplete benefit, or recurrence of symptoms may receive a second dose</w:t>
            </w:r>
          </w:p>
        </w:tc>
        <w:tc>
          <w:tcPr>
            <w:tcW w:w="0" w:type="auto"/>
          </w:tcPr>
          <w:p w14:paraId="682F2C0B" w14:textId="1661FA3E" w:rsidR="00AD5AB5" w:rsidRPr="00124A6C" w:rsidRDefault="00AD5AB5" w:rsidP="00AD5AB5">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No comparison</w:t>
            </w:r>
          </w:p>
        </w:tc>
        <w:tc>
          <w:tcPr>
            <w:tcW w:w="0" w:type="auto"/>
          </w:tcPr>
          <w:p w14:paraId="1B0B24B9" w14:textId="04263087" w:rsidR="00AD5AB5" w:rsidRPr="00124A6C" w:rsidRDefault="00AD5AB5" w:rsidP="00AD5AB5">
            <w:pPr>
              <w:shd w:val="clear" w:color="auto" w:fill="FFFFFF"/>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 xml:space="preserve">Frequency of response; </w:t>
            </w:r>
          </w:p>
          <w:p w14:paraId="158C9D62" w14:textId="48206171" w:rsidR="00AD5AB5" w:rsidRPr="00124A6C" w:rsidRDefault="00AD5AB5" w:rsidP="00AD5AB5">
            <w:pPr>
              <w:shd w:val="clear" w:color="auto" w:fill="FFFFFF"/>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 xml:space="preserve">Length of time from level of care to step down level of care </w:t>
            </w:r>
          </w:p>
          <w:p w14:paraId="74B9929C" w14:textId="680FE34B" w:rsidR="00AD5AB5" w:rsidRPr="00124A6C" w:rsidRDefault="00AD5AB5" w:rsidP="00AD5AB5">
            <w:pPr>
              <w:shd w:val="clear" w:color="auto" w:fill="FFFFFF"/>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Survival at day 60</w:t>
            </w:r>
          </w:p>
        </w:tc>
      </w:tr>
      <w:tr w:rsidR="00D16ECF" w:rsidRPr="0068569D" w14:paraId="120B7D2F" w14:textId="77777777" w:rsidTr="00D801A8">
        <w:trPr>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0DBE1585" w14:textId="77777777" w:rsidR="00AD5AB5" w:rsidRPr="00124A6C" w:rsidRDefault="00AD5AB5"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t>NCT04363736</w:t>
            </w:r>
          </w:p>
          <w:p w14:paraId="02303563" w14:textId="77777777" w:rsidR="00AD5AB5" w:rsidRPr="00124A6C" w:rsidRDefault="00AD5AB5" w:rsidP="005B6AB7">
            <w:pPr>
              <w:rPr>
                <w:rFonts w:ascii="Arial" w:hAnsi="Arial" w:cs="Arial"/>
                <w:b w:val="0"/>
                <w:bCs w:val="0"/>
                <w:color w:val="000000"/>
                <w:sz w:val="20"/>
                <w:szCs w:val="20"/>
                <w:shd w:val="clear" w:color="auto" w:fill="FFFFFF"/>
                <w:lang w:val="en-US"/>
              </w:rPr>
            </w:pPr>
          </w:p>
        </w:tc>
        <w:tc>
          <w:tcPr>
            <w:tcW w:w="0" w:type="auto"/>
          </w:tcPr>
          <w:p w14:paraId="0E7CBE88" w14:textId="07340F0A" w:rsidR="00AD5AB5" w:rsidRPr="00124A6C" w:rsidRDefault="00AD5AB5" w:rsidP="00AD5AB5">
            <w:pPr>
              <w:cnfStyle w:val="000000000000" w:firstRow="0" w:lastRow="0" w:firstColumn="0" w:lastColumn="0" w:oddVBand="0" w:evenVBand="0" w:oddHBand="0" w:evenHBand="0" w:firstRowFirstColumn="0" w:firstRowLastColumn="0" w:lastRowFirstColumn="0" w:lastRowLastColumn="0"/>
              <w:rPr>
                <w:rFonts w:ascii="Arial" w:hAnsi="Arial" w:cs="Arial"/>
                <w:color w:val="666666"/>
                <w:sz w:val="20"/>
                <w:szCs w:val="20"/>
                <w:shd w:val="clear" w:color="auto" w:fill="FFFFFF"/>
                <w:lang w:val="en-US"/>
              </w:rPr>
            </w:pPr>
            <w:r w:rsidRPr="00124A6C">
              <w:rPr>
                <w:rFonts w:ascii="Arial" w:hAnsi="Arial" w:cs="Arial"/>
                <w:color w:val="000000" w:themeColor="text1"/>
                <w:sz w:val="20"/>
                <w:szCs w:val="20"/>
                <w:shd w:val="clear" w:color="auto" w:fill="FFFFFF"/>
                <w:lang w:val="en-US"/>
              </w:rPr>
              <w:t>Recruiting</w:t>
            </w:r>
            <w:r w:rsidRPr="00124A6C">
              <w:rPr>
                <w:rFonts w:ascii="Arial" w:hAnsi="Arial" w:cs="Arial"/>
                <w:color w:val="666666"/>
                <w:sz w:val="20"/>
                <w:szCs w:val="20"/>
                <w:shd w:val="clear" w:color="auto" w:fill="FFFFFF"/>
                <w:lang w:val="en-US"/>
              </w:rPr>
              <w:t xml:space="preserve"> </w:t>
            </w:r>
          </w:p>
        </w:tc>
        <w:tc>
          <w:tcPr>
            <w:tcW w:w="0" w:type="auto"/>
          </w:tcPr>
          <w:p w14:paraId="4709DFEC" w14:textId="39429C42" w:rsidR="00AD5AB5" w:rsidRPr="00124A6C" w:rsidRDefault="00085EFE" w:rsidP="00085EF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color w:val="000000"/>
                <w:sz w:val="20"/>
                <w:szCs w:val="20"/>
                <w:shd w:val="clear" w:color="auto" w:fill="FFFFFF"/>
                <w:lang w:val="en-US"/>
              </w:rPr>
              <w:t>Multicentre o</w:t>
            </w:r>
            <w:r w:rsidR="00AD5AB5" w:rsidRPr="00124A6C">
              <w:rPr>
                <w:rFonts w:ascii="Arial" w:hAnsi="Arial" w:cs="Arial"/>
                <w:color w:val="000000"/>
                <w:sz w:val="20"/>
                <w:szCs w:val="20"/>
                <w:shd w:val="clear" w:color="auto" w:fill="FFFFFF"/>
                <w:lang w:val="en-US"/>
              </w:rPr>
              <w:t>pen-Label, Randomized, Study</w:t>
            </w:r>
          </w:p>
          <w:p w14:paraId="62A61749" w14:textId="77777777" w:rsidR="00AD5AB5" w:rsidRPr="00124A6C" w:rsidRDefault="00AD5AB5" w:rsidP="00AD5AB5">
            <w:pPr>
              <w:pStyle w:val="Stiletabella2A"/>
              <w:spacing w:line="240" w:lineRule="auto"/>
              <w:jc w:val="left"/>
              <w:cnfStyle w:val="000000000000" w:firstRow="0" w:lastRow="0" w:firstColumn="0" w:lastColumn="0" w:oddVBand="0" w:evenVBand="0" w:oddHBand="0" w:evenHBand="0" w:firstRowFirstColumn="0" w:firstRowLastColumn="0" w:lastRowFirstColumn="0" w:lastRowLastColumn="0"/>
              <w:rPr>
                <w:rFonts w:cs="Arial"/>
                <w:lang w:val="en-US"/>
              </w:rPr>
            </w:pPr>
          </w:p>
        </w:tc>
        <w:tc>
          <w:tcPr>
            <w:tcW w:w="0" w:type="auto"/>
          </w:tcPr>
          <w:p w14:paraId="18D83EFD" w14:textId="05CBFCAD" w:rsidR="00AD5AB5" w:rsidRPr="00124A6C" w:rsidRDefault="00AD5AB5" w:rsidP="00AD5AB5">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USA</w:t>
            </w:r>
          </w:p>
        </w:tc>
        <w:tc>
          <w:tcPr>
            <w:tcW w:w="0" w:type="auto"/>
          </w:tcPr>
          <w:p w14:paraId="61AD91B6" w14:textId="77777777" w:rsidR="00AD5AB5" w:rsidRPr="00124A6C" w:rsidRDefault="00AD5AB5" w:rsidP="00AD5AB5">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Hospitalized patients with confirmed severe or moderate COVID-19</w:t>
            </w:r>
          </w:p>
          <w:p w14:paraId="3AF51FDD" w14:textId="1677DBD4" w:rsidR="00AD5AB5" w:rsidRPr="00124A6C" w:rsidRDefault="00AD5AB5" w:rsidP="00AD5AB5">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(n=100)</w:t>
            </w:r>
          </w:p>
        </w:tc>
        <w:tc>
          <w:tcPr>
            <w:tcW w:w="0" w:type="auto"/>
          </w:tcPr>
          <w:p w14:paraId="43B0630D" w14:textId="77777777" w:rsidR="00AD5AB5" w:rsidRPr="00124A6C" w:rsidRDefault="00AD5AB5" w:rsidP="00AD5AB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TCZ 4 mg/kg</w:t>
            </w:r>
          </w:p>
          <w:p w14:paraId="68D444B6" w14:textId="77777777" w:rsidR="00AD5AB5" w:rsidRPr="00124A6C" w:rsidRDefault="00AD5AB5" w:rsidP="00AD5AB5">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p>
        </w:tc>
        <w:tc>
          <w:tcPr>
            <w:tcW w:w="0" w:type="auto"/>
          </w:tcPr>
          <w:p w14:paraId="7A30C253" w14:textId="77777777" w:rsidR="00AD5AB5" w:rsidRPr="00124A6C" w:rsidRDefault="00AD5AB5" w:rsidP="00AD5AB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TCZ 8 mg/kg</w:t>
            </w:r>
          </w:p>
          <w:p w14:paraId="325CFBBF" w14:textId="77777777" w:rsidR="00AD5AB5" w:rsidRPr="00124A6C" w:rsidRDefault="00AD5AB5" w:rsidP="00AD5AB5">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0" w:type="auto"/>
          </w:tcPr>
          <w:p w14:paraId="34328B01" w14:textId="0DB3DC3F" w:rsidR="00AD5AB5" w:rsidRPr="00124A6C" w:rsidRDefault="00AD5AB5" w:rsidP="00AD5AB5">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Serum Concentration of interleukin-6 (IL-6), Soluble Interleukin-6 Receptor (sIL-6R), ferritin, C-reactive Protein (CRP), at predefined intervals by Day 28</w:t>
            </w:r>
          </w:p>
        </w:tc>
      </w:tr>
      <w:tr w:rsidR="00D16ECF" w:rsidRPr="0068569D" w14:paraId="7EAE0388" w14:textId="77777777" w:rsidTr="00D801A8">
        <w:trPr>
          <w:cnfStyle w:val="000000100000" w:firstRow="0" w:lastRow="0" w:firstColumn="0" w:lastColumn="0" w:oddVBand="0" w:evenVBand="0" w:oddHBand="1" w:evenHBand="0" w:firstRowFirstColumn="0" w:firstRowLastColumn="0" w:lastRowFirstColumn="0" w:lastRowLastColumn="0"/>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1EA40F87" w14:textId="77777777" w:rsidR="00AD5AB5" w:rsidRPr="00124A6C" w:rsidRDefault="00AD5AB5"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t>NCT04372186</w:t>
            </w:r>
          </w:p>
          <w:p w14:paraId="7B4FC03A" w14:textId="77777777" w:rsidR="00AD5AB5" w:rsidRPr="00124A6C" w:rsidRDefault="00AD5AB5" w:rsidP="005B6AB7">
            <w:pPr>
              <w:rPr>
                <w:rFonts w:ascii="Arial" w:hAnsi="Arial" w:cs="Arial"/>
                <w:b w:val="0"/>
                <w:bCs w:val="0"/>
                <w:color w:val="000000"/>
                <w:sz w:val="20"/>
                <w:szCs w:val="20"/>
                <w:shd w:val="clear" w:color="auto" w:fill="FFFFFF"/>
                <w:lang w:val="en-US"/>
              </w:rPr>
            </w:pPr>
          </w:p>
        </w:tc>
        <w:tc>
          <w:tcPr>
            <w:tcW w:w="0" w:type="auto"/>
          </w:tcPr>
          <w:p w14:paraId="3D8E7013" w14:textId="0990BC42" w:rsidR="00AD5AB5" w:rsidRPr="00124A6C" w:rsidRDefault="00AD5AB5" w:rsidP="00AD5AB5">
            <w:pPr>
              <w:cnfStyle w:val="000000100000" w:firstRow="0" w:lastRow="0" w:firstColumn="0" w:lastColumn="0" w:oddVBand="0" w:evenVBand="0" w:oddHBand="1" w:evenHBand="0" w:firstRowFirstColumn="0" w:firstRowLastColumn="0" w:lastRowFirstColumn="0" w:lastRowLastColumn="0"/>
              <w:rPr>
                <w:rFonts w:ascii="Arial" w:hAnsi="Arial" w:cs="Arial"/>
                <w:color w:val="666666"/>
                <w:sz w:val="20"/>
                <w:szCs w:val="20"/>
                <w:shd w:val="clear" w:color="auto" w:fill="FFFFFF"/>
                <w:lang w:val="en-US"/>
              </w:rPr>
            </w:pPr>
            <w:r w:rsidRPr="00124A6C">
              <w:rPr>
                <w:rFonts w:ascii="Arial" w:hAnsi="Arial" w:cs="Arial"/>
                <w:color w:val="000000" w:themeColor="text1"/>
                <w:sz w:val="20"/>
                <w:szCs w:val="20"/>
                <w:shd w:val="clear" w:color="auto" w:fill="FFFFFF"/>
                <w:lang w:val="en-US"/>
              </w:rPr>
              <w:t>Recruiting</w:t>
            </w:r>
            <w:r w:rsidRPr="00124A6C">
              <w:rPr>
                <w:rFonts w:ascii="Arial" w:hAnsi="Arial" w:cs="Arial"/>
                <w:color w:val="666666"/>
                <w:sz w:val="20"/>
                <w:szCs w:val="20"/>
                <w:shd w:val="clear" w:color="auto" w:fill="FFFFFF"/>
                <w:lang w:val="en-US"/>
              </w:rPr>
              <w:t xml:space="preserve"> </w:t>
            </w:r>
          </w:p>
        </w:tc>
        <w:tc>
          <w:tcPr>
            <w:tcW w:w="0" w:type="auto"/>
          </w:tcPr>
          <w:p w14:paraId="1C6E5E40" w14:textId="4B71658B" w:rsidR="00AD5AB5" w:rsidRPr="00124A6C" w:rsidRDefault="00085EFE" w:rsidP="00085EF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color w:val="000000"/>
                <w:sz w:val="20"/>
                <w:szCs w:val="20"/>
                <w:shd w:val="clear" w:color="auto" w:fill="FFFFFF"/>
                <w:lang w:val="en-US"/>
              </w:rPr>
              <w:t xml:space="preserve">Multicentre </w:t>
            </w:r>
            <w:r w:rsidR="00AD5AB5" w:rsidRPr="00124A6C">
              <w:rPr>
                <w:rFonts w:ascii="Arial" w:hAnsi="Arial" w:cs="Arial"/>
                <w:color w:val="000000"/>
                <w:sz w:val="20"/>
                <w:szCs w:val="20"/>
                <w:shd w:val="clear" w:color="auto" w:fill="FFFFFF"/>
                <w:lang w:val="en-US"/>
              </w:rPr>
              <w:t>Randomized, Double-Blind, Placebo-Controlled, Study</w:t>
            </w:r>
          </w:p>
        </w:tc>
        <w:tc>
          <w:tcPr>
            <w:tcW w:w="0" w:type="auto"/>
          </w:tcPr>
          <w:p w14:paraId="51226C74" w14:textId="2BC1A309" w:rsidR="00AD5AB5" w:rsidRPr="00124A6C" w:rsidRDefault="00AD5AB5" w:rsidP="00AD5AB5">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USA</w:t>
            </w:r>
          </w:p>
        </w:tc>
        <w:tc>
          <w:tcPr>
            <w:tcW w:w="0" w:type="auto"/>
          </w:tcPr>
          <w:p w14:paraId="55DD7CBC" w14:textId="77777777" w:rsidR="00AD5AB5" w:rsidRPr="00124A6C" w:rsidRDefault="00AD5AB5" w:rsidP="00AD5AB5">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Hospitalized patients with confirmed COVID-19</w:t>
            </w:r>
          </w:p>
          <w:p w14:paraId="30A7889D" w14:textId="1252964D" w:rsidR="00AD5AB5" w:rsidRPr="00124A6C" w:rsidRDefault="00AD5AB5" w:rsidP="00AD5AB5">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(n=379)</w:t>
            </w:r>
          </w:p>
        </w:tc>
        <w:tc>
          <w:tcPr>
            <w:tcW w:w="0" w:type="auto"/>
          </w:tcPr>
          <w:p w14:paraId="597790C2" w14:textId="70DE8BC6" w:rsidR="00AD5AB5" w:rsidRPr="00124A6C" w:rsidRDefault="00AD5AB5" w:rsidP="00AD5AB5">
            <w:pPr>
              <w:shd w:val="clear" w:color="auto" w:fill="FFFFFF"/>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TCZ 8 mg/kg, with a maximum dose of 800 mg. Up to one additional dose may be given.</w:t>
            </w:r>
          </w:p>
          <w:p w14:paraId="5AF946F4" w14:textId="77777777" w:rsidR="00AD5AB5" w:rsidRPr="00124A6C" w:rsidRDefault="00AD5AB5" w:rsidP="00AD5AB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p w14:paraId="2630CD26" w14:textId="2823EEBC" w:rsidR="00AD5AB5" w:rsidRPr="00124A6C" w:rsidRDefault="00AD5AB5" w:rsidP="00AD5AB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lang w:val="en-US"/>
              </w:rPr>
            </w:pPr>
          </w:p>
        </w:tc>
        <w:tc>
          <w:tcPr>
            <w:tcW w:w="0" w:type="auto"/>
          </w:tcPr>
          <w:p w14:paraId="36B429CE" w14:textId="24A50CB7" w:rsidR="00AD5AB5" w:rsidRPr="00124A6C" w:rsidRDefault="00AD5AB5" w:rsidP="00AD5AB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IV placebo matched to TCZ. Up to one additional dose may be given.</w:t>
            </w:r>
          </w:p>
          <w:p w14:paraId="393AE3AD" w14:textId="77777777" w:rsidR="00AD5AB5" w:rsidRPr="00124A6C" w:rsidRDefault="00AD5AB5" w:rsidP="00AD5AB5">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p>
        </w:tc>
        <w:tc>
          <w:tcPr>
            <w:tcW w:w="0" w:type="auto"/>
          </w:tcPr>
          <w:p w14:paraId="233D3885" w14:textId="24FDF3D9" w:rsidR="00AD5AB5" w:rsidRPr="00124A6C" w:rsidRDefault="00AD5AB5" w:rsidP="00AD5AB5">
            <w:pPr>
              <w:shd w:val="clear" w:color="auto" w:fill="FFFFFF"/>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 xml:space="preserve">Cumulative Proportion of Participants Requiring Mechanical Ventilation by </w:t>
            </w:r>
            <w:r w:rsidRPr="00124A6C">
              <w:rPr>
                <w:rFonts w:ascii="Arial" w:hAnsi="Arial" w:cs="Arial"/>
                <w:color w:val="000000"/>
                <w:sz w:val="20"/>
                <w:szCs w:val="20"/>
                <w:lang w:val="en-US"/>
              </w:rPr>
              <w:lastRenderedPageBreak/>
              <w:t>Day 28</w:t>
            </w:r>
          </w:p>
        </w:tc>
      </w:tr>
      <w:tr w:rsidR="00D16ECF" w:rsidRPr="00124A6C" w14:paraId="367D88EC" w14:textId="77777777" w:rsidTr="00D801A8">
        <w:trPr>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62C53C00" w14:textId="77777777" w:rsidR="00AD5AB5" w:rsidRPr="00124A6C" w:rsidRDefault="00AD5AB5"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lastRenderedPageBreak/>
              <w:t>NCT04377750</w:t>
            </w:r>
          </w:p>
          <w:p w14:paraId="4D104AB3" w14:textId="77777777" w:rsidR="00AD5AB5" w:rsidRPr="00124A6C" w:rsidRDefault="00AD5AB5" w:rsidP="005B6AB7">
            <w:pPr>
              <w:rPr>
                <w:rFonts w:ascii="Arial" w:hAnsi="Arial" w:cs="Arial"/>
                <w:b w:val="0"/>
                <w:bCs w:val="0"/>
                <w:color w:val="000000"/>
                <w:sz w:val="20"/>
                <w:szCs w:val="20"/>
                <w:shd w:val="clear" w:color="auto" w:fill="FFFFFF"/>
                <w:lang w:val="en-US"/>
              </w:rPr>
            </w:pPr>
          </w:p>
        </w:tc>
        <w:tc>
          <w:tcPr>
            <w:tcW w:w="0" w:type="auto"/>
          </w:tcPr>
          <w:p w14:paraId="050E99A9" w14:textId="16C50F0A" w:rsidR="00AD5AB5" w:rsidRPr="00124A6C" w:rsidRDefault="00AD5AB5" w:rsidP="00AD5AB5">
            <w:pPr>
              <w:cnfStyle w:val="000000000000" w:firstRow="0" w:lastRow="0" w:firstColumn="0" w:lastColumn="0" w:oddVBand="0" w:evenVBand="0" w:oddHBand="0" w:evenHBand="0" w:firstRowFirstColumn="0" w:firstRowLastColumn="0" w:lastRowFirstColumn="0" w:lastRowLastColumn="0"/>
              <w:rPr>
                <w:rFonts w:ascii="Arial" w:hAnsi="Arial" w:cs="Arial"/>
                <w:color w:val="666666"/>
                <w:sz w:val="20"/>
                <w:szCs w:val="20"/>
                <w:shd w:val="clear" w:color="auto" w:fill="FFFFFF"/>
                <w:lang w:val="en-US"/>
              </w:rPr>
            </w:pPr>
            <w:r w:rsidRPr="00124A6C">
              <w:rPr>
                <w:rFonts w:ascii="Arial" w:hAnsi="Arial" w:cs="Arial"/>
                <w:color w:val="000000" w:themeColor="text1"/>
                <w:sz w:val="20"/>
                <w:szCs w:val="20"/>
                <w:shd w:val="clear" w:color="auto" w:fill="FFFFFF"/>
                <w:lang w:val="en-US"/>
              </w:rPr>
              <w:t>Recruiting</w:t>
            </w:r>
            <w:r w:rsidRPr="00124A6C">
              <w:rPr>
                <w:rFonts w:ascii="Arial" w:hAnsi="Arial" w:cs="Arial"/>
                <w:color w:val="666666"/>
                <w:sz w:val="20"/>
                <w:szCs w:val="20"/>
                <w:shd w:val="clear" w:color="auto" w:fill="FFFFFF"/>
                <w:lang w:val="en-US"/>
              </w:rPr>
              <w:t xml:space="preserve"> </w:t>
            </w:r>
          </w:p>
        </w:tc>
        <w:tc>
          <w:tcPr>
            <w:tcW w:w="0" w:type="auto"/>
          </w:tcPr>
          <w:p w14:paraId="1C2999B3" w14:textId="58516FF8" w:rsidR="00AD5AB5" w:rsidRPr="00124A6C" w:rsidRDefault="00AD5AB5" w:rsidP="00085EF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24A6C">
              <w:rPr>
                <w:rFonts w:ascii="Arial" w:hAnsi="Arial" w:cs="Arial"/>
                <w:sz w:val="20"/>
                <w:szCs w:val="20"/>
              </w:rPr>
              <w:t xml:space="preserve">Multicentre </w:t>
            </w:r>
            <w:r w:rsidRPr="00124A6C">
              <w:rPr>
                <w:rFonts w:ascii="Arial" w:hAnsi="Arial" w:cs="Arial"/>
                <w:color w:val="000000"/>
                <w:sz w:val="20"/>
                <w:szCs w:val="20"/>
                <w:shd w:val="clear" w:color="auto" w:fill="FFFFFF"/>
              </w:rPr>
              <w:t>Open Labe</w:t>
            </w:r>
            <w:r w:rsidR="00085EFE">
              <w:rPr>
                <w:rFonts w:ascii="Arial" w:hAnsi="Arial" w:cs="Arial"/>
                <w:color w:val="000000"/>
                <w:sz w:val="20"/>
                <w:szCs w:val="20"/>
                <w:shd w:val="clear" w:color="auto" w:fill="FFFFFF"/>
              </w:rPr>
              <w:t>l</w:t>
            </w:r>
            <w:r w:rsidRPr="00124A6C">
              <w:rPr>
                <w:rFonts w:ascii="Arial" w:hAnsi="Arial" w:cs="Arial"/>
                <w:color w:val="000000"/>
                <w:sz w:val="20"/>
                <w:szCs w:val="20"/>
                <w:shd w:val="clear" w:color="auto" w:fill="FFFFFF"/>
              </w:rPr>
              <w:t xml:space="preserve"> </w:t>
            </w:r>
            <w:r w:rsidRPr="00124A6C">
              <w:rPr>
                <w:rFonts w:ascii="Arial" w:hAnsi="Arial" w:cs="Arial"/>
                <w:sz w:val="20"/>
                <w:szCs w:val="20"/>
              </w:rPr>
              <w:t>RCT</w:t>
            </w:r>
          </w:p>
        </w:tc>
        <w:tc>
          <w:tcPr>
            <w:tcW w:w="0" w:type="auto"/>
          </w:tcPr>
          <w:p w14:paraId="02FA2F70" w14:textId="66646E46" w:rsidR="00AD5AB5" w:rsidRPr="00124A6C" w:rsidRDefault="00AD5AB5" w:rsidP="00AD5AB5">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Israel</w:t>
            </w:r>
          </w:p>
        </w:tc>
        <w:tc>
          <w:tcPr>
            <w:tcW w:w="0" w:type="auto"/>
          </w:tcPr>
          <w:p w14:paraId="07A5A98F" w14:textId="77777777" w:rsidR="00AD5AB5" w:rsidRPr="00124A6C" w:rsidRDefault="00AD5AB5" w:rsidP="00AD5AB5">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Patients with confirmed COVID-19</w:t>
            </w:r>
          </w:p>
          <w:p w14:paraId="52FA9322" w14:textId="0B7A9897" w:rsidR="00AD5AB5" w:rsidRPr="00124A6C" w:rsidRDefault="00AD5AB5" w:rsidP="00AD5AB5">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(n=500)</w:t>
            </w:r>
          </w:p>
        </w:tc>
        <w:tc>
          <w:tcPr>
            <w:tcW w:w="0" w:type="auto"/>
          </w:tcPr>
          <w:p w14:paraId="3ADFBDF2" w14:textId="4CCE6E8A" w:rsidR="00AD5AB5" w:rsidRPr="00124A6C" w:rsidRDefault="00AD5AB5" w:rsidP="00AD5AB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shd w:val="clear" w:color="auto" w:fill="FFFFFF"/>
                <w:lang w:val="en-US"/>
              </w:rPr>
              <w:t xml:space="preserve"> Tocilizumab </w:t>
            </w:r>
            <w:r w:rsidRPr="00124A6C">
              <w:rPr>
                <w:rFonts w:ascii="Arial" w:hAnsi="Arial" w:cs="Arial"/>
                <w:color w:val="000000"/>
                <w:sz w:val="20"/>
                <w:szCs w:val="20"/>
                <w:lang w:val="en-US"/>
              </w:rPr>
              <w:t>8 mg/kg (up to total dose of 800 mg)</w:t>
            </w:r>
          </w:p>
          <w:p w14:paraId="71EB6913" w14:textId="77777777" w:rsidR="00AD5AB5" w:rsidRPr="00124A6C" w:rsidRDefault="00AD5AB5" w:rsidP="00AD5AB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p>
        </w:tc>
        <w:tc>
          <w:tcPr>
            <w:tcW w:w="0" w:type="auto"/>
          </w:tcPr>
          <w:p w14:paraId="62A1CB9E" w14:textId="36A8A31B" w:rsidR="00AD5AB5" w:rsidRPr="00124A6C" w:rsidRDefault="00AD5AB5" w:rsidP="00AD5AB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Placebo: Intravenous administration of 100 ml of normal saline</w:t>
            </w:r>
          </w:p>
          <w:p w14:paraId="6F2AFA0E" w14:textId="77777777" w:rsidR="00AD5AB5" w:rsidRPr="00124A6C" w:rsidRDefault="00AD5AB5" w:rsidP="00AD5AB5">
            <w:pPr>
              <w:pStyle w:val="Stiletabella2A"/>
              <w:spacing w:line="240" w:lineRule="auto"/>
              <w:jc w:val="left"/>
              <w:cnfStyle w:val="000000000000" w:firstRow="0" w:lastRow="0" w:firstColumn="0" w:lastColumn="0" w:oddVBand="0" w:evenVBand="0" w:oddHBand="0" w:evenHBand="0" w:firstRowFirstColumn="0" w:firstRowLastColumn="0" w:lastRowFirstColumn="0" w:lastRowLastColumn="0"/>
              <w:rPr>
                <w:rFonts w:cs="Arial"/>
                <w:lang w:val="en-US"/>
              </w:rPr>
            </w:pPr>
          </w:p>
        </w:tc>
        <w:tc>
          <w:tcPr>
            <w:tcW w:w="0" w:type="auto"/>
          </w:tcPr>
          <w:p w14:paraId="31924FB5" w14:textId="66C9FB32" w:rsidR="00AD5AB5" w:rsidRPr="00124A6C" w:rsidRDefault="00AD5AB5" w:rsidP="00AD5AB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24A6C">
              <w:rPr>
                <w:rFonts w:ascii="Arial" w:hAnsi="Arial" w:cs="Arial"/>
                <w:color w:val="000000"/>
                <w:sz w:val="20"/>
                <w:szCs w:val="20"/>
                <w:shd w:val="clear" w:color="auto" w:fill="FFFFFF"/>
                <w:lang w:val="en-US"/>
              </w:rPr>
              <w:t>Survival at day 30</w:t>
            </w:r>
            <w:r w:rsidRPr="00124A6C">
              <w:rPr>
                <w:rFonts w:ascii="Arial" w:hAnsi="Arial" w:cs="Arial"/>
                <w:color w:val="000000"/>
                <w:sz w:val="20"/>
                <w:szCs w:val="20"/>
              </w:rPr>
              <w:t>.</w:t>
            </w:r>
          </w:p>
          <w:p w14:paraId="55089D02" w14:textId="77777777" w:rsidR="00AD5AB5" w:rsidRPr="00124A6C" w:rsidRDefault="00AD5AB5" w:rsidP="00AD5AB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EC7EA8A" w14:textId="77777777" w:rsidR="00AD5AB5" w:rsidRPr="00124A6C" w:rsidRDefault="00AD5AB5" w:rsidP="00AD5AB5">
            <w:pPr>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p>
        </w:tc>
      </w:tr>
      <w:tr w:rsidR="00D16ECF" w:rsidRPr="0068569D" w14:paraId="3951EAB5" w14:textId="77777777" w:rsidTr="00D801A8">
        <w:trPr>
          <w:cnfStyle w:val="000000100000" w:firstRow="0" w:lastRow="0" w:firstColumn="0" w:lastColumn="0" w:oddVBand="0" w:evenVBand="0" w:oddHBand="1" w:evenHBand="0" w:firstRowFirstColumn="0" w:firstRowLastColumn="0" w:lastRowFirstColumn="0" w:lastRowLastColumn="0"/>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4F6D28A3" w14:textId="77777777" w:rsidR="00AD5AB5" w:rsidRPr="00124A6C" w:rsidRDefault="00AD5AB5"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t>NCT04363853</w:t>
            </w:r>
          </w:p>
          <w:p w14:paraId="36C45C9A" w14:textId="77777777" w:rsidR="00AD5AB5" w:rsidRPr="00124A6C" w:rsidRDefault="00AD5AB5" w:rsidP="005B6AB7">
            <w:pPr>
              <w:rPr>
                <w:rFonts w:ascii="Arial" w:hAnsi="Arial" w:cs="Arial"/>
                <w:b w:val="0"/>
                <w:bCs w:val="0"/>
                <w:color w:val="000000"/>
                <w:sz w:val="20"/>
                <w:szCs w:val="20"/>
                <w:shd w:val="clear" w:color="auto" w:fill="FFFFFF"/>
                <w:lang w:val="en-US"/>
              </w:rPr>
            </w:pPr>
          </w:p>
        </w:tc>
        <w:tc>
          <w:tcPr>
            <w:tcW w:w="0" w:type="auto"/>
          </w:tcPr>
          <w:p w14:paraId="26215EE2" w14:textId="6FE3EA5B" w:rsidR="00AD5AB5" w:rsidRPr="00124A6C" w:rsidRDefault="00AD5AB5" w:rsidP="00AD5AB5">
            <w:pPr>
              <w:cnfStyle w:val="000000100000" w:firstRow="0" w:lastRow="0" w:firstColumn="0" w:lastColumn="0" w:oddVBand="0" w:evenVBand="0" w:oddHBand="1" w:evenHBand="0" w:firstRowFirstColumn="0" w:firstRowLastColumn="0" w:lastRowFirstColumn="0" w:lastRowLastColumn="0"/>
              <w:rPr>
                <w:rFonts w:ascii="Arial" w:hAnsi="Arial" w:cs="Arial"/>
                <w:color w:val="666666"/>
                <w:sz w:val="20"/>
                <w:szCs w:val="20"/>
                <w:shd w:val="clear" w:color="auto" w:fill="FFFFFF"/>
                <w:lang w:val="en-US"/>
              </w:rPr>
            </w:pPr>
            <w:r w:rsidRPr="00124A6C">
              <w:rPr>
                <w:rFonts w:ascii="Arial" w:hAnsi="Arial" w:cs="Arial"/>
                <w:color w:val="000000" w:themeColor="text1"/>
                <w:sz w:val="20"/>
                <w:szCs w:val="20"/>
                <w:shd w:val="clear" w:color="auto" w:fill="FFFFFF"/>
                <w:lang w:val="en-US"/>
              </w:rPr>
              <w:t>Recruiting</w:t>
            </w:r>
            <w:r w:rsidRPr="00124A6C">
              <w:rPr>
                <w:rFonts w:ascii="Arial" w:hAnsi="Arial" w:cs="Arial"/>
                <w:color w:val="666666"/>
                <w:sz w:val="20"/>
                <w:szCs w:val="20"/>
                <w:shd w:val="clear" w:color="auto" w:fill="FFFFFF"/>
                <w:lang w:val="en-US"/>
              </w:rPr>
              <w:t xml:space="preserve"> </w:t>
            </w:r>
          </w:p>
        </w:tc>
        <w:tc>
          <w:tcPr>
            <w:tcW w:w="0" w:type="auto"/>
          </w:tcPr>
          <w:p w14:paraId="6941BCE5" w14:textId="08F99ADE" w:rsidR="00AD5AB5" w:rsidRPr="00124A6C" w:rsidRDefault="00AD5AB5" w:rsidP="00085EF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Single-</w:t>
            </w:r>
            <w:r w:rsidR="00085EFE">
              <w:rPr>
                <w:rFonts w:ascii="Arial" w:hAnsi="Arial" w:cs="Arial"/>
                <w:color w:val="000000"/>
                <w:sz w:val="20"/>
                <w:szCs w:val="20"/>
                <w:shd w:val="clear" w:color="auto" w:fill="FFFFFF"/>
                <w:lang w:val="en-US"/>
              </w:rPr>
              <w:t xml:space="preserve">centre single </w:t>
            </w:r>
            <w:r w:rsidRPr="00124A6C">
              <w:rPr>
                <w:rFonts w:ascii="Arial" w:hAnsi="Arial" w:cs="Arial"/>
                <w:color w:val="000000"/>
                <w:sz w:val="20"/>
                <w:szCs w:val="20"/>
                <w:shd w:val="clear" w:color="auto" w:fill="FFFFFF"/>
                <w:lang w:val="en-US"/>
              </w:rPr>
              <w:t>arm, open-label, prospective, blinded, clinical trial</w:t>
            </w:r>
          </w:p>
        </w:tc>
        <w:tc>
          <w:tcPr>
            <w:tcW w:w="0" w:type="auto"/>
          </w:tcPr>
          <w:p w14:paraId="19F89142" w14:textId="52668C06" w:rsidR="00AD5AB5" w:rsidRPr="00124A6C" w:rsidRDefault="00AD5AB5" w:rsidP="00AD5AB5">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Mexico</w:t>
            </w:r>
          </w:p>
        </w:tc>
        <w:tc>
          <w:tcPr>
            <w:tcW w:w="0" w:type="auto"/>
          </w:tcPr>
          <w:p w14:paraId="4DCDAA68" w14:textId="77777777" w:rsidR="00AD5AB5" w:rsidRPr="00124A6C" w:rsidRDefault="00AD5AB5" w:rsidP="00AD5AB5">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Patients with severe or critical COVID-19</w:t>
            </w:r>
          </w:p>
          <w:p w14:paraId="6FE95250" w14:textId="2A1EAA45" w:rsidR="00AD5AB5" w:rsidRPr="00124A6C" w:rsidRDefault="00AD5AB5" w:rsidP="00AD5AB5">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(n=200)</w:t>
            </w:r>
          </w:p>
        </w:tc>
        <w:tc>
          <w:tcPr>
            <w:tcW w:w="0" w:type="auto"/>
          </w:tcPr>
          <w:p w14:paraId="6507AFE3" w14:textId="0089A321" w:rsidR="00AD5AB5" w:rsidRPr="00124A6C" w:rsidRDefault="00AD5AB5" w:rsidP="00AD5AB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color w:val="000000"/>
                <w:sz w:val="20"/>
                <w:szCs w:val="20"/>
                <w:shd w:val="clear" w:color="auto" w:fill="FFFFFF"/>
                <w:lang w:val="en-US"/>
              </w:rPr>
              <w:t>Tocilizumab</w:t>
            </w:r>
          </w:p>
        </w:tc>
        <w:tc>
          <w:tcPr>
            <w:tcW w:w="0" w:type="auto"/>
          </w:tcPr>
          <w:p w14:paraId="72F375CC" w14:textId="02959D52" w:rsidR="00AD5AB5" w:rsidRPr="00124A6C" w:rsidRDefault="00AD5AB5" w:rsidP="00AD5AB5">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No comparison</w:t>
            </w:r>
          </w:p>
        </w:tc>
        <w:tc>
          <w:tcPr>
            <w:tcW w:w="0" w:type="auto"/>
          </w:tcPr>
          <w:p w14:paraId="6A3678C7" w14:textId="137C2874" w:rsidR="00AD5AB5" w:rsidRPr="00124A6C" w:rsidRDefault="00AD5AB5" w:rsidP="00AD5AB5">
            <w:pPr>
              <w:shd w:val="clear" w:color="auto" w:fill="FFFFFF"/>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At 24h, 48h, 72h, 7days and 14days: Control of hemoglobin, hematocrit, platelet</w:t>
            </w:r>
            <w:r w:rsidR="00DA670D">
              <w:rPr>
                <w:rFonts w:ascii="Arial" w:hAnsi="Arial" w:cs="Arial"/>
                <w:color w:val="000000"/>
                <w:sz w:val="20"/>
                <w:szCs w:val="20"/>
                <w:lang w:val="en-US"/>
              </w:rPr>
              <w:t>s</w:t>
            </w:r>
            <w:r w:rsidRPr="00124A6C">
              <w:rPr>
                <w:rFonts w:ascii="Arial" w:hAnsi="Arial" w:cs="Arial"/>
                <w:color w:val="000000"/>
                <w:sz w:val="20"/>
                <w:szCs w:val="20"/>
                <w:lang w:val="en-US"/>
              </w:rPr>
              <w:t xml:space="preserve">, and leukocytes levels, glucose, uric acid, cholesterol, urea, triglycerides, and creatinine, blood gas </w:t>
            </w:r>
          </w:p>
          <w:p w14:paraId="00FB0741" w14:textId="45CFA7E7" w:rsidR="00AD5AB5" w:rsidRPr="00124A6C" w:rsidRDefault="00AD5AB5" w:rsidP="00AD5AB5">
            <w:pPr>
              <w:shd w:val="clear" w:color="auto" w:fill="FFFFFF"/>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At 24hours, 7days and 14days: thorax radiography</w:t>
            </w:r>
          </w:p>
        </w:tc>
      </w:tr>
      <w:tr w:rsidR="00D16ECF" w:rsidRPr="0068569D" w14:paraId="12B183BA" w14:textId="77777777" w:rsidTr="00D801A8">
        <w:trPr>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4361A82B" w14:textId="77777777" w:rsidR="00AD5AB5" w:rsidRPr="00124A6C" w:rsidRDefault="00AD5AB5"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lastRenderedPageBreak/>
              <w:t>NCT04377659</w:t>
            </w:r>
          </w:p>
          <w:p w14:paraId="03A461C2" w14:textId="77777777" w:rsidR="00AD5AB5" w:rsidRPr="00124A6C" w:rsidRDefault="00AD5AB5" w:rsidP="005B6AB7">
            <w:pPr>
              <w:rPr>
                <w:rFonts w:ascii="Arial" w:hAnsi="Arial" w:cs="Arial"/>
                <w:b w:val="0"/>
                <w:bCs w:val="0"/>
                <w:color w:val="000000"/>
                <w:sz w:val="20"/>
                <w:szCs w:val="20"/>
                <w:shd w:val="clear" w:color="auto" w:fill="FFFFFF"/>
                <w:lang w:val="en-US"/>
              </w:rPr>
            </w:pPr>
          </w:p>
        </w:tc>
        <w:tc>
          <w:tcPr>
            <w:tcW w:w="0" w:type="auto"/>
          </w:tcPr>
          <w:p w14:paraId="5446F311" w14:textId="13A857DD" w:rsidR="00AD5AB5" w:rsidRPr="00124A6C" w:rsidRDefault="00AD5AB5" w:rsidP="00AD5AB5">
            <w:pPr>
              <w:cnfStyle w:val="000000000000" w:firstRow="0" w:lastRow="0" w:firstColumn="0" w:lastColumn="0" w:oddVBand="0" w:evenVBand="0" w:oddHBand="0" w:evenHBand="0" w:firstRowFirstColumn="0" w:firstRowLastColumn="0" w:lastRowFirstColumn="0" w:lastRowLastColumn="0"/>
              <w:rPr>
                <w:rFonts w:ascii="Arial" w:hAnsi="Arial" w:cs="Arial"/>
                <w:color w:val="666666"/>
                <w:sz w:val="20"/>
                <w:szCs w:val="20"/>
                <w:shd w:val="clear" w:color="auto" w:fill="FFFFFF"/>
                <w:lang w:val="en-US"/>
              </w:rPr>
            </w:pPr>
            <w:r w:rsidRPr="00124A6C">
              <w:rPr>
                <w:rFonts w:ascii="Arial" w:hAnsi="Arial" w:cs="Arial"/>
                <w:color w:val="000000" w:themeColor="text1"/>
                <w:sz w:val="20"/>
                <w:szCs w:val="20"/>
                <w:shd w:val="clear" w:color="auto" w:fill="FFFFFF"/>
                <w:lang w:val="en-US"/>
              </w:rPr>
              <w:t>Recruiting</w:t>
            </w:r>
            <w:r w:rsidRPr="00124A6C">
              <w:rPr>
                <w:rFonts w:ascii="Arial" w:hAnsi="Arial" w:cs="Arial"/>
                <w:color w:val="666666"/>
                <w:sz w:val="20"/>
                <w:szCs w:val="20"/>
                <w:shd w:val="clear" w:color="auto" w:fill="FFFFFF"/>
                <w:lang w:val="en-US"/>
              </w:rPr>
              <w:t xml:space="preserve"> </w:t>
            </w:r>
          </w:p>
        </w:tc>
        <w:tc>
          <w:tcPr>
            <w:tcW w:w="0" w:type="auto"/>
          </w:tcPr>
          <w:p w14:paraId="40E7B7BB" w14:textId="3A332B67" w:rsidR="00AD5AB5" w:rsidRPr="00124A6C" w:rsidRDefault="00AD5AB5" w:rsidP="00AD5AB5">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Single-centre single arm clinical trial</w:t>
            </w:r>
          </w:p>
        </w:tc>
        <w:tc>
          <w:tcPr>
            <w:tcW w:w="0" w:type="auto"/>
          </w:tcPr>
          <w:p w14:paraId="148051A2" w14:textId="031AC0FA" w:rsidR="00AD5AB5" w:rsidRPr="00124A6C" w:rsidRDefault="00AD5AB5" w:rsidP="00AD5AB5">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USA</w:t>
            </w:r>
          </w:p>
        </w:tc>
        <w:tc>
          <w:tcPr>
            <w:tcW w:w="0" w:type="auto"/>
          </w:tcPr>
          <w:p w14:paraId="22E0D20B" w14:textId="77777777" w:rsidR="00AD5AB5" w:rsidRPr="00124A6C" w:rsidRDefault="00AD5AB5" w:rsidP="00AD5AB5">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Hospitalized patients with severe COVID-19</w:t>
            </w:r>
          </w:p>
          <w:p w14:paraId="19C87F62" w14:textId="5129623A" w:rsidR="00AD5AB5" w:rsidRPr="00124A6C" w:rsidRDefault="00AD5AB5" w:rsidP="00AD5AB5">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(n=40)</w:t>
            </w:r>
          </w:p>
        </w:tc>
        <w:tc>
          <w:tcPr>
            <w:tcW w:w="0" w:type="auto"/>
          </w:tcPr>
          <w:p w14:paraId="4206506E" w14:textId="77777777" w:rsidR="00AD5AB5" w:rsidRPr="00124A6C" w:rsidRDefault="00AD5AB5" w:rsidP="00AD5AB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Participants will receive Tocilizumab 8 mg/kg i.v. at enrollment. Dose will be capped at 800 mg per infusion. If there is no improvement or toxicity, a second dose can be given 24 hrs to 5 days later.</w:t>
            </w:r>
          </w:p>
          <w:p w14:paraId="3BCB89AD" w14:textId="77777777" w:rsidR="00AD5AB5" w:rsidRPr="00124A6C" w:rsidRDefault="00AD5AB5" w:rsidP="00AD5AB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p>
        </w:tc>
        <w:tc>
          <w:tcPr>
            <w:tcW w:w="0" w:type="auto"/>
          </w:tcPr>
          <w:p w14:paraId="0A6D78BC" w14:textId="450B7981" w:rsidR="00AD5AB5" w:rsidRPr="00124A6C" w:rsidRDefault="00AD5AB5" w:rsidP="00AD5AB5">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No comparison</w:t>
            </w:r>
          </w:p>
        </w:tc>
        <w:tc>
          <w:tcPr>
            <w:tcW w:w="0" w:type="auto"/>
          </w:tcPr>
          <w:p w14:paraId="75D810C5" w14:textId="673743CF" w:rsidR="00AD5AB5" w:rsidRPr="00124A6C" w:rsidRDefault="00AD5AB5" w:rsidP="00AD5AB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shd w:val="clear" w:color="auto" w:fill="FFFFFF"/>
                <w:lang w:val="en-US"/>
              </w:rPr>
              <w:t>Progression of respiratory failure or death at day 14</w:t>
            </w:r>
          </w:p>
          <w:p w14:paraId="7D0854CB" w14:textId="77777777" w:rsidR="00AD5AB5" w:rsidRPr="00124A6C" w:rsidRDefault="00AD5AB5" w:rsidP="00AD5AB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p w14:paraId="24BD7155" w14:textId="77777777" w:rsidR="00AD5AB5" w:rsidRPr="00124A6C" w:rsidRDefault="00AD5AB5" w:rsidP="00AD5AB5">
            <w:pPr>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p>
        </w:tc>
      </w:tr>
      <w:tr w:rsidR="00D16ECF" w:rsidRPr="0068569D" w14:paraId="46941905" w14:textId="77777777" w:rsidTr="00D801A8">
        <w:trPr>
          <w:cnfStyle w:val="000000100000" w:firstRow="0" w:lastRow="0" w:firstColumn="0" w:lastColumn="0" w:oddVBand="0" w:evenVBand="0" w:oddHBand="1" w:evenHBand="0" w:firstRowFirstColumn="0" w:firstRowLastColumn="0" w:lastRowFirstColumn="0" w:lastRowLastColumn="0"/>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36825330" w14:textId="77777777" w:rsidR="00AD5AB5" w:rsidRPr="00124A6C" w:rsidRDefault="00AD5AB5"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t>NCT04331795</w:t>
            </w:r>
          </w:p>
          <w:p w14:paraId="0BC0B96E" w14:textId="77777777" w:rsidR="00AD5AB5" w:rsidRPr="00124A6C" w:rsidRDefault="00AD5AB5" w:rsidP="005B6AB7">
            <w:pPr>
              <w:rPr>
                <w:rFonts w:ascii="Arial" w:hAnsi="Arial" w:cs="Arial"/>
                <w:b w:val="0"/>
                <w:bCs w:val="0"/>
                <w:color w:val="000000"/>
                <w:sz w:val="20"/>
                <w:szCs w:val="20"/>
                <w:shd w:val="clear" w:color="auto" w:fill="FFFFFF"/>
                <w:lang w:val="en-US"/>
              </w:rPr>
            </w:pPr>
          </w:p>
        </w:tc>
        <w:tc>
          <w:tcPr>
            <w:tcW w:w="0" w:type="auto"/>
          </w:tcPr>
          <w:p w14:paraId="7B9663D5" w14:textId="64927496" w:rsidR="00AD5AB5" w:rsidRPr="00124A6C" w:rsidRDefault="00AD5AB5" w:rsidP="00AD5AB5">
            <w:pPr>
              <w:cnfStyle w:val="000000100000" w:firstRow="0" w:lastRow="0" w:firstColumn="0" w:lastColumn="0" w:oddVBand="0" w:evenVBand="0" w:oddHBand="1" w:evenHBand="0" w:firstRowFirstColumn="0" w:firstRowLastColumn="0" w:lastRowFirstColumn="0" w:lastRowLastColumn="0"/>
              <w:rPr>
                <w:rFonts w:ascii="Arial" w:hAnsi="Arial" w:cs="Arial"/>
                <w:color w:val="666666"/>
                <w:sz w:val="20"/>
                <w:szCs w:val="20"/>
                <w:shd w:val="clear" w:color="auto" w:fill="FFFFFF"/>
                <w:lang w:val="en-US"/>
              </w:rPr>
            </w:pPr>
            <w:r w:rsidRPr="00124A6C">
              <w:rPr>
                <w:rFonts w:ascii="Arial" w:hAnsi="Arial" w:cs="Arial"/>
                <w:color w:val="000000" w:themeColor="text1"/>
                <w:sz w:val="20"/>
                <w:szCs w:val="20"/>
                <w:shd w:val="clear" w:color="auto" w:fill="FFFFFF"/>
                <w:lang w:val="en-US"/>
              </w:rPr>
              <w:t>Recruiting</w:t>
            </w:r>
            <w:r w:rsidRPr="00124A6C">
              <w:rPr>
                <w:rFonts w:ascii="Arial" w:hAnsi="Arial" w:cs="Arial"/>
                <w:color w:val="666666"/>
                <w:sz w:val="20"/>
                <w:szCs w:val="20"/>
                <w:shd w:val="clear" w:color="auto" w:fill="FFFFFF"/>
                <w:lang w:val="en-US"/>
              </w:rPr>
              <w:t xml:space="preserve"> </w:t>
            </w:r>
          </w:p>
        </w:tc>
        <w:tc>
          <w:tcPr>
            <w:tcW w:w="0" w:type="auto"/>
          </w:tcPr>
          <w:p w14:paraId="5380EF65" w14:textId="6D8F78FB" w:rsidR="00AD5AB5" w:rsidRPr="00124A6C" w:rsidRDefault="00AD5AB5" w:rsidP="00AD5AB5">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Single-centre non-randomized clinical trial</w:t>
            </w:r>
          </w:p>
        </w:tc>
        <w:tc>
          <w:tcPr>
            <w:tcW w:w="0" w:type="auto"/>
          </w:tcPr>
          <w:p w14:paraId="146CC9D7" w14:textId="0A4C4F98" w:rsidR="00AD5AB5" w:rsidRPr="00124A6C" w:rsidRDefault="00AD5AB5" w:rsidP="00AD5AB5">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USA</w:t>
            </w:r>
          </w:p>
        </w:tc>
        <w:tc>
          <w:tcPr>
            <w:tcW w:w="0" w:type="auto"/>
          </w:tcPr>
          <w:p w14:paraId="1BA7E5F1" w14:textId="77777777" w:rsidR="00AD5AB5" w:rsidRPr="00124A6C" w:rsidRDefault="00AD5AB5" w:rsidP="00AD5AB5">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Hospitalized patients with confirmed COVID-19</w:t>
            </w:r>
          </w:p>
          <w:p w14:paraId="2C87EFE9" w14:textId="59AA27FD" w:rsidR="00AD5AB5" w:rsidRPr="00124A6C" w:rsidRDefault="00AD5AB5" w:rsidP="00AD5AB5">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(n=50)</w:t>
            </w:r>
          </w:p>
        </w:tc>
        <w:tc>
          <w:tcPr>
            <w:tcW w:w="0" w:type="auto"/>
          </w:tcPr>
          <w:p w14:paraId="58D7E89D" w14:textId="44856114" w:rsidR="00AD5AB5" w:rsidRPr="00124A6C" w:rsidRDefault="00AD5AB5" w:rsidP="00AD5AB5">
            <w:pPr>
              <w:pStyle w:val="Normale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Tocilizumab 200mg</w:t>
            </w:r>
          </w:p>
          <w:p w14:paraId="6E03BAA1" w14:textId="77777777" w:rsidR="00AD5AB5" w:rsidRPr="00124A6C" w:rsidRDefault="00AD5AB5" w:rsidP="00AD5AB5">
            <w:pPr>
              <w:pStyle w:val="Normale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Second dose is provisioned if:</w:t>
            </w:r>
          </w:p>
          <w:p w14:paraId="60B18CE9" w14:textId="2F49644E" w:rsidR="00AD5AB5" w:rsidRPr="00124A6C" w:rsidRDefault="00AD5AB5" w:rsidP="00AD5AB5">
            <w:pPr>
              <w:shd w:val="clear" w:color="auto" w:fill="FFFFFF"/>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Increasing supplemental oxygen requirement or Tmax higher than baseline in the 24h following initial tocilizumab administration AND CRP decrease is &lt; 25% at 24 hours following tocilizumab administration and CRP &gt; 40mg/L</w:t>
            </w:r>
          </w:p>
          <w:p w14:paraId="760B76F6" w14:textId="77777777" w:rsidR="00AD5AB5" w:rsidRPr="00124A6C" w:rsidRDefault="00AD5AB5" w:rsidP="00AD5AB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lang w:val="en-US"/>
              </w:rPr>
            </w:pPr>
          </w:p>
        </w:tc>
        <w:tc>
          <w:tcPr>
            <w:tcW w:w="0" w:type="auto"/>
          </w:tcPr>
          <w:p w14:paraId="4E348F34" w14:textId="6A2E66AE" w:rsidR="00AD5AB5" w:rsidRPr="00124A6C" w:rsidRDefault="00AD5AB5" w:rsidP="00AD5AB5">
            <w:pPr>
              <w:pStyle w:val="Normale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 xml:space="preserve">Tocilizumab 80mg </w:t>
            </w:r>
          </w:p>
          <w:p w14:paraId="51669089" w14:textId="77777777" w:rsidR="00AD5AB5" w:rsidRPr="00124A6C" w:rsidRDefault="00AD5AB5" w:rsidP="00AD5AB5">
            <w:pPr>
              <w:pStyle w:val="Normale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Second dose is provisioned if:</w:t>
            </w:r>
          </w:p>
          <w:p w14:paraId="66C3BF05" w14:textId="77777777" w:rsidR="00AD5AB5" w:rsidRPr="00124A6C" w:rsidRDefault="00AD5AB5" w:rsidP="00AD5AB5">
            <w:pPr>
              <w:shd w:val="clear" w:color="auto" w:fill="FFFFFF"/>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Increasing supplemental oxygen requirement or Tmax higher than baseline in the 24h following initial tocilizumab administration AND</w:t>
            </w:r>
          </w:p>
          <w:p w14:paraId="7E840831" w14:textId="77777777" w:rsidR="00AD5AB5" w:rsidRPr="00124A6C" w:rsidRDefault="00AD5AB5" w:rsidP="00AD5AB5">
            <w:pPr>
              <w:shd w:val="clear" w:color="auto" w:fill="FFFFFF"/>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CRP decrease is &lt; 25% at 24 hours following tocilizumab administration and CRP &gt; 40mg/L</w:t>
            </w:r>
          </w:p>
          <w:p w14:paraId="30DFB9D9" w14:textId="77777777" w:rsidR="00AD5AB5" w:rsidRPr="00124A6C" w:rsidRDefault="00AD5AB5" w:rsidP="00AD5AB5">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p>
        </w:tc>
        <w:tc>
          <w:tcPr>
            <w:tcW w:w="0" w:type="auto"/>
          </w:tcPr>
          <w:p w14:paraId="11E984B0" w14:textId="7F1CE5F3" w:rsidR="00AD5AB5" w:rsidRPr="00124A6C" w:rsidRDefault="00AD5AB5" w:rsidP="00AD5AB5">
            <w:pPr>
              <w:shd w:val="clear" w:color="auto" w:fill="FFFFFF"/>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Clinical response at 24h; absence of Tmax greater than or equal to 38ºC in the 24-hour period following tocilizumab administration; CRP normalization rate; time to CRP normalization.</w:t>
            </w:r>
          </w:p>
        </w:tc>
      </w:tr>
      <w:tr w:rsidR="00D16ECF" w:rsidRPr="0068569D" w14:paraId="281B8561" w14:textId="77777777" w:rsidTr="00D801A8">
        <w:trPr>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1F6DD564" w14:textId="77777777" w:rsidR="00AD5AB5" w:rsidRPr="00124A6C" w:rsidRDefault="00AD5AB5"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t>NCT04359667</w:t>
            </w:r>
          </w:p>
          <w:p w14:paraId="7F2D9618" w14:textId="77777777" w:rsidR="00AD5AB5" w:rsidRPr="00124A6C" w:rsidRDefault="00AD5AB5" w:rsidP="005B6AB7">
            <w:pPr>
              <w:rPr>
                <w:rFonts w:ascii="Arial" w:hAnsi="Arial" w:cs="Arial"/>
                <w:b w:val="0"/>
                <w:bCs w:val="0"/>
                <w:color w:val="000000"/>
                <w:sz w:val="20"/>
                <w:szCs w:val="20"/>
                <w:shd w:val="clear" w:color="auto" w:fill="FFFFFF"/>
                <w:lang w:val="en-US"/>
              </w:rPr>
            </w:pPr>
          </w:p>
        </w:tc>
        <w:tc>
          <w:tcPr>
            <w:tcW w:w="0" w:type="auto"/>
          </w:tcPr>
          <w:p w14:paraId="12E404F1" w14:textId="2DAE041C" w:rsidR="00AD5AB5" w:rsidRPr="00124A6C" w:rsidRDefault="00AD5AB5" w:rsidP="00AD5AB5">
            <w:pPr>
              <w:cnfStyle w:val="000000000000" w:firstRow="0" w:lastRow="0" w:firstColumn="0" w:lastColumn="0" w:oddVBand="0" w:evenVBand="0" w:oddHBand="0" w:evenHBand="0" w:firstRowFirstColumn="0" w:firstRowLastColumn="0" w:lastRowFirstColumn="0" w:lastRowLastColumn="0"/>
              <w:rPr>
                <w:rFonts w:ascii="Arial" w:hAnsi="Arial" w:cs="Arial"/>
                <w:color w:val="666666"/>
                <w:sz w:val="20"/>
                <w:szCs w:val="20"/>
                <w:shd w:val="clear" w:color="auto" w:fill="FFFFFF"/>
                <w:lang w:val="en-US"/>
              </w:rPr>
            </w:pPr>
            <w:r w:rsidRPr="00124A6C">
              <w:rPr>
                <w:rFonts w:ascii="Arial" w:hAnsi="Arial" w:cs="Arial"/>
                <w:color w:val="000000" w:themeColor="text1"/>
                <w:sz w:val="20"/>
                <w:szCs w:val="20"/>
                <w:shd w:val="clear" w:color="auto" w:fill="FFFFFF"/>
                <w:lang w:val="en-US"/>
              </w:rPr>
              <w:t>Recruiting</w:t>
            </w:r>
            <w:r w:rsidRPr="00124A6C">
              <w:rPr>
                <w:rFonts w:ascii="Arial" w:hAnsi="Arial" w:cs="Arial"/>
                <w:color w:val="666666"/>
                <w:sz w:val="20"/>
                <w:szCs w:val="20"/>
                <w:shd w:val="clear" w:color="auto" w:fill="FFFFFF"/>
                <w:lang w:val="en-US"/>
              </w:rPr>
              <w:t xml:space="preserve"> </w:t>
            </w:r>
          </w:p>
        </w:tc>
        <w:tc>
          <w:tcPr>
            <w:tcW w:w="0" w:type="auto"/>
          </w:tcPr>
          <w:p w14:paraId="565A5ADF" w14:textId="4B338C7B" w:rsidR="00AD5AB5" w:rsidRPr="00124A6C" w:rsidRDefault="00085EFE" w:rsidP="00085EF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color w:val="000000"/>
                <w:sz w:val="20"/>
                <w:szCs w:val="20"/>
                <w:shd w:val="clear" w:color="auto" w:fill="FFFFFF"/>
                <w:lang w:val="en-US"/>
              </w:rPr>
              <w:t>Single-centre p</w:t>
            </w:r>
            <w:r w:rsidR="00AD5AB5" w:rsidRPr="00124A6C">
              <w:rPr>
                <w:rFonts w:ascii="Arial" w:hAnsi="Arial" w:cs="Arial"/>
                <w:color w:val="000000"/>
                <w:sz w:val="20"/>
                <w:szCs w:val="20"/>
                <w:shd w:val="clear" w:color="auto" w:fill="FFFFFF"/>
                <w:lang w:val="en-US"/>
              </w:rPr>
              <w:t>rospective observational Study</w:t>
            </w:r>
          </w:p>
          <w:p w14:paraId="509E4C85" w14:textId="77777777" w:rsidR="00AD5AB5" w:rsidRPr="00124A6C" w:rsidRDefault="00AD5AB5" w:rsidP="00085EFE">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p>
        </w:tc>
        <w:tc>
          <w:tcPr>
            <w:tcW w:w="0" w:type="auto"/>
          </w:tcPr>
          <w:p w14:paraId="63EA6248" w14:textId="0481EA93" w:rsidR="00AD5AB5" w:rsidRPr="00124A6C" w:rsidRDefault="00AD5AB5" w:rsidP="00AD5AB5">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Croatia</w:t>
            </w:r>
          </w:p>
        </w:tc>
        <w:tc>
          <w:tcPr>
            <w:tcW w:w="0" w:type="auto"/>
          </w:tcPr>
          <w:p w14:paraId="16F8FBEB" w14:textId="77777777" w:rsidR="00AD5AB5" w:rsidRPr="00124A6C" w:rsidRDefault="00AD5AB5" w:rsidP="00AD5AB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24A6C">
              <w:rPr>
                <w:rFonts w:ascii="Arial" w:hAnsi="Arial" w:cs="Arial"/>
                <w:sz w:val="20"/>
                <w:szCs w:val="20"/>
                <w:lang w:val="en-US"/>
              </w:rPr>
              <w:t xml:space="preserve">Patients with </w:t>
            </w:r>
            <w:r w:rsidRPr="00124A6C">
              <w:rPr>
                <w:rFonts w:ascii="Arial" w:hAnsi="Arial" w:cs="Arial"/>
                <w:color w:val="000000"/>
                <w:sz w:val="20"/>
                <w:szCs w:val="20"/>
                <w:shd w:val="clear" w:color="auto" w:fill="FFFFFF"/>
                <w:lang w:val="en-US"/>
              </w:rPr>
              <w:t>severe COVID-19 pneumonia (and/or ARDS)</w:t>
            </w:r>
          </w:p>
          <w:p w14:paraId="31C94770" w14:textId="4768B51D" w:rsidR="00AD5AB5" w:rsidRPr="00124A6C" w:rsidRDefault="00AD5AB5" w:rsidP="00AD5AB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sz w:val="20"/>
                <w:szCs w:val="20"/>
                <w:lang w:val="en-US"/>
              </w:rPr>
              <w:t>(n=30)</w:t>
            </w:r>
          </w:p>
        </w:tc>
        <w:tc>
          <w:tcPr>
            <w:tcW w:w="0" w:type="auto"/>
          </w:tcPr>
          <w:p w14:paraId="2993A967" w14:textId="3AF4AAC9" w:rsidR="00AD5AB5" w:rsidRPr="00124A6C" w:rsidRDefault="00AD5AB5" w:rsidP="00AD5AB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Tocilizumab</w:t>
            </w:r>
          </w:p>
          <w:p w14:paraId="20D69755" w14:textId="5F0165C3" w:rsidR="00AD5AB5" w:rsidRPr="00124A6C" w:rsidRDefault="00AD5AB5" w:rsidP="00AD5AB5">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1 - 8 mg/ kg (maximal 800 mg); can be repeated once more after 12 hours, per clinician`s assessment</w:t>
            </w:r>
          </w:p>
          <w:p w14:paraId="11C66104" w14:textId="77777777" w:rsidR="00AD5AB5" w:rsidRPr="00124A6C" w:rsidRDefault="00AD5AB5" w:rsidP="00AD5AB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p>
        </w:tc>
        <w:tc>
          <w:tcPr>
            <w:tcW w:w="0" w:type="auto"/>
          </w:tcPr>
          <w:p w14:paraId="02849B51" w14:textId="56FDA88F" w:rsidR="00AD5AB5" w:rsidRPr="00124A6C" w:rsidRDefault="00AD5AB5" w:rsidP="00AD5AB5">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No comparison</w:t>
            </w:r>
          </w:p>
        </w:tc>
        <w:tc>
          <w:tcPr>
            <w:tcW w:w="0" w:type="auto"/>
          </w:tcPr>
          <w:p w14:paraId="34472321" w14:textId="553EA309" w:rsidR="00AD5AB5" w:rsidRPr="00124A6C" w:rsidRDefault="00AD5AB5" w:rsidP="00AD5AB5">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124A6C">
              <w:rPr>
                <w:rFonts w:ascii="Arial" w:hAnsi="Arial" w:cs="Arial"/>
                <w:color w:val="000000"/>
                <w:sz w:val="20"/>
                <w:szCs w:val="20"/>
                <w:lang w:val="en-US"/>
              </w:rPr>
              <w:t>Serum IL-6 and soluble IL-6 receptor</w:t>
            </w:r>
            <w:r w:rsidR="00422A78" w:rsidRPr="00124A6C">
              <w:rPr>
                <w:rFonts w:ascii="Arial" w:hAnsi="Arial" w:cs="Arial"/>
                <w:color w:val="000000"/>
                <w:sz w:val="20"/>
                <w:szCs w:val="20"/>
                <w:lang w:val="en-US"/>
              </w:rPr>
              <w:t xml:space="preserve"> at 24h, 48h, day 7 and day 14</w:t>
            </w:r>
          </w:p>
        </w:tc>
      </w:tr>
      <w:tr w:rsidR="00D16ECF" w:rsidRPr="0068569D" w14:paraId="0E4CA8BF" w14:textId="77777777" w:rsidTr="00D801A8">
        <w:trPr>
          <w:cnfStyle w:val="000000100000" w:firstRow="0" w:lastRow="0" w:firstColumn="0" w:lastColumn="0" w:oddVBand="0" w:evenVBand="0" w:oddHBand="1" w:evenHBand="0" w:firstRowFirstColumn="0" w:firstRowLastColumn="0" w:lastRowFirstColumn="0" w:lastRowLastColumn="0"/>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66138B81" w14:textId="77777777" w:rsidR="00AD5AB5" w:rsidRPr="00124A6C" w:rsidRDefault="00AD5AB5" w:rsidP="005B6AB7">
            <w:pPr>
              <w:rPr>
                <w:rFonts w:ascii="Arial" w:hAnsi="Arial" w:cs="Arial"/>
                <w:b w:val="0"/>
                <w:bCs w:val="0"/>
                <w:sz w:val="20"/>
                <w:szCs w:val="20"/>
              </w:rPr>
            </w:pPr>
            <w:r w:rsidRPr="00124A6C">
              <w:rPr>
                <w:rFonts w:ascii="Arial" w:hAnsi="Arial" w:cs="Arial"/>
                <w:b w:val="0"/>
                <w:bCs w:val="0"/>
                <w:color w:val="000000"/>
                <w:sz w:val="20"/>
                <w:szCs w:val="20"/>
                <w:shd w:val="clear" w:color="auto" w:fill="FFFFFF"/>
              </w:rPr>
              <w:lastRenderedPageBreak/>
              <w:t>NCT04356937</w:t>
            </w:r>
          </w:p>
          <w:p w14:paraId="093C227F" w14:textId="77777777" w:rsidR="00AD5AB5" w:rsidRPr="00124A6C" w:rsidRDefault="00AD5AB5" w:rsidP="005B6AB7">
            <w:pPr>
              <w:rPr>
                <w:rFonts w:ascii="Arial" w:hAnsi="Arial" w:cs="Arial"/>
                <w:b w:val="0"/>
                <w:bCs w:val="0"/>
                <w:color w:val="000000"/>
                <w:sz w:val="20"/>
                <w:szCs w:val="20"/>
                <w:shd w:val="clear" w:color="auto" w:fill="FFFFFF"/>
                <w:lang w:val="en-US"/>
              </w:rPr>
            </w:pPr>
          </w:p>
        </w:tc>
        <w:tc>
          <w:tcPr>
            <w:tcW w:w="0" w:type="auto"/>
          </w:tcPr>
          <w:p w14:paraId="63040F51" w14:textId="42F15F6D" w:rsidR="00AD5AB5" w:rsidRPr="00124A6C" w:rsidRDefault="00422A78" w:rsidP="00AD5AB5">
            <w:pPr>
              <w:cnfStyle w:val="000000100000" w:firstRow="0" w:lastRow="0" w:firstColumn="0" w:lastColumn="0" w:oddVBand="0" w:evenVBand="0" w:oddHBand="1" w:evenHBand="0" w:firstRowFirstColumn="0" w:firstRowLastColumn="0" w:lastRowFirstColumn="0" w:lastRowLastColumn="0"/>
              <w:rPr>
                <w:rFonts w:ascii="Arial" w:hAnsi="Arial" w:cs="Arial"/>
                <w:color w:val="666666"/>
                <w:sz w:val="20"/>
                <w:szCs w:val="20"/>
                <w:shd w:val="clear" w:color="auto" w:fill="FFFFFF"/>
                <w:lang w:val="en-US"/>
              </w:rPr>
            </w:pPr>
            <w:r w:rsidRPr="00124A6C">
              <w:rPr>
                <w:rFonts w:ascii="Arial" w:hAnsi="Arial" w:cs="Arial"/>
                <w:color w:val="000000" w:themeColor="text1"/>
                <w:sz w:val="20"/>
                <w:szCs w:val="20"/>
                <w:shd w:val="clear" w:color="auto" w:fill="FFFFFF"/>
                <w:lang w:val="en-US"/>
              </w:rPr>
              <w:t>Not yet recruiting</w:t>
            </w:r>
            <w:r w:rsidRPr="00124A6C">
              <w:rPr>
                <w:rFonts w:ascii="Arial" w:hAnsi="Arial" w:cs="Arial"/>
                <w:color w:val="666666"/>
                <w:sz w:val="20"/>
                <w:szCs w:val="20"/>
                <w:shd w:val="clear" w:color="auto" w:fill="FFFFFF"/>
                <w:lang w:val="en-US"/>
              </w:rPr>
              <w:t xml:space="preserve"> </w:t>
            </w:r>
          </w:p>
        </w:tc>
        <w:tc>
          <w:tcPr>
            <w:tcW w:w="0" w:type="auto"/>
          </w:tcPr>
          <w:p w14:paraId="2DCC8492" w14:textId="7FCE4BC5" w:rsidR="00AD5AB5" w:rsidRPr="00124A6C" w:rsidRDefault="00085EFE" w:rsidP="00085EF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color w:val="000000"/>
                <w:sz w:val="20"/>
                <w:szCs w:val="20"/>
                <w:shd w:val="clear" w:color="auto" w:fill="FFFFFF"/>
                <w:lang w:val="en-US"/>
              </w:rPr>
              <w:t>Single-centre p</w:t>
            </w:r>
            <w:r w:rsidR="00AD5AB5" w:rsidRPr="00124A6C">
              <w:rPr>
                <w:rFonts w:ascii="Arial" w:hAnsi="Arial" w:cs="Arial"/>
                <w:color w:val="000000"/>
                <w:sz w:val="20"/>
                <w:szCs w:val="20"/>
                <w:shd w:val="clear" w:color="auto" w:fill="FFFFFF"/>
                <w:lang w:val="en-US"/>
              </w:rPr>
              <w:t>rospective</w:t>
            </w:r>
            <w:r>
              <w:rPr>
                <w:rFonts w:ascii="Arial" w:hAnsi="Arial" w:cs="Arial"/>
                <w:color w:val="000000"/>
                <w:sz w:val="20"/>
                <w:szCs w:val="20"/>
                <w:shd w:val="clear" w:color="auto" w:fill="FFFFFF"/>
                <w:lang w:val="en-US"/>
              </w:rPr>
              <w:t xml:space="preserve"> </w:t>
            </w:r>
            <w:r w:rsidR="00AD5AB5" w:rsidRPr="00124A6C">
              <w:rPr>
                <w:rFonts w:ascii="Arial" w:hAnsi="Arial" w:cs="Arial"/>
                <w:color w:val="000000"/>
                <w:sz w:val="20"/>
                <w:szCs w:val="20"/>
                <w:shd w:val="clear" w:color="auto" w:fill="FFFFFF"/>
                <w:lang w:val="en-US"/>
              </w:rPr>
              <w:t>placebo-controlled, randomized controlled trial</w:t>
            </w:r>
          </w:p>
        </w:tc>
        <w:tc>
          <w:tcPr>
            <w:tcW w:w="0" w:type="auto"/>
          </w:tcPr>
          <w:p w14:paraId="1A06AF55" w14:textId="2E5378C8" w:rsidR="00AD5AB5" w:rsidRPr="00124A6C" w:rsidRDefault="00AD5AB5" w:rsidP="00AD5AB5">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USA</w:t>
            </w:r>
          </w:p>
        </w:tc>
        <w:tc>
          <w:tcPr>
            <w:tcW w:w="0" w:type="auto"/>
          </w:tcPr>
          <w:p w14:paraId="241C67BC" w14:textId="77777777" w:rsidR="00AD5AB5" w:rsidRPr="00124A6C" w:rsidRDefault="00AD5AB5" w:rsidP="00AD5AB5">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ICU patients with confirmed COVID-19 and inflammatory markers</w:t>
            </w:r>
          </w:p>
          <w:p w14:paraId="0D80FEA3" w14:textId="6E6AE3B2" w:rsidR="00AD5AB5" w:rsidRPr="00124A6C" w:rsidRDefault="00AD5AB5" w:rsidP="00AD5AB5">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(n=300)</w:t>
            </w:r>
          </w:p>
        </w:tc>
        <w:tc>
          <w:tcPr>
            <w:tcW w:w="0" w:type="auto"/>
          </w:tcPr>
          <w:p w14:paraId="2D9D94C2" w14:textId="7DD3CB55" w:rsidR="00AD5AB5" w:rsidRPr="00124A6C" w:rsidRDefault="00422A78" w:rsidP="00AD5AB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Tocilizumab</w:t>
            </w:r>
            <w:r w:rsidR="00AD5AB5" w:rsidRPr="00124A6C">
              <w:rPr>
                <w:rFonts w:ascii="Arial" w:hAnsi="Arial" w:cs="Arial"/>
                <w:color w:val="000000"/>
                <w:sz w:val="20"/>
                <w:szCs w:val="20"/>
                <w:shd w:val="clear" w:color="auto" w:fill="FFFFFF"/>
                <w:lang w:val="en-US"/>
              </w:rPr>
              <w:t xml:space="preserve"> 8 mg/kg (</w:t>
            </w:r>
            <w:r w:rsidRPr="00124A6C">
              <w:rPr>
                <w:rFonts w:ascii="Arial" w:hAnsi="Arial" w:cs="Arial"/>
                <w:color w:val="000000"/>
                <w:sz w:val="20"/>
                <w:szCs w:val="20"/>
                <w:shd w:val="clear" w:color="auto" w:fill="FFFFFF"/>
                <w:lang w:val="en-US"/>
              </w:rPr>
              <w:t>maximum</w:t>
            </w:r>
            <w:r w:rsidR="00AD5AB5" w:rsidRPr="00124A6C">
              <w:rPr>
                <w:rFonts w:ascii="Arial" w:hAnsi="Arial" w:cs="Arial"/>
                <w:color w:val="000000"/>
                <w:sz w:val="20"/>
                <w:szCs w:val="20"/>
                <w:shd w:val="clear" w:color="auto" w:fill="FFFFFF"/>
                <w:lang w:val="en-US"/>
              </w:rPr>
              <w:t xml:space="preserve"> 800 mg) </w:t>
            </w:r>
          </w:p>
          <w:p w14:paraId="28B573E1" w14:textId="77777777" w:rsidR="00AD5AB5" w:rsidRPr="00124A6C" w:rsidRDefault="00AD5AB5" w:rsidP="00AD5AB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lang w:val="en-US"/>
              </w:rPr>
            </w:pPr>
          </w:p>
        </w:tc>
        <w:tc>
          <w:tcPr>
            <w:tcW w:w="0" w:type="auto"/>
          </w:tcPr>
          <w:p w14:paraId="542B4F36" w14:textId="39E2759F" w:rsidR="00AD5AB5" w:rsidRPr="00124A6C" w:rsidRDefault="00AD5AB5" w:rsidP="00AD5AB5">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124A6C">
              <w:rPr>
                <w:rFonts w:cs="Arial"/>
                <w:lang w:val="en-US"/>
              </w:rPr>
              <w:t>Placebo</w:t>
            </w:r>
          </w:p>
        </w:tc>
        <w:tc>
          <w:tcPr>
            <w:tcW w:w="0" w:type="auto"/>
          </w:tcPr>
          <w:p w14:paraId="238918BE" w14:textId="4EAD2B3E" w:rsidR="00AD5AB5" w:rsidRPr="00124A6C" w:rsidRDefault="00AD5AB5" w:rsidP="00AD5AB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24A6C">
              <w:rPr>
                <w:rFonts w:ascii="Arial" w:hAnsi="Arial" w:cs="Arial"/>
                <w:color w:val="000000"/>
                <w:sz w:val="20"/>
                <w:szCs w:val="20"/>
                <w:shd w:val="clear" w:color="auto" w:fill="FFFFFF"/>
                <w:lang w:val="en-US"/>
              </w:rPr>
              <w:t xml:space="preserve">Proportion of patients that require mechanical ventilation </w:t>
            </w:r>
            <w:r w:rsidR="00422A78" w:rsidRPr="00124A6C">
              <w:rPr>
                <w:rFonts w:ascii="Arial" w:hAnsi="Arial" w:cs="Arial"/>
                <w:color w:val="000000"/>
                <w:sz w:val="20"/>
                <w:szCs w:val="20"/>
                <w:shd w:val="clear" w:color="auto" w:fill="FFFFFF"/>
                <w:lang w:val="en-US"/>
              </w:rPr>
              <w:t>at day 28</w:t>
            </w:r>
          </w:p>
          <w:p w14:paraId="1C8AA79B" w14:textId="598382AD" w:rsidR="00422A78" w:rsidRPr="00124A6C" w:rsidRDefault="00422A78" w:rsidP="00422A78">
            <w:pPr>
              <w:shd w:val="clear" w:color="auto" w:fill="FFFFFF"/>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p>
        </w:tc>
      </w:tr>
      <w:tr w:rsidR="00D16ECF" w:rsidRPr="0068569D" w14:paraId="68A8556D" w14:textId="77777777" w:rsidTr="00D801A8">
        <w:trPr>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71E14A9A" w14:textId="6755EC92" w:rsidR="008B7792" w:rsidRPr="008B7792" w:rsidRDefault="008B7792" w:rsidP="008B7792">
            <w:pPr>
              <w:rPr>
                <w:rFonts w:ascii="Arial" w:hAnsi="Arial" w:cs="Arial"/>
                <w:b w:val="0"/>
                <w:bCs w:val="0"/>
                <w:color w:val="000000"/>
                <w:sz w:val="20"/>
                <w:szCs w:val="20"/>
                <w:shd w:val="clear" w:color="auto" w:fill="FFFFFF"/>
                <w:lang w:val="en-US"/>
              </w:rPr>
            </w:pPr>
            <w:r w:rsidRPr="008B7792">
              <w:rPr>
                <w:rFonts w:ascii="Arial" w:hAnsi="Arial" w:cs="Arial"/>
                <w:b w:val="0"/>
                <w:bCs w:val="0"/>
                <w:color w:val="000000"/>
                <w:sz w:val="20"/>
                <w:szCs w:val="20"/>
                <w:shd w:val="clear" w:color="auto" w:fill="FFFFFF"/>
                <w:lang w:val="en-US"/>
              </w:rPr>
              <w:t>NCT04394182</w:t>
            </w:r>
          </w:p>
        </w:tc>
        <w:tc>
          <w:tcPr>
            <w:tcW w:w="0" w:type="auto"/>
          </w:tcPr>
          <w:p w14:paraId="6AF7F266" w14:textId="04962638" w:rsidR="008B7792" w:rsidRPr="00124A6C" w:rsidRDefault="008B7792"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shd w:val="clear" w:color="auto" w:fill="FFFFFF"/>
                <w:lang w:val="en-US"/>
              </w:rPr>
            </w:pPr>
            <w:r>
              <w:rPr>
                <w:rFonts w:ascii="Arial" w:hAnsi="Arial" w:cs="Arial"/>
                <w:color w:val="000000" w:themeColor="text1"/>
                <w:sz w:val="20"/>
                <w:szCs w:val="20"/>
                <w:shd w:val="clear" w:color="auto" w:fill="FFFFFF"/>
                <w:lang w:val="en-US"/>
              </w:rPr>
              <w:t>Recruiting</w:t>
            </w:r>
          </w:p>
        </w:tc>
        <w:tc>
          <w:tcPr>
            <w:tcW w:w="0" w:type="auto"/>
          </w:tcPr>
          <w:p w14:paraId="451B2805" w14:textId="539C3995" w:rsidR="008B7792" w:rsidRDefault="008B7792" w:rsidP="008B779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Pr>
                <w:rFonts w:ascii="Arial" w:hAnsi="Arial" w:cs="Arial"/>
                <w:color w:val="000000"/>
                <w:sz w:val="20"/>
                <w:szCs w:val="20"/>
                <w:shd w:val="clear" w:color="auto" w:fill="FFFFFF"/>
                <w:lang w:val="en-US"/>
              </w:rPr>
              <w:t>Multicentre prospective single arm study</w:t>
            </w:r>
          </w:p>
        </w:tc>
        <w:tc>
          <w:tcPr>
            <w:tcW w:w="0" w:type="auto"/>
          </w:tcPr>
          <w:p w14:paraId="3DDB101F" w14:textId="0DA32F11" w:rsidR="008B7792" w:rsidRPr="00124A6C" w:rsidRDefault="008B7792" w:rsidP="008B7792">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Spain</w:t>
            </w:r>
          </w:p>
        </w:tc>
        <w:tc>
          <w:tcPr>
            <w:tcW w:w="0" w:type="auto"/>
          </w:tcPr>
          <w:p w14:paraId="44BA05A8" w14:textId="4A271259" w:rsidR="008B7792" w:rsidRDefault="008B7792" w:rsidP="008B7792">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Patients with confirmed COVID-19 and inflammatory markers</w:t>
            </w:r>
          </w:p>
          <w:p w14:paraId="180659F8" w14:textId="4D796353" w:rsidR="008B7792" w:rsidRPr="00124A6C" w:rsidRDefault="008B7792" w:rsidP="008B7792">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(n=15)</w:t>
            </w:r>
          </w:p>
        </w:tc>
        <w:tc>
          <w:tcPr>
            <w:tcW w:w="0" w:type="auto"/>
          </w:tcPr>
          <w:p w14:paraId="32775F19" w14:textId="59641A07" w:rsidR="008B7792" w:rsidRPr="008B7792" w:rsidRDefault="008B7792"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8B7792">
              <w:rPr>
                <w:rFonts w:ascii="Arial" w:hAnsi="Arial" w:cs="Arial"/>
                <w:color w:val="000000"/>
                <w:sz w:val="20"/>
                <w:szCs w:val="20"/>
                <w:shd w:val="clear" w:color="auto" w:fill="FFFFFF"/>
                <w:lang w:val="en-US"/>
              </w:rPr>
              <w:t>Ultra-Low-dose radiotherapy</w:t>
            </w:r>
          </w:p>
          <w:p w14:paraId="0864C141" w14:textId="58BB0E40" w:rsidR="008B7792" w:rsidRPr="008B7792" w:rsidRDefault="008B7792"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p>
          <w:p w14:paraId="419B42C0" w14:textId="61F043C0" w:rsidR="008B7792" w:rsidRPr="008B7792" w:rsidRDefault="008B7792"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8B7792">
              <w:rPr>
                <w:rFonts w:ascii="Arial" w:hAnsi="Arial" w:cs="Arial"/>
                <w:color w:val="000000"/>
                <w:sz w:val="20"/>
                <w:szCs w:val="20"/>
                <w:shd w:val="clear" w:color="auto" w:fill="FFFFFF"/>
                <w:lang w:val="en-US"/>
              </w:rPr>
              <w:t>Oxygen Therapy</w:t>
            </w:r>
            <w:r>
              <w:rPr>
                <w:rFonts w:ascii="Arial" w:hAnsi="Arial" w:cs="Arial"/>
                <w:color w:val="000000"/>
                <w:sz w:val="20"/>
                <w:szCs w:val="20"/>
                <w:shd w:val="clear" w:color="auto" w:fill="FFFFFF"/>
                <w:lang w:val="en-US"/>
              </w:rPr>
              <w:t xml:space="preserve"> with</w:t>
            </w:r>
            <w:r w:rsidRPr="008B7792">
              <w:rPr>
                <w:rFonts w:ascii="Arial" w:hAnsi="Arial" w:cs="Arial"/>
                <w:color w:val="000000"/>
                <w:sz w:val="20"/>
                <w:szCs w:val="20"/>
                <w:shd w:val="clear" w:color="auto" w:fill="FFFFFF"/>
                <w:lang w:val="en-US"/>
              </w:rPr>
              <w:t xml:space="preserve"> Nasal Cannula </w:t>
            </w:r>
            <w:r>
              <w:rPr>
                <w:rFonts w:ascii="Arial" w:hAnsi="Arial" w:cs="Arial"/>
                <w:color w:val="000000"/>
                <w:sz w:val="20"/>
                <w:szCs w:val="20"/>
                <w:shd w:val="clear" w:color="auto" w:fill="FFFFFF"/>
                <w:lang w:val="en-US"/>
              </w:rPr>
              <w:t>or</w:t>
            </w:r>
            <w:r w:rsidRPr="008B7792">
              <w:rPr>
                <w:rFonts w:ascii="Arial" w:hAnsi="Arial" w:cs="Arial"/>
                <w:color w:val="000000"/>
                <w:sz w:val="20"/>
                <w:szCs w:val="20"/>
                <w:shd w:val="clear" w:color="auto" w:fill="FFFFFF"/>
                <w:lang w:val="en-US"/>
              </w:rPr>
              <w:t xml:space="preserve"> Ventimask </w:t>
            </w:r>
          </w:p>
          <w:p w14:paraId="7C5C8C40" w14:textId="77777777" w:rsidR="008B7792" w:rsidRPr="008B7792" w:rsidRDefault="008B7792"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p>
          <w:p w14:paraId="057D5E8D" w14:textId="1448BE42" w:rsidR="008B7792" w:rsidRPr="008B7792" w:rsidRDefault="008B7792"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8B7792">
              <w:rPr>
                <w:rFonts w:ascii="Arial" w:hAnsi="Arial" w:cs="Arial"/>
                <w:color w:val="000000"/>
                <w:sz w:val="20"/>
                <w:szCs w:val="20"/>
                <w:shd w:val="clear" w:color="auto" w:fill="FFFFFF"/>
                <w:lang w:val="en-US"/>
              </w:rPr>
              <w:t>Lopinavir/ritonavir</w:t>
            </w:r>
          </w:p>
          <w:p w14:paraId="35A0FEE5" w14:textId="77777777" w:rsidR="008B7792" w:rsidRPr="008B7792" w:rsidRDefault="008B7792"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8B7792">
              <w:rPr>
                <w:rFonts w:ascii="Arial" w:hAnsi="Arial" w:cs="Arial"/>
                <w:color w:val="000000"/>
                <w:sz w:val="20"/>
                <w:szCs w:val="20"/>
                <w:shd w:val="clear" w:color="auto" w:fill="FFFFFF"/>
                <w:lang w:val="en-US"/>
              </w:rPr>
              <w:t>100/400 mg/12h; 7-10 days</w:t>
            </w:r>
          </w:p>
          <w:p w14:paraId="7443B44B" w14:textId="77777777" w:rsidR="008B7792" w:rsidRPr="008B7792" w:rsidRDefault="008B7792"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p>
          <w:p w14:paraId="64688486" w14:textId="473262C1" w:rsidR="008B7792" w:rsidRPr="008B7792" w:rsidRDefault="008B7792"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8B7792">
              <w:rPr>
                <w:rFonts w:ascii="Arial" w:hAnsi="Arial" w:cs="Arial"/>
                <w:color w:val="000000"/>
                <w:sz w:val="20"/>
                <w:szCs w:val="20"/>
                <w:shd w:val="clear" w:color="auto" w:fill="FFFFFF"/>
                <w:lang w:val="en-US"/>
              </w:rPr>
              <w:t>Hydroxychloroquine</w:t>
            </w:r>
          </w:p>
          <w:p w14:paraId="18B0FC72" w14:textId="77777777" w:rsidR="008B7792" w:rsidRPr="008B7792" w:rsidRDefault="008B7792"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8B7792">
              <w:rPr>
                <w:rFonts w:ascii="Arial" w:hAnsi="Arial" w:cs="Arial"/>
                <w:color w:val="000000"/>
                <w:sz w:val="20"/>
                <w:szCs w:val="20"/>
                <w:shd w:val="clear" w:color="auto" w:fill="FFFFFF"/>
                <w:lang w:val="en-US"/>
              </w:rPr>
              <w:t>200 mg/12h</w:t>
            </w:r>
          </w:p>
          <w:p w14:paraId="7558B677" w14:textId="77777777" w:rsidR="008B7792" w:rsidRPr="008B7792" w:rsidRDefault="008B7792"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p>
          <w:p w14:paraId="675CF65A" w14:textId="1B1EA3B2" w:rsidR="008B7792" w:rsidRPr="008B7792" w:rsidRDefault="008B7792"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8B7792">
              <w:rPr>
                <w:rFonts w:ascii="Arial" w:hAnsi="Arial" w:cs="Arial"/>
                <w:color w:val="000000"/>
                <w:sz w:val="20"/>
                <w:szCs w:val="20"/>
                <w:shd w:val="clear" w:color="auto" w:fill="FFFFFF"/>
                <w:lang w:val="en-US"/>
              </w:rPr>
              <w:t>Azithromycin</w:t>
            </w:r>
          </w:p>
          <w:p w14:paraId="7463D619" w14:textId="77777777" w:rsidR="008B7792" w:rsidRPr="008B7792" w:rsidRDefault="008B7792"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8B7792">
              <w:rPr>
                <w:rFonts w:ascii="Arial" w:hAnsi="Arial" w:cs="Arial"/>
                <w:color w:val="000000"/>
                <w:sz w:val="20"/>
                <w:szCs w:val="20"/>
                <w:shd w:val="clear" w:color="auto" w:fill="FFFFFF"/>
                <w:lang w:val="en-US"/>
              </w:rPr>
              <w:t>500 mg/24h, 3 days</w:t>
            </w:r>
          </w:p>
          <w:p w14:paraId="35198381" w14:textId="77777777" w:rsidR="008B7792" w:rsidRPr="008B7792" w:rsidRDefault="008B7792"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p>
          <w:p w14:paraId="2ED6C09C" w14:textId="017AA5AE" w:rsidR="008B7792" w:rsidRPr="008B7792" w:rsidRDefault="008B7792"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8B7792">
              <w:rPr>
                <w:rFonts w:ascii="Arial" w:hAnsi="Arial" w:cs="Arial"/>
                <w:color w:val="000000"/>
                <w:sz w:val="20"/>
                <w:szCs w:val="20"/>
                <w:shd w:val="clear" w:color="auto" w:fill="FFFFFF"/>
                <w:lang w:val="en-US"/>
              </w:rPr>
              <w:t>Piperacillin/tazobactam</w:t>
            </w:r>
          </w:p>
          <w:p w14:paraId="7FA7E4DA" w14:textId="09E30AEF" w:rsidR="008B7792" w:rsidRPr="008B7792" w:rsidRDefault="008B7792"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8B7792">
              <w:rPr>
                <w:rFonts w:ascii="Arial" w:hAnsi="Arial" w:cs="Arial"/>
                <w:color w:val="000000"/>
                <w:sz w:val="20"/>
                <w:szCs w:val="20"/>
                <w:shd w:val="clear" w:color="auto" w:fill="FFFFFF"/>
                <w:lang w:val="en-US"/>
              </w:rPr>
              <w:t xml:space="preserve">4 g / 0.5 g administered every 6-8 hours for 5-14 days. </w:t>
            </w:r>
          </w:p>
          <w:p w14:paraId="67038AA3" w14:textId="77777777" w:rsidR="008B7792" w:rsidRPr="008B7792" w:rsidRDefault="008B7792"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p>
          <w:p w14:paraId="0DEA6A68" w14:textId="6627221A" w:rsidR="008B7792" w:rsidRPr="008B7792" w:rsidRDefault="008B7792"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8B7792">
              <w:rPr>
                <w:rFonts w:ascii="Arial" w:hAnsi="Arial" w:cs="Arial"/>
                <w:color w:val="000000"/>
                <w:sz w:val="20"/>
                <w:szCs w:val="20"/>
                <w:shd w:val="clear" w:color="auto" w:fill="FFFFFF"/>
                <w:lang w:val="en-US"/>
              </w:rPr>
              <w:t>Low molecular weight heparin</w:t>
            </w:r>
          </w:p>
          <w:p w14:paraId="7500CD6D" w14:textId="77777777" w:rsidR="008B7792" w:rsidRPr="008B7792" w:rsidRDefault="008B7792"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8B7792">
              <w:rPr>
                <w:rFonts w:ascii="Arial" w:hAnsi="Arial" w:cs="Arial"/>
                <w:color w:val="000000"/>
                <w:sz w:val="20"/>
                <w:szCs w:val="20"/>
                <w:shd w:val="clear" w:color="auto" w:fill="FFFFFF"/>
                <w:lang w:val="en-US"/>
              </w:rPr>
              <w:t>prophylactic doses</w:t>
            </w:r>
          </w:p>
          <w:p w14:paraId="3AD5D0E6" w14:textId="77777777" w:rsidR="008B7792" w:rsidRPr="008B7792" w:rsidRDefault="008B7792"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p>
          <w:p w14:paraId="3D0AB9A4" w14:textId="26A40B94" w:rsidR="008B7792" w:rsidRPr="008B7792" w:rsidRDefault="008B7792"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Pr>
                <w:rFonts w:ascii="Arial" w:hAnsi="Arial" w:cs="Arial"/>
                <w:color w:val="000000"/>
                <w:sz w:val="20"/>
                <w:szCs w:val="20"/>
                <w:shd w:val="clear" w:color="auto" w:fill="FFFFFF"/>
                <w:lang w:val="en-US"/>
              </w:rPr>
              <w:t xml:space="preserve">Urbason </w:t>
            </w:r>
            <w:r w:rsidRPr="008B7792">
              <w:rPr>
                <w:rFonts w:ascii="Arial" w:hAnsi="Arial" w:cs="Arial"/>
                <w:color w:val="000000"/>
                <w:sz w:val="20"/>
                <w:szCs w:val="20"/>
                <w:shd w:val="clear" w:color="auto" w:fill="FFFFFF"/>
                <w:lang w:val="en-US"/>
              </w:rPr>
              <w:t>250mg x 3</w:t>
            </w:r>
          </w:p>
          <w:p w14:paraId="641A7D98" w14:textId="77777777" w:rsidR="008B7792" w:rsidRPr="008B7792" w:rsidRDefault="008B7792"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p>
          <w:p w14:paraId="67511D89" w14:textId="7E5CF61E" w:rsidR="008B7792" w:rsidRPr="008B7792" w:rsidRDefault="008B7792"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8B7792">
              <w:rPr>
                <w:rFonts w:ascii="Arial" w:hAnsi="Arial" w:cs="Arial"/>
                <w:color w:val="000000"/>
                <w:sz w:val="20"/>
                <w:szCs w:val="20"/>
                <w:shd w:val="clear" w:color="auto" w:fill="FFFFFF"/>
                <w:lang w:val="en-US"/>
              </w:rPr>
              <w:t>Tocilizumab</w:t>
            </w:r>
          </w:p>
          <w:p w14:paraId="46B6375D" w14:textId="2DE7117F" w:rsidR="008B7792" w:rsidRPr="00124A6C" w:rsidRDefault="008B7792"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8B7792">
              <w:rPr>
                <w:rFonts w:ascii="Arial" w:hAnsi="Arial" w:cs="Arial"/>
                <w:color w:val="000000"/>
                <w:sz w:val="20"/>
                <w:szCs w:val="20"/>
                <w:shd w:val="clear" w:color="auto" w:fill="FFFFFF"/>
                <w:lang w:val="en-US"/>
              </w:rPr>
              <w:t>600mg single dose</w:t>
            </w:r>
          </w:p>
        </w:tc>
        <w:tc>
          <w:tcPr>
            <w:tcW w:w="0" w:type="auto"/>
          </w:tcPr>
          <w:p w14:paraId="5776D46F" w14:textId="2F2BCB99" w:rsidR="008B7792" w:rsidRPr="00124A6C" w:rsidRDefault="008B7792" w:rsidP="008B7792">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124A6C">
              <w:rPr>
                <w:rFonts w:cs="Arial"/>
                <w:lang w:val="en-US"/>
              </w:rPr>
              <w:t>No comparison</w:t>
            </w:r>
          </w:p>
        </w:tc>
        <w:tc>
          <w:tcPr>
            <w:tcW w:w="0" w:type="auto"/>
          </w:tcPr>
          <w:p w14:paraId="04C08483" w14:textId="575E4832" w:rsidR="008B7792" w:rsidRPr="00124A6C" w:rsidRDefault="008B7792"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Pr>
                <w:rFonts w:ascii="Arial" w:hAnsi="Arial" w:cs="Arial"/>
                <w:color w:val="000000"/>
                <w:sz w:val="20"/>
                <w:szCs w:val="20"/>
                <w:shd w:val="clear" w:color="auto" w:fill="FFFFFF"/>
                <w:lang w:val="en-US"/>
              </w:rPr>
              <w:t>O</w:t>
            </w:r>
            <w:r w:rsidRPr="008B7792">
              <w:rPr>
                <w:rFonts w:ascii="Arial" w:hAnsi="Arial" w:cs="Arial"/>
                <w:color w:val="000000"/>
                <w:sz w:val="20"/>
                <w:szCs w:val="20"/>
                <w:shd w:val="clear" w:color="auto" w:fill="FFFFFF"/>
                <w:lang w:val="en-US"/>
              </w:rPr>
              <w:t>xygen therapy de-escalation</w:t>
            </w:r>
            <w:r>
              <w:rPr>
                <w:rFonts w:ascii="Arial" w:hAnsi="Arial" w:cs="Arial"/>
                <w:color w:val="000000"/>
                <w:sz w:val="20"/>
                <w:szCs w:val="20"/>
                <w:shd w:val="clear" w:color="auto" w:fill="FFFFFF"/>
                <w:lang w:val="en-US"/>
              </w:rPr>
              <w:t xml:space="preserve"> and SapO</w:t>
            </w:r>
            <w:r w:rsidRPr="008B7792">
              <w:rPr>
                <w:rFonts w:ascii="Arial" w:hAnsi="Arial" w:cs="Arial"/>
                <w:color w:val="000000"/>
                <w:sz w:val="20"/>
                <w:szCs w:val="20"/>
                <w:shd w:val="clear" w:color="auto" w:fill="FFFFFF"/>
                <w:vertAlign w:val="subscript"/>
                <w:lang w:val="en-US"/>
              </w:rPr>
              <w:t>2</w:t>
            </w:r>
            <w:r>
              <w:rPr>
                <w:rFonts w:ascii="Arial" w:hAnsi="Arial" w:cs="Arial"/>
                <w:color w:val="000000"/>
                <w:sz w:val="20"/>
                <w:szCs w:val="20"/>
                <w:shd w:val="clear" w:color="auto" w:fill="FFFFFF"/>
                <w:lang w:val="en-US"/>
              </w:rPr>
              <w:t xml:space="preserve"> at day 2</w:t>
            </w:r>
          </w:p>
        </w:tc>
      </w:tr>
      <w:tr w:rsidR="00D16ECF" w:rsidRPr="0068569D" w14:paraId="5B043757" w14:textId="77777777" w:rsidTr="00D801A8">
        <w:trPr>
          <w:cnfStyle w:val="000000100000" w:firstRow="0" w:lastRow="0" w:firstColumn="0" w:lastColumn="0" w:oddVBand="0" w:evenVBand="0" w:oddHBand="1" w:evenHBand="0" w:firstRowFirstColumn="0" w:firstRowLastColumn="0" w:lastRowFirstColumn="0" w:lastRowLastColumn="0"/>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016CE084" w14:textId="05FB8713" w:rsidR="008B7792" w:rsidRPr="008B7792" w:rsidRDefault="008B7792" w:rsidP="008B7792">
            <w:pPr>
              <w:rPr>
                <w:rFonts w:ascii="Arial" w:hAnsi="Arial" w:cs="Arial"/>
                <w:b w:val="0"/>
                <w:bCs w:val="0"/>
                <w:color w:val="000000"/>
                <w:sz w:val="20"/>
                <w:szCs w:val="20"/>
                <w:shd w:val="clear" w:color="auto" w:fill="FFFFFF"/>
                <w:lang w:val="en-US"/>
              </w:rPr>
            </w:pPr>
            <w:r w:rsidRPr="008B7792">
              <w:rPr>
                <w:rFonts w:ascii="Arial" w:hAnsi="Arial" w:cs="Arial"/>
                <w:b w:val="0"/>
                <w:bCs w:val="0"/>
                <w:color w:val="000000"/>
                <w:sz w:val="20"/>
                <w:szCs w:val="20"/>
                <w:shd w:val="clear" w:color="auto" w:fill="FFFFFF"/>
                <w:lang w:val="en-US"/>
              </w:rPr>
              <w:t>NCT04423042</w:t>
            </w:r>
          </w:p>
        </w:tc>
        <w:tc>
          <w:tcPr>
            <w:tcW w:w="0" w:type="auto"/>
          </w:tcPr>
          <w:p w14:paraId="48EDDC54" w14:textId="3FD9074B" w:rsidR="008B7792" w:rsidRDefault="008B7792" w:rsidP="008B779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shd w:val="clear" w:color="auto" w:fill="FFFFFF"/>
                <w:lang w:val="en-US"/>
              </w:rPr>
            </w:pPr>
            <w:r>
              <w:rPr>
                <w:rFonts w:ascii="Arial" w:hAnsi="Arial" w:cs="Arial"/>
                <w:color w:val="000000" w:themeColor="text1"/>
                <w:sz w:val="20"/>
                <w:szCs w:val="20"/>
                <w:shd w:val="clear" w:color="auto" w:fill="FFFFFF"/>
                <w:lang w:val="en-US"/>
              </w:rPr>
              <w:t>Not yet recruiting</w:t>
            </w:r>
          </w:p>
        </w:tc>
        <w:tc>
          <w:tcPr>
            <w:tcW w:w="0" w:type="auto"/>
          </w:tcPr>
          <w:p w14:paraId="682A5B14" w14:textId="688D35D7" w:rsidR="008B7792" w:rsidRDefault="008B7792" w:rsidP="008B779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lang w:val="en-US"/>
              </w:rPr>
            </w:pPr>
            <w:r>
              <w:rPr>
                <w:rFonts w:ascii="Arial" w:hAnsi="Arial" w:cs="Arial"/>
                <w:color w:val="000000"/>
                <w:sz w:val="20"/>
                <w:szCs w:val="20"/>
                <w:shd w:val="clear" w:color="auto" w:fill="FFFFFF"/>
                <w:lang w:val="en-US"/>
              </w:rPr>
              <w:t xml:space="preserve">Single-centre </w:t>
            </w:r>
            <w:r w:rsidR="008E20DB">
              <w:rPr>
                <w:rFonts w:ascii="Arial" w:hAnsi="Arial" w:cs="Arial"/>
                <w:color w:val="000000"/>
                <w:sz w:val="20"/>
                <w:szCs w:val="20"/>
                <w:shd w:val="clear" w:color="auto" w:fill="FFFFFF"/>
                <w:lang w:val="en-US"/>
              </w:rPr>
              <w:t>nested cohort</w:t>
            </w:r>
            <w:r>
              <w:rPr>
                <w:rFonts w:ascii="Arial" w:hAnsi="Arial" w:cs="Arial"/>
                <w:color w:val="000000"/>
                <w:sz w:val="20"/>
                <w:szCs w:val="20"/>
                <w:shd w:val="clear" w:color="auto" w:fill="FFFFFF"/>
                <w:lang w:val="en-US"/>
              </w:rPr>
              <w:t xml:space="preserve"> </w:t>
            </w:r>
            <w:r w:rsidR="008E20DB">
              <w:rPr>
                <w:rFonts w:ascii="Arial" w:hAnsi="Arial" w:cs="Arial"/>
                <w:color w:val="000000"/>
                <w:sz w:val="20"/>
                <w:szCs w:val="20"/>
                <w:shd w:val="clear" w:color="auto" w:fill="FFFFFF"/>
                <w:lang w:val="en-US"/>
              </w:rPr>
              <w:t>study</w:t>
            </w:r>
          </w:p>
        </w:tc>
        <w:tc>
          <w:tcPr>
            <w:tcW w:w="0" w:type="auto"/>
          </w:tcPr>
          <w:p w14:paraId="3BF50E65" w14:textId="25605125" w:rsidR="008B7792" w:rsidRDefault="008B7792" w:rsidP="008B7792">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Canada</w:t>
            </w:r>
          </w:p>
        </w:tc>
        <w:tc>
          <w:tcPr>
            <w:tcW w:w="0" w:type="auto"/>
          </w:tcPr>
          <w:p w14:paraId="235C7F49" w14:textId="77777777" w:rsidR="008B7792" w:rsidRDefault="008B7792" w:rsidP="008B7792">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 xml:space="preserve">Hospitalized patients with suspected or confirmed COVID-19 </w:t>
            </w:r>
            <w:r>
              <w:rPr>
                <w:rFonts w:cs="Arial"/>
                <w:lang w:val="en-US"/>
              </w:rPr>
              <w:lastRenderedPageBreak/>
              <w:t>and hyperinflammation</w:t>
            </w:r>
          </w:p>
          <w:p w14:paraId="43360365" w14:textId="23B79D3D" w:rsidR="008B7792" w:rsidRDefault="008B7792" w:rsidP="008B7792">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(n=30)</w:t>
            </w:r>
          </w:p>
        </w:tc>
        <w:tc>
          <w:tcPr>
            <w:tcW w:w="0" w:type="auto"/>
          </w:tcPr>
          <w:p w14:paraId="0A2D1735" w14:textId="02CF841E" w:rsidR="008B7792" w:rsidRPr="008B7792" w:rsidRDefault="00D16ECF" w:rsidP="008B779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lang w:val="en-US"/>
              </w:rPr>
            </w:pPr>
            <w:r w:rsidRPr="00D16ECF">
              <w:rPr>
                <w:rFonts w:ascii="Arial" w:hAnsi="Arial" w:cs="Arial"/>
                <w:color w:val="000000"/>
                <w:sz w:val="20"/>
                <w:szCs w:val="20"/>
                <w:shd w:val="clear" w:color="auto" w:fill="FFFFFF"/>
                <w:lang w:val="en-US"/>
              </w:rPr>
              <w:lastRenderedPageBreak/>
              <w:t xml:space="preserve">Tocilizumab 8 mg/kg </w:t>
            </w:r>
            <w:r>
              <w:rPr>
                <w:rFonts w:ascii="Arial" w:hAnsi="Arial" w:cs="Arial"/>
                <w:color w:val="000000"/>
                <w:sz w:val="20"/>
                <w:szCs w:val="20"/>
                <w:shd w:val="clear" w:color="auto" w:fill="FFFFFF"/>
                <w:lang w:val="en-US"/>
              </w:rPr>
              <w:t>i.v.</w:t>
            </w:r>
            <w:r w:rsidRPr="00D16ECF">
              <w:rPr>
                <w:rFonts w:ascii="Arial" w:hAnsi="Arial" w:cs="Arial"/>
                <w:color w:val="000000"/>
                <w:sz w:val="20"/>
                <w:szCs w:val="20"/>
                <w:shd w:val="clear" w:color="auto" w:fill="FFFFFF"/>
                <w:lang w:val="en-US"/>
              </w:rPr>
              <w:t xml:space="preserve"> </w:t>
            </w:r>
            <w:r>
              <w:rPr>
                <w:rFonts w:ascii="Arial" w:hAnsi="Arial" w:cs="Arial"/>
                <w:color w:val="000000"/>
                <w:sz w:val="20"/>
                <w:szCs w:val="20"/>
                <w:shd w:val="clear" w:color="auto" w:fill="FFFFFF"/>
                <w:lang w:val="en-US"/>
              </w:rPr>
              <w:t>(</w:t>
            </w:r>
            <w:r w:rsidRPr="00D16ECF">
              <w:rPr>
                <w:rFonts w:ascii="Arial" w:hAnsi="Arial" w:cs="Arial"/>
                <w:color w:val="000000"/>
                <w:sz w:val="20"/>
                <w:szCs w:val="20"/>
                <w:shd w:val="clear" w:color="auto" w:fill="FFFFFF"/>
                <w:lang w:val="en-US"/>
              </w:rPr>
              <w:t>up to 800 mg</w:t>
            </w:r>
            <w:r>
              <w:rPr>
                <w:rFonts w:ascii="Arial" w:hAnsi="Arial" w:cs="Arial"/>
                <w:color w:val="000000"/>
                <w:sz w:val="20"/>
                <w:szCs w:val="20"/>
                <w:shd w:val="clear" w:color="auto" w:fill="FFFFFF"/>
                <w:lang w:val="en-US"/>
              </w:rPr>
              <w:t>9</w:t>
            </w:r>
            <w:r w:rsidRPr="00D16ECF">
              <w:rPr>
                <w:rFonts w:ascii="Arial" w:hAnsi="Arial" w:cs="Arial"/>
                <w:color w:val="000000"/>
                <w:sz w:val="20"/>
                <w:szCs w:val="20"/>
                <w:shd w:val="clear" w:color="auto" w:fill="FFFFFF"/>
                <w:lang w:val="en-US"/>
              </w:rPr>
              <w:t xml:space="preserve"> with possible repetition within 28 hours </w:t>
            </w:r>
            <w:r>
              <w:rPr>
                <w:rFonts w:ascii="Arial" w:hAnsi="Arial" w:cs="Arial"/>
                <w:color w:val="000000"/>
                <w:sz w:val="20"/>
                <w:szCs w:val="20"/>
                <w:shd w:val="clear" w:color="auto" w:fill="FFFFFF"/>
                <w:lang w:val="en-US"/>
              </w:rPr>
              <w:t xml:space="preserve">but </w:t>
            </w:r>
            <w:r w:rsidRPr="00D16ECF">
              <w:rPr>
                <w:rFonts w:ascii="Arial" w:hAnsi="Arial" w:cs="Arial"/>
                <w:color w:val="000000"/>
                <w:sz w:val="20"/>
                <w:szCs w:val="20"/>
                <w:shd w:val="clear" w:color="auto" w:fill="FFFFFF"/>
                <w:lang w:val="en-US"/>
              </w:rPr>
              <w:t xml:space="preserve">after 12 hours, based on clinical </w:t>
            </w:r>
            <w:r>
              <w:rPr>
                <w:rFonts w:ascii="Arial" w:hAnsi="Arial" w:cs="Arial"/>
                <w:color w:val="000000"/>
                <w:sz w:val="20"/>
                <w:szCs w:val="20"/>
                <w:shd w:val="clear" w:color="auto" w:fill="FFFFFF"/>
                <w:lang w:val="en-US"/>
              </w:rPr>
              <w:t>judgment</w:t>
            </w:r>
          </w:p>
        </w:tc>
        <w:tc>
          <w:tcPr>
            <w:tcW w:w="0" w:type="auto"/>
          </w:tcPr>
          <w:p w14:paraId="7EDFF3BD" w14:textId="27299F43" w:rsidR="008B7792" w:rsidRPr="00124A6C" w:rsidRDefault="00D16ECF" w:rsidP="008B7792">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No intervention</w:t>
            </w:r>
          </w:p>
        </w:tc>
        <w:tc>
          <w:tcPr>
            <w:tcW w:w="0" w:type="auto"/>
          </w:tcPr>
          <w:p w14:paraId="70968F4C" w14:textId="4D209054" w:rsidR="008B7792" w:rsidRDefault="008B7792" w:rsidP="008B779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lang w:val="en-US"/>
              </w:rPr>
            </w:pPr>
            <w:r w:rsidRPr="008B7792">
              <w:rPr>
                <w:rFonts w:ascii="Arial" w:hAnsi="Arial" w:cs="Arial"/>
                <w:color w:val="000000"/>
                <w:sz w:val="20"/>
                <w:szCs w:val="20"/>
                <w:shd w:val="clear" w:color="auto" w:fill="FFFFFF"/>
                <w:lang w:val="en-US"/>
              </w:rPr>
              <w:t xml:space="preserve">All-cause mortality </w:t>
            </w:r>
            <w:r>
              <w:rPr>
                <w:rFonts w:ascii="Arial" w:hAnsi="Arial" w:cs="Arial"/>
                <w:color w:val="000000"/>
                <w:sz w:val="20"/>
                <w:szCs w:val="20"/>
                <w:shd w:val="clear" w:color="auto" w:fill="FFFFFF"/>
                <w:lang w:val="en-US"/>
              </w:rPr>
              <w:t>at day 30</w:t>
            </w:r>
          </w:p>
        </w:tc>
      </w:tr>
      <w:tr w:rsidR="00C570A9" w:rsidRPr="0068569D" w14:paraId="266D2482" w14:textId="77777777" w:rsidTr="00D801A8">
        <w:trPr>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3450E710" w14:textId="18F2E9ED" w:rsidR="00D16ECF" w:rsidRPr="008B7792" w:rsidRDefault="008E20DB" w:rsidP="008B7792">
            <w:pPr>
              <w:rPr>
                <w:rFonts w:ascii="Arial" w:hAnsi="Arial" w:cs="Arial"/>
                <w:b w:val="0"/>
                <w:bCs w:val="0"/>
                <w:color w:val="000000"/>
                <w:sz w:val="20"/>
                <w:szCs w:val="20"/>
                <w:shd w:val="clear" w:color="auto" w:fill="FFFFFF"/>
                <w:lang w:val="en-US"/>
              </w:rPr>
            </w:pPr>
            <w:r w:rsidRPr="008E20DB">
              <w:rPr>
                <w:rFonts w:ascii="Arial" w:hAnsi="Arial" w:cs="Arial"/>
                <w:b w:val="0"/>
                <w:bCs w:val="0"/>
                <w:color w:val="000000"/>
                <w:sz w:val="20"/>
                <w:szCs w:val="20"/>
                <w:shd w:val="clear" w:color="auto" w:fill="FFFFFF"/>
                <w:lang w:val="en-US"/>
              </w:rPr>
              <w:t>NCT04409262</w:t>
            </w:r>
          </w:p>
        </w:tc>
        <w:tc>
          <w:tcPr>
            <w:tcW w:w="0" w:type="auto"/>
          </w:tcPr>
          <w:p w14:paraId="1EBD2F39" w14:textId="42D2DD39" w:rsidR="00D16ECF" w:rsidRDefault="008E20DB"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shd w:val="clear" w:color="auto" w:fill="FFFFFF"/>
                <w:lang w:val="en-US"/>
              </w:rPr>
            </w:pPr>
            <w:r>
              <w:rPr>
                <w:rFonts w:ascii="Arial" w:hAnsi="Arial" w:cs="Arial"/>
                <w:color w:val="000000" w:themeColor="text1"/>
                <w:sz w:val="20"/>
                <w:szCs w:val="20"/>
                <w:shd w:val="clear" w:color="auto" w:fill="FFFFFF"/>
                <w:lang w:val="en-US"/>
              </w:rPr>
              <w:t>Recruiting</w:t>
            </w:r>
          </w:p>
        </w:tc>
        <w:tc>
          <w:tcPr>
            <w:tcW w:w="0" w:type="auto"/>
          </w:tcPr>
          <w:p w14:paraId="5AC97273" w14:textId="7C1F3498" w:rsidR="00D16ECF" w:rsidRDefault="008E20DB" w:rsidP="008B779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Pr>
                <w:rFonts w:ascii="Arial" w:hAnsi="Arial" w:cs="Arial"/>
                <w:color w:val="000000"/>
                <w:sz w:val="20"/>
                <w:szCs w:val="20"/>
                <w:shd w:val="clear" w:color="auto" w:fill="FFFFFF"/>
                <w:lang w:val="en-US"/>
              </w:rPr>
              <w:t>Multicentre RCT</w:t>
            </w:r>
          </w:p>
        </w:tc>
        <w:tc>
          <w:tcPr>
            <w:tcW w:w="0" w:type="auto"/>
          </w:tcPr>
          <w:p w14:paraId="7D389052" w14:textId="448173B4" w:rsidR="00D16ECF" w:rsidRDefault="008E20DB" w:rsidP="008B7792">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USA, Brazil</w:t>
            </w:r>
          </w:p>
        </w:tc>
        <w:tc>
          <w:tcPr>
            <w:tcW w:w="0" w:type="auto"/>
          </w:tcPr>
          <w:p w14:paraId="7E05A53A" w14:textId="5F6B6594" w:rsidR="00D16ECF" w:rsidRDefault="008E20DB" w:rsidP="008B7792">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Hospitalized patients with confirmed COVID-19 (n=450)</w:t>
            </w:r>
          </w:p>
        </w:tc>
        <w:tc>
          <w:tcPr>
            <w:tcW w:w="0" w:type="auto"/>
          </w:tcPr>
          <w:p w14:paraId="39A0A39F" w14:textId="1D1D51A7" w:rsidR="00D16ECF" w:rsidRPr="00D16ECF" w:rsidRDefault="008E20DB"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Pr>
                <w:rFonts w:ascii="Arial" w:hAnsi="Arial" w:cs="Arial"/>
                <w:color w:val="000000"/>
                <w:sz w:val="20"/>
                <w:szCs w:val="20"/>
                <w:shd w:val="clear" w:color="auto" w:fill="FFFFFF"/>
                <w:lang w:val="en-US"/>
              </w:rPr>
              <w:t>Remdesivir</w:t>
            </w:r>
            <w:r w:rsidRPr="008E20DB">
              <w:rPr>
                <w:rFonts w:ascii="Arial" w:hAnsi="Arial" w:cs="Arial"/>
                <w:color w:val="000000"/>
                <w:sz w:val="20"/>
                <w:szCs w:val="20"/>
                <w:shd w:val="clear" w:color="auto" w:fill="FFFFFF"/>
                <w:lang w:val="en-US"/>
              </w:rPr>
              <w:t xml:space="preserve"> loading dose followed by TCZ on </w:t>
            </w:r>
            <w:r>
              <w:rPr>
                <w:rFonts w:ascii="Arial" w:hAnsi="Arial" w:cs="Arial"/>
                <w:color w:val="000000"/>
                <w:sz w:val="20"/>
                <w:szCs w:val="20"/>
                <w:shd w:val="clear" w:color="auto" w:fill="FFFFFF"/>
                <w:lang w:val="en-US"/>
              </w:rPr>
              <w:t>d</w:t>
            </w:r>
            <w:r w:rsidRPr="008E20DB">
              <w:rPr>
                <w:rFonts w:ascii="Arial" w:hAnsi="Arial" w:cs="Arial"/>
                <w:color w:val="000000"/>
                <w:sz w:val="20"/>
                <w:szCs w:val="20"/>
                <w:shd w:val="clear" w:color="auto" w:fill="FFFFFF"/>
                <w:lang w:val="en-US"/>
              </w:rPr>
              <w:t>ay 1, and a once</w:t>
            </w:r>
            <w:r w:rsidR="00145F57">
              <w:rPr>
                <w:rFonts w:ascii="Arial" w:hAnsi="Arial" w:cs="Arial"/>
                <w:color w:val="000000"/>
                <w:sz w:val="20"/>
                <w:szCs w:val="20"/>
                <w:shd w:val="clear" w:color="auto" w:fill="FFFFFF"/>
                <w:lang w:val="en-US"/>
              </w:rPr>
              <w:t xml:space="preserve"> </w:t>
            </w:r>
            <w:r w:rsidRPr="008E20DB">
              <w:rPr>
                <w:rFonts w:ascii="Arial" w:hAnsi="Arial" w:cs="Arial"/>
                <w:color w:val="000000"/>
                <w:sz w:val="20"/>
                <w:szCs w:val="20"/>
                <w:shd w:val="clear" w:color="auto" w:fill="FFFFFF"/>
                <w:lang w:val="en-US"/>
              </w:rPr>
              <w:t xml:space="preserve">daily remdesivir from </w:t>
            </w:r>
            <w:r>
              <w:rPr>
                <w:rFonts w:ascii="Arial" w:hAnsi="Arial" w:cs="Arial"/>
                <w:color w:val="000000"/>
                <w:sz w:val="20"/>
                <w:szCs w:val="20"/>
                <w:shd w:val="clear" w:color="auto" w:fill="FFFFFF"/>
                <w:lang w:val="en-US"/>
              </w:rPr>
              <w:t>d</w:t>
            </w:r>
            <w:r w:rsidRPr="008E20DB">
              <w:rPr>
                <w:rFonts w:ascii="Arial" w:hAnsi="Arial" w:cs="Arial"/>
                <w:color w:val="000000"/>
                <w:sz w:val="20"/>
                <w:szCs w:val="20"/>
                <w:shd w:val="clear" w:color="auto" w:fill="FFFFFF"/>
                <w:lang w:val="en-US"/>
              </w:rPr>
              <w:t>ay 2</w:t>
            </w:r>
            <w:r>
              <w:rPr>
                <w:rFonts w:ascii="Arial" w:hAnsi="Arial" w:cs="Arial"/>
                <w:color w:val="000000"/>
                <w:sz w:val="20"/>
                <w:szCs w:val="20"/>
                <w:shd w:val="clear" w:color="auto" w:fill="FFFFFF"/>
                <w:lang w:val="en-US"/>
              </w:rPr>
              <w:t xml:space="preserve"> to </w:t>
            </w:r>
            <w:r w:rsidRPr="008E20DB">
              <w:rPr>
                <w:rFonts w:ascii="Arial" w:hAnsi="Arial" w:cs="Arial"/>
                <w:color w:val="000000"/>
                <w:sz w:val="20"/>
                <w:szCs w:val="20"/>
                <w:shd w:val="clear" w:color="auto" w:fill="FFFFFF"/>
                <w:lang w:val="en-US"/>
              </w:rPr>
              <w:t>10</w:t>
            </w:r>
          </w:p>
        </w:tc>
        <w:tc>
          <w:tcPr>
            <w:tcW w:w="0" w:type="auto"/>
          </w:tcPr>
          <w:p w14:paraId="62B1E6D9" w14:textId="01D860BF" w:rsidR="00D16ECF" w:rsidRDefault="008E20DB" w:rsidP="008B7792">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Pr>
                <w:rFonts w:cs="Arial"/>
                <w:shd w:val="clear" w:color="auto" w:fill="FFFFFF"/>
                <w:lang w:val="en-US"/>
              </w:rPr>
              <w:t>Remdesivir</w:t>
            </w:r>
            <w:r w:rsidRPr="008E20DB">
              <w:rPr>
                <w:rFonts w:cs="Arial"/>
                <w:shd w:val="clear" w:color="auto" w:fill="FFFFFF"/>
                <w:lang w:val="en-US"/>
              </w:rPr>
              <w:t xml:space="preserve"> </w:t>
            </w:r>
            <w:r w:rsidRPr="008E20DB">
              <w:rPr>
                <w:rFonts w:cs="Arial"/>
                <w:lang w:val="en-US"/>
              </w:rPr>
              <w:t xml:space="preserve">loading dose followed by one infusion of placebo on </w:t>
            </w:r>
            <w:r>
              <w:rPr>
                <w:rFonts w:cs="Arial"/>
                <w:lang w:val="en-US"/>
              </w:rPr>
              <w:t>d</w:t>
            </w:r>
            <w:r w:rsidRPr="008E20DB">
              <w:rPr>
                <w:rFonts w:cs="Arial"/>
                <w:lang w:val="en-US"/>
              </w:rPr>
              <w:t>ay 1, and a once</w:t>
            </w:r>
            <w:r w:rsidR="00145F57">
              <w:rPr>
                <w:rFonts w:cs="Arial"/>
                <w:lang w:val="en-US"/>
              </w:rPr>
              <w:t xml:space="preserve"> </w:t>
            </w:r>
            <w:r w:rsidRPr="008E20DB">
              <w:rPr>
                <w:rFonts w:cs="Arial"/>
                <w:lang w:val="en-US"/>
              </w:rPr>
              <w:t>daily</w:t>
            </w:r>
            <w:r>
              <w:rPr>
                <w:rFonts w:cs="Arial"/>
                <w:lang w:val="en-US"/>
              </w:rPr>
              <w:t xml:space="preserve"> </w:t>
            </w:r>
            <w:r w:rsidRPr="008E20DB">
              <w:rPr>
                <w:rFonts w:cs="Arial"/>
                <w:shd w:val="clear" w:color="auto" w:fill="FFFFFF"/>
                <w:lang w:val="en-US"/>
              </w:rPr>
              <w:t xml:space="preserve">remdesivir from </w:t>
            </w:r>
            <w:r>
              <w:rPr>
                <w:rFonts w:cs="Arial"/>
                <w:shd w:val="clear" w:color="auto" w:fill="FFFFFF"/>
                <w:lang w:val="en-US"/>
              </w:rPr>
              <w:t>d</w:t>
            </w:r>
            <w:r w:rsidRPr="008E20DB">
              <w:rPr>
                <w:rFonts w:cs="Arial"/>
                <w:shd w:val="clear" w:color="auto" w:fill="FFFFFF"/>
                <w:lang w:val="en-US"/>
              </w:rPr>
              <w:t>ay 2</w:t>
            </w:r>
            <w:r>
              <w:rPr>
                <w:rFonts w:cs="Arial"/>
                <w:shd w:val="clear" w:color="auto" w:fill="FFFFFF"/>
                <w:lang w:val="en-US"/>
              </w:rPr>
              <w:t xml:space="preserve"> to </w:t>
            </w:r>
            <w:r w:rsidRPr="008E20DB">
              <w:rPr>
                <w:rFonts w:cs="Arial"/>
                <w:shd w:val="clear" w:color="auto" w:fill="FFFFFF"/>
                <w:lang w:val="en-US"/>
              </w:rPr>
              <w:t>10</w:t>
            </w:r>
          </w:p>
        </w:tc>
        <w:tc>
          <w:tcPr>
            <w:tcW w:w="0" w:type="auto"/>
          </w:tcPr>
          <w:p w14:paraId="5DF1F5BC" w14:textId="29491B92" w:rsidR="00D16ECF" w:rsidRPr="008B7792" w:rsidRDefault="008E20DB" w:rsidP="008B779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8E20DB">
              <w:rPr>
                <w:rFonts w:ascii="Arial" w:hAnsi="Arial" w:cs="Arial"/>
                <w:color w:val="000000"/>
                <w:sz w:val="20"/>
                <w:szCs w:val="20"/>
                <w:shd w:val="clear" w:color="auto" w:fill="FFFFFF"/>
                <w:lang w:val="en-US"/>
              </w:rPr>
              <w:t>7-Category Ordinal Scale of Clinical Status on Day 28</w:t>
            </w:r>
          </w:p>
        </w:tc>
      </w:tr>
      <w:tr w:rsidR="008E20DB" w:rsidRPr="00DA670D" w14:paraId="222877D8" w14:textId="77777777" w:rsidTr="00D801A8">
        <w:trPr>
          <w:cnfStyle w:val="000000100000" w:firstRow="0" w:lastRow="0" w:firstColumn="0" w:lastColumn="0" w:oddVBand="0" w:evenVBand="0" w:oddHBand="1" w:evenHBand="0" w:firstRowFirstColumn="0" w:firstRowLastColumn="0" w:lastRowFirstColumn="0" w:lastRowLastColumn="0"/>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3F5B7C67" w14:textId="6117B813" w:rsidR="008E20DB" w:rsidRPr="008E20DB" w:rsidRDefault="008E20DB" w:rsidP="008B7792">
            <w:pPr>
              <w:rPr>
                <w:rFonts w:ascii="Arial" w:hAnsi="Arial" w:cs="Arial"/>
                <w:b w:val="0"/>
                <w:bCs w:val="0"/>
                <w:color w:val="000000"/>
                <w:sz w:val="20"/>
                <w:szCs w:val="20"/>
                <w:shd w:val="clear" w:color="auto" w:fill="FFFFFF"/>
                <w:lang w:val="en-US"/>
              </w:rPr>
            </w:pPr>
            <w:r w:rsidRPr="008E20DB">
              <w:rPr>
                <w:rFonts w:ascii="Arial" w:hAnsi="Arial" w:cs="Arial"/>
                <w:b w:val="0"/>
                <w:bCs w:val="0"/>
                <w:color w:val="000000"/>
                <w:sz w:val="20"/>
                <w:szCs w:val="20"/>
                <w:shd w:val="clear" w:color="auto" w:fill="FFFFFF"/>
                <w:lang w:val="en-US"/>
              </w:rPr>
              <w:t>NCT04412291</w:t>
            </w:r>
          </w:p>
        </w:tc>
        <w:tc>
          <w:tcPr>
            <w:tcW w:w="0" w:type="auto"/>
          </w:tcPr>
          <w:p w14:paraId="33C04A65" w14:textId="44D27269" w:rsidR="008E20DB" w:rsidRDefault="008E20DB" w:rsidP="008B779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shd w:val="clear" w:color="auto" w:fill="FFFFFF"/>
                <w:lang w:val="en-US"/>
              </w:rPr>
            </w:pPr>
            <w:r>
              <w:rPr>
                <w:rFonts w:ascii="Arial" w:hAnsi="Arial" w:cs="Arial"/>
                <w:color w:val="000000" w:themeColor="text1"/>
                <w:sz w:val="20"/>
                <w:szCs w:val="20"/>
                <w:shd w:val="clear" w:color="auto" w:fill="FFFFFF"/>
                <w:lang w:val="en-US"/>
              </w:rPr>
              <w:t>Not yet recruiting</w:t>
            </w:r>
          </w:p>
        </w:tc>
        <w:tc>
          <w:tcPr>
            <w:tcW w:w="0" w:type="auto"/>
          </w:tcPr>
          <w:p w14:paraId="72F2C966" w14:textId="29238652" w:rsidR="008E20DB" w:rsidRDefault="008E20DB" w:rsidP="008B779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lang w:val="en-US"/>
              </w:rPr>
            </w:pPr>
            <w:r>
              <w:rPr>
                <w:rFonts w:ascii="Arial" w:hAnsi="Arial" w:cs="Arial"/>
                <w:color w:val="000000"/>
                <w:sz w:val="20"/>
                <w:szCs w:val="20"/>
                <w:shd w:val="clear" w:color="auto" w:fill="FFFFFF"/>
                <w:lang w:val="en-US"/>
              </w:rPr>
              <w:t>Single-centre RCT</w:t>
            </w:r>
          </w:p>
        </w:tc>
        <w:tc>
          <w:tcPr>
            <w:tcW w:w="0" w:type="auto"/>
          </w:tcPr>
          <w:p w14:paraId="67253D8C" w14:textId="094EABC4" w:rsidR="008E20DB" w:rsidRDefault="008E20DB" w:rsidP="008B7792">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Sweden</w:t>
            </w:r>
          </w:p>
        </w:tc>
        <w:tc>
          <w:tcPr>
            <w:tcW w:w="0" w:type="auto"/>
          </w:tcPr>
          <w:p w14:paraId="4F07D1A0" w14:textId="77777777" w:rsidR="008E20DB" w:rsidRDefault="008E20DB" w:rsidP="008B7792">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Hospitalized patients with confirmed COVID-19</w:t>
            </w:r>
          </w:p>
          <w:p w14:paraId="1AB7087E" w14:textId="25385F3C" w:rsidR="008E20DB" w:rsidRDefault="008E20DB" w:rsidP="008B7792">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(n=120)</w:t>
            </w:r>
          </w:p>
        </w:tc>
        <w:tc>
          <w:tcPr>
            <w:tcW w:w="0" w:type="auto"/>
          </w:tcPr>
          <w:p w14:paraId="7CB7B651" w14:textId="42E43592" w:rsidR="008E20DB" w:rsidRDefault="008E20DB" w:rsidP="008E20DB">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lang w:val="en-US"/>
              </w:rPr>
            </w:pPr>
            <w:r w:rsidRPr="008E20DB">
              <w:rPr>
                <w:rFonts w:ascii="Arial" w:hAnsi="Arial" w:cs="Arial"/>
                <w:color w:val="000000"/>
                <w:sz w:val="20"/>
                <w:szCs w:val="20"/>
                <w:shd w:val="clear" w:color="auto" w:fill="FFFFFF"/>
                <w:lang w:val="en-US"/>
              </w:rPr>
              <w:t xml:space="preserve">Tocilizumab 8mg/kg single infusion iv </w:t>
            </w:r>
            <w:r>
              <w:rPr>
                <w:rFonts w:ascii="Arial" w:hAnsi="Arial" w:cs="Arial"/>
                <w:color w:val="000000"/>
                <w:sz w:val="20"/>
                <w:szCs w:val="20"/>
                <w:shd w:val="clear" w:color="auto" w:fill="FFFFFF"/>
                <w:lang w:val="en-US"/>
              </w:rPr>
              <w:t>(</w:t>
            </w:r>
            <w:r w:rsidRPr="008E20DB">
              <w:rPr>
                <w:rFonts w:ascii="Arial" w:hAnsi="Arial" w:cs="Arial"/>
                <w:color w:val="000000"/>
                <w:sz w:val="20"/>
                <w:szCs w:val="20"/>
                <w:shd w:val="clear" w:color="auto" w:fill="FFFFFF"/>
                <w:lang w:val="en-US"/>
              </w:rPr>
              <w:t>up to 800 mg</w:t>
            </w:r>
            <w:r>
              <w:rPr>
                <w:rFonts w:ascii="Arial" w:hAnsi="Arial" w:cs="Arial"/>
                <w:color w:val="000000"/>
                <w:sz w:val="20"/>
                <w:szCs w:val="20"/>
                <w:shd w:val="clear" w:color="auto" w:fill="FFFFFF"/>
                <w:lang w:val="en-US"/>
              </w:rPr>
              <w:t>),</w:t>
            </w:r>
            <w:r w:rsidRPr="008E20DB">
              <w:rPr>
                <w:rFonts w:ascii="Arial" w:hAnsi="Arial" w:cs="Arial"/>
                <w:color w:val="000000"/>
                <w:sz w:val="20"/>
                <w:szCs w:val="20"/>
                <w:shd w:val="clear" w:color="auto" w:fill="FFFFFF"/>
                <w:lang w:val="en-US"/>
              </w:rPr>
              <w:t xml:space="preserve"> </w:t>
            </w:r>
            <w:r>
              <w:rPr>
                <w:rFonts w:ascii="Arial" w:hAnsi="Arial" w:cs="Arial"/>
                <w:color w:val="000000"/>
                <w:sz w:val="20"/>
                <w:szCs w:val="20"/>
                <w:shd w:val="clear" w:color="auto" w:fill="FFFFFF"/>
                <w:lang w:val="en-US"/>
              </w:rPr>
              <w:t>second dose if</w:t>
            </w:r>
            <w:r w:rsidRPr="008E20DB">
              <w:rPr>
                <w:rFonts w:ascii="Arial" w:hAnsi="Arial" w:cs="Arial"/>
                <w:color w:val="000000"/>
                <w:sz w:val="20"/>
                <w:szCs w:val="20"/>
                <w:shd w:val="clear" w:color="auto" w:fill="FFFFFF"/>
                <w:lang w:val="en-US"/>
              </w:rPr>
              <w:t xml:space="preserve"> no clinical response after 2 days.</w:t>
            </w:r>
          </w:p>
          <w:p w14:paraId="3261EC79" w14:textId="6C8EE9B4" w:rsidR="008E20DB" w:rsidRPr="008E20DB" w:rsidRDefault="008E20DB" w:rsidP="008E20DB">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lang w:val="en-US"/>
              </w:rPr>
            </w:pPr>
            <w:r w:rsidRPr="008E20DB">
              <w:rPr>
                <w:rFonts w:ascii="Arial" w:hAnsi="Arial" w:cs="Arial"/>
                <w:color w:val="000000"/>
                <w:sz w:val="20"/>
                <w:szCs w:val="20"/>
                <w:shd w:val="clear" w:color="auto" w:fill="FFFFFF"/>
                <w:lang w:val="en-US"/>
              </w:rPr>
              <w:t>Anakinra 400mg per day (divided in 4 doses of 100 mg iv every 6 hours) for 7 days</w:t>
            </w:r>
          </w:p>
          <w:p w14:paraId="7ACD7B13" w14:textId="77777777" w:rsidR="008E20DB" w:rsidRPr="008E20DB" w:rsidRDefault="008E20DB" w:rsidP="008B779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lang w:val="en-US"/>
              </w:rPr>
            </w:pPr>
          </w:p>
        </w:tc>
        <w:tc>
          <w:tcPr>
            <w:tcW w:w="0" w:type="auto"/>
          </w:tcPr>
          <w:p w14:paraId="37F775AC" w14:textId="58A9BBC4" w:rsidR="008E20DB" w:rsidRPr="008E20DB" w:rsidRDefault="008E20DB" w:rsidP="008B7792">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Standard care</w:t>
            </w:r>
          </w:p>
        </w:tc>
        <w:tc>
          <w:tcPr>
            <w:tcW w:w="0" w:type="auto"/>
          </w:tcPr>
          <w:p w14:paraId="2B6A255F" w14:textId="52898939" w:rsidR="008E20DB" w:rsidRPr="008E20DB" w:rsidRDefault="008E20DB" w:rsidP="008B779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lang w:val="en-US"/>
              </w:rPr>
            </w:pPr>
            <w:r w:rsidRPr="008E20DB">
              <w:rPr>
                <w:rFonts w:ascii="Arial" w:hAnsi="Arial" w:cs="Arial"/>
                <w:color w:val="000000"/>
                <w:sz w:val="20"/>
                <w:szCs w:val="20"/>
                <w:shd w:val="clear" w:color="auto" w:fill="FFFFFF"/>
                <w:lang w:val="en-US"/>
              </w:rPr>
              <w:t>Time to recovery</w:t>
            </w:r>
          </w:p>
        </w:tc>
      </w:tr>
      <w:tr w:rsidR="008E20DB" w:rsidRPr="0068569D" w14:paraId="7EEFC66B" w14:textId="77777777" w:rsidTr="00D801A8">
        <w:trPr>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6A94A1E4" w14:textId="49FF2B4A" w:rsidR="008E20DB" w:rsidRPr="008E20DB" w:rsidRDefault="008E20DB" w:rsidP="008E20DB">
            <w:pPr>
              <w:rPr>
                <w:rFonts w:ascii="Arial" w:hAnsi="Arial" w:cs="Arial"/>
                <w:b w:val="0"/>
                <w:bCs w:val="0"/>
                <w:color w:val="000000"/>
                <w:sz w:val="20"/>
                <w:szCs w:val="20"/>
                <w:shd w:val="clear" w:color="auto" w:fill="FFFFFF"/>
                <w:lang w:val="en-US"/>
              </w:rPr>
            </w:pPr>
            <w:r w:rsidRPr="008E20DB">
              <w:rPr>
                <w:rFonts w:ascii="Arial" w:hAnsi="Arial" w:cs="Arial"/>
                <w:b w:val="0"/>
                <w:bCs w:val="0"/>
                <w:color w:val="000000"/>
                <w:sz w:val="20"/>
                <w:szCs w:val="20"/>
                <w:shd w:val="clear" w:color="auto" w:fill="FFFFFF"/>
                <w:lang w:val="en-US"/>
              </w:rPr>
              <w:t>NCT04424056</w:t>
            </w:r>
          </w:p>
        </w:tc>
        <w:tc>
          <w:tcPr>
            <w:tcW w:w="0" w:type="auto"/>
          </w:tcPr>
          <w:p w14:paraId="6313A76E" w14:textId="18A4DDA3" w:rsidR="008E20DB" w:rsidRDefault="008E20DB" w:rsidP="008E20D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shd w:val="clear" w:color="auto" w:fill="FFFFFF"/>
                <w:lang w:val="en-US"/>
              </w:rPr>
            </w:pPr>
            <w:r>
              <w:rPr>
                <w:rFonts w:ascii="Arial" w:hAnsi="Arial" w:cs="Arial"/>
                <w:color w:val="000000" w:themeColor="text1"/>
                <w:sz w:val="20"/>
                <w:szCs w:val="20"/>
                <w:shd w:val="clear" w:color="auto" w:fill="FFFFFF"/>
                <w:lang w:val="en-US"/>
              </w:rPr>
              <w:t>Not yet recruiting</w:t>
            </w:r>
          </w:p>
        </w:tc>
        <w:tc>
          <w:tcPr>
            <w:tcW w:w="0" w:type="auto"/>
          </w:tcPr>
          <w:p w14:paraId="040B0D9E" w14:textId="517F0CD6" w:rsidR="008E20DB" w:rsidRDefault="008E20DB" w:rsidP="008E20D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Pr>
                <w:rFonts w:ascii="Arial" w:hAnsi="Arial" w:cs="Arial"/>
                <w:color w:val="000000"/>
                <w:sz w:val="20"/>
                <w:szCs w:val="20"/>
                <w:shd w:val="clear" w:color="auto" w:fill="FFFFFF"/>
                <w:lang w:val="en-US"/>
              </w:rPr>
              <w:t>Single-centre RCT</w:t>
            </w:r>
          </w:p>
        </w:tc>
        <w:tc>
          <w:tcPr>
            <w:tcW w:w="0" w:type="auto"/>
          </w:tcPr>
          <w:p w14:paraId="37161408" w14:textId="3ADB6BF3" w:rsidR="008E20DB" w:rsidRDefault="008E20DB" w:rsidP="008E20DB">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France</w:t>
            </w:r>
          </w:p>
        </w:tc>
        <w:tc>
          <w:tcPr>
            <w:tcW w:w="0" w:type="auto"/>
          </w:tcPr>
          <w:p w14:paraId="0C0374C5" w14:textId="77777777" w:rsidR="008E20DB" w:rsidRDefault="008E20DB" w:rsidP="008E20DB">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 xml:space="preserve">Hospitalized patients with confirmed COVID-19 </w:t>
            </w:r>
          </w:p>
          <w:p w14:paraId="650B4222" w14:textId="4DCDCE98" w:rsidR="008E20DB" w:rsidRDefault="008E20DB" w:rsidP="008E20DB">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(n=216)</w:t>
            </w:r>
          </w:p>
        </w:tc>
        <w:tc>
          <w:tcPr>
            <w:tcW w:w="0" w:type="auto"/>
          </w:tcPr>
          <w:p w14:paraId="6B821411" w14:textId="3616E163" w:rsidR="008E20DB" w:rsidRDefault="00145F57" w:rsidP="008E20DB">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45F57">
              <w:rPr>
                <w:rFonts w:ascii="Arial" w:hAnsi="Arial" w:cs="Arial"/>
                <w:color w:val="000000"/>
                <w:sz w:val="20"/>
                <w:szCs w:val="20"/>
                <w:shd w:val="clear" w:color="auto" w:fill="FFFFFF"/>
                <w:lang w:val="en-US"/>
              </w:rPr>
              <w:t>Tocilizumab +/- Ru</w:t>
            </w:r>
            <w:r>
              <w:rPr>
                <w:rFonts w:ascii="Arial" w:hAnsi="Arial" w:cs="Arial"/>
                <w:color w:val="000000"/>
                <w:sz w:val="20"/>
                <w:szCs w:val="20"/>
                <w:shd w:val="clear" w:color="auto" w:fill="FFFFFF"/>
                <w:lang w:val="en-US"/>
              </w:rPr>
              <w:t>x</w:t>
            </w:r>
            <w:r w:rsidRPr="00145F57">
              <w:rPr>
                <w:rFonts w:ascii="Arial" w:hAnsi="Arial" w:cs="Arial"/>
                <w:color w:val="000000"/>
                <w:sz w:val="20"/>
                <w:szCs w:val="20"/>
                <w:shd w:val="clear" w:color="auto" w:fill="FFFFFF"/>
                <w:lang w:val="en-US"/>
              </w:rPr>
              <w:t>olitinib</w:t>
            </w:r>
          </w:p>
          <w:p w14:paraId="0C687BF5" w14:textId="5E836BBA" w:rsidR="00145F57" w:rsidRDefault="00145F57" w:rsidP="008E20DB">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Pr>
                <w:rFonts w:ascii="Arial" w:hAnsi="Arial" w:cs="Arial"/>
                <w:color w:val="000000"/>
                <w:sz w:val="20"/>
                <w:szCs w:val="20"/>
                <w:shd w:val="clear" w:color="auto" w:fill="FFFFFF"/>
                <w:lang w:val="en-US"/>
              </w:rPr>
              <w:t xml:space="preserve">or </w:t>
            </w:r>
          </w:p>
          <w:p w14:paraId="7BF4FA46" w14:textId="1A82D842" w:rsidR="00145F57" w:rsidRPr="008E20DB" w:rsidRDefault="00145F57" w:rsidP="008E20DB">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45F57">
              <w:rPr>
                <w:rFonts w:ascii="Arial" w:hAnsi="Arial" w:cs="Arial"/>
                <w:color w:val="000000"/>
                <w:sz w:val="20"/>
                <w:szCs w:val="20"/>
                <w:shd w:val="clear" w:color="auto" w:fill="FFFFFF"/>
                <w:lang w:val="en-US"/>
              </w:rPr>
              <w:t>Anakinra +/- Ruxolitinib</w:t>
            </w:r>
          </w:p>
        </w:tc>
        <w:tc>
          <w:tcPr>
            <w:tcW w:w="0" w:type="auto"/>
          </w:tcPr>
          <w:p w14:paraId="00324D2A" w14:textId="7C730D7C" w:rsidR="008E20DB" w:rsidRDefault="008E20DB" w:rsidP="008E20DB">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Standard care</w:t>
            </w:r>
          </w:p>
        </w:tc>
        <w:tc>
          <w:tcPr>
            <w:tcW w:w="0" w:type="auto"/>
          </w:tcPr>
          <w:p w14:paraId="24C6EFF1" w14:textId="4AF1E3F6" w:rsidR="008E20DB" w:rsidRPr="008E20DB" w:rsidRDefault="00145F57" w:rsidP="008E20DB">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145F57">
              <w:rPr>
                <w:rFonts w:ascii="Arial" w:hAnsi="Arial" w:cs="Arial"/>
                <w:color w:val="000000"/>
                <w:sz w:val="20"/>
                <w:szCs w:val="20"/>
                <w:shd w:val="clear" w:color="auto" w:fill="FFFFFF"/>
                <w:lang w:val="en-US"/>
              </w:rPr>
              <w:t xml:space="preserve">Ventilation free days at </w:t>
            </w:r>
            <w:r>
              <w:rPr>
                <w:rFonts w:ascii="Arial" w:hAnsi="Arial" w:cs="Arial"/>
                <w:color w:val="000000"/>
                <w:sz w:val="20"/>
                <w:szCs w:val="20"/>
                <w:shd w:val="clear" w:color="auto" w:fill="FFFFFF"/>
                <w:lang w:val="en-US"/>
              </w:rPr>
              <w:t>day 28</w:t>
            </w:r>
          </w:p>
        </w:tc>
      </w:tr>
      <w:tr w:rsidR="00145F57" w:rsidRPr="0068569D" w14:paraId="727641FD" w14:textId="77777777" w:rsidTr="00D801A8">
        <w:trPr>
          <w:cnfStyle w:val="000000100000" w:firstRow="0" w:lastRow="0" w:firstColumn="0" w:lastColumn="0" w:oddVBand="0" w:evenVBand="0" w:oddHBand="1" w:evenHBand="0" w:firstRowFirstColumn="0" w:firstRowLastColumn="0" w:lastRowFirstColumn="0" w:lastRowLastColumn="0"/>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74519DD2" w14:textId="515E294E" w:rsidR="00145F57" w:rsidRPr="00145F57" w:rsidRDefault="00145F57" w:rsidP="008E20DB">
            <w:pPr>
              <w:rPr>
                <w:rFonts w:ascii="Arial" w:hAnsi="Arial" w:cs="Arial"/>
                <w:b w:val="0"/>
                <w:bCs w:val="0"/>
                <w:color w:val="000000"/>
                <w:sz w:val="20"/>
                <w:szCs w:val="20"/>
                <w:shd w:val="clear" w:color="auto" w:fill="FFFFFF"/>
                <w:lang w:val="en-US"/>
              </w:rPr>
            </w:pPr>
            <w:r w:rsidRPr="00145F57">
              <w:rPr>
                <w:rFonts w:ascii="Arial" w:hAnsi="Arial" w:cs="Arial"/>
                <w:b w:val="0"/>
                <w:bCs w:val="0"/>
                <w:color w:val="000000"/>
                <w:sz w:val="20"/>
                <w:szCs w:val="20"/>
                <w:shd w:val="clear" w:color="auto" w:fill="FFFFFF"/>
                <w:lang w:val="en-US"/>
              </w:rPr>
              <w:t>NCT04412772</w:t>
            </w:r>
          </w:p>
        </w:tc>
        <w:tc>
          <w:tcPr>
            <w:tcW w:w="0" w:type="auto"/>
          </w:tcPr>
          <w:p w14:paraId="7A2071C1" w14:textId="6E24FAAB" w:rsidR="00145F57" w:rsidRDefault="00145F57" w:rsidP="008E20D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shd w:val="clear" w:color="auto" w:fill="FFFFFF"/>
                <w:lang w:val="en-US"/>
              </w:rPr>
            </w:pPr>
            <w:r>
              <w:rPr>
                <w:rFonts w:ascii="Arial" w:hAnsi="Arial" w:cs="Arial"/>
                <w:color w:val="000000" w:themeColor="text1"/>
                <w:sz w:val="20"/>
                <w:szCs w:val="20"/>
                <w:shd w:val="clear" w:color="auto" w:fill="FFFFFF"/>
                <w:lang w:val="en-US"/>
              </w:rPr>
              <w:t>Recruiting</w:t>
            </w:r>
          </w:p>
        </w:tc>
        <w:tc>
          <w:tcPr>
            <w:tcW w:w="0" w:type="auto"/>
          </w:tcPr>
          <w:p w14:paraId="49B8EBAE" w14:textId="4613F82A" w:rsidR="00145F57" w:rsidRDefault="00145F57" w:rsidP="008E20D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lang w:val="en-US"/>
              </w:rPr>
            </w:pPr>
            <w:r>
              <w:rPr>
                <w:rFonts w:ascii="Arial" w:hAnsi="Arial" w:cs="Arial"/>
                <w:color w:val="000000"/>
                <w:sz w:val="20"/>
                <w:szCs w:val="20"/>
                <w:shd w:val="clear" w:color="auto" w:fill="FFFFFF"/>
                <w:lang w:val="en-US"/>
              </w:rPr>
              <w:t>Single-centre RCT</w:t>
            </w:r>
          </w:p>
        </w:tc>
        <w:tc>
          <w:tcPr>
            <w:tcW w:w="0" w:type="auto"/>
          </w:tcPr>
          <w:p w14:paraId="563641B5" w14:textId="70A8E4FE" w:rsidR="00145F57" w:rsidRDefault="00145F57" w:rsidP="008E20DB">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USA</w:t>
            </w:r>
          </w:p>
        </w:tc>
        <w:tc>
          <w:tcPr>
            <w:tcW w:w="0" w:type="auto"/>
          </w:tcPr>
          <w:p w14:paraId="761BEE23" w14:textId="77777777" w:rsidR="00145F57" w:rsidRDefault="00145F57" w:rsidP="008E20DB">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Hospitalized patients with COVID-19 and hyperinflammation status</w:t>
            </w:r>
          </w:p>
          <w:p w14:paraId="7A83B23D" w14:textId="547D5A06" w:rsidR="00145F57" w:rsidRDefault="00145F57" w:rsidP="008E20DB">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(n=300)</w:t>
            </w:r>
          </w:p>
        </w:tc>
        <w:tc>
          <w:tcPr>
            <w:tcW w:w="0" w:type="auto"/>
          </w:tcPr>
          <w:p w14:paraId="2959C72C" w14:textId="75464197" w:rsidR="00145F57" w:rsidRPr="00145F57" w:rsidRDefault="00145F57" w:rsidP="008E20DB">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lang w:val="en-US"/>
              </w:rPr>
            </w:pPr>
            <w:r w:rsidRPr="00145F57">
              <w:rPr>
                <w:rFonts w:ascii="Arial" w:hAnsi="Arial" w:cs="Arial"/>
                <w:color w:val="000000"/>
                <w:sz w:val="20"/>
                <w:szCs w:val="20"/>
                <w:shd w:val="clear" w:color="auto" w:fill="FFFFFF"/>
                <w:lang w:val="en-US"/>
              </w:rPr>
              <w:t>TCZ</w:t>
            </w:r>
            <w:r>
              <w:rPr>
                <w:rFonts w:ascii="Arial" w:hAnsi="Arial" w:cs="Arial"/>
                <w:color w:val="000000"/>
                <w:sz w:val="20"/>
                <w:szCs w:val="20"/>
                <w:shd w:val="clear" w:color="auto" w:fill="FFFFFF"/>
                <w:lang w:val="en-US"/>
              </w:rPr>
              <w:t xml:space="preserve"> </w:t>
            </w:r>
            <w:r w:rsidRPr="00145F57">
              <w:rPr>
                <w:rFonts w:ascii="Arial" w:hAnsi="Arial" w:cs="Arial"/>
                <w:color w:val="000000"/>
                <w:sz w:val="20"/>
                <w:szCs w:val="20"/>
                <w:shd w:val="clear" w:color="auto" w:fill="FFFFFF"/>
                <w:lang w:val="en-US"/>
              </w:rPr>
              <w:t>8 mg/kg</w:t>
            </w:r>
            <w:r>
              <w:rPr>
                <w:rFonts w:ascii="Arial" w:hAnsi="Arial" w:cs="Arial"/>
                <w:color w:val="000000"/>
                <w:sz w:val="20"/>
                <w:szCs w:val="20"/>
                <w:shd w:val="clear" w:color="auto" w:fill="FFFFFF"/>
                <w:lang w:val="en-US"/>
              </w:rPr>
              <w:t xml:space="preserve"> (</w:t>
            </w:r>
            <w:r w:rsidRPr="00145F57">
              <w:rPr>
                <w:rFonts w:ascii="Arial" w:hAnsi="Arial" w:cs="Arial"/>
                <w:color w:val="000000"/>
                <w:sz w:val="20"/>
                <w:szCs w:val="20"/>
                <w:shd w:val="clear" w:color="auto" w:fill="FFFFFF"/>
                <w:lang w:val="en-US"/>
              </w:rPr>
              <w:t>up to 800 mg</w:t>
            </w:r>
            <w:r>
              <w:rPr>
                <w:rFonts w:ascii="Arial" w:hAnsi="Arial" w:cs="Arial"/>
                <w:color w:val="000000"/>
                <w:sz w:val="20"/>
                <w:szCs w:val="20"/>
                <w:shd w:val="clear" w:color="auto" w:fill="FFFFFF"/>
                <w:lang w:val="en-US"/>
              </w:rPr>
              <w:t>)</w:t>
            </w:r>
            <w:r w:rsidRPr="00145F57">
              <w:rPr>
                <w:rFonts w:ascii="Arial" w:hAnsi="Arial" w:cs="Arial"/>
                <w:color w:val="000000"/>
                <w:sz w:val="20"/>
                <w:szCs w:val="20"/>
                <w:shd w:val="clear" w:color="auto" w:fill="FFFFFF"/>
                <w:lang w:val="en-US"/>
              </w:rPr>
              <w:t>. Up to 1 additional dose if clinical worsen</w:t>
            </w:r>
            <w:r>
              <w:rPr>
                <w:rFonts w:ascii="Arial" w:hAnsi="Arial" w:cs="Arial"/>
                <w:color w:val="000000"/>
                <w:sz w:val="20"/>
                <w:szCs w:val="20"/>
                <w:shd w:val="clear" w:color="auto" w:fill="FFFFFF"/>
                <w:lang w:val="en-US"/>
              </w:rPr>
              <w:t>ing</w:t>
            </w:r>
          </w:p>
        </w:tc>
        <w:tc>
          <w:tcPr>
            <w:tcW w:w="0" w:type="auto"/>
          </w:tcPr>
          <w:p w14:paraId="743AA3F2" w14:textId="1DC9C09A" w:rsidR="00145F57" w:rsidRDefault="00145F57" w:rsidP="008E20DB">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Placebo</w:t>
            </w:r>
          </w:p>
        </w:tc>
        <w:tc>
          <w:tcPr>
            <w:tcW w:w="0" w:type="auto"/>
          </w:tcPr>
          <w:p w14:paraId="08B06744" w14:textId="4591DAD6" w:rsidR="00145F57" w:rsidRPr="00145F57" w:rsidRDefault="00145F57" w:rsidP="008E20DB">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lang w:val="en-US"/>
              </w:rPr>
            </w:pPr>
            <w:r w:rsidRPr="00145F57">
              <w:rPr>
                <w:rFonts w:ascii="Arial" w:hAnsi="Arial" w:cs="Arial"/>
                <w:color w:val="000000"/>
                <w:sz w:val="20"/>
                <w:szCs w:val="20"/>
                <w:shd w:val="clear" w:color="auto" w:fill="FFFFFF"/>
                <w:lang w:val="en-US"/>
              </w:rPr>
              <w:t>Clinical status (on a 7-point ordinal scale) at day 28</w:t>
            </w:r>
          </w:p>
        </w:tc>
      </w:tr>
      <w:tr w:rsidR="00145F57" w:rsidRPr="0068569D" w14:paraId="5202EB80" w14:textId="77777777" w:rsidTr="00D801A8">
        <w:trPr>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64F72FC7" w14:textId="52922E14" w:rsidR="00145F57" w:rsidRPr="00145F57" w:rsidRDefault="00145F57" w:rsidP="008E20DB">
            <w:pPr>
              <w:rPr>
                <w:rFonts w:ascii="Arial" w:hAnsi="Arial" w:cs="Arial"/>
                <w:b w:val="0"/>
                <w:bCs w:val="0"/>
                <w:color w:val="000000"/>
                <w:sz w:val="20"/>
                <w:szCs w:val="20"/>
                <w:shd w:val="clear" w:color="auto" w:fill="FFFFFF"/>
                <w:lang w:val="en-US"/>
              </w:rPr>
            </w:pPr>
            <w:r w:rsidRPr="00145F57">
              <w:rPr>
                <w:rFonts w:ascii="Arial" w:hAnsi="Arial" w:cs="Arial"/>
                <w:b w:val="0"/>
                <w:bCs w:val="0"/>
                <w:color w:val="000000"/>
                <w:sz w:val="20"/>
                <w:szCs w:val="20"/>
                <w:shd w:val="clear" w:color="auto" w:fill="FFFFFF"/>
                <w:lang w:val="en-US"/>
              </w:rPr>
              <w:t>NCT04435717</w:t>
            </w:r>
          </w:p>
        </w:tc>
        <w:tc>
          <w:tcPr>
            <w:tcW w:w="0" w:type="auto"/>
          </w:tcPr>
          <w:p w14:paraId="79F0E3C5" w14:textId="785AF040" w:rsidR="00145F57" w:rsidRDefault="00C570A9" w:rsidP="008E20D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shd w:val="clear" w:color="auto" w:fill="FFFFFF"/>
                <w:lang w:val="en-US"/>
              </w:rPr>
            </w:pPr>
            <w:r>
              <w:rPr>
                <w:rFonts w:ascii="Arial" w:hAnsi="Arial" w:cs="Arial"/>
                <w:color w:val="000000" w:themeColor="text1"/>
                <w:sz w:val="20"/>
                <w:szCs w:val="20"/>
                <w:shd w:val="clear" w:color="auto" w:fill="FFFFFF"/>
                <w:lang w:val="en-US"/>
              </w:rPr>
              <w:t>Recruiting</w:t>
            </w:r>
          </w:p>
        </w:tc>
        <w:tc>
          <w:tcPr>
            <w:tcW w:w="0" w:type="auto"/>
          </w:tcPr>
          <w:p w14:paraId="295EEDC9" w14:textId="43B53FBA" w:rsidR="00145F57" w:rsidRDefault="00C570A9" w:rsidP="008E20D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Pr>
                <w:rFonts w:ascii="Arial" w:hAnsi="Arial" w:cs="Arial"/>
                <w:color w:val="000000"/>
                <w:sz w:val="20"/>
                <w:szCs w:val="20"/>
                <w:shd w:val="clear" w:color="auto" w:fill="FFFFFF"/>
                <w:lang w:val="en-US"/>
              </w:rPr>
              <w:t>Single-centre RCT</w:t>
            </w:r>
          </w:p>
        </w:tc>
        <w:tc>
          <w:tcPr>
            <w:tcW w:w="0" w:type="auto"/>
          </w:tcPr>
          <w:p w14:paraId="39D4FD2E" w14:textId="61ACD57D" w:rsidR="00145F57" w:rsidRDefault="00C570A9" w:rsidP="008E20DB">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Spain</w:t>
            </w:r>
          </w:p>
        </w:tc>
        <w:tc>
          <w:tcPr>
            <w:tcW w:w="0" w:type="auto"/>
          </w:tcPr>
          <w:p w14:paraId="49567DF1" w14:textId="77777777" w:rsidR="00145F57" w:rsidRDefault="00C570A9" w:rsidP="008E20DB">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Hospitalized patients with mild-moderate COVID-19</w:t>
            </w:r>
          </w:p>
          <w:p w14:paraId="3B019A4A" w14:textId="5081DA41" w:rsidR="00C570A9" w:rsidRDefault="00C570A9" w:rsidP="008E20DB">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(n=78)</w:t>
            </w:r>
          </w:p>
        </w:tc>
        <w:tc>
          <w:tcPr>
            <w:tcW w:w="0" w:type="auto"/>
          </w:tcPr>
          <w:p w14:paraId="4788D4C9" w14:textId="1D42E49B" w:rsidR="00145F57" w:rsidRPr="00145F57" w:rsidRDefault="00C570A9" w:rsidP="008E20DB">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C570A9">
              <w:rPr>
                <w:rFonts w:ascii="Arial" w:hAnsi="Arial" w:cs="Arial"/>
                <w:color w:val="000000"/>
                <w:sz w:val="20"/>
                <w:szCs w:val="20"/>
                <w:shd w:val="clear" w:color="auto" w:fill="FFFFFF"/>
                <w:lang w:val="en-US"/>
              </w:rPr>
              <w:t>TCZ 8 mg/kg (</w:t>
            </w:r>
            <w:r>
              <w:rPr>
                <w:rFonts w:ascii="Arial" w:hAnsi="Arial" w:cs="Arial"/>
                <w:color w:val="000000"/>
                <w:sz w:val="20"/>
                <w:szCs w:val="20"/>
                <w:shd w:val="clear" w:color="auto" w:fill="FFFFFF"/>
                <w:lang w:val="en-US"/>
              </w:rPr>
              <w:t xml:space="preserve">up to </w:t>
            </w:r>
            <w:r w:rsidRPr="00C570A9">
              <w:rPr>
                <w:rFonts w:ascii="Arial" w:hAnsi="Arial" w:cs="Arial"/>
                <w:color w:val="000000"/>
                <w:sz w:val="20"/>
                <w:szCs w:val="20"/>
                <w:shd w:val="clear" w:color="auto" w:fill="FFFFFF"/>
                <w:lang w:val="en-US"/>
              </w:rPr>
              <w:t>800 mg) single dose</w:t>
            </w:r>
            <w:r>
              <w:rPr>
                <w:rFonts w:ascii="Arial" w:hAnsi="Arial" w:cs="Arial"/>
                <w:color w:val="000000"/>
                <w:sz w:val="20"/>
                <w:szCs w:val="20"/>
                <w:shd w:val="clear" w:color="auto" w:fill="FFFFFF"/>
                <w:lang w:val="en-US"/>
              </w:rPr>
              <w:t xml:space="preserve"> or </w:t>
            </w:r>
            <w:r w:rsidRPr="00C570A9">
              <w:rPr>
                <w:rFonts w:ascii="Arial" w:hAnsi="Arial" w:cs="Arial"/>
                <w:color w:val="000000"/>
                <w:sz w:val="20"/>
                <w:szCs w:val="20"/>
                <w:shd w:val="clear" w:color="auto" w:fill="FFFFFF"/>
                <w:lang w:val="en-US"/>
              </w:rPr>
              <w:t>TCZ 8 mg/kg in two doses at 0 and 12 hours (</w:t>
            </w:r>
            <w:r>
              <w:rPr>
                <w:rFonts w:ascii="Arial" w:hAnsi="Arial" w:cs="Arial"/>
                <w:color w:val="000000"/>
                <w:sz w:val="20"/>
                <w:szCs w:val="20"/>
                <w:shd w:val="clear" w:color="auto" w:fill="FFFFFF"/>
                <w:lang w:val="en-US"/>
              </w:rPr>
              <w:t xml:space="preserve">up to </w:t>
            </w:r>
            <w:r w:rsidRPr="00C570A9">
              <w:rPr>
                <w:rFonts w:ascii="Arial" w:hAnsi="Arial" w:cs="Arial"/>
                <w:color w:val="000000"/>
                <w:sz w:val="20"/>
                <w:szCs w:val="20"/>
                <w:shd w:val="clear" w:color="auto" w:fill="FFFFFF"/>
                <w:lang w:val="en-US"/>
              </w:rPr>
              <w:t>800 mg per dose)</w:t>
            </w:r>
          </w:p>
        </w:tc>
        <w:tc>
          <w:tcPr>
            <w:tcW w:w="0" w:type="auto"/>
          </w:tcPr>
          <w:p w14:paraId="6757FCEE" w14:textId="5E754075" w:rsidR="00145F57" w:rsidRDefault="00C570A9" w:rsidP="008E20DB">
            <w:pPr>
              <w:pStyle w:val="Stiletabella2A"/>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Standard care</w:t>
            </w:r>
          </w:p>
        </w:tc>
        <w:tc>
          <w:tcPr>
            <w:tcW w:w="0" w:type="auto"/>
          </w:tcPr>
          <w:p w14:paraId="358F3577" w14:textId="476B6DC7" w:rsidR="00145F57" w:rsidRPr="00145F57" w:rsidRDefault="00C570A9" w:rsidP="008E20DB">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r w:rsidRPr="00C570A9">
              <w:rPr>
                <w:rFonts w:ascii="Arial" w:hAnsi="Arial" w:cs="Arial"/>
                <w:color w:val="000000"/>
                <w:sz w:val="20"/>
                <w:szCs w:val="20"/>
                <w:shd w:val="clear" w:color="auto" w:fill="FFFFFF"/>
                <w:lang w:val="en-US"/>
              </w:rPr>
              <w:t xml:space="preserve">Change in IL-12 values in from the start of treatment (D0) </w:t>
            </w:r>
            <w:r>
              <w:rPr>
                <w:rFonts w:ascii="Arial" w:hAnsi="Arial" w:cs="Arial"/>
                <w:color w:val="000000"/>
                <w:sz w:val="20"/>
                <w:szCs w:val="20"/>
                <w:shd w:val="clear" w:color="auto" w:fill="FFFFFF"/>
                <w:lang w:val="en-US"/>
              </w:rPr>
              <w:t>to</w:t>
            </w:r>
            <w:r w:rsidRPr="00C570A9">
              <w:rPr>
                <w:rFonts w:ascii="Arial" w:hAnsi="Arial" w:cs="Arial"/>
                <w:color w:val="000000"/>
                <w:sz w:val="20"/>
                <w:szCs w:val="20"/>
                <w:shd w:val="clear" w:color="auto" w:fill="FFFFFF"/>
                <w:lang w:val="en-US"/>
              </w:rPr>
              <w:t xml:space="preserve"> </w:t>
            </w:r>
            <w:r w:rsidRPr="00C570A9">
              <w:rPr>
                <w:rFonts w:ascii="Arial" w:hAnsi="Arial" w:cs="Arial"/>
                <w:color w:val="000000"/>
                <w:sz w:val="20"/>
                <w:szCs w:val="20"/>
                <w:shd w:val="clear" w:color="auto" w:fill="FFFFFF"/>
                <w:lang w:val="en-US"/>
              </w:rPr>
              <w:lastRenderedPageBreak/>
              <w:t>days 1 and 3</w:t>
            </w:r>
          </w:p>
        </w:tc>
      </w:tr>
      <w:tr w:rsidR="00C570A9" w:rsidRPr="0068569D" w14:paraId="74420AD3" w14:textId="77777777" w:rsidTr="00D801A8">
        <w:trPr>
          <w:cnfStyle w:val="000000100000" w:firstRow="0" w:lastRow="0" w:firstColumn="0" w:lastColumn="0" w:oddVBand="0" w:evenVBand="0" w:oddHBand="1" w:evenHBand="0" w:firstRowFirstColumn="0" w:firstRowLastColumn="0" w:lastRowFirstColumn="0" w:lastRowLastColumn="0"/>
          <w:trHeight w:val="1108"/>
          <w:jc w:val="center"/>
        </w:trPr>
        <w:tc>
          <w:tcPr>
            <w:cnfStyle w:val="001000000000" w:firstRow="0" w:lastRow="0" w:firstColumn="1" w:lastColumn="0" w:oddVBand="0" w:evenVBand="0" w:oddHBand="0" w:evenHBand="0" w:firstRowFirstColumn="0" w:firstRowLastColumn="0" w:lastRowFirstColumn="0" w:lastRowLastColumn="0"/>
            <w:tcW w:w="0" w:type="auto"/>
          </w:tcPr>
          <w:p w14:paraId="39C18734" w14:textId="0279E973" w:rsidR="00C570A9" w:rsidRPr="00C570A9" w:rsidRDefault="00C570A9" w:rsidP="008E20DB">
            <w:pPr>
              <w:rPr>
                <w:rFonts w:ascii="Arial" w:hAnsi="Arial" w:cs="Arial"/>
                <w:b w:val="0"/>
                <w:bCs w:val="0"/>
                <w:color w:val="000000"/>
                <w:sz w:val="20"/>
                <w:szCs w:val="20"/>
                <w:shd w:val="clear" w:color="auto" w:fill="FFFFFF"/>
                <w:lang w:val="en-US"/>
              </w:rPr>
            </w:pPr>
            <w:r w:rsidRPr="00C570A9">
              <w:rPr>
                <w:rFonts w:ascii="Arial" w:hAnsi="Arial" w:cs="Arial"/>
                <w:b w:val="0"/>
                <w:bCs w:val="0"/>
                <w:color w:val="000000"/>
                <w:sz w:val="20"/>
                <w:szCs w:val="20"/>
                <w:shd w:val="clear" w:color="auto" w:fill="FFFFFF"/>
                <w:lang w:val="en-US"/>
              </w:rPr>
              <w:lastRenderedPageBreak/>
              <w:t>ChiCTR2000033705</w:t>
            </w:r>
          </w:p>
        </w:tc>
        <w:tc>
          <w:tcPr>
            <w:tcW w:w="0" w:type="auto"/>
          </w:tcPr>
          <w:p w14:paraId="506CAD1B" w14:textId="0787E94D" w:rsidR="00C570A9" w:rsidRDefault="00C570A9" w:rsidP="008E20D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shd w:val="clear" w:color="auto" w:fill="FFFFFF"/>
                <w:lang w:val="en-US"/>
              </w:rPr>
            </w:pPr>
            <w:r>
              <w:rPr>
                <w:rFonts w:ascii="Arial" w:hAnsi="Arial" w:cs="Arial"/>
                <w:color w:val="000000" w:themeColor="text1"/>
                <w:sz w:val="20"/>
                <w:szCs w:val="20"/>
                <w:shd w:val="clear" w:color="auto" w:fill="FFFFFF"/>
                <w:lang w:val="en-US"/>
              </w:rPr>
              <w:t>Recruiting complete</w:t>
            </w:r>
          </w:p>
        </w:tc>
        <w:tc>
          <w:tcPr>
            <w:tcW w:w="0" w:type="auto"/>
          </w:tcPr>
          <w:p w14:paraId="7439CF21" w14:textId="289F8377" w:rsidR="00C570A9" w:rsidRDefault="00C570A9" w:rsidP="008E20D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lang w:val="en-US"/>
              </w:rPr>
            </w:pPr>
            <w:r>
              <w:rPr>
                <w:rFonts w:ascii="Arial" w:hAnsi="Arial" w:cs="Arial"/>
                <w:color w:val="000000"/>
                <w:sz w:val="20"/>
                <w:szCs w:val="20"/>
                <w:shd w:val="clear" w:color="auto" w:fill="FFFFFF"/>
                <w:lang w:val="en-US"/>
              </w:rPr>
              <w:t>Single-centre nonrandomized observational study</w:t>
            </w:r>
          </w:p>
        </w:tc>
        <w:tc>
          <w:tcPr>
            <w:tcW w:w="0" w:type="auto"/>
          </w:tcPr>
          <w:p w14:paraId="68CC1B86" w14:textId="66975F0C" w:rsidR="00C570A9" w:rsidRDefault="00C570A9" w:rsidP="008E20DB">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China</w:t>
            </w:r>
          </w:p>
        </w:tc>
        <w:tc>
          <w:tcPr>
            <w:tcW w:w="0" w:type="auto"/>
          </w:tcPr>
          <w:p w14:paraId="4FBB44C9" w14:textId="77777777" w:rsidR="00C570A9" w:rsidRDefault="00C570A9" w:rsidP="008E20DB">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Patients with COVID-19 and high levels of IL-6</w:t>
            </w:r>
          </w:p>
          <w:p w14:paraId="7948CB4D" w14:textId="6D541B08" w:rsidR="00C570A9" w:rsidRDefault="00C570A9" w:rsidP="008E20DB">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(n=61)</w:t>
            </w:r>
          </w:p>
        </w:tc>
        <w:tc>
          <w:tcPr>
            <w:tcW w:w="0" w:type="auto"/>
          </w:tcPr>
          <w:p w14:paraId="78AC5130" w14:textId="732B8038" w:rsidR="00C570A9" w:rsidRPr="00C570A9" w:rsidRDefault="00C570A9" w:rsidP="008E20DB">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lang w:val="en-US"/>
              </w:rPr>
            </w:pPr>
            <w:r>
              <w:rPr>
                <w:rFonts w:ascii="Arial" w:hAnsi="Arial" w:cs="Arial"/>
                <w:color w:val="000000"/>
                <w:sz w:val="20"/>
                <w:szCs w:val="20"/>
                <w:shd w:val="clear" w:color="auto" w:fill="FFFFFF"/>
                <w:lang w:val="en-US"/>
              </w:rPr>
              <w:t>Tocilizumab</w:t>
            </w:r>
          </w:p>
        </w:tc>
        <w:tc>
          <w:tcPr>
            <w:tcW w:w="0" w:type="auto"/>
          </w:tcPr>
          <w:p w14:paraId="05B3A756" w14:textId="6F9E135E" w:rsidR="00C570A9" w:rsidRDefault="00C570A9" w:rsidP="008E20DB">
            <w:pPr>
              <w:pStyle w:val="Stiletabella2A"/>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Standard care</w:t>
            </w:r>
          </w:p>
        </w:tc>
        <w:tc>
          <w:tcPr>
            <w:tcW w:w="0" w:type="auto"/>
          </w:tcPr>
          <w:p w14:paraId="58273C52" w14:textId="346B10CD" w:rsidR="00C570A9" w:rsidRPr="00C570A9" w:rsidRDefault="00C570A9" w:rsidP="008E20DB">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lang w:val="en-US"/>
              </w:rPr>
            </w:pPr>
            <w:r>
              <w:rPr>
                <w:rFonts w:ascii="Arial" w:hAnsi="Arial" w:cs="Arial"/>
                <w:color w:val="000000"/>
                <w:sz w:val="20"/>
                <w:szCs w:val="20"/>
                <w:shd w:val="clear" w:color="auto" w:fill="FFFFFF"/>
                <w:lang w:val="en-US"/>
              </w:rPr>
              <w:t>Clinical status and laboratory examinations</w:t>
            </w:r>
          </w:p>
        </w:tc>
      </w:tr>
    </w:tbl>
    <w:p w14:paraId="42670C0D" w14:textId="77777777" w:rsidR="002D7DAF" w:rsidRPr="00124A6C" w:rsidRDefault="002D7DAF">
      <w:pPr>
        <w:pStyle w:val="CorpoA"/>
        <w:rPr>
          <w:rFonts w:ascii="Arial" w:hAnsi="Arial" w:cs="Arial"/>
          <w:lang w:val="en-US"/>
        </w:rPr>
      </w:pPr>
    </w:p>
    <w:p w14:paraId="06463694" w14:textId="6A2C8C0E" w:rsidR="002D7DAF" w:rsidRPr="00124A6C" w:rsidRDefault="003A6640" w:rsidP="008A2544">
      <w:pPr>
        <w:pStyle w:val="CorpoA"/>
        <w:spacing w:after="40" w:line="40" w:lineRule="atLeast"/>
        <w:rPr>
          <w:rFonts w:ascii="Arial" w:eastAsia="Arial" w:hAnsi="Arial" w:cs="Arial"/>
          <w:b/>
          <w:bCs/>
          <w:sz w:val="24"/>
          <w:szCs w:val="24"/>
          <w:lang w:val="en-US"/>
        </w:rPr>
      </w:pPr>
      <w:r w:rsidRPr="00124A6C">
        <w:rPr>
          <w:rFonts w:ascii="Arial" w:hAnsi="Arial" w:cs="Arial"/>
          <w:b/>
          <w:bCs/>
          <w:sz w:val="24"/>
          <w:szCs w:val="24"/>
          <w:lang w:val="en-US"/>
        </w:rPr>
        <w:t xml:space="preserve">Table </w:t>
      </w:r>
      <w:r w:rsidR="0068569D">
        <w:rPr>
          <w:rFonts w:ascii="Arial" w:hAnsi="Arial" w:cs="Arial"/>
          <w:b/>
          <w:bCs/>
          <w:sz w:val="24"/>
          <w:szCs w:val="24"/>
          <w:lang w:val="en-US"/>
        </w:rPr>
        <w:t>A</w:t>
      </w:r>
      <w:r w:rsidR="00D801A8">
        <w:rPr>
          <w:rFonts w:ascii="Arial" w:hAnsi="Arial" w:cs="Arial"/>
          <w:b/>
          <w:bCs/>
          <w:sz w:val="24"/>
          <w:szCs w:val="24"/>
          <w:lang w:val="en-US"/>
        </w:rPr>
        <w:t>.</w:t>
      </w:r>
      <w:r w:rsidRPr="00124A6C">
        <w:rPr>
          <w:rFonts w:ascii="Arial" w:hAnsi="Arial" w:cs="Arial"/>
          <w:b/>
          <w:bCs/>
          <w:sz w:val="24"/>
          <w:szCs w:val="24"/>
          <w:lang w:val="en-US"/>
        </w:rPr>
        <w:t>1. Characteristics of the ongoing studies</w:t>
      </w:r>
    </w:p>
    <w:p w14:paraId="6000AC25" w14:textId="4CF37998" w:rsidR="00C539A2" w:rsidRPr="00C539A2" w:rsidRDefault="003A6640" w:rsidP="00C539A2">
      <w:pPr>
        <w:pStyle w:val="CorpoA"/>
        <w:spacing w:after="40" w:line="40" w:lineRule="atLeast"/>
        <w:rPr>
          <w:rFonts w:ascii="Arial" w:hAnsi="Arial" w:cs="Arial"/>
          <w:color w:val="0000FF"/>
          <w:sz w:val="24"/>
          <w:szCs w:val="24"/>
          <w:u w:color="0000FF"/>
          <w:lang w:val="en-US"/>
        </w:rPr>
      </w:pPr>
      <w:r w:rsidRPr="00124A6C">
        <w:rPr>
          <w:rFonts w:ascii="Arial" w:hAnsi="Arial" w:cs="Arial"/>
          <w:sz w:val="24"/>
          <w:szCs w:val="24"/>
          <w:lang w:val="en-US"/>
        </w:rPr>
        <w:t>Data were retrieved from the Chinese Clinical Trial Registry</w:t>
      </w:r>
      <w:r w:rsidR="008A2544">
        <w:rPr>
          <w:rFonts w:ascii="Arial" w:hAnsi="Arial" w:cs="Arial"/>
          <w:sz w:val="24"/>
          <w:szCs w:val="24"/>
          <w:lang w:val="en-US"/>
        </w:rPr>
        <w:t xml:space="preserve"> and</w:t>
      </w:r>
      <w:r w:rsidRPr="00124A6C">
        <w:rPr>
          <w:rFonts w:ascii="Arial" w:hAnsi="Arial" w:cs="Arial"/>
          <w:sz w:val="24"/>
          <w:szCs w:val="24"/>
          <w:lang w:val="en-US"/>
        </w:rPr>
        <w:t xml:space="preserve"> Clinicatrial.gov</w:t>
      </w:r>
      <w:r w:rsidR="00C539A2">
        <w:rPr>
          <w:rFonts w:ascii="Arial" w:hAnsi="Arial" w:cs="Arial"/>
          <w:sz w:val="24"/>
          <w:szCs w:val="24"/>
          <w:lang w:val="en-US"/>
        </w:rPr>
        <w:t>, accessed on 20</w:t>
      </w:r>
      <w:r w:rsidR="00C539A2" w:rsidRPr="00C539A2">
        <w:rPr>
          <w:rFonts w:ascii="Arial" w:hAnsi="Arial" w:cs="Arial"/>
          <w:sz w:val="24"/>
          <w:szCs w:val="24"/>
          <w:vertAlign w:val="superscript"/>
          <w:lang w:val="en-US"/>
        </w:rPr>
        <w:t>th</w:t>
      </w:r>
      <w:r w:rsidR="00C539A2">
        <w:rPr>
          <w:rFonts w:ascii="Arial" w:hAnsi="Arial" w:cs="Arial"/>
          <w:sz w:val="24"/>
          <w:szCs w:val="24"/>
          <w:lang w:val="en-US"/>
        </w:rPr>
        <w:t xml:space="preserve"> June 2020</w:t>
      </w:r>
      <w:r w:rsidR="008A2544">
        <w:rPr>
          <w:rFonts w:ascii="Arial" w:hAnsi="Arial" w:cs="Arial"/>
          <w:color w:val="0000FF"/>
          <w:sz w:val="24"/>
          <w:szCs w:val="24"/>
          <w:u w:color="0000FF"/>
          <w:lang w:val="en-US"/>
        </w:rPr>
        <w:t>.</w:t>
      </w:r>
    </w:p>
    <w:p w14:paraId="26ABEB0B" w14:textId="473163B6" w:rsidR="00422A78" w:rsidRPr="00124A6C" w:rsidRDefault="00422A78" w:rsidP="008A2544">
      <w:pPr>
        <w:pStyle w:val="CorpoA"/>
        <w:spacing w:after="40" w:line="40" w:lineRule="atLeast"/>
        <w:rPr>
          <w:rFonts w:ascii="Arial" w:hAnsi="Arial" w:cs="Arial"/>
          <w:sz w:val="24"/>
          <w:szCs w:val="24"/>
          <w:lang w:val="en-US"/>
        </w:rPr>
      </w:pPr>
      <w:r w:rsidRPr="00124A6C">
        <w:rPr>
          <w:rFonts w:ascii="Arial" w:hAnsi="Arial" w:cs="Arial"/>
          <w:sz w:val="24"/>
          <w:szCs w:val="24"/>
          <w:vertAlign w:val="superscript"/>
          <w:lang w:val="en-US"/>
        </w:rPr>
        <w:t>§</w:t>
      </w:r>
      <w:r w:rsidRPr="00124A6C">
        <w:rPr>
          <w:rFonts w:ascii="Arial" w:hAnsi="Arial" w:cs="Arial"/>
          <w:sz w:val="24"/>
          <w:szCs w:val="24"/>
          <w:lang w:val="en-US"/>
        </w:rPr>
        <w:t xml:space="preserve"> In the case of multiple active comparator, the table shows Tocilizumab group as intervention and the others as comparisons.</w:t>
      </w:r>
    </w:p>
    <w:p w14:paraId="4EA875CD" w14:textId="2C64DA31" w:rsidR="002D7DAF" w:rsidRPr="00124A6C" w:rsidRDefault="003A6640" w:rsidP="008A2544">
      <w:pPr>
        <w:pStyle w:val="CorpoA"/>
        <w:spacing w:after="40" w:line="40" w:lineRule="atLeast"/>
        <w:rPr>
          <w:rFonts w:ascii="Arial" w:hAnsi="Arial" w:cs="Arial"/>
          <w:sz w:val="24"/>
          <w:szCs w:val="24"/>
          <w:lang w:val="en-US"/>
        </w:rPr>
      </w:pPr>
      <w:r w:rsidRPr="00124A6C">
        <w:rPr>
          <w:rFonts w:ascii="Arial" w:hAnsi="Arial" w:cs="Arial"/>
          <w:sz w:val="24"/>
          <w:szCs w:val="24"/>
          <w:lang w:val="en-US"/>
        </w:rPr>
        <w:t>COVID-19: coronavirus disease 2019; BID: twice a day; IMV: invasive mechanical ventilation; RCT: randomized controlled trial</w:t>
      </w:r>
    </w:p>
    <w:p w14:paraId="2FBC0F7E" w14:textId="6EDF26E2" w:rsidR="00D32DCB" w:rsidRPr="00124A6C" w:rsidRDefault="00D32DCB" w:rsidP="008A2544">
      <w:pPr>
        <w:pStyle w:val="CorpoA"/>
        <w:spacing w:after="40" w:line="40" w:lineRule="atLeast"/>
        <w:rPr>
          <w:rFonts w:ascii="Arial" w:hAnsi="Arial" w:cs="Arial"/>
          <w:sz w:val="24"/>
          <w:szCs w:val="24"/>
          <w:lang w:val="en-US"/>
        </w:rPr>
      </w:pPr>
    </w:p>
    <w:p w14:paraId="73E293AD" w14:textId="5648425E" w:rsidR="00124A6C" w:rsidRPr="00124A6C" w:rsidRDefault="00124A6C" w:rsidP="00D32DCB">
      <w:pPr>
        <w:pStyle w:val="CorpoA"/>
        <w:spacing w:after="40" w:line="40" w:lineRule="atLeast"/>
        <w:ind w:left="720"/>
        <w:jc w:val="both"/>
        <w:rPr>
          <w:rFonts w:ascii="Arial" w:hAnsi="Arial" w:cs="Arial"/>
          <w:lang w:val="en-US"/>
        </w:rPr>
      </w:pPr>
    </w:p>
    <w:p w14:paraId="2D26E6FE" w14:textId="487865C1" w:rsidR="00124A6C" w:rsidRPr="00124A6C" w:rsidRDefault="00124A6C" w:rsidP="00D32DCB">
      <w:pPr>
        <w:pStyle w:val="CorpoA"/>
        <w:spacing w:after="40" w:line="40" w:lineRule="atLeast"/>
        <w:ind w:left="720"/>
        <w:jc w:val="both"/>
        <w:rPr>
          <w:rFonts w:ascii="Arial" w:hAnsi="Arial" w:cs="Arial"/>
          <w:lang w:val="en-US"/>
        </w:rPr>
      </w:pPr>
    </w:p>
    <w:p w14:paraId="4DE481E4" w14:textId="5257ED6E" w:rsidR="00124A6C" w:rsidRPr="00124A6C" w:rsidRDefault="00124A6C" w:rsidP="00D32DCB">
      <w:pPr>
        <w:pStyle w:val="CorpoA"/>
        <w:spacing w:after="40" w:line="40" w:lineRule="atLeast"/>
        <w:ind w:left="720"/>
        <w:jc w:val="both"/>
        <w:rPr>
          <w:rFonts w:ascii="Arial" w:hAnsi="Arial" w:cs="Arial"/>
          <w:lang w:val="en-US"/>
        </w:rPr>
      </w:pPr>
    </w:p>
    <w:p w14:paraId="123C7A7E" w14:textId="3533EBF8" w:rsidR="00124A6C" w:rsidRPr="00124A6C" w:rsidRDefault="00124A6C" w:rsidP="00D32DCB">
      <w:pPr>
        <w:pStyle w:val="CorpoA"/>
        <w:spacing w:after="40" w:line="40" w:lineRule="atLeast"/>
        <w:ind w:left="720"/>
        <w:jc w:val="both"/>
        <w:rPr>
          <w:rFonts w:ascii="Arial" w:hAnsi="Arial" w:cs="Arial"/>
          <w:lang w:val="en-US"/>
        </w:rPr>
      </w:pPr>
    </w:p>
    <w:p w14:paraId="23F06BC7" w14:textId="59636D3C" w:rsidR="00124A6C" w:rsidRPr="00124A6C" w:rsidRDefault="00124A6C" w:rsidP="00D32DCB">
      <w:pPr>
        <w:pStyle w:val="CorpoA"/>
        <w:spacing w:after="40" w:line="40" w:lineRule="atLeast"/>
        <w:ind w:left="720"/>
        <w:jc w:val="both"/>
        <w:rPr>
          <w:rFonts w:ascii="Arial" w:hAnsi="Arial" w:cs="Arial"/>
          <w:lang w:val="en-US"/>
        </w:rPr>
      </w:pPr>
    </w:p>
    <w:p w14:paraId="56627CA0" w14:textId="1B53DA32" w:rsidR="00124A6C" w:rsidRPr="00124A6C" w:rsidRDefault="00124A6C" w:rsidP="00D32DCB">
      <w:pPr>
        <w:pStyle w:val="CorpoA"/>
        <w:spacing w:after="40" w:line="40" w:lineRule="atLeast"/>
        <w:ind w:left="720"/>
        <w:jc w:val="both"/>
        <w:rPr>
          <w:rFonts w:ascii="Arial" w:hAnsi="Arial" w:cs="Arial"/>
          <w:lang w:val="en-US"/>
        </w:rPr>
      </w:pPr>
    </w:p>
    <w:p w14:paraId="7823E739" w14:textId="77777777" w:rsidR="00124A6C" w:rsidRPr="008A2544" w:rsidRDefault="00124A6C" w:rsidP="00124A6C">
      <w:pPr>
        <w:rPr>
          <w:rFonts w:ascii="Arial"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2283"/>
        <w:gridCol w:w="350"/>
        <w:gridCol w:w="350"/>
        <w:gridCol w:w="350"/>
        <w:gridCol w:w="350"/>
        <w:gridCol w:w="1817"/>
        <w:gridCol w:w="806"/>
        <w:gridCol w:w="806"/>
        <w:gridCol w:w="806"/>
        <w:gridCol w:w="884"/>
      </w:tblGrid>
      <w:tr w:rsidR="00124A6C" w:rsidRPr="00124A6C" w14:paraId="587A8478" w14:textId="77777777" w:rsidTr="00124A6C">
        <w:trPr>
          <w:jc w:val="center"/>
        </w:trPr>
        <w:tc>
          <w:tcPr>
            <w:tcW w:w="0" w:type="auto"/>
            <w:vMerge w:val="restart"/>
            <w:shd w:val="clear" w:color="auto" w:fill="auto"/>
          </w:tcPr>
          <w:p w14:paraId="146A73D0" w14:textId="77777777" w:rsidR="00124A6C" w:rsidRPr="00124A6C" w:rsidRDefault="00124A6C" w:rsidP="00085EFE">
            <w:pPr>
              <w:rPr>
                <w:rFonts w:ascii="Arial" w:eastAsia="Calibri" w:hAnsi="Arial" w:cs="Arial"/>
                <w:b/>
                <w:bCs/>
                <w:szCs w:val="20"/>
              </w:rPr>
            </w:pPr>
            <w:r w:rsidRPr="00124A6C">
              <w:rPr>
                <w:rFonts w:ascii="Arial" w:eastAsia="Calibri" w:hAnsi="Arial" w:cs="Arial"/>
                <w:b/>
                <w:bCs/>
                <w:szCs w:val="20"/>
              </w:rPr>
              <w:t>Author</w:t>
            </w:r>
          </w:p>
        </w:tc>
        <w:tc>
          <w:tcPr>
            <w:tcW w:w="0" w:type="auto"/>
            <w:vMerge w:val="restart"/>
            <w:shd w:val="clear" w:color="auto" w:fill="auto"/>
          </w:tcPr>
          <w:p w14:paraId="52E9C103" w14:textId="77777777" w:rsidR="00124A6C" w:rsidRPr="00124A6C" w:rsidRDefault="00124A6C" w:rsidP="00085EFE">
            <w:pPr>
              <w:pStyle w:val="NormaleWeb"/>
              <w:rPr>
                <w:rFonts w:ascii="Arial" w:eastAsia="Calibri" w:hAnsi="Arial" w:cs="Arial"/>
                <w:b/>
                <w:bCs/>
                <w:sz w:val="20"/>
                <w:szCs w:val="20"/>
              </w:rPr>
            </w:pPr>
            <w:r w:rsidRPr="00124A6C">
              <w:rPr>
                <w:rFonts w:ascii="Arial" w:eastAsia="Calibri" w:hAnsi="Arial" w:cs="Arial"/>
                <w:b/>
                <w:bCs/>
                <w:sz w:val="20"/>
                <w:szCs w:val="20"/>
              </w:rPr>
              <w:t xml:space="preserve">Case Control / Cohort </w:t>
            </w:r>
          </w:p>
        </w:tc>
        <w:tc>
          <w:tcPr>
            <w:tcW w:w="0" w:type="auto"/>
            <w:gridSpan w:val="4"/>
            <w:shd w:val="clear" w:color="auto" w:fill="auto"/>
          </w:tcPr>
          <w:p w14:paraId="6C9E70BF" w14:textId="77777777" w:rsidR="00124A6C" w:rsidRPr="00124A6C" w:rsidRDefault="00124A6C" w:rsidP="00085EFE">
            <w:pPr>
              <w:jc w:val="center"/>
              <w:rPr>
                <w:rFonts w:ascii="Arial" w:eastAsia="Calibri" w:hAnsi="Arial" w:cs="Arial"/>
                <w:b/>
                <w:bCs/>
                <w:szCs w:val="20"/>
              </w:rPr>
            </w:pPr>
            <w:r w:rsidRPr="00124A6C">
              <w:rPr>
                <w:rFonts w:ascii="Arial" w:eastAsia="Calibri" w:hAnsi="Arial" w:cs="Arial"/>
                <w:b/>
                <w:bCs/>
                <w:szCs w:val="20"/>
              </w:rPr>
              <w:t>Selection</w:t>
            </w:r>
          </w:p>
        </w:tc>
        <w:tc>
          <w:tcPr>
            <w:tcW w:w="0" w:type="auto"/>
            <w:shd w:val="clear" w:color="auto" w:fill="auto"/>
          </w:tcPr>
          <w:p w14:paraId="1558355E" w14:textId="77777777" w:rsidR="00124A6C" w:rsidRPr="00124A6C" w:rsidRDefault="00124A6C" w:rsidP="00085EFE">
            <w:pPr>
              <w:rPr>
                <w:rFonts w:ascii="Arial" w:eastAsia="Calibri" w:hAnsi="Arial" w:cs="Arial"/>
                <w:b/>
                <w:bCs/>
                <w:szCs w:val="20"/>
              </w:rPr>
            </w:pPr>
            <w:r w:rsidRPr="00124A6C">
              <w:rPr>
                <w:rFonts w:ascii="Arial" w:eastAsia="Calibri" w:hAnsi="Arial" w:cs="Arial"/>
                <w:b/>
                <w:bCs/>
                <w:szCs w:val="20"/>
              </w:rPr>
              <w:t>Comparability</w:t>
            </w:r>
          </w:p>
        </w:tc>
        <w:tc>
          <w:tcPr>
            <w:tcW w:w="0" w:type="auto"/>
            <w:gridSpan w:val="3"/>
            <w:shd w:val="clear" w:color="auto" w:fill="auto"/>
          </w:tcPr>
          <w:p w14:paraId="740412DD" w14:textId="77777777" w:rsidR="00124A6C" w:rsidRPr="00124A6C" w:rsidRDefault="00124A6C" w:rsidP="00085EFE">
            <w:pPr>
              <w:rPr>
                <w:rFonts w:ascii="Arial" w:eastAsia="Calibri" w:hAnsi="Arial" w:cs="Arial"/>
                <w:b/>
                <w:bCs/>
                <w:szCs w:val="20"/>
              </w:rPr>
            </w:pPr>
            <w:r w:rsidRPr="00124A6C">
              <w:rPr>
                <w:rFonts w:ascii="Arial" w:eastAsia="Calibri" w:hAnsi="Arial" w:cs="Arial"/>
                <w:b/>
                <w:bCs/>
                <w:szCs w:val="20"/>
              </w:rPr>
              <w:t>Outcome/Exposure</w:t>
            </w:r>
          </w:p>
        </w:tc>
        <w:tc>
          <w:tcPr>
            <w:tcW w:w="0" w:type="auto"/>
            <w:vMerge w:val="restart"/>
            <w:shd w:val="clear" w:color="auto" w:fill="auto"/>
          </w:tcPr>
          <w:p w14:paraId="5B549F92" w14:textId="77777777" w:rsidR="00124A6C" w:rsidRPr="00124A6C" w:rsidRDefault="00124A6C" w:rsidP="00085EFE">
            <w:pPr>
              <w:rPr>
                <w:rFonts w:ascii="Arial" w:eastAsia="Calibri" w:hAnsi="Arial" w:cs="Arial"/>
                <w:b/>
                <w:bCs/>
                <w:szCs w:val="20"/>
              </w:rPr>
            </w:pPr>
            <w:r w:rsidRPr="00124A6C">
              <w:rPr>
                <w:rFonts w:ascii="Arial" w:eastAsia="Calibri" w:hAnsi="Arial" w:cs="Arial"/>
                <w:b/>
                <w:bCs/>
                <w:szCs w:val="20"/>
              </w:rPr>
              <w:t>Score</w:t>
            </w:r>
          </w:p>
        </w:tc>
      </w:tr>
      <w:tr w:rsidR="00124A6C" w:rsidRPr="00124A6C" w14:paraId="0C5227FE" w14:textId="77777777" w:rsidTr="00124A6C">
        <w:trPr>
          <w:jc w:val="center"/>
        </w:trPr>
        <w:tc>
          <w:tcPr>
            <w:tcW w:w="0" w:type="auto"/>
            <w:vMerge/>
            <w:shd w:val="clear" w:color="auto" w:fill="auto"/>
          </w:tcPr>
          <w:p w14:paraId="6F38E707" w14:textId="77777777" w:rsidR="00124A6C" w:rsidRPr="00124A6C" w:rsidRDefault="00124A6C" w:rsidP="00085EFE">
            <w:pPr>
              <w:rPr>
                <w:rFonts w:ascii="Arial" w:eastAsia="Calibri" w:hAnsi="Arial" w:cs="Arial"/>
                <w:szCs w:val="20"/>
              </w:rPr>
            </w:pPr>
          </w:p>
        </w:tc>
        <w:tc>
          <w:tcPr>
            <w:tcW w:w="0" w:type="auto"/>
            <w:vMerge/>
            <w:shd w:val="clear" w:color="auto" w:fill="auto"/>
          </w:tcPr>
          <w:p w14:paraId="7503E5E9" w14:textId="77777777" w:rsidR="00124A6C" w:rsidRPr="00124A6C" w:rsidRDefault="00124A6C" w:rsidP="00085EFE">
            <w:pPr>
              <w:pStyle w:val="NormaleWeb"/>
              <w:rPr>
                <w:rFonts w:ascii="Arial" w:eastAsia="Calibri" w:hAnsi="Arial" w:cs="Arial"/>
                <w:sz w:val="20"/>
                <w:szCs w:val="20"/>
              </w:rPr>
            </w:pPr>
          </w:p>
        </w:tc>
        <w:tc>
          <w:tcPr>
            <w:tcW w:w="0" w:type="auto"/>
            <w:shd w:val="clear" w:color="auto" w:fill="auto"/>
          </w:tcPr>
          <w:p w14:paraId="31980AEA" w14:textId="77777777" w:rsidR="00124A6C" w:rsidRPr="00124A6C" w:rsidRDefault="00124A6C" w:rsidP="00085EFE">
            <w:pPr>
              <w:rPr>
                <w:rFonts w:ascii="Arial" w:eastAsia="Calibri" w:hAnsi="Arial" w:cs="Arial"/>
                <w:szCs w:val="20"/>
              </w:rPr>
            </w:pPr>
            <w:r w:rsidRPr="00124A6C">
              <w:rPr>
                <w:rFonts w:ascii="Arial" w:eastAsia="Calibri" w:hAnsi="Arial" w:cs="Arial"/>
                <w:szCs w:val="20"/>
              </w:rPr>
              <w:t>1</w:t>
            </w:r>
          </w:p>
        </w:tc>
        <w:tc>
          <w:tcPr>
            <w:tcW w:w="0" w:type="auto"/>
            <w:shd w:val="clear" w:color="auto" w:fill="auto"/>
          </w:tcPr>
          <w:p w14:paraId="30E782CF" w14:textId="77777777" w:rsidR="00124A6C" w:rsidRPr="00124A6C" w:rsidRDefault="00124A6C" w:rsidP="00085EFE">
            <w:pPr>
              <w:rPr>
                <w:rFonts w:ascii="Arial" w:eastAsia="Calibri" w:hAnsi="Arial" w:cs="Arial"/>
                <w:szCs w:val="20"/>
              </w:rPr>
            </w:pPr>
            <w:r w:rsidRPr="00124A6C">
              <w:rPr>
                <w:rFonts w:ascii="Arial" w:eastAsia="Calibri" w:hAnsi="Arial" w:cs="Arial"/>
                <w:szCs w:val="20"/>
              </w:rPr>
              <w:t>2</w:t>
            </w:r>
          </w:p>
        </w:tc>
        <w:tc>
          <w:tcPr>
            <w:tcW w:w="0" w:type="auto"/>
            <w:shd w:val="clear" w:color="auto" w:fill="auto"/>
          </w:tcPr>
          <w:p w14:paraId="3C9203D6" w14:textId="77777777" w:rsidR="00124A6C" w:rsidRPr="00124A6C" w:rsidRDefault="00124A6C" w:rsidP="00085EFE">
            <w:pPr>
              <w:rPr>
                <w:rFonts w:ascii="Arial" w:eastAsia="Calibri" w:hAnsi="Arial" w:cs="Arial"/>
                <w:szCs w:val="20"/>
              </w:rPr>
            </w:pPr>
            <w:r w:rsidRPr="00124A6C">
              <w:rPr>
                <w:rFonts w:ascii="Arial" w:eastAsia="Calibri" w:hAnsi="Arial" w:cs="Arial"/>
                <w:szCs w:val="20"/>
              </w:rPr>
              <w:t>3</w:t>
            </w:r>
          </w:p>
        </w:tc>
        <w:tc>
          <w:tcPr>
            <w:tcW w:w="0" w:type="auto"/>
            <w:shd w:val="clear" w:color="auto" w:fill="auto"/>
          </w:tcPr>
          <w:p w14:paraId="48A9EAE7" w14:textId="77777777" w:rsidR="00124A6C" w:rsidRPr="00124A6C" w:rsidRDefault="00124A6C" w:rsidP="00085EFE">
            <w:pPr>
              <w:rPr>
                <w:rFonts w:ascii="Arial" w:eastAsia="Calibri" w:hAnsi="Arial" w:cs="Arial"/>
                <w:szCs w:val="20"/>
              </w:rPr>
            </w:pPr>
            <w:r w:rsidRPr="00124A6C">
              <w:rPr>
                <w:rFonts w:ascii="Arial" w:eastAsia="Calibri" w:hAnsi="Arial" w:cs="Arial"/>
                <w:szCs w:val="20"/>
              </w:rPr>
              <w:t>4</w:t>
            </w:r>
          </w:p>
        </w:tc>
        <w:tc>
          <w:tcPr>
            <w:tcW w:w="0" w:type="auto"/>
            <w:shd w:val="clear" w:color="auto" w:fill="auto"/>
          </w:tcPr>
          <w:p w14:paraId="39A588AB" w14:textId="77777777" w:rsidR="00124A6C" w:rsidRPr="00124A6C" w:rsidRDefault="00124A6C" w:rsidP="00085EFE">
            <w:pPr>
              <w:rPr>
                <w:rFonts w:ascii="Arial" w:eastAsia="Calibri" w:hAnsi="Arial" w:cs="Arial"/>
                <w:szCs w:val="20"/>
              </w:rPr>
            </w:pPr>
            <w:r w:rsidRPr="00124A6C">
              <w:rPr>
                <w:rFonts w:ascii="Arial" w:eastAsia="Calibri" w:hAnsi="Arial" w:cs="Arial"/>
                <w:szCs w:val="20"/>
              </w:rPr>
              <w:t>1 2</w:t>
            </w:r>
          </w:p>
        </w:tc>
        <w:tc>
          <w:tcPr>
            <w:tcW w:w="0" w:type="auto"/>
            <w:shd w:val="clear" w:color="auto" w:fill="auto"/>
          </w:tcPr>
          <w:p w14:paraId="1E78DF6A" w14:textId="77777777" w:rsidR="00124A6C" w:rsidRPr="00124A6C" w:rsidRDefault="00124A6C" w:rsidP="00085EFE">
            <w:pPr>
              <w:rPr>
                <w:rFonts w:ascii="Arial" w:eastAsia="Calibri" w:hAnsi="Arial" w:cs="Arial"/>
                <w:szCs w:val="20"/>
              </w:rPr>
            </w:pPr>
            <w:r w:rsidRPr="00124A6C">
              <w:rPr>
                <w:rFonts w:ascii="Arial" w:eastAsia="Calibri" w:hAnsi="Arial" w:cs="Arial"/>
                <w:szCs w:val="20"/>
              </w:rPr>
              <w:t>1</w:t>
            </w:r>
          </w:p>
        </w:tc>
        <w:tc>
          <w:tcPr>
            <w:tcW w:w="0" w:type="auto"/>
            <w:shd w:val="clear" w:color="auto" w:fill="auto"/>
          </w:tcPr>
          <w:p w14:paraId="1E1FB070" w14:textId="77777777" w:rsidR="00124A6C" w:rsidRPr="00124A6C" w:rsidRDefault="00124A6C" w:rsidP="00085EFE">
            <w:pPr>
              <w:rPr>
                <w:rFonts w:ascii="Arial" w:eastAsia="Calibri" w:hAnsi="Arial" w:cs="Arial"/>
                <w:szCs w:val="20"/>
              </w:rPr>
            </w:pPr>
            <w:r w:rsidRPr="00124A6C">
              <w:rPr>
                <w:rFonts w:ascii="Arial" w:eastAsia="Calibri" w:hAnsi="Arial" w:cs="Arial"/>
                <w:szCs w:val="20"/>
              </w:rPr>
              <w:t>2</w:t>
            </w:r>
          </w:p>
        </w:tc>
        <w:tc>
          <w:tcPr>
            <w:tcW w:w="0" w:type="auto"/>
            <w:shd w:val="clear" w:color="auto" w:fill="auto"/>
          </w:tcPr>
          <w:p w14:paraId="40C084BD" w14:textId="77777777" w:rsidR="00124A6C" w:rsidRPr="00124A6C" w:rsidRDefault="00124A6C" w:rsidP="00085EFE">
            <w:pPr>
              <w:rPr>
                <w:rFonts w:ascii="Arial" w:eastAsia="Calibri" w:hAnsi="Arial" w:cs="Arial"/>
                <w:szCs w:val="20"/>
              </w:rPr>
            </w:pPr>
            <w:r w:rsidRPr="00124A6C">
              <w:rPr>
                <w:rFonts w:ascii="Arial" w:eastAsia="Calibri" w:hAnsi="Arial" w:cs="Arial"/>
                <w:szCs w:val="20"/>
              </w:rPr>
              <w:t>3</w:t>
            </w:r>
          </w:p>
        </w:tc>
        <w:tc>
          <w:tcPr>
            <w:tcW w:w="0" w:type="auto"/>
            <w:vMerge/>
            <w:shd w:val="clear" w:color="auto" w:fill="auto"/>
          </w:tcPr>
          <w:p w14:paraId="34B12E83" w14:textId="77777777" w:rsidR="00124A6C" w:rsidRPr="00124A6C" w:rsidRDefault="00124A6C" w:rsidP="00085EFE">
            <w:pPr>
              <w:rPr>
                <w:rFonts w:ascii="Arial" w:eastAsia="Calibri" w:hAnsi="Arial" w:cs="Arial"/>
                <w:szCs w:val="20"/>
              </w:rPr>
            </w:pPr>
          </w:p>
        </w:tc>
      </w:tr>
      <w:tr w:rsidR="00124A6C" w:rsidRPr="00F8370B" w14:paraId="6D236D83" w14:textId="77777777" w:rsidTr="00124A6C">
        <w:trPr>
          <w:jc w:val="center"/>
        </w:trPr>
        <w:tc>
          <w:tcPr>
            <w:tcW w:w="0" w:type="auto"/>
            <w:shd w:val="clear" w:color="auto" w:fill="auto"/>
          </w:tcPr>
          <w:p w14:paraId="46D4EAEE" w14:textId="7D6F4C6E" w:rsidR="00124A6C" w:rsidRPr="00F8370B" w:rsidRDefault="00124A6C" w:rsidP="00085EFE">
            <w:pPr>
              <w:rPr>
                <w:rFonts w:ascii="Arial" w:eastAsia="Calibri" w:hAnsi="Arial" w:cs="Arial"/>
                <w:szCs w:val="20"/>
                <w:lang w:val="en-US"/>
              </w:rPr>
            </w:pPr>
            <w:r w:rsidRPr="00124A6C">
              <w:rPr>
                <w:rFonts w:ascii="Arial" w:eastAsia="Calibri" w:hAnsi="Arial" w:cs="Arial"/>
                <w:szCs w:val="20"/>
              </w:rPr>
              <w:t>Alattar et al.</w:t>
            </w:r>
            <w:r w:rsidR="00F8370B">
              <w:rPr>
                <w:rFonts w:ascii="Arial" w:eastAsia="Calibri" w:hAnsi="Arial" w:cs="Arial"/>
                <w:szCs w:val="20"/>
              </w:rPr>
              <w:fldChar w:fldCharType="begin" w:fldLock="1"/>
            </w:r>
            <w:r w:rsidR="00927572">
              <w:rPr>
                <w:rFonts w:ascii="Arial" w:eastAsia="Calibri" w:hAnsi="Arial" w:cs="Arial"/>
                <w:szCs w:val="20"/>
              </w:rPr>
              <w:instrText>ADDIN CSL_CITATION {"citationItems":[{"id":"ITEM-1","itemData":{"DOI":"10.1002/jmv.25964","ISSN":"0146-6615","abstract":"Tocilizumab, an interleukin-6 inhibitor, may ameliorate the inflammatory manifestations associated with severe coronavirus disease 2019 (COVID-19) and thus improve clinical outcomes. This was a retrospective review of patients with laboratory-confirmed severe COVID-19 who received tocilizumab and completed 14 days of follow up. Twenty-five patients were included, median age was 58 years (interquartile range, 50-63) and the majority were males (92%). Co-morbidities included diabetes mellitus (48%), chronic kidney disease (16%), and cardiovascular disease (12%). Fever (92%), cough (84%), and dyspnea (72%) were the commonest presenting symptoms. All patients received at least two concomitant investigational antiviral agents. Median oral temperature was on day 1, 3, and 7 was 38.0°C, 37.3°C (P =.043), and 37.0°C (P =.064), respectively. Corresponding median C-reactive protein was 193 and 7.9 mg/L (P &lt;.0001) and &lt;6 mg/L (P =.0001). Radiological improvement was noted in 44% of patients by day 7% and 68% by day 14. Nine patients (36%) were discharged alive from intensive care unit and three (12%) died. The proportion of patients on invasive ventilation declined from (84%) at the time of tocilizumab initiation to 60% on day 7 (P =.031) and 28% on day 14 (P =.001). The majority (92%) of patients experienced at least one adverse event. However, it is not possible to ascertain which adverse events were directly related to tocilizumab therapy. In patients with severe COVID-19, tocilizumab was associated with dramatic decline in inflammatory markers, radiological improvement and reduced ventilatory support requirements. Given the study's limitations, the results require assessment in adequately powered randomized controlled trials.","author":[{"dropping-particle":"","family":"Alattar","given":"Rand","non-dropping-particle":"","parse-names":false,"suffix":""},{"dropping-particle":"","family":"Ibrahim","given":"Tawheeda B. H.","non-dropping-particle":"","parse-names":false,"suffix":""},{"dropping-particle":"","family":"Shaar","given":"Shahd H.","non-dropping-particle":"","parse-names":false,"suffix":""},{"dropping-particle":"","family":"Abdalla","given":"Shiema","non-dropping-particle":"","parse-names":false,"suffix":""},{"dropping-particle":"","family":"Shukri","given":"Kinda","non-dropping-particle":"","parse-names":false,"suffix":""},{"dropping-particle":"","family":"Daghfal","given":"Joanne N.","non-dropping-particle":"","parse-names":false,"suffix":""},{"dropping-particle":"","family":"Khatib","given":"Mohamed Y.","non-dropping-particle":"","parse-names":false,"suffix":""},{"dropping-particle":"","family":"Aboukamar","given":"Mohamed","non-dropping-particle":"","parse-names":false,"suffix":""},{"dropping-particle":"","family":"Abukhattab","given":"Mohamed","non-dropping-particle":"","parse-names":false,"suffix":""},{"dropping-particle":"","family":"Alsoub","given":"Hussam A.","non-dropping-particle":"","parse-names":false,"suffix":""},{"dropping-particle":"","family":"Almaslamani","given":"Muna A.","non-dropping-particle":"","parse-names":false,"suffix":""},{"dropping-particle":"","family":"Omrani","given":"Ali S.","non-dropping-particle":"","parse-names":false,"suffix":""}],"container-title":"Journal of Medical Virology","id":"ITEM-1","issued":{"date-parts":[["2020","5","10"]]},"page":"jmv.25964","publisher":"John Wiley and Sons Inc.","title":"Tocilizumab for the treatment of severe coronavirus disease 2019","type":"article-journal"},"uris":["http://www.mendeley.com/documents/?uuid=f48f3c12-a490-3d2b-a17f-5673108c8c67"]}],"mendeley":{"formattedCitation":"&lt;sup&gt;1&lt;/sup&gt;","plainTextFormattedCitation":"1","previouslyFormattedCitation":"&lt;sup&gt;1&lt;/sup&gt;"},"properties":{"noteIndex":0},"schema":"https://github.com/citation-style-language/schema/raw/master/csl-citation.json"}</w:instrText>
            </w:r>
            <w:r w:rsidR="00F8370B">
              <w:rPr>
                <w:rFonts w:ascii="Arial" w:eastAsia="Calibri" w:hAnsi="Arial" w:cs="Arial"/>
                <w:szCs w:val="20"/>
              </w:rPr>
              <w:fldChar w:fldCharType="separate"/>
            </w:r>
            <w:r w:rsidR="001E26C2" w:rsidRPr="001E26C2">
              <w:rPr>
                <w:rFonts w:ascii="Arial" w:eastAsia="Calibri" w:hAnsi="Arial" w:cs="Arial"/>
                <w:noProof/>
                <w:szCs w:val="20"/>
                <w:vertAlign w:val="superscript"/>
                <w:lang w:val="en-US"/>
              </w:rPr>
              <w:t>1</w:t>
            </w:r>
            <w:r w:rsidR="00F8370B">
              <w:rPr>
                <w:rFonts w:ascii="Arial" w:eastAsia="Calibri" w:hAnsi="Arial" w:cs="Arial"/>
                <w:szCs w:val="20"/>
              </w:rPr>
              <w:fldChar w:fldCharType="end"/>
            </w:r>
          </w:p>
        </w:tc>
        <w:tc>
          <w:tcPr>
            <w:tcW w:w="0" w:type="auto"/>
            <w:shd w:val="clear" w:color="auto" w:fill="auto"/>
          </w:tcPr>
          <w:p w14:paraId="71457404" w14:textId="77777777" w:rsidR="00124A6C" w:rsidRPr="00F8370B" w:rsidRDefault="00124A6C" w:rsidP="00085EFE">
            <w:pPr>
              <w:rPr>
                <w:rFonts w:ascii="Arial" w:eastAsia="Calibri" w:hAnsi="Arial" w:cs="Arial"/>
                <w:szCs w:val="20"/>
                <w:lang w:val="en-US"/>
              </w:rPr>
            </w:pPr>
            <w:r w:rsidRPr="00F8370B">
              <w:rPr>
                <w:rFonts w:ascii="Arial" w:eastAsia="Calibri" w:hAnsi="Arial" w:cs="Arial"/>
                <w:szCs w:val="20"/>
                <w:lang w:val="en-US"/>
              </w:rPr>
              <w:t>Cohort</w:t>
            </w:r>
          </w:p>
        </w:tc>
        <w:tc>
          <w:tcPr>
            <w:tcW w:w="0" w:type="auto"/>
            <w:shd w:val="clear" w:color="auto" w:fill="auto"/>
          </w:tcPr>
          <w:p w14:paraId="1080A934" w14:textId="77777777" w:rsidR="00124A6C" w:rsidRPr="00F8370B" w:rsidRDefault="00124A6C" w:rsidP="00085EFE">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32E7EB29" w14:textId="77777777" w:rsidR="00124A6C" w:rsidRPr="00F8370B" w:rsidRDefault="00124A6C" w:rsidP="00085EFE">
            <w:pPr>
              <w:rPr>
                <w:rFonts w:ascii="Arial" w:eastAsia="Calibri" w:hAnsi="Arial" w:cs="Arial"/>
                <w:szCs w:val="20"/>
                <w:lang w:val="en-US"/>
              </w:rPr>
            </w:pPr>
          </w:p>
        </w:tc>
        <w:tc>
          <w:tcPr>
            <w:tcW w:w="0" w:type="auto"/>
            <w:shd w:val="clear" w:color="auto" w:fill="auto"/>
          </w:tcPr>
          <w:p w14:paraId="06355160" w14:textId="77777777" w:rsidR="00124A6C" w:rsidRPr="00F8370B" w:rsidRDefault="00124A6C" w:rsidP="00085EFE">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467F7C4F" w14:textId="77777777" w:rsidR="00124A6C" w:rsidRPr="00F8370B" w:rsidRDefault="00124A6C" w:rsidP="00085EFE">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23D0B187" w14:textId="77777777" w:rsidR="00124A6C" w:rsidRPr="00F8370B" w:rsidRDefault="00124A6C" w:rsidP="00085EFE">
            <w:pPr>
              <w:rPr>
                <w:rFonts w:ascii="Arial" w:eastAsia="Calibri" w:hAnsi="Arial" w:cs="Arial"/>
                <w:szCs w:val="20"/>
                <w:lang w:val="en-US"/>
              </w:rPr>
            </w:pPr>
          </w:p>
        </w:tc>
        <w:tc>
          <w:tcPr>
            <w:tcW w:w="0" w:type="auto"/>
            <w:shd w:val="clear" w:color="auto" w:fill="auto"/>
          </w:tcPr>
          <w:p w14:paraId="18373ED1" w14:textId="77777777" w:rsidR="00124A6C" w:rsidRPr="00F8370B" w:rsidRDefault="00124A6C" w:rsidP="00085EFE">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1A71A94D" w14:textId="77777777" w:rsidR="00124A6C" w:rsidRPr="00F8370B" w:rsidRDefault="00124A6C" w:rsidP="00085EFE">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1578AC7E" w14:textId="77777777" w:rsidR="00124A6C" w:rsidRPr="00F8370B" w:rsidRDefault="00124A6C" w:rsidP="00085EFE">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517E161E" w14:textId="77777777" w:rsidR="00124A6C" w:rsidRPr="00F8370B" w:rsidRDefault="00124A6C" w:rsidP="00085EFE">
            <w:pPr>
              <w:rPr>
                <w:rFonts w:ascii="Arial" w:eastAsia="Calibri" w:hAnsi="Arial" w:cs="Arial"/>
                <w:szCs w:val="20"/>
                <w:lang w:val="en-US"/>
              </w:rPr>
            </w:pPr>
            <w:r w:rsidRPr="00F8370B">
              <w:rPr>
                <w:rFonts w:ascii="Arial" w:eastAsia="Calibri" w:hAnsi="Arial" w:cs="Arial"/>
                <w:szCs w:val="20"/>
                <w:lang w:val="en-US"/>
              </w:rPr>
              <w:t>6</w:t>
            </w:r>
          </w:p>
        </w:tc>
      </w:tr>
      <w:tr w:rsidR="00124A6C" w:rsidRPr="00F8370B" w14:paraId="749E9362" w14:textId="77777777" w:rsidTr="00124A6C">
        <w:trPr>
          <w:jc w:val="center"/>
        </w:trPr>
        <w:tc>
          <w:tcPr>
            <w:tcW w:w="0" w:type="auto"/>
            <w:shd w:val="clear" w:color="auto" w:fill="auto"/>
          </w:tcPr>
          <w:p w14:paraId="032D3B05" w14:textId="43B02C17" w:rsidR="00124A6C" w:rsidRPr="00F8370B" w:rsidRDefault="00785793" w:rsidP="00085EFE">
            <w:pPr>
              <w:rPr>
                <w:rFonts w:ascii="Arial" w:eastAsia="Calibri" w:hAnsi="Arial" w:cs="Arial"/>
                <w:szCs w:val="20"/>
                <w:lang w:val="en-US"/>
              </w:rPr>
            </w:pPr>
            <w:r>
              <w:rPr>
                <w:rFonts w:ascii="Arial" w:eastAsia="Calibri" w:hAnsi="Arial" w:cs="Arial"/>
                <w:szCs w:val="20"/>
                <w:lang w:val="en-US"/>
              </w:rPr>
              <w:t xml:space="preserve">Fomina et al. </w:t>
            </w:r>
            <w:r>
              <w:rPr>
                <w:rFonts w:ascii="Arial" w:eastAsia="Calibri" w:hAnsi="Arial" w:cs="Arial"/>
                <w:szCs w:val="20"/>
                <w:lang w:val="en-US"/>
              </w:rPr>
              <w:fldChar w:fldCharType="begin" w:fldLock="1"/>
            </w:r>
            <w:r w:rsidR="00927572">
              <w:rPr>
                <w:rFonts w:ascii="Arial" w:eastAsia="Calibri" w:hAnsi="Arial" w:cs="Arial"/>
                <w:szCs w:val="20"/>
                <w:lang w:val="en-US"/>
              </w:rPr>
              <w:instrText>ADDIN CSL_CITATION {"citationItems":[{"id":"ITEM-1","itemData":{"DOI":"10.1101/2020.06.12.20122374","author":[{"dropping-particle":"","family":"Fomina","given":"Daria S","non-dropping-particle":"","parse-names":false,"suffix":""},{"dropping-particle":"","family":"Lysenko","given":"M","non-dropping-particle":"","parse-names":false,"suffix":""},{"dropping-particle":"","family":"Beloglazova","given":"Irina P","non-dropping-particle":"","parse-names":false,"suffix":""},{"dropping-particle":"","family":"Mutinova","given":"zinaida Y","non-dropping-particle":"","parse-names":false,"suffix":""},{"dropping-particle":"","family":"Poteshkina","given":"Nataliya G","non-dropping-particle":"","parse-names":false,"suffix":""},{"dropping-particle":"V","family":"Samsonova","given":"Inna","non-dropping-particle":"","parse-names":false,"suffix":""},{"dropping-particle":"","family":"Kruglova","given":"T","non-dropping-particle":"","parse-names":false,"suffix":""},{"dropping-particle":"","family":"Chernov","given":"Anton A","non-dropping-particle":"","parse-names":false,"suffix":""},{"dropping-particle":"V","family":"Karaulov","given":"Alexander","non-dropping-particle":"","parse-names":false,"suffix":""},{"dropping-particle":"","family":"Lederman","given":"Michael M","non-dropping-particle":"","parse-names":false,"suffix":""}],"container-title":"medRxiv","id":"ITEM-1","issued":{"date-parts":[["2020","6","12"]]},"title":"Temporal clinical and laboratory response to interleukin-6 receptor blockade with Tocilizumab in 89 hospitalized patients with COVID-19 pneumonia","type":"article-journal"},"uris":["http://www.mendeley.com/documents/?uuid=72d835f1-5d2c-4642-9380-b1917782a165"]}],"mendeley":{"formattedCitation":"&lt;sup&gt;2&lt;/sup&gt;","plainTextFormattedCitation":"2","previouslyFormattedCitation":"&lt;sup&gt;2&lt;/sup&gt;"},"properties":{"noteIndex":0},"schema":"https://github.com/citation-style-language/schema/raw/master/csl-citation.json"}</w:instrText>
            </w:r>
            <w:r>
              <w:rPr>
                <w:rFonts w:ascii="Arial" w:eastAsia="Calibri" w:hAnsi="Arial" w:cs="Arial"/>
                <w:szCs w:val="20"/>
                <w:lang w:val="en-US"/>
              </w:rPr>
              <w:fldChar w:fldCharType="separate"/>
            </w:r>
            <w:r w:rsidR="001E26C2" w:rsidRPr="001E26C2">
              <w:rPr>
                <w:rFonts w:ascii="Arial" w:eastAsia="Calibri" w:hAnsi="Arial" w:cs="Arial"/>
                <w:noProof/>
                <w:szCs w:val="20"/>
                <w:vertAlign w:val="superscript"/>
                <w:lang w:val="en-US"/>
              </w:rPr>
              <w:t>2</w:t>
            </w:r>
            <w:r>
              <w:rPr>
                <w:rFonts w:ascii="Arial" w:eastAsia="Calibri" w:hAnsi="Arial" w:cs="Arial"/>
                <w:szCs w:val="20"/>
                <w:lang w:val="en-US"/>
              </w:rPr>
              <w:fldChar w:fldCharType="end"/>
            </w:r>
          </w:p>
        </w:tc>
        <w:tc>
          <w:tcPr>
            <w:tcW w:w="0" w:type="auto"/>
            <w:shd w:val="clear" w:color="auto" w:fill="auto"/>
          </w:tcPr>
          <w:p w14:paraId="793DEF2D" w14:textId="7DB59DB5" w:rsidR="00124A6C" w:rsidRPr="00F8370B" w:rsidRDefault="00785793" w:rsidP="00085EFE">
            <w:pPr>
              <w:rPr>
                <w:rFonts w:ascii="Arial" w:eastAsia="Calibri" w:hAnsi="Arial" w:cs="Arial"/>
                <w:szCs w:val="20"/>
                <w:lang w:val="en-US"/>
              </w:rPr>
            </w:pPr>
            <w:r>
              <w:rPr>
                <w:rFonts w:ascii="Arial" w:eastAsia="Calibri" w:hAnsi="Arial" w:cs="Arial"/>
                <w:szCs w:val="20"/>
                <w:lang w:val="en-US"/>
              </w:rPr>
              <w:t>Cohort</w:t>
            </w:r>
          </w:p>
        </w:tc>
        <w:tc>
          <w:tcPr>
            <w:tcW w:w="0" w:type="auto"/>
            <w:shd w:val="clear" w:color="auto" w:fill="auto"/>
          </w:tcPr>
          <w:p w14:paraId="580D92AD" w14:textId="3B702177" w:rsidR="00124A6C" w:rsidRPr="00F8370B" w:rsidRDefault="00785793" w:rsidP="00085EFE">
            <w:pPr>
              <w:rPr>
                <w:rFonts w:ascii="Arial" w:eastAsia="Calibri" w:hAnsi="Arial" w:cs="Arial"/>
                <w:szCs w:val="20"/>
                <w:lang w:val="en-US"/>
              </w:rPr>
            </w:pPr>
            <w:r>
              <w:rPr>
                <w:rFonts w:ascii="Arial" w:eastAsia="Calibri" w:hAnsi="Arial" w:cs="Arial"/>
                <w:szCs w:val="20"/>
                <w:lang w:val="en-US"/>
              </w:rPr>
              <w:t>*</w:t>
            </w:r>
          </w:p>
        </w:tc>
        <w:tc>
          <w:tcPr>
            <w:tcW w:w="0" w:type="auto"/>
            <w:shd w:val="clear" w:color="auto" w:fill="auto"/>
          </w:tcPr>
          <w:p w14:paraId="1BC0D509" w14:textId="77777777" w:rsidR="00124A6C" w:rsidRPr="00F8370B" w:rsidRDefault="00124A6C" w:rsidP="00085EFE">
            <w:pPr>
              <w:rPr>
                <w:rFonts w:ascii="Arial" w:eastAsia="Calibri" w:hAnsi="Arial" w:cs="Arial"/>
                <w:szCs w:val="20"/>
                <w:lang w:val="en-US"/>
              </w:rPr>
            </w:pPr>
          </w:p>
        </w:tc>
        <w:tc>
          <w:tcPr>
            <w:tcW w:w="0" w:type="auto"/>
            <w:shd w:val="clear" w:color="auto" w:fill="auto"/>
          </w:tcPr>
          <w:p w14:paraId="4FB97A1C" w14:textId="136E190B" w:rsidR="00124A6C" w:rsidRPr="00F8370B" w:rsidRDefault="00124A6C" w:rsidP="00085EFE">
            <w:pPr>
              <w:rPr>
                <w:rFonts w:ascii="Arial" w:eastAsia="Calibri" w:hAnsi="Arial" w:cs="Arial"/>
                <w:szCs w:val="20"/>
                <w:lang w:val="en-US"/>
              </w:rPr>
            </w:pPr>
          </w:p>
        </w:tc>
        <w:tc>
          <w:tcPr>
            <w:tcW w:w="0" w:type="auto"/>
            <w:shd w:val="clear" w:color="auto" w:fill="auto"/>
          </w:tcPr>
          <w:p w14:paraId="198E54B9" w14:textId="01C38601" w:rsidR="00124A6C" w:rsidRPr="00F8370B" w:rsidRDefault="00785793" w:rsidP="00085EFE">
            <w:pPr>
              <w:rPr>
                <w:rFonts w:ascii="Arial" w:eastAsia="Calibri" w:hAnsi="Arial" w:cs="Arial"/>
                <w:szCs w:val="20"/>
                <w:lang w:val="en-US"/>
              </w:rPr>
            </w:pPr>
            <w:r>
              <w:rPr>
                <w:rFonts w:ascii="Arial" w:eastAsia="Calibri" w:hAnsi="Arial" w:cs="Arial"/>
                <w:szCs w:val="20"/>
                <w:lang w:val="en-US"/>
              </w:rPr>
              <w:t>*</w:t>
            </w:r>
          </w:p>
        </w:tc>
        <w:tc>
          <w:tcPr>
            <w:tcW w:w="0" w:type="auto"/>
            <w:shd w:val="clear" w:color="auto" w:fill="auto"/>
          </w:tcPr>
          <w:p w14:paraId="0454FACD" w14:textId="77777777" w:rsidR="00124A6C" w:rsidRPr="00F8370B" w:rsidRDefault="00124A6C" w:rsidP="00085EFE">
            <w:pPr>
              <w:rPr>
                <w:rFonts w:ascii="Arial" w:eastAsia="Calibri" w:hAnsi="Arial" w:cs="Arial"/>
                <w:szCs w:val="20"/>
                <w:lang w:val="en-US"/>
              </w:rPr>
            </w:pPr>
          </w:p>
        </w:tc>
        <w:tc>
          <w:tcPr>
            <w:tcW w:w="0" w:type="auto"/>
            <w:shd w:val="clear" w:color="auto" w:fill="auto"/>
          </w:tcPr>
          <w:p w14:paraId="4B2649C9" w14:textId="0A058AD8" w:rsidR="00124A6C" w:rsidRPr="00F8370B" w:rsidRDefault="00124A6C" w:rsidP="00085EFE">
            <w:pPr>
              <w:rPr>
                <w:rFonts w:ascii="Arial" w:eastAsia="Calibri" w:hAnsi="Arial" w:cs="Arial"/>
                <w:szCs w:val="20"/>
                <w:lang w:val="en-US"/>
              </w:rPr>
            </w:pPr>
          </w:p>
        </w:tc>
        <w:tc>
          <w:tcPr>
            <w:tcW w:w="0" w:type="auto"/>
            <w:shd w:val="clear" w:color="auto" w:fill="auto"/>
          </w:tcPr>
          <w:p w14:paraId="16E99085" w14:textId="44F88105" w:rsidR="00124A6C" w:rsidRPr="00F8370B" w:rsidRDefault="00785793" w:rsidP="00085EFE">
            <w:pPr>
              <w:rPr>
                <w:rFonts w:ascii="Arial" w:eastAsia="Calibri" w:hAnsi="Arial" w:cs="Arial"/>
                <w:szCs w:val="20"/>
                <w:lang w:val="en-US"/>
              </w:rPr>
            </w:pPr>
            <w:r>
              <w:rPr>
                <w:rFonts w:ascii="Arial" w:eastAsia="Calibri" w:hAnsi="Arial" w:cs="Arial"/>
                <w:szCs w:val="20"/>
                <w:lang w:val="en-US"/>
              </w:rPr>
              <w:t>*</w:t>
            </w:r>
          </w:p>
        </w:tc>
        <w:tc>
          <w:tcPr>
            <w:tcW w:w="0" w:type="auto"/>
            <w:shd w:val="clear" w:color="auto" w:fill="auto"/>
          </w:tcPr>
          <w:p w14:paraId="1959F265" w14:textId="0C7A808D" w:rsidR="00124A6C" w:rsidRPr="00F8370B" w:rsidRDefault="00785793" w:rsidP="00085EFE">
            <w:pPr>
              <w:rPr>
                <w:rFonts w:ascii="Arial" w:eastAsia="Calibri" w:hAnsi="Arial" w:cs="Arial"/>
                <w:szCs w:val="20"/>
                <w:lang w:val="en-US"/>
              </w:rPr>
            </w:pPr>
            <w:r>
              <w:rPr>
                <w:rFonts w:ascii="Arial" w:eastAsia="Calibri" w:hAnsi="Arial" w:cs="Arial"/>
                <w:szCs w:val="20"/>
                <w:lang w:val="en-US"/>
              </w:rPr>
              <w:t>*</w:t>
            </w:r>
          </w:p>
        </w:tc>
        <w:tc>
          <w:tcPr>
            <w:tcW w:w="0" w:type="auto"/>
            <w:shd w:val="clear" w:color="auto" w:fill="auto"/>
          </w:tcPr>
          <w:p w14:paraId="2AB4C963" w14:textId="52A262A2" w:rsidR="00124A6C" w:rsidRPr="00F8370B" w:rsidRDefault="00785793" w:rsidP="00085EFE">
            <w:pPr>
              <w:rPr>
                <w:rFonts w:ascii="Arial" w:eastAsia="Calibri" w:hAnsi="Arial" w:cs="Arial"/>
                <w:szCs w:val="20"/>
                <w:lang w:val="en-US"/>
              </w:rPr>
            </w:pPr>
            <w:r>
              <w:rPr>
                <w:rFonts w:ascii="Arial" w:eastAsia="Calibri" w:hAnsi="Arial" w:cs="Arial"/>
                <w:szCs w:val="20"/>
                <w:lang w:val="en-US"/>
              </w:rPr>
              <w:t>4</w:t>
            </w:r>
          </w:p>
        </w:tc>
      </w:tr>
      <w:tr w:rsidR="00A62399" w:rsidRPr="00F8370B" w14:paraId="7F79A604" w14:textId="77777777" w:rsidTr="00124A6C">
        <w:trPr>
          <w:jc w:val="center"/>
        </w:trPr>
        <w:tc>
          <w:tcPr>
            <w:tcW w:w="0" w:type="auto"/>
            <w:shd w:val="clear" w:color="auto" w:fill="auto"/>
          </w:tcPr>
          <w:p w14:paraId="48934341" w14:textId="0D641F3D" w:rsidR="00A62399" w:rsidRDefault="00A62399" w:rsidP="00A62399">
            <w:pPr>
              <w:rPr>
                <w:rFonts w:ascii="Arial" w:eastAsia="Calibri" w:hAnsi="Arial" w:cs="Arial"/>
                <w:szCs w:val="20"/>
                <w:lang w:val="en-US"/>
              </w:rPr>
            </w:pPr>
            <w:r>
              <w:rPr>
                <w:rFonts w:ascii="Arial" w:eastAsia="Calibri" w:hAnsi="Arial" w:cs="Arial"/>
                <w:szCs w:val="20"/>
                <w:lang w:val="en-US"/>
              </w:rPr>
              <w:t xml:space="preserve">Gorgolas et al. </w:t>
            </w:r>
            <w:r>
              <w:rPr>
                <w:rFonts w:ascii="Arial" w:eastAsia="Calibri" w:hAnsi="Arial" w:cs="Arial"/>
                <w:szCs w:val="20"/>
                <w:lang w:val="en-US"/>
              </w:rPr>
              <w:fldChar w:fldCharType="begin" w:fldLock="1"/>
            </w:r>
            <w:r w:rsidR="00927572">
              <w:rPr>
                <w:rFonts w:ascii="Arial" w:eastAsia="Calibri" w:hAnsi="Arial" w:cs="Arial"/>
                <w:szCs w:val="20"/>
                <w:lang w:val="en-US"/>
              </w:rPr>
              <w:instrText>ADDIN CSL_CITATION {"citationItems":[{"id":"ITEM-1","itemData":{"DOI":"10.1101/2020.06.13.20130088","abstract":"Introduction Tocilizumab is an interleukin 6 receptor antagonist which has been used for the treatment of severe SARS-CoV-2 pneumonia (SSP), aiming to ameliorate the cytokine release syndrome (CRS) -induced acute respiratory distress syndrome (ARDS). However, there is no data about the best moment for its administration along the course of the disease. Methods We provided tocilizumab on a compassionate-use basis to patients with SSP hospitalized (excluding intensive care and intubated cases) who required oxygen support to have a saturation &gt;93%. Primary endpoint was intubation or death after 24 hours of its administration. Patients received at least one dose of 400 mg intravenous tocilizumab during March 8-2020, through April 20-2020. Findings A total of 207 patients were studied and 186 analysed. The mean age was 65 years and 68% were male. A co-existing condition was present in 68 % of cases. At baseline, 114 (61%) required oxygen support with FiO2 &gt;0.5 % and 72 (39%) &lt;0.5%. Early administration of tocilizumab, when the need of oxygen support was still below FiO2 &lt;0.5%, was significantly more effective than given it in advanced stages (FiO2 &gt;0.5 %), achieving lower rates of intubation or death (13% vs 37% repectively, p&lt;0.001). Interpretation The benefit of tocilizumab in severe SARS-Cov-2 pneumonia is only expected when it is administrated before the need of high oxygen support. ### Competing Interest Statement The authors have declared no competing interest. ### Funding Statement No funding ### Author Declarations I confirm all relevant ethical guidelines have been followed, and any necessary IRB and/or ethics committee approvals have been obtained. Yes The details of the IRB/oversight body that provided approval or exemption for the research described are given below: Ethics Medical Committee Fundacion Jimenez Diaz All necessary patient/participant consent has been obtained and the appropriate institutional forms have been archived. Yes I understand that all clinical trials and any other prospective interventional studies must be registered with an ICMJE-approved registry, such as ClinicalTrials.gov. I confirm that any such study reported in the manuscript has been registered and the trial registration ID is provided (note: if posting a prospective study registered retrospectively, please provide a statement in the trial ID field explaining why the study was not registered in advance). Yes I have followed all appropriate research reporting guidelin…","author":[{"dropping-particle":"","family":"Gorgolas","given":"Miguel","non-dropping-particle":"","parse-names":false,"suffix":""},{"dropping-particle":"","family":"Cabello","given":"Alfonso","non-dropping-particle":"","parse-names":false,"suffix":""},{"dropping-particle":"","family":"Perez","given":"Laura Prieto","non-dropping-particle":"","parse-names":false,"suffix":""},{"dropping-particle":"","family":"Alvarez","given":"Felipe Villar","non-dropping-particle":"","parse-names":false,"suffix":""},{"dropping-particle":"","family":"Alvarez","given":"Beatriz Alvarez","non-dropping-particle":"","parse-names":false,"suffix":""},{"dropping-particle":"","family":"Nieto","given":"Maria Jesus Rodriguez","non-dropping-particle":"","parse-names":false,"suffix":""},{"dropping-particle":"","family":"Acosta","given":"Irene Carrillo","non-dropping-particle":"","parse-names":false,"suffix":""},{"dropping-particle":"","family":"Ormaechea","given":"Itziar Fernandez","non-dropping-particle":"","parse-names":false,"suffix":""},{"dropping-particle":"","family":"Al-Hayani","given":"Aws","non-dropping-particle":"","parse-names":false,"suffix":""},{"dropping-particle":"","family":"Carballosa","given":"Pilar","non-dropping-particle":"","parse-names":false,"suffix":""},{"dropping-particle":"","family":"Martinez","given":"Silvia Calpena","non-dropping-particle":"","parse-names":false,"suffix":""},{"dropping-particle":"de","family":"Blas","given":"Farah Ezzine","non-dropping-particle":"","parse-names":false,"suffix":""},{"dropping-particle":"","family":"Gonzalez","given":"Marina Castellanos","non-dropping-particle":"","parse-names":false,"suffix":""},{"dropping-particle":"","family":"Prieto","given":"Alba Naya","non-dropping-particle":"","parse-names":false,"suffix":""},{"dropping-particle":"las","family":"Heras","given":"Marta Lopez de","non-dropping-particle":"","parse-names":false,"suffix":""},{"dropping-particle":"","family":"Guzman","given":"Marcel Jose Rodriguez","non-dropping-particle":"","parse-names":false,"suffix":""},{"dropping-particle":"","family":"Guijarro","given":"Ana Cordero","non-dropping-particle":"","parse-names":false,"suffix":""},{"dropping-particle":"","family":"Lavado","given":"Antonio Broncano","non-dropping-particle":"","parse-names":false,"suffix":""},{"dropping-particle":"","family":"Valcayo","given":"Alicia Macias","non-dropping-particle":"","parse-names":false,"suffix":""},{"dropping-particle":"","family":"Garcia","given":"Marta Martin","non-dropping-particle":"","parse-names":false,"suffix":""},{"dropping-particle":"","family":"Martinez","given":"Javier Becares","non-dropping-particle":"","parse-names":false,"suffix":""},{"dropping-particle":"","family":"Roblas","given":"Ricardo Fernandez","non-dropping-particle":"","parse-names":false,"suffix":""},{"dropping-particle":"","family":"Pinilla","given":"Miguel A Piris","non-dropping-particle":"","parse-names":false,"suffix":""},{"dropping-particle":"","family":"Alen","given":"Jose Fortes","non-dropping-particle":"","parse-names":false,"suffix":""},{"dropping-particle":"","family":"Pernaute","given":"Olga Sanchez","non-dropping-particle":"","parse-names":false,"suffix":""},{"dropping-particle":"","family":"Bueno","given":"Fredeswinda Romero","non-dropping-particle":"","parse-names":false,"suffix":""},{"dropping-particle":"","family":"Frades","given":"Sarah Heili","non-dropping-particle":"","parse-names":false,"suffix":""},{"dropping-particle":"","family":"Romero","given":"German Peces Barba","non-dropping-particle":"","parse-names":false,"suffix":""}],"container-title":"medRxiv","id":"ITEM-1","issued":{"date-parts":[["2020","6","16"]]},"title":"Compassionate Use of Tocilizumab in Severe SARS-CoV2 Pneumonia. When late administration is too late.","type":"article-journal"},"uris":["http://www.mendeley.com/documents/?uuid=ec48535d-e4fe-3573-a23e-4e02101aa8f3"]}],"mendeley":{"formattedCitation":"&lt;sup&gt;3&lt;/sup&gt;","plainTextFormattedCitation":"3","previouslyFormattedCitation":"&lt;sup&gt;3&lt;/sup&gt;"},"properties":{"noteIndex":0},"schema":"https://github.com/citation-style-language/schema/raw/master/csl-citation.json"}</w:instrText>
            </w:r>
            <w:r>
              <w:rPr>
                <w:rFonts w:ascii="Arial" w:eastAsia="Calibri" w:hAnsi="Arial" w:cs="Arial"/>
                <w:szCs w:val="20"/>
                <w:lang w:val="en-US"/>
              </w:rPr>
              <w:fldChar w:fldCharType="separate"/>
            </w:r>
            <w:r w:rsidR="001E26C2" w:rsidRPr="001E26C2">
              <w:rPr>
                <w:rFonts w:ascii="Arial" w:eastAsia="Calibri" w:hAnsi="Arial" w:cs="Arial"/>
                <w:noProof/>
                <w:szCs w:val="20"/>
                <w:vertAlign w:val="superscript"/>
                <w:lang w:val="en-US"/>
              </w:rPr>
              <w:t>3</w:t>
            </w:r>
            <w:r>
              <w:rPr>
                <w:rFonts w:ascii="Arial" w:eastAsia="Calibri" w:hAnsi="Arial" w:cs="Arial"/>
                <w:szCs w:val="20"/>
                <w:lang w:val="en-US"/>
              </w:rPr>
              <w:fldChar w:fldCharType="end"/>
            </w:r>
          </w:p>
        </w:tc>
        <w:tc>
          <w:tcPr>
            <w:tcW w:w="0" w:type="auto"/>
            <w:shd w:val="clear" w:color="auto" w:fill="auto"/>
          </w:tcPr>
          <w:p w14:paraId="5487F738" w14:textId="2765B038" w:rsidR="00A62399" w:rsidRDefault="00A62399" w:rsidP="00A62399">
            <w:pPr>
              <w:rPr>
                <w:rFonts w:ascii="Arial" w:eastAsia="Calibri" w:hAnsi="Arial" w:cs="Arial"/>
                <w:szCs w:val="20"/>
                <w:lang w:val="en-US"/>
              </w:rPr>
            </w:pPr>
            <w:r>
              <w:rPr>
                <w:rFonts w:ascii="Arial" w:eastAsia="Calibri" w:hAnsi="Arial" w:cs="Arial"/>
                <w:szCs w:val="20"/>
                <w:lang w:val="en-US"/>
              </w:rPr>
              <w:t>Cohort</w:t>
            </w:r>
          </w:p>
        </w:tc>
        <w:tc>
          <w:tcPr>
            <w:tcW w:w="0" w:type="auto"/>
            <w:shd w:val="clear" w:color="auto" w:fill="auto"/>
          </w:tcPr>
          <w:p w14:paraId="7F23FAAE" w14:textId="032615D6" w:rsidR="00A62399" w:rsidRDefault="00A62399" w:rsidP="00A62399">
            <w:pPr>
              <w:rPr>
                <w:rFonts w:ascii="Arial" w:eastAsia="Calibri" w:hAnsi="Arial" w:cs="Arial"/>
                <w:szCs w:val="20"/>
                <w:lang w:val="en-US"/>
              </w:rPr>
            </w:pPr>
            <w:r>
              <w:rPr>
                <w:rFonts w:ascii="Arial" w:eastAsia="Calibri" w:hAnsi="Arial" w:cs="Arial"/>
                <w:szCs w:val="20"/>
                <w:lang w:val="en-US"/>
              </w:rPr>
              <w:t>*</w:t>
            </w:r>
          </w:p>
        </w:tc>
        <w:tc>
          <w:tcPr>
            <w:tcW w:w="0" w:type="auto"/>
            <w:shd w:val="clear" w:color="auto" w:fill="auto"/>
          </w:tcPr>
          <w:p w14:paraId="2254CF29" w14:textId="77777777" w:rsidR="00A62399" w:rsidRPr="00F8370B" w:rsidRDefault="00A62399" w:rsidP="00A62399">
            <w:pPr>
              <w:rPr>
                <w:rFonts w:ascii="Arial" w:eastAsia="Calibri" w:hAnsi="Arial" w:cs="Arial"/>
                <w:szCs w:val="20"/>
                <w:lang w:val="en-US"/>
              </w:rPr>
            </w:pPr>
          </w:p>
        </w:tc>
        <w:tc>
          <w:tcPr>
            <w:tcW w:w="0" w:type="auto"/>
            <w:shd w:val="clear" w:color="auto" w:fill="auto"/>
          </w:tcPr>
          <w:p w14:paraId="2A9C2BBE" w14:textId="67205CC6" w:rsidR="00A62399" w:rsidRPr="00F8370B" w:rsidRDefault="00A62399" w:rsidP="00A62399">
            <w:pPr>
              <w:rPr>
                <w:rFonts w:ascii="Arial" w:eastAsia="Calibri" w:hAnsi="Arial" w:cs="Arial"/>
                <w:szCs w:val="20"/>
                <w:lang w:val="en-US"/>
              </w:rPr>
            </w:pPr>
            <w:r>
              <w:rPr>
                <w:rFonts w:ascii="Arial" w:eastAsia="Calibri" w:hAnsi="Arial" w:cs="Arial"/>
                <w:szCs w:val="20"/>
                <w:lang w:val="en-US"/>
              </w:rPr>
              <w:t>*</w:t>
            </w:r>
          </w:p>
        </w:tc>
        <w:tc>
          <w:tcPr>
            <w:tcW w:w="0" w:type="auto"/>
            <w:shd w:val="clear" w:color="auto" w:fill="auto"/>
          </w:tcPr>
          <w:p w14:paraId="4446D551" w14:textId="5F941450" w:rsidR="00A62399" w:rsidRDefault="00A62399" w:rsidP="00A62399">
            <w:pPr>
              <w:rPr>
                <w:rFonts w:ascii="Arial" w:eastAsia="Calibri" w:hAnsi="Arial" w:cs="Arial"/>
                <w:szCs w:val="20"/>
                <w:lang w:val="en-US"/>
              </w:rPr>
            </w:pPr>
            <w:r>
              <w:rPr>
                <w:rFonts w:ascii="Arial" w:eastAsia="Calibri" w:hAnsi="Arial" w:cs="Arial"/>
                <w:szCs w:val="20"/>
                <w:lang w:val="en-US"/>
              </w:rPr>
              <w:t>*</w:t>
            </w:r>
          </w:p>
        </w:tc>
        <w:tc>
          <w:tcPr>
            <w:tcW w:w="0" w:type="auto"/>
            <w:shd w:val="clear" w:color="auto" w:fill="auto"/>
          </w:tcPr>
          <w:p w14:paraId="6C724E3A" w14:textId="77777777" w:rsidR="00A62399" w:rsidRPr="00F8370B" w:rsidRDefault="00A62399" w:rsidP="00A62399">
            <w:pPr>
              <w:rPr>
                <w:rFonts w:ascii="Arial" w:eastAsia="Calibri" w:hAnsi="Arial" w:cs="Arial"/>
                <w:szCs w:val="20"/>
                <w:lang w:val="en-US"/>
              </w:rPr>
            </w:pPr>
          </w:p>
        </w:tc>
        <w:tc>
          <w:tcPr>
            <w:tcW w:w="0" w:type="auto"/>
            <w:shd w:val="clear" w:color="auto" w:fill="auto"/>
          </w:tcPr>
          <w:p w14:paraId="7830040C" w14:textId="4EDC1F9F" w:rsidR="00A62399" w:rsidRPr="00F8370B" w:rsidRDefault="00A62399" w:rsidP="00A62399">
            <w:pPr>
              <w:rPr>
                <w:rFonts w:ascii="Arial" w:eastAsia="Calibri" w:hAnsi="Arial" w:cs="Arial"/>
                <w:szCs w:val="20"/>
                <w:lang w:val="en-US"/>
              </w:rPr>
            </w:pPr>
            <w:r>
              <w:rPr>
                <w:rFonts w:ascii="Arial" w:eastAsia="Calibri" w:hAnsi="Arial" w:cs="Arial"/>
                <w:szCs w:val="20"/>
                <w:lang w:val="en-US"/>
              </w:rPr>
              <w:t>*</w:t>
            </w:r>
          </w:p>
        </w:tc>
        <w:tc>
          <w:tcPr>
            <w:tcW w:w="0" w:type="auto"/>
            <w:shd w:val="clear" w:color="auto" w:fill="auto"/>
          </w:tcPr>
          <w:p w14:paraId="65183FA9" w14:textId="6DB5F971" w:rsidR="00A62399" w:rsidRDefault="00A62399" w:rsidP="00A62399">
            <w:pPr>
              <w:rPr>
                <w:rFonts w:ascii="Arial" w:eastAsia="Calibri" w:hAnsi="Arial" w:cs="Arial"/>
                <w:szCs w:val="20"/>
                <w:lang w:val="en-US"/>
              </w:rPr>
            </w:pPr>
            <w:r>
              <w:rPr>
                <w:rFonts w:ascii="Arial" w:eastAsia="Calibri" w:hAnsi="Arial" w:cs="Arial"/>
                <w:szCs w:val="20"/>
                <w:lang w:val="en-US"/>
              </w:rPr>
              <w:t>*</w:t>
            </w:r>
          </w:p>
        </w:tc>
        <w:tc>
          <w:tcPr>
            <w:tcW w:w="0" w:type="auto"/>
            <w:shd w:val="clear" w:color="auto" w:fill="auto"/>
          </w:tcPr>
          <w:p w14:paraId="6E4F279C" w14:textId="792F465B" w:rsidR="00A62399" w:rsidRDefault="00A62399" w:rsidP="00A62399">
            <w:pPr>
              <w:rPr>
                <w:rFonts w:ascii="Arial" w:eastAsia="Calibri" w:hAnsi="Arial" w:cs="Arial"/>
                <w:szCs w:val="20"/>
                <w:lang w:val="en-US"/>
              </w:rPr>
            </w:pPr>
            <w:r>
              <w:rPr>
                <w:rFonts w:ascii="Arial" w:eastAsia="Calibri" w:hAnsi="Arial" w:cs="Arial"/>
                <w:szCs w:val="20"/>
                <w:lang w:val="en-US"/>
              </w:rPr>
              <w:t>*</w:t>
            </w:r>
          </w:p>
        </w:tc>
        <w:tc>
          <w:tcPr>
            <w:tcW w:w="0" w:type="auto"/>
            <w:shd w:val="clear" w:color="auto" w:fill="auto"/>
          </w:tcPr>
          <w:p w14:paraId="6DAF771E" w14:textId="25AAF6E3" w:rsidR="00A62399" w:rsidRDefault="00A62399" w:rsidP="00A62399">
            <w:pPr>
              <w:rPr>
                <w:rFonts w:ascii="Arial" w:eastAsia="Calibri" w:hAnsi="Arial" w:cs="Arial"/>
                <w:szCs w:val="20"/>
                <w:lang w:val="en-US"/>
              </w:rPr>
            </w:pPr>
            <w:r>
              <w:rPr>
                <w:rFonts w:ascii="Arial" w:eastAsia="Calibri" w:hAnsi="Arial" w:cs="Arial"/>
                <w:szCs w:val="20"/>
                <w:lang w:val="en-US"/>
              </w:rPr>
              <w:t>6</w:t>
            </w:r>
          </w:p>
        </w:tc>
      </w:tr>
      <w:tr w:rsidR="00A62399" w:rsidRPr="00F8370B" w14:paraId="2004E2EE" w14:textId="77777777" w:rsidTr="00124A6C">
        <w:trPr>
          <w:jc w:val="center"/>
        </w:trPr>
        <w:tc>
          <w:tcPr>
            <w:tcW w:w="0" w:type="auto"/>
            <w:shd w:val="clear" w:color="auto" w:fill="auto"/>
          </w:tcPr>
          <w:p w14:paraId="02890E31" w14:textId="6231D304"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Luo et al.</w:t>
            </w:r>
            <w:r>
              <w:rPr>
                <w:rFonts w:ascii="Arial" w:eastAsia="Calibri" w:hAnsi="Arial" w:cs="Arial"/>
                <w:szCs w:val="20"/>
                <w:lang w:val="en-US"/>
              </w:rPr>
              <w:t xml:space="preserve"> </w:t>
            </w:r>
            <w:r>
              <w:rPr>
                <w:rFonts w:ascii="Arial" w:eastAsia="Calibri" w:hAnsi="Arial" w:cs="Arial"/>
                <w:szCs w:val="20"/>
                <w:lang w:val="en-US"/>
              </w:rPr>
              <w:fldChar w:fldCharType="begin" w:fldLock="1"/>
            </w:r>
            <w:r w:rsidR="00927572">
              <w:rPr>
                <w:rFonts w:ascii="Arial" w:eastAsia="Calibri" w:hAnsi="Arial" w:cs="Arial"/>
                <w:szCs w:val="20"/>
                <w:lang w:val="en-US"/>
              </w:rPr>
              <w:instrText>ADDIN CSL_CITATION {"citationItems":[{"id":"ITEM-1","itemData":{"DOI":"10.1002/jmv.25801","ISSN":"01466615","abstract":"Tocilizumab (TCZ), a monoclonal antibody against interleukin-6 (IL-6), emerged as an alternative treatment for COVID-19 patients with a risk of cytokine storms recently. In the present study, we aimed to discuss the treatment response of TCZ therapy in COVID-19 infected patients. The demographic, treatment, laboratory parameters of C-reactive protein (CRP) and IL-6 before and after TCZ therapy and clinical outcome in the 15 COVID-19 patients were retrospectively assessed. Totally 15 patients with COVID-19 were included in this study. Two of them were moderately ill, six were seriously ill and seven were critically ill. The TCZ was used in combination with methylprednisolone in eight patients. Five patients received the TCZ administration twice or more. Although TCZ treatment ameliorated the increased CRP in all patients rapidly, for the four critically ill patients who received an only single dose of TCZ, three of them (No. 1, 2, and 3) still dead and the CRP level in the rest one patient (No. 7) failed to return to normal range with a clinical outcome of disease aggravation. Serum IL-6 level tended to further spiked firstly and then decreased after TCZ therapy in 10 patients. A persistent and dramatic increase of IL-6 was observed in these four patients who failed treatment. TCZ appears to be an effective treatment option in COVID-19 patients with a risk of cytokine storms. And for these critically ill patients with elevated IL-6, the repeated dose of the TCZ is recommended.","author":[{"dropping-particle":"","family":"Luo","given":"Pan","non-dropping-particle":"","parse-names":false,"suffix":""},{"dropping-particle":"","family":"Liu","given":"Yi","non-dropping-particle":"","parse-names":false,"suffix":""},{"dropping-particle":"","family":"Qiu","given":"Lin","non-dropping-particle":"","parse-names":false,"suffix":""},{"dropping-particle":"","family":"Liu","given":"Xiulan","non-dropping-particle":"","parse-names":false,"suffix":""},{"dropping-particle":"","family":"Liu","given":"Dong","non-dropping-particle":"","parse-names":false,"suffix":""},{"dropping-particle":"","family":"Li","given":"Juan","non-dropping-particle":"","parse-names":false,"suffix":""}],"container-title":"Journal of Medical Virology","id":"ITEM-1","issued":{"date-parts":[["2020","4","15"]]},"publisher":"John Wiley and Sons Inc.","title":"Tocilizumab treatment in COVID-19: A single center experience","type":"article-journal"},"uris":["http://www.mendeley.com/documents/?uuid=4dc22936-c08a-337a-a5a0-5e78a06151d3"]}],"mendeley":{"formattedCitation":"&lt;sup&gt;4&lt;/sup&gt;","plainTextFormattedCitation":"4","previouslyFormattedCitation":"&lt;sup&gt;4&lt;/sup&gt;"},"properties":{"noteIndex":0},"schema":"https://github.com/citation-style-language/schema/raw/master/csl-citation.json"}</w:instrText>
            </w:r>
            <w:r>
              <w:rPr>
                <w:rFonts w:ascii="Arial" w:eastAsia="Calibri" w:hAnsi="Arial" w:cs="Arial"/>
                <w:szCs w:val="20"/>
                <w:lang w:val="en-US"/>
              </w:rPr>
              <w:fldChar w:fldCharType="separate"/>
            </w:r>
            <w:r w:rsidR="001E26C2" w:rsidRPr="001E26C2">
              <w:rPr>
                <w:rFonts w:ascii="Arial" w:eastAsia="Calibri" w:hAnsi="Arial" w:cs="Arial"/>
                <w:noProof/>
                <w:szCs w:val="20"/>
                <w:vertAlign w:val="superscript"/>
                <w:lang w:val="en-US"/>
              </w:rPr>
              <w:t>4</w:t>
            </w:r>
            <w:r>
              <w:rPr>
                <w:rFonts w:ascii="Arial" w:eastAsia="Calibri" w:hAnsi="Arial" w:cs="Arial"/>
                <w:szCs w:val="20"/>
                <w:lang w:val="en-US"/>
              </w:rPr>
              <w:fldChar w:fldCharType="end"/>
            </w:r>
          </w:p>
        </w:tc>
        <w:tc>
          <w:tcPr>
            <w:tcW w:w="0" w:type="auto"/>
            <w:shd w:val="clear" w:color="auto" w:fill="auto"/>
          </w:tcPr>
          <w:p w14:paraId="5EF21D61"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Cohort</w:t>
            </w:r>
          </w:p>
        </w:tc>
        <w:tc>
          <w:tcPr>
            <w:tcW w:w="0" w:type="auto"/>
            <w:shd w:val="clear" w:color="auto" w:fill="auto"/>
          </w:tcPr>
          <w:p w14:paraId="095DF932"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752DAD4E" w14:textId="77777777" w:rsidR="00A62399" w:rsidRPr="00F8370B" w:rsidRDefault="00A62399" w:rsidP="00A62399">
            <w:pPr>
              <w:rPr>
                <w:rFonts w:ascii="Arial" w:eastAsia="Calibri" w:hAnsi="Arial" w:cs="Arial"/>
                <w:szCs w:val="20"/>
                <w:lang w:val="en-US"/>
              </w:rPr>
            </w:pPr>
          </w:p>
        </w:tc>
        <w:tc>
          <w:tcPr>
            <w:tcW w:w="0" w:type="auto"/>
            <w:shd w:val="clear" w:color="auto" w:fill="auto"/>
          </w:tcPr>
          <w:p w14:paraId="745E87BD"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698A47FB"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78F85ECB" w14:textId="77777777" w:rsidR="00A62399" w:rsidRPr="00F8370B" w:rsidRDefault="00A62399" w:rsidP="00A62399">
            <w:pPr>
              <w:rPr>
                <w:rFonts w:ascii="Arial" w:eastAsia="Calibri" w:hAnsi="Arial" w:cs="Arial"/>
                <w:szCs w:val="20"/>
                <w:lang w:val="en-US"/>
              </w:rPr>
            </w:pPr>
          </w:p>
        </w:tc>
        <w:tc>
          <w:tcPr>
            <w:tcW w:w="0" w:type="auto"/>
            <w:shd w:val="clear" w:color="auto" w:fill="auto"/>
          </w:tcPr>
          <w:p w14:paraId="6B598030"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6397A7BF"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4C0B4365"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672560F1"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6</w:t>
            </w:r>
          </w:p>
        </w:tc>
      </w:tr>
      <w:tr w:rsidR="00A62399" w:rsidRPr="00F8370B" w14:paraId="0346EFC8" w14:textId="77777777" w:rsidTr="00124A6C">
        <w:trPr>
          <w:jc w:val="center"/>
        </w:trPr>
        <w:tc>
          <w:tcPr>
            <w:tcW w:w="0" w:type="auto"/>
            <w:shd w:val="clear" w:color="auto" w:fill="auto"/>
          </w:tcPr>
          <w:p w14:paraId="76829515" w14:textId="05516DF0"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Morena et al.</w:t>
            </w:r>
            <w:r>
              <w:rPr>
                <w:rFonts w:ascii="Arial" w:eastAsia="Calibri" w:hAnsi="Arial" w:cs="Arial"/>
                <w:szCs w:val="20"/>
                <w:lang w:val="en-US"/>
              </w:rPr>
              <w:t xml:space="preserve"> </w:t>
            </w:r>
            <w:r>
              <w:rPr>
                <w:rFonts w:ascii="Arial" w:eastAsia="Calibri" w:hAnsi="Arial" w:cs="Arial"/>
                <w:szCs w:val="20"/>
                <w:lang w:val="en-US"/>
              </w:rPr>
              <w:fldChar w:fldCharType="begin" w:fldLock="1"/>
            </w:r>
            <w:r w:rsidR="00927572">
              <w:rPr>
                <w:rFonts w:ascii="Arial" w:eastAsia="Calibri" w:hAnsi="Arial" w:cs="Arial"/>
                <w:szCs w:val="20"/>
                <w:lang w:val="en-US"/>
              </w:rPr>
              <w:instrText>ADDIN CSL_CITATION {"citationItems":[{"id":"ITEM-1","itemData":{"DOI":"10.1016/j.ejim.2020.05.011","abstract":"Background: Tocilizumab, a humanized monoclonal antibody, targets IL-6 receptors blocking downstream pro-inflammatory effects of IL-6. In preliminary reports it was suggested to be beneficial in patients with severe COVID-19. Methods: In this open-label prospective study we describe clinical characteristics and outcome of 51 patients hospitalized with confirmed and severe COVID-19 pneumonia treated with tocilizumab intravenously. All patients had elevated IL-6 plasma level (&gt;40 pg/mL) and oxygen saturation &lt;93% in ambient air. Clinical outcomes , oxygen support, laboratory data and adverse events were collected over a follow-up of 30 days. Results: Forty-five patients (88%) were on high-flow oxygen supplementation, six of whom with invasive ventilation. From baseline to day 7 after tocilizumab we observed a dramatic drop of body temperature and CRP value with a significant increase in lymphocyte count (p&lt;0.001). Over a median follow-up time of 34 days from tocilizumab, 34 patients (67%) showed an improvement in their clinical severity class; 31 were discharged; 17 (33%) showed a worsening of their clinical status, of these 14 died (27%). The mortality rate was significantly associated with mechanical ventilation at baseline (83.3% vs 20% of patients on non-invasive oxygen support; p=0.0001). The most frequent side effects were an increase of hepatic enzymes (29%), thrombocytopenia (14%), and serious bacterial and fungal infections (27%). Conclusion: Tocilizumab exerts a rapidly beneficial effect on fever and inflammatory markers, although no significant impact on the clinical outcome can be inferred by our results. Critically ill patients seem to have a high risk of serious infections with this drug.","author":[{"dropping-particle":"","family":"Morena","given":"Valentina","non-dropping-particle":"","parse-names":false,"suffix":""},{"dropping-particle":"","family":"Milazzo","given":"Laura","non-dropping-particle":"","parse-names":false,"suffix":""},{"dropping-particle":"","family":"Oreni","given":"Letizia","non-dropping-particle":"","parse-names":false,"suffix":""},{"dropping-particle":"","family":"Bestetti","given":"Giovanna","non-dropping-particle":"","parse-names":false,"suffix":""},{"dropping-particle":"","family":"Fossali","given":"Tommaso","non-dropping-particle":"","parse-names":false,"suffix":""},{"dropping-particle":"","family":"Bassoli","given":"Cinzia","non-dropping-particle":"","parse-names":false,"suffix":""},{"dropping-particle":"","family":"Torre","given":"Alessandro","non-dropping-particle":"","parse-names":false,"suffix":""},{"dropping-particle":"","family":"Cossu","given":"Maria Vittoria","non-dropping-particle":"","parse-names":false,"suffix":""},{"dropping-particle":"","family":"Minari","given":"Caterina","non-dropping-particle":"","parse-names":false,"suffix":""},{"dropping-particle":"","family":"Ballone","given":"Elisabetta","non-dropping-particle":"","parse-names":false,"suffix":""},{"dropping-particle":"","family":"Perotti","given":"Andrea","non-dropping-particle":"","parse-names":false,"suffix":""},{"dropping-particle":"","family":"Mileto","given":"Davide","non-dropping-particle":"","parse-names":false,"suffix":""},{"dropping-particle":"","family":"Niero","given":"Fosca","non-dropping-particle":"","parse-names":false,"suffix":""},{"dropping-particle":"","family":"Merli","given":"Stefania","non-dropping-particle":"","parse-names":false,"suffix":""},{"dropping-particle":"","family":"Foschi","given":"Antonella","non-dropping-particle":"","parse-names":false,"suffix":""},{"dropping-particle":"","family":"Vimercati","given":"Stefania","non-dropping-particle":"","parse-names":false,"suffix":""},{"dropping-particle":"","family":"Rizzardini","given":"Giuliano","non-dropping-particle":"","parse-names":false,"suffix":""},{"dropping-particle":"","family":"Sollima","given":"Salvatore","non-dropping-particle":"","parse-names":false,"suffix":""},{"dropping-particle":"","family":"Bradanini","given":"Lucia","non-dropping-particle":"","parse-names":false,"suffix":""},{"dropping-particle":"","family":"Galimberti","given":"Laura","non-dropping-particle":"","parse-names":false,"suffix":""},{"dropping-particle":"","family":"Colombo","given":"Riccardo","non-dropping-particle":"","parse-names":false,"suffix":""},{"dropping-particle":"","family":"Micheli","given":"Valeria","non-dropping-particle":"","parse-names":false,"suffix":""},{"dropping-particle":"","family":"Negri","given":"Cristina","non-dropping-particle":"","parse-names":false,"suffix":""},{"dropping-particle":"","family":"Ridolfo","given":"Anna Lisa","non-dropping-particle":"","parse-names":false,"suffix":""},{"dropping-particle":"","family":"Meroni","given":"Luca","non-dropping-particle":"","parse-names":false,"suffix":""},{"dropping-particle":"","family":"Galli","given":"Massimo","non-dropping-particle":"","parse-names":false,"suffix":""},{"dropping-particle":"","family":"Antinori","given":"Spinello","non-dropping-particle":"","parse-names":false,"suffix":""},{"dropping-particle":"","family":"Corbellino","given":"Mario","non-dropping-particle":"","parse-names":false,"suffix":""}],"container-title":"European Journal of Internal Medicine","id":"ITEM-1","issued":{"date-parts":[["2020"]]},"page":"36-42","title":"Off-label use of tocilizumab for the treatment of SARS-CoV-2 pneumonia in Milan, Italy","type":"article-journal","volume":"76"},"uris":["http://www.mendeley.com/documents/?uuid=a2f17b37-a814-3344-bdda-e2568ae2501b"]}],"mendeley":{"formattedCitation":"&lt;sup&gt;5&lt;/sup&gt;","plainTextFormattedCitation":"5","previouslyFormattedCitation":"&lt;sup&gt;5&lt;/sup&gt;"},"properties":{"noteIndex":0},"schema":"https://github.com/citation-style-language/schema/raw/master/csl-citation.json"}</w:instrText>
            </w:r>
            <w:r>
              <w:rPr>
                <w:rFonts w:ascii="Arial" w:eastAsia="Calibri" w:hAnsi="Arial" w:cs="Arial"/>
                <w:szCs w:val="20"/>
                <w:lang w:val="en-US"/>
              </w:rPr>
              <w:fldChar w:fldCharType="separate"/>
            </w:r>
            <w:r w:rsidR="001E26C2" w:rsidRPr="001E26C2">
              <w:rPr>
                <w:rFonts w:ascii="Arial" w:eastAsia="Calibri" w:hAnsi="Arial" w:cs="Arial"/>
                <w:noProof/>
                <w:szCs w:val="20"/>
                <w:vertAlign w:val="superscript"/>
                <w:lang w:val="en-US"/>
              </w:rPr>
              <w:t>5</w:t>
            </w:r>
            <w:r>
              <w:rPr>
                <w:rFonts w:ascii="Arial" w:eastAsia="Calibri" w:hAnsi="Arial" w:cs="Arial"/>
                <w:szCs w:val="20"/>
                <w:lang w:val="en-US"/>
              </w:rPr>
              <w:fldChar w:fldCharType="end"/>
            </w:r>
          </w:p>
        </w:tc>
        <w:tc>
          <w:tcPr>
            <w:tcW w:w="0" w:type="auto"/>
            <w:shd w:val="clear" w:color="auto" w:fill="auto"/>
          </w:tcPr>
          <w:p w14:paraId="0A9E318E"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Cohort</w:t>
            </w:r>
          </w:p>
        </w:tc>
        <w:tc>
          <w:tcPr>
            <w:tcW w:w="0" w:type="auto"/>
            <w:shd w:val="clear" w:color="auto" w:fill="auto"/>
          </w:tcPr>
          <w:p w14:paraId="71DFCFDA"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3235D209" w14:textId="77777777" w:rsidR="00A62399" w:rsidRPr="00F8370B" w:rsidRDefault="00A62399" w:rsidP="00A62399">
            <w:pPr>
              <w:rPr>
                <w:rFonts w:ascii="Arial" w:eastAsia="Calibri" w:hAnsi="Arial" w:cs="Arial"/>
                <w:szCs w:val="20"/>
                <w:lang w:val="en-US"/>
              </w:rPr>
            </w:pPr>
          </w:p>
        </w:tc>
        <w:tc>
          <w:tcPr>
            <w:tcW w:w="0" w:type="auto"/>
            <w:shd w:val="clear" w:color="auto" w:fill="auto"/>
          </w:tcPr>
          <w:p w14:paraId="55C77637"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600EF8BD"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396965EB" w14:textId="77777777" w:rsidR="00A62399" w:rsidRPr="00F8370B" w:rsidRDefault="00A62399" w:rsidP="00A62399">
            <w:pPr>
              <w:rPr>
                <w:rFonts w:ascii="Arial" w:eastAsia="Calibri" w:hAnsi="Arial" w:cs="Arial"/>
                <w:szCs w:val="20"/>
                <w:lang w:val="en-US"/>
              </w:rPr>
            </w:pPr>
          </w:p>
        </w:tc>
        <w:tc>
          <w:tcPr>
            <w:tcW w:w="0" w:type="auto"/>
            <w:shd w:val="clear" w:color="auto" w:fill="auto"/>
          </w:tcPr>
          <w:p w14:paraId="1B77BA7F"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5B3A509C"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67334C88"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360BF1C5"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6</w:t>
            </w:r>
          </w:p>
        </w:tc>
      </w:tr>
      <w:tr w:rsidR="00A62399" w:rsidRPr="00F8370B" w14:paraId="0C94E683" w14:textId="77777777" w:rsidTr="00124A6C">
        <w:trPr>
          <w:jc w:val="center"/>
        </w:trPr>
        <w:tc>
          <w:tcPr>
            <w:tcW w:w="0" w:type="auto"/>
            <w:shd w:val="clear" w:color="auto" w:fill="auto"/>
          </w:tcPr>
          <w:p w14:paraId="1E3931F3" w14:textId="0AAC5ACE" w:rsidR="00A62399" w:rsidRPr="00F8370B" w:rsidRDefault="00A62399" w:rsidP="00A62399">
            <w:pPr>
              <w:rPr>
                <w:rFonts w:ascii="Arial" w:eastAsia="Calibri" w:hAnsi="Arial" w:cs="Arial"/>
                <w:szCs w:val="20"/>
                <w:lang w:val="en-US"/>
              </w:rPr>
            </w:pPr>
            <w:r>
              <w:rPr>
                <w:rFonts w:ascii="Arial" w:eastAsia="Calibri" w:hAnsi="Arial" w:cs="Arial"/>
                <w:szCs w:val="20"/>
                <w:lang w:val="en-US"/>
              </w:rPr>
              <w:lastRenderedPageBreak/>
              <w:t xml:space="preserve">Perrone et al. </w:t>
            </w:r>
            <w:r>
              <w:rPr>
                <w:rFonts w:ascii="Arial" w:eastAsia="Calibri" w:hAnsi="Arial" w:cs="Arial"/>
                <w:szCs w:val="20"/>
                <w:lang w:val="en-US"/>
              </w:rPr>
              <w:fldChar w:fldCharType="begin" w:fldLock="1"/>
            </w:r>
            <w:r w:rsidR="00927572">
              <w:rPr>
                <w:rFonts w:ascii="Arial" w:eastAsia="Calibri" w:hAnsi="Arial" w:cs="Arial"/>
                <w:szCs w:val="20"/>
                <w:lang w:val="en-US"/>
              </w:rPr>
              <w:instrText>ADDIN CSL_CITATION {"citationItems":[{"id":"ITEM-1","itemData":{"DOI":"10.1101/2020.06.01.20119149","abstract":"Background: Tocilizumab blocks pro-inflammatory activity of interleukin-6 (IL-6) which might be important in the pathogenesis of interstitial pneumonia. Objective: to evaluate efficacy of tocilizumab in COVID-19 pneumonia patients. Design: multicenter single-arm phase 2 trial, powered to detect 10% absolute lethality rate reduction at 14 and 30-days, with 20% and 35% expected rates. A consecutive prospective validation cohort was also evaluated. Setting: 185 Italian public hospitals, during coronavirus breakout. Patients: 1221 patients hospitalized with pneumonia, from March 19th to 24th, 2020. Intervention: tocilizumab 8 mg/kg, intravenously, one or two administrations with 12 hours interval. Measurements: lethality rates at 14 and 30-days; safety according to CTCAE. Results: 301 and 920 cases were available for intention-to-treat (ITT) analysis in phase 2 and validation cohorts. Due to delayed drug availability, 60% of patients received tocilizumab, and with some delays. In phase 2, 67 patients died; lethality rates were 18.4% (97.5%CI: 13.6-24.0, P=0.52) and 22.4% (97.5%CI: 17.2-28.3, P&amp;amp;lt;0.001) at 14 and 30-days. Lower rates (15.6% and 20.0%) were reported in the modified ITT including only treated patients (mITT). Lethality rates in the validation cohort were smaller than in phase 2, at 14 and 30 days and in ITT and mITT populations. Multivariable logistic regression model suggests tocilizumab be more effective in patients not requiring mechanical respiratory support at baseline. No relevant signal of specific drug toxicity was reported, many severe adverse events being disease-related. Limitations: single-arm design. In addition, delayed availability of the drug induced indication bias and immortal time bias. Conclusion: Tocilizumab reduced lethality rate at 30 but not at 14-days, compared with the expectations, without significant toxicity. Efficacy was more evident among patients not requiring mechanical respiratory support.Competing Interest StatementDr. Perrone reports grants, personal fees and non-financial support from Bayer; grants and personal fees from Incyte, Astra Zeneca, Pierre Fabre; personal fees from Celgene, Janssen Cilag, Roche, Pfizer, Sandoz, outside the submitted work. Dr. Piccirillo reports grants and personal fees from AstraZeneca; grants from Roche; personal fees from Daichii Sankyo, GSK, MSD; non-financial support from Bayer, outside the submitted work. Dr. Ascierto reports grants and personal fees from BMS, Roche-Gene…","author":[{"dropping-particle":"","family":"Perrone","given":"Francesco","non-dropping-particle":"","parse-names":false,"suffix":""},{"dropping-particle":"","family":"Piccirillo","given":"Maria Carmela","non-dropping-particle":"","parse-names":false,"suffix":""},{"dropping-particle":"","family":"Ascierto","given":"Paolo Antonio","non-dropping-particle":"","parse-names":false,"suffix":""},{"dropping-particle":"","family":"Salvarani","given":"Carlo","non-dropping-particle":"","parse-names":false,"suffix":""},{"dropping-particle":"","family":"Parrella","given":"Roberto","non-dropping-particle":"","parse-names":false,"suffix":""},{"dropping-particle":"","family":"Marata","given":"Anna Maria","non-dropping-particle":"","parse-names":false,"suffix":""},{"dropping-particle":"","family":"Popoli","given":"Patrizia","non-dropping-particle":"","parse-names":false,"suffix":""},{"dropping-particle":"","family":"Ferraris","given":"Laurenzia","non-dropping-particle":"","parse-names":false,"suffix":""},{"dropping-particle":"","family":"Marrocco Trischitta","given":"Massimiliano M","non-dropping-particle":"","parse-names":false,"suffix":""},{"dropping-particle":"","family":"Ripamonti","given":"Diego","non-dropping-particle":"","parse-names":false,"suffix":""},{"dropping-particle":"","family":"Binda","given":"Francesca","non-dropping-particle":"","parse-names":false,"suffix":""},{"dropping-particle":"","family":"Bonfanti","given":"Paolo","non-dropping-particle":"","parse-names":false,"suffix":""},{"dropping-particle":"","family":"Squillace","given":"Nicola","non-dropping-particle":"","parse-names":false,"suffix":""},{"dropping-particle":"","family":"Castelli","given":"Francesco","non-dropping-particle":"","parse-names":false,"suffix":""},{"dropping-particle":"","family":"Muiesan","given":"Maria Lorenza","non-dropping-particle":"","parse-names":false,"suffix":""},{"dropping-particle":"","family":"Lichtner","given":"Miriam","non-dropping-particle":"","parse-names":false,"suffix":""},{"dropping-particle":"","family":"Calzetti","given":"Carlo","non-dropping-particle":"","parse-names":false,"suffix":""},{"dropping-particle":"","family":"Salerno","given":"Nicola Duccio","non-dropping-particle":"","parse-names":false,"suffix":""},{"dropping-particle":"","family":"Atripaldi","given":"Luigi","non-dropping-particle":"","parse-names":false,"suffix":""},{"dropping-particle":"","family":"Cascella","given":"Marco","non-dropping-particle":"","parse-names":false,"suffix":""},{"dropping-particle":"","family":"Costantini","given":"Massimo","non-dropping-particle":"","parse-names":false,"suffix":""},{"dropping-particle":"","family":"Dolci","given":"Giovanni","non-dropping-particle":"","parse-names":false,"suffix":""},{"dropping-particle":"","family":"Facciolongo","given":"Nicola Cosimo","non-dropping-particle":"","parse-names":false,"suffix":""},{"dropping-particle":"","family":"Fraganza","given":"Fiorentino","non-dropping-particle":"","parse-names":false,"suffix":""},{"dropping-particle":"","family":"Massari","given":"Marco","non-dropping-particle":"","parse-names":false,"suffix":""},{"dropping-particle":"","family":"Montesarchio","given":"Vincenzo","non-dropping-particle":"","parse-names":false,"suffix":""},{"dropping-particle":"","family":"Mussini","given":"Cristina","non-dropping-particle":"","parse-names":false,"suffix":""},{"dropping-particle":"","family":"Negri","given":"Emanuele Alberto","non-dropping-particle":"","parse-names":false,"suffix":""},{"dropping-particle":"","family":"Botti","given":"Gerardo","non-dropping-particle":"","parse-names":false,"suffix":""},{"dropping-particle":"","family":"Cardone","given":"Claudia","non-dropping-particle":"","parse-names":false,"suffix":""},{"dropping-particle":"","family":"Gargiulo","given":"Piera","non-dropping-particle":"","parse-names":false,"suffix":""},{"dropping-particle":"","family":"Gravina","given":"Adriano","non-dropping-particle":"","parse-names":false,"suffix":""},{"dropping-particle":"","family":"Schettino","given":"Clorinda","non-dropping-particle":"","parse-names":false,"suffix":""},{"dropping-particle":"","family":"Arenare","given":"Laura","non-dropping-particle":"","parse-names":false,"suffix":""},{"dropping-particle":"","family":"Chiodini","given":"Paolo","non-dropping-particle":"","parse-names":false,"suffix":""},{"dropping-particle":"","family":"Gallo","given":"Ciro","non-dropping-particle":"","parse-names":false,"suffix":""}],"container-title":"medRxiv","id":"ITEM-1","issued":{"date-parts":[["2020"]]},"title":"Tocilizumab for patients with COVID-19 pneumonia. The TOCIVID-19 phase 2 trial","type":"article-journal"},"uris":["http://www.mendeley.com/documents/?uuid=74533461-b3e0-3241-8059-20da148a514a"]}],"mendeley":{"formattedCitation":"&lt;sup&gt;6&lt;/sup&gt;","plainTextFormattedCitation":"6","previouslyFormattedCitation":"&lt;sup&gt;6&lt;/sup&gt;"},"properties":{"noteIndex":0},"schema":"https://github.com/citation-style-language/schema/raw/master/csl-citation.json"}</w:instrText>
            </w:r>
            <w:r>
              <w:rPr>
                <w:rFonts w:ascii="Arial" w:eastAsia="Calibri" w:hAnsi="Arial" w:cs="Arial"/>
                <w:szCs w:val="20"/>
                <w:lang w:val="en-US"/>
              </w:rPr>
              <w:fldChar w:fldCharType="separate"/>
            </w:r>
            <w:r w:rsidR="001E26C2" w:rsidRPr="001E26C2">
              <w:rPr>
                <w:rFonts w:ascii="Arial" w:eastAsia="Calibri" w:hAnsi="Arial" w:cs="Arial"/>
                <w:noProof/>
                <w:szCs w:val="20"/>
                <w:vertAlign w:val="superscript"/>
                <w:lang w:val="en-US"/>
              </w:rPr>
              <w:t>6</w:t>
            </w:r>
            <w:r>
              <w:rPr>
                <w:rFonts w:ascii="Arial" w:eastAsia="Calibri" w:hAnsi="Arial" w:cs="Arial"/>
                <w:szCs w:val="20"/>
                <w:lang w:val="en-US"/>
              </w:rPr>
              <w:fldChar w:fldCharType="end"/>
            </w:r>
          </w:p>
        </w:tc>
        <w:tc>
          <w:tcPr>
            <w:tcW w:w="0" w:type="auto"/>
            <w:shd w:val="clear" w:color="auto" w:fill="auto"/>
          </w:tcPr>
          <w:p w14:paraId="133E080E" w14:textId="22CA2244" w:rsidR="00A62399" w:rsidRPr="00F8370B" w:rsidRDefault="00A62399" w:rsidP="00A62399">
            <w:pPr>
              <w:rPr>
                <w:rFonts w:ascii="Arial" w:eastAsia="Calibri" w:hAnsi="Arial" w:cs="Arial"/>
                <w:szCs w:val="20"/>
                <w:lang w:val="en-US"/>
              </w:rPr>
            </w:pPr>
            <w:r>
              <w:rPr>
                <w:rFonts w:ascii="Arial" w:eastAsia="Calibri" w:hAnsi="Arial" w:cs="Arial"/>
                <w:szCs w:val="20"/>
                <w:lang w:val="en-US"/>
              </w:rPr>
              <w:t>Cohort</w:t>
            </w:r>
          </w:p>
        </w:tc>
        <w:tc>
          <w:tcPr>
            <w:tcW w:w="0" w:type="auto"/>
            <w:shd w:val="clear" w:color="auto" w:fill="auto"/>
          </w:tcPr>
          <w:p w14:paraId="4DC7AD38" w14:textId="3F9148F8" w:rsidR="00A62399" w:rsidRPr="00F8370B" w:rsidRDefault="00A62399" w:rsidP="00A62399">
            <w:pPr>
              <w:rPr>
                <w:rFonts w:ascii="Arial" w:eastAsia="Calibri" w:hAnsi="Arial" w:cs="Arial"/>
                <w:szCs w:val="20"/>
                <w:lang w:val="en-US"/>
              </w:rPr>
            </w:pPr>
            <w:r>
              <w:rPr>
                <w:rFonts w:ascii="Arial" w:eastAsia="Calibri" w:hAnsi="Arial" w:cs="Arial"/>
                <w:szCs w:val="20"/>
                <w:lang w:val="en-US"/>
              </w:rPr>
              <w:t>*</w:t>
            </w:r>
          </w:p>
        </w:tc>
        <w:tc>
          <w:tcPr>
            <w:tcW w:w="0" w:type="auto"/>
            <w:shd w:val="clear" w:color="auto" w:fill="auto"/>
          </w:tcPr>
          <w:p w14:paraId="004D16AA" w14:textId="77777777" w:rsidR="00A62399" w:rsidRPr="00F8370B" w:rsidRDefault="00A62399" w:rsidP="00A62399">
            <w:pPr>
              <w:rPr>
                <w:rFonts w:ascii="Arial" w:eastAsia="Calibri" w:hAnsi="Arial" w:cs="Arial"/>
                <w:szCs w:val="20"/>
                <w:lang w:val="en-US"/>
              </w:rPr>
            </w:pPr>
          </w:p>
        </w:tc>
        <w:tc>
          <w:tcPr>
            <w:tcW w:w="0" w:type="auto"/>
            <w:shd w:val="clear" w:color="auto" w:fill="auto"/>
          </w:tcPr>
          <w:p w14:paraId="286B18A7" w14:textId="1CB53CC7" w:rsidR="00A62399" w:rsidRPr="00F8370B" w:rsidRDefault="00A62399" w:rsidP="00A62399">
            <w:pPr>
              <w:rPr>
                <w:rFonts w:ascii="Arial" w:eastAsia="Calibri" w:hAnsi="Arial" w:cs="Arial"/>
                <w:szCs w:val="20"/>
                <w:lang w:val="en-US"/>
              </w:rPr>
            </w:pPr>
            <w:r>
              <w:rPr>
                <w:rFonts w:ascii="Arial" w:eastAsia="Calibri" w:hAnsi="Arial" w:cs="Arial"/>
                <w:szCs w:val="20"/>
                <w:lang w:val="en-US"/>
              </w:rPr>
              <w:t>*</w:t>
            </w:r>
          </w:p>
        </w:tc>
        <w:tc>
          <w:tcPr>
            <w:tcW w:w="0" w:type="auto"/>
            <w:shd w:val="clear" w:color="auto" w:fill="auto"/>
          </w:tcPr>
          <w:p w14:paraId="2F9D8E8B" w14:textId="6FE96326" w:rsidR="00A62399" w:rsidRPr="00F8370B" w:rsidRDefault="00A62399" w:rsidP="00A62399">
            <w:pPr>
              <w:rPr>
                <w:rFonts w:ascii="Arial" w:eastAsia="Calibri" w:hAnsi="Arial" w:cs="Arial"/>
                <w:szCs w:val="20"/>
                <w:lang w:val="en-US"/>
              </w:rPr>
            </w:pPr>
            <w:r>
              <w:rPr>
                <w:rFonts w:ascii="Arial" w:eastAsia="Calibri" w:hAnsi="Arial" w:cs="Arial"/>
                <w:szCs w:val="20"/>
                <w:lang w:val="en-US"/>
              </w:rPr>
              <w:t>*</w:t>
            </w:r>
          </w:p>
        </w:tc>
        <w:tc>
          <w:tcPr>
            <w:tcW w:w="0" w:type="auto"/>
            <w:shd w:val="clear" w:color="auto" w:fill="auto"/>
          </w:tcPr>
          <w:p w14:paraId="4A72447C" w14:textId="77777777" w:rsidR="00A62399" w:rsidRPr="00F8370B" w:rsidRDefault="00A62399" w:rsidP="00A62399">
            <w:pPr>
              <w:rPr>
                <w:rFonts w:ascii="Arial" w:eastAsia="Calibri" w:hAnsi="Arial" w:cs="Arial"/>
                <w:szCs w:val="20"/>
                <w:lang w:val="en-US"/>
              </w:rPr>
            </w:pPr>
          </w:p>
        </w:tc>
        <w:tc>
          <w:tcPr>
            <w:tcW w:w="0" w:type="auto"/>
            <w:shd w:val="clear" w:color="auto" w:fill="auto"/>
          </w:tcPr>
          <w:p w14:paraId="1CBA28A8" w14:textId="678DA63C" w:rsidR="00A62399" w:rsidRPr="00F8370B" w:rsidRDefault="00A62399" w:rsidP="00A62399">
            <w:pPr>
              <w:rPr>
                <w:rFonts w:ascii="Arial" w:eastAsia="Calibri" w:hAnsi="Arial" w:cs="Arial"/>
                <w:szCs w:val="20"/>
                <w:lang w:val="en-US"/>
              </w:rPr>
            </w:pPr>
            <w:r>
              <w:rPr>
                <w:rFonts w:ascii="Arial" w:eastAsia="Calibri" w:hAnsi="Arial" w:cs="Arial"/>
                <w:szCs w:val="20"/>
                <w:lang w:val="en-US"/>
              </w:rPr>
              <w:t>*</w:t>
            </w:r>
          </w:p>
        </w:tc>
        <w:tc>
          <w:tcPr>
            <w:tcW w:w="0" w:type="auto"/>
            <w:shd w:val="clear" w:color="auto" w:fill="auto"/>
          </w:tcPr>
          <w:p w14:paraId="2CB6862E" w14:textId="402F2855" w:rsidR="00A62399" w:rsidRPr="00F8370B" w:rsidRDefault="00A62399" w:rsidP="00A62399">
            <w:pPr>
              <w:rPr>
                <w:rFonts w:ascii="Arial" w:eastAsia="Calibri" w:hAnsi="Arial" w:cs="Arial"/>
                <w:szCs w:val="20"/>
                <w:lang w:val="en-US"/>
              </w:rPr>
            </w:pPr>
            <w:r>
              <w:rPr>
                <w:rFonts w:ascii="Arial" w:eastAsia="Calibri" w:hAnsi="Arial" w:cs="Arial"/>
                <w:szCs w:val="20"/>
                <w:lang w:val="en-US"/>
              </w:rPr>
              <w:t>*</w:t>
            </w:r>
          </w:p>
        </w:tc>
        <w:tc>
          <w:tcPr>
            <w:tcW w:w="0" w:type="auto"/>
            <w:shd w:val="clear" w:color="auto" w:fill="auto"/>
          </w:tcPr>
          <w:p w14:paraId="714661AF" w14:textId="77777777" w:rsidR="00A62399" w:rsidRPr="00F8370B" w:rsidRDefault="00A62399" w:rsidP="00A62399">
            <w:pPr>
              <w:rPr>
                <w:rFonts w:ascii="Arial" w:eastAsia="Calibri" w:hAnsi="Arial" w:cs="Arial"/>
                <w:szCs w:val="20"/>
                <w:lang w:val="en-US"/>
              </w:rPr>
            </w:pPr>
          </w:p>
        </w:tc>
        <w:tc>
          <w:tcPr>
            <w:tcW w:w="0" w:type="auto"/>
            <w:shd w:val="clear" w:color="auto" w:fill="auto"/>
          </w:tcPr>
          <w:p w14:paraId="341E61A6" w14:textId="0C949729" w:rsidR="00A62399" w:rsidRPr="00F8370B" w:rsidRDefault="00A62399" w:rsidP="00A62399">
            <w:pPr>
              <w:rPr>
                <w:rFonts w:ascii="Arial" w:eastAsia="Calibri" w:hAnsi="Arial" w:cs="Arial"/>
                <w:szCs w:val="20"/>
                <w:lang w:val="en-US"/>
              </w:rPr>
            </w:pPr>
            <w:r>
              <w:rPr>
                <w:rFonts w:ascii="Arial" w:eastAsia="Calibri" w:hAnsi="Arial" w:cs="Arial"/>
                <w:szCs w:val="20"/>
                <w:lang w:val="en-US"/>
              </w:rPr>
              <w:t>5</w:t>
            </w:r>
          </w:p>
        </w:tc>
      </w:tr>
      <w:tr w:rsidR="00A62399" w:rsidRPr="00F8370B" w14:paraId="408E68FE" w14:textId="77777777" w:rsidTr="00124A6C">
        <w:trPr>
          <w:jc w:val="center"/>
        </w:trPr>
        <w:tc>
          <w:tcPr>
            <w:tcW w:w="0" w:type="auto"/>
            <w:shd w:val="clear" w:color="auto" w:fill="auto"/>
          </w:tcPr>
          <w:p w14:paraId="7ED48448" w14:textId="13EE03B9" w:rsidR="00A62399" w:rsidRPr="001843C2" w:rsidRDefault="00A62399" w:rsidP="00A62399">
            <w:pPr>
              <w:rPr>
                <w:rFonts w:ascii="Arial" w:eastAsia="Calibri" w:hAnsi="Arial" w:cs="Arial"/>
                <w:szCs w:val="20"/>
                <w:lang w:val="en-US"/>
              </w:rPr>
            </w:pPr>
            <w:r w:rsidRPr="001843C2">
              <w:rPr>
                <w:rFonts w:ascii="Arial" w:eastAsia="Calibri" w:hAnsi="Arial" w:cs="Arial"/>
                <w:szCs w:val="20"/>
                <w:lang w:val="en-US"/>
              </w:rPr>
              <w:t xml:space="preserve">Petrak et al. </w:t>
            </w:r>
            <w:r w:rsidRPr="001843C2">
              <w:rPr>
                <w:rFonts w:ascii="Arial" w:eastAsia="Calibri" w:hAnsi="Arial" w:cs="Arial"/>
                <w:szCs w:val="20"/>
                <w:lang w:val="en-US"/>
              </w:rPr>
              <w:fldChar w:fldCharType="begin" w:fldLock="1"/>
            </w:r>
            <w:r w:rsidR="00927572">
              <w:rPr>
                <w:rFonts w:ascii="Arial" w:eastAsia="Calibri" w:hAnsi="Arial" w:cs="Arial"/>
                <w:szCs w:val="20"/>
                <w:lang w:val="en-US"/>
              </w:rPr>
              <w:instrText>ADDIN CSL_CITATION {"citationItems":[{"id":"ITEM-1","itemData":{"DOI":"10.1101/2020.06.05.20122622","abstract":"Background: Tocilizumab is an IL-6 receptor antagonist with the ability to suppress the cytokine storm in critically ill patients infected with SARS-CoV-2. Methods: We evaluated patients treated with tocilizumab for a SARS-CoV-2 infection who were admitted between 3/13/20 and 4/16/20. This was a multi-center study with data collected by chart review both retrospectively and concurrently. Parameters evaluated included age, sex, race, use of mechanical ventilation (MV), usage of steroids and vasopressors, inflammatory markers, and comorbidities. Early dosing was defined as a tocilizumab dose administered prior to or within one (1) day of intubation. Late dosing was defined as a dose administered greater than one (1) day after intubation. In the absence of mechanical ventilation, the timing of the dose was related to the patient's date of admission only. Results: We evaluated 145 patients. The average age was 58.1 years, 64% were male, 68.3% had comorbidities, and 60% received steroid therapy. Disposition of patients was 48.3% discharged and 29.3% expired, of which 43.9% were African American. Mechanical ventilation was required in 55.9%, of which 34.5% expired. Avoidance of MV (p value = 0.002) and increased survival (p value &lt; 0.001) was statistically associated with early dosing. Conclusions: Tocilizumab therapy was effective at decreasing mortality and should be instituted early in the management of critically ill COVID-19 patients. ### Competing Interest Statement The authors have declared no competing interest. ### Funding Statement No external funding was received ### Author Declarations I confirm all relevant ethical guidelines have been followed, and any necessary IRB and/or ethics committee approvals have been obtained. Yes The details of the IRB/oversight body that provided approval or exemption for the research described are given below: Western IRB considered this an exempt project All necessary patient/participant consent has been obtained and the appropriate institutional forms have been archived. Yes I understand that all clinical trials and any other prospective interventional studies must be registered with an ICMJE-approved registry, such as ClinicalTrials.gov. I confirm that any such study reported in the manuscript has been registered and the trial registration ID is provided (note: if posting a prospective study registered retrospectively, please provide a statement in the trial ID field explaining why the study was not registered in …","author":[{"dropping-particle":"","family":"Petrak","given":"Russell","non-dropping-particle":"","parse-names":false,"suffix":""},{"dropping-particle":"","family":"Skorodin","given":"Nathan","non-dropping-particle":"","parse-names":false,"suffix":""},{"dropping-particle":"Van","family":"Hise","given":"Nicholas","non-dropping-particle":"","parse-names":false,"suffix":""},{"dropping-particle":"","family":"Fliegelman","given":"Robert","non-dropping-particle":"","parse-names":false,"suffix":""},{"dropping-particle":"","family":"Pinsky","given":"Jonathan","non-dropping-particle":"","parse-names":false,"suffix":""},{"dropping-particle":"","family":"Didwania","given":"Vishal","non-dropping-particle":"","parse-names":false,"suffix":""},{"dropping-particle":"","family":"Anderson","given":"Michael","non-dropping-particle":"","parse-names":false,"suffix":""},{"dropping-particle":"","family":"Diaz","given":"Melina","non-dropping-particle":"","parse-names":false,"suffix":""},{"dropping-particle":"","family":"Shah","given":"Kairav","non-dropping-particle":"","parse-names":false,"suffix":""},{"dropping-particle":"","family":"Chundi","given":"Vishnu","non-dropping-particle":"","parse-names":false,"suffix":""},{"dropping-particle":"","family":"Hines","given":"David","non-dropping-particle":"","parse-names":false,"suffix":""},{"dropping-particle":"","family":"Harting","given":"Brian","non-dropping-particle":"","parse-names":false,"suffix":""},{"dropping-particle":"","family":"Sidwha","given":"Kamo","non-dropping-particle":"","parse-names":false,"suffix":""},{"dropping-particle":"","family":"Yu","given":"Brian","non-dropping-particle":"","parse-names":false,"suffix":""},{"dropping-particle":"","family":"Brune","given":"Paul","non-dropping-particle":"","parse-names":false,"suffix":""},{"dropping-particle":"","family":"Owaisi","given":"Anjum","non-dropping-particle":"","parse-names":false,"suffix":""},{"dropping-particle":"","family":"Beezhold","given":"David","non-dropping-particle":"","parse-names":false,"suffix":""},{"dropping-particle":"","family":"Kent","given":"Joseph","non-dropping-particle":"","parse-names":false,"suffix":""},{"dropping-particle":"","family":"Vais","given":"Dana","non-dropping-particle":"","parse-names":false,"suffix":""},{"dropping-particle":"","family":"Han","given":"Alice","non-dropping-particle":"","parse-names":false,"suffix":""},{"dropping-particle":"","family":"Gowda","given":"Neethi","non-dropping-particle":"","parse-names":false,"suffix":""},{"dropping-particle":"","family":"Sahgal","given":"Nishi","non-dropping-particle":"","parse-names":false,"suffix":""},{"dropping-particle":"","family":"Silverman","given":"Jan","non-dropping-particle":"","parse-names":false,"suffix":""},{"dropping-particle":"","family":"Stake","given":"Jonathan","non-dropping-particle":"","parse-names":false,"suffix":""},{"dropping-particle":"","family":"Nepomuceno","given":"Jenie","non-dropping-particle":"","parse-names":false,"suffix":""},{"dropping-particle":"","family":"Heddurshetti","given":"Renuka","non-dropping-particle":"","parse-names":false,"suffix":""}],"container-title":"medRxiv","id":"ITEM-1","issued":{"date-parts":[["2020","6","8"]]},"publisher":"Cold Spring Harbor Laboratory Press","title":"Tocilizumab as a Therapeutic Agent for Critically Ill Patients Infected with SARS-CoV-2","type":"article-journal"},"uris":["http://www.mendeley.com/documents/?uuid=1fdd2353-2981-3801-b8de-d5d0f904a99d"]}],"mendeley":{"formattedCitation":"&lt;sup&gt;7&lt;/sup&gt;","plainTextFormattedCitation":"7","previouslyFormattedCitation":"&lt;sup&gt;7&lt;/sup&gt;"},"properties":{"noteIndex":0},"schema":"https://github.com/citation-style-language/schema/raw/master/csl-citation.json"}</w:instrText>
            </w:r>
            <w:r w:rsidRPr="001843C2">
              <w:rPr>
                <w:rFonts w:ascii="Arial" w:eastAsia="Calibri" w:hAnsi="Arial" w:cs="Arial"/>
                <w:szCs w:val="20"/>
                <w:lang w:val="en-US"/>
              </w:rPr>
              <w:fldChar w:fldCharType="separate"/>
            </w:r>
            <w:r w:rsidR="001E26C2" w:rsidRPr="001E26C2">
              <w:rPr>
                <w:rFonts w:ascii="Arial" w:eastAsia="Calibri" w:hAnsi="Arial" w:cs="Arial"/>
                <w:noProof/>
                <w:szCs w:val="20"/>
                <w:vertAlign w:val="superscript"/>
                <w:lang w:val="en-US"/>
              </w:rPr>
              <w:t>7</w:t>
            </w:r>
            <w:r w:rsidRPr="001843C2">
              <w:rPr>
                <w:rFonts w:ascii="Arial" w:eastAsia="Calibri" w:hAnsi="Arial" w:cs="Arial"/>
                <w:szCs w:val="20"/>
                <w:lang w:val="en-US"/>
              </w:rPr>
              <w:fldChar w:fldCharType="end"/>
            </w:r>
          </w:p>
        </w:tc>
        <w:tc>
          <w:tcPr>
            <w:tcW w:w="0" w:type="auto"/>
            <w:shd w:val="clear" w:color="auto" w:fill="auto"/>
          </w:tcPr>
          <w:p w14:paraId="39E3BF8F" w14:textId="78D35810" w:rsidR="00A62399" w:rsidRPr="001843C2" w:rsidRDefault="00A62399" w:rsidP="00A62399">
            <w:pPr>
              <w:rPr>
                <w:rFonts w:ascii="Arial" w:eastAsia="Calibri" w:hAnsi="Arial" w:cs="Arial"/>
                <w:szCs w:val="20"/>
                <w:lang w:val="en-US"/>
              </w:rPr>
            </w:pPr>
            <w:r w:rsidRPr="001843C2">
              <w:rPr>
                <w:rFonts w:ascii="Arial" w:eastAsia="Calibri" w:hAnsi="Arial" w:cs="Arial"/>
                <w:szCs w:val="20"/>
                <w:lang w:val="en-US"/>
              </w:rPr>
              <w:t>Cohort</w:t>
            </w:r>
          </w:p>
        </w:tc>
        <w:tc>
          <w:tcPr>
            <w:tcW w:w="0" w:type="auto"/>
            <w:shd w:val="clear" w:color="auto" w:fill="auto"/>
          </w:tcPr>
          <w:p w14:paraId="71389F19" w14:textId="5EE64A88" w:rsidR="00A62399" w:rsidRPr="001843C2" w:rsidRDefault="00A62399" w:rsidP="00A62399">
            <w:pPr>
              <w:rPr>
                <w:rFonts w:ascii="Arial" w:eastAsia="Calibri" w:hAnsi="Arial" w:cs="Arial"/>
                <w:szCs w:val="20"/>
                <w:lang w:val="en-US"/>
              </w:rPr>
            </w:pPr>
            <w:r w:rsidRPr="001843C2">
              <w:rPr>
                <w:rFonts w:ascii="Arial" w:eastAsia="Calibri" w:hAnsi="Arial" w:cs="Arial"/>
                <w:szCs w:val="20"/>
                <w:lang w:val="en-US"/>
              </w:rPr>
              <w:t>*</w:t>
            </w:r>
          </w:p>
        </w:tc>
        <w:tc>
          <w:tcPr>
            <w:tcW w:w="0" w:type="auto"/>
            <w:shd w:val="clear" w:color="auto" w:fill="auto"/>
          </w:tcPr>
          <w:p w14:paraId="243C6D3B" w14:textId="77777777" w:rsidR="00A62399" w:rsidRPr="001843C2" w:rsidRDefault="00A62399" w:rsidP="00A62399">
            <w:pPr>
              <w:rPr>
                <w:rFonts w:ascii="Arial" w:eastAsia="Calibri" w:hAnsi="Arial" w:cs="Arial"/>
                <w:szCs w:val="20"/>
                <w:lang w:val="en-US"/>
              </w:rPr>
            </w:pPr>
          </w:p>
        </w:tc>
        <w:tc>
          <w:tcPr>
            <w:tcW w:w="0" w:type="auto"/>
            <w:shd w:val="clear" w:color="auto" w:fill="auto"/>
          </w:tcPr>
          <w:p w14:paraId="3D3740AF" w14:textId="43C632D3" w:rsidR="00A62399" w:rsidRPr="001843C2" w:rsidRDefault="00A62399" w:rsidP="00A62399">
            <w:pPr>
              <w:rPr>
                <w:rFonts w:ascii="Arial" w:eastAsia="Calibri" w:hAnsi="Arial" w:cs="Arial"/>
                <w:szCs w:val="20"/>
                <w:lang w:val="en-US"/>
              </w:rPr>
            </w:pPr>
            <w:r w:rsidRPr="001843C2">
              <w:rPr>
                <w:rFonts w:ascii="Arial" w:eastAsia="Calibri" w:hAnsi="Arial" w:cs="Arial"/>
                <w:szCs w:val="20"/>
                <w:lang w:val="en-US"/>
              </w:rPr>
              <w:t>*</w:t>
            </w:r>
          </w:p>
        </w:tc>
        <w:tc>
          <w:tcPr>
            <w:tcW w:w="0" w:type="auto"/>
            <w:shd w:val="clear" w:color="auto" w:fill="auto"/>
          </w:tcPr>
          <w:p w14:paraId="0BB941A9" w14:textId="2598A651" w:rsidR="00A62399" w:rsidRPr="001843C2" w:rsidRDefault="00A62399" w:rsidP="00A62399">
            <w:pPr>
              <w:rPr>
                <w:rFonts w:ascii="Arial" w:eastAsia="Calibri" w:hAnsi="Arial" w:cs="Arial"/>
                <w:szCs w:val="20"/>
                <w:lang w:val="en-US"/>
              </w:rPr>
            </w:pPr>
            <w:r w:rsidRPr="001843C2">
              <w:rPr>
                <w:rFonts w:ascii="Arial" w:eastAsia="Calibri" w:hAnsi="Arial" w:cs="Arial"/>
                <w:szCs w:val="20"/>
                <w:lang w:val="en-US"/>
              </w:rPr>
              <w:t>*</w:t>
            </w:r>
          </w:p>
        </w:tc>
        <w:tc>
          <w:tcPr>
            <w:tcW w:w="0" w:type="auto"/>
            <w:shd w:val="clear" w:color="auto" w:fill="auto"/>
          </w:tcPr>
          <w:p w14:paraId="5D1899D4" w14:textId="77777777" w:rsidR="00A62399" w:rsidRPr="001843C2" w:rsidRDefault="00A62399" w:rsidP="00A62399">
            <w:pPr>
              <w:rPr>
                <w:rFonts w:ascii="Arial" w:eastAsia="Calibri" w:hAnsi="Arial" w:cs="Arial"/>
                <w:szCs w:val="20"/>
                <w:lang w:val="en-US"/>
              </w:rPr>
            </w:pPr>
          </w:p>
        </w:tc>
        <w:tc>
          <w:tcPr>
            <w:tcW w:w="0" w:type="auto"/>
            <w:shd w:val="clear" w:color="auto" w:fill="auto"/>
          </w:tcPr>
          <w:p w14:paraId="13D24504" w14:textId="7663A659" w:rsidR="00A62399" w:rsidRPr="001843C2" w:rsidRDefault="00A62399" w:rsidP="00A62399">
            <w:pPr>
              <w:rPr>
                <w:rFonts w:ascii="Arial" w:eastAsia="Calibri" w:hAnsi="Arial" w:cs="Arial"/>
                <w:szCs w:val="20"/>
                <w:lang w:val="en-US"/>
              </w:rPr>
            </w:pPr>
            <w:r w:rsidRPr="001843C2">
              <w:rPr>
                <w:rFonts w:ascii="Arial" w:eastAsia="Calibri" w:hAnsi="Arial" w:cs="Arial"/>
                <w:szCs w:val="20"/>
                <w:lang w:val="en-US"/>
              </w:rPr>
              <w:t>*</w:t>
            </w:r>
          </w:p>
        </w:tc>
        <w:tc>
          <w:tcPr>
            <w:tcW w:w="0" w:type="auto"/>
            <w:shd w:val="clear" w:color="auto" w:fill="auto"/>
          </w:tcPr>
          <w:p w14:paraId="04AE6C9E" w14:textId="67F1AD60" w:rsidR="00A62399" w:rsidRPr="001843C2" w:rsidRDefault="00A62399" w:rsidP="00A62399">
            <w:pPr>
              <w:rPr>
                <w:rFonts w:ascii="Arial" w:eastAsia="Calibri" w:hAnsi="Arial" w:cs="Arial"/>
                <w:szCs w:val="20"/>
                <w:lang w:val="en-US"/>
              </w:rPr>
            </w:pPr>
            <w:r w:rsidRPr="001843C2">
              <w:rPr>
                <w:rFonts w:ascii="Arial" w:eastAsia="Calibri" w:hAnsi="Arial" w:cs="Arial"/>
                <w:szCs w:val="20"/>
                <w:lang w:val="en-US"/>
              </w:rPr>
              <w:t>*</w:t>
            </w:r>
          </w:p>
        </w:tc>
        <w:tc>
          <w:tcPr>
            <w:tcW w:w="0" w:type="auto"/>
            <w:shd w:val="clear" w:color="auto" w:fill="auto"/>
          </w:tcPr>
          <w:p w14:paraId="3289ABC9" w14:textId="3D951E42" w:rsidR="00A62399" w:rsidRPr="001843C2" w:rsidRDefault="00A62399" w:rsidP="00A62399">
            <w:pPr>
              <w:rPr>
                <w:rFonts w:ascii="Arial" w:eastAsia="Calibri" w:hAnsi="Arial" w:cs="Arial"/>
                <w:szCs w:val="20"/>
                <w:lang w:val="en-US"/>
              </w:rPr>
            </w:pPr>
            <w:r w:rsidRPr="001843C2">
              <w:rPr>
                <w:rFonts w:ascii="Arial" w:eastAsia="Calibri" w:hAnsi="Arial" w:cs="Arial"/>
                <w:szCs w:val="20"/>
                <w:lang w:val="en-US"/>
              </w:rPr>
              <w:t>*</w:t>
            </w:r>
          </w:p>
        </w:tc>
        <w:tc>
          <w:tcPr>
            <w:tcW w:w="0" w:type="auto"/>
            <w:shd w:val="clear" w:color="auto" w:fill="auto"/>
          </w:tcPr>
          <w:p w14:paraId="6690154F" w14:textId="1CB69069" w:rsidR="00A62399" w:rsidRDefault="00A62399" w:rsidP="00A62399">
            <w:pPr>
              <w:rPr>
                <w:rFonts w:ascii="Arial" w:eastAsia="Calibri" w:hAnsi="Arial" w:cs="Arial"/>
                <w:szCs w:val="20"/>
                <w:lang w:val="en-US"/>
              </w:rPr>
            </w:pPr>
            <w:r>
              <w:rPr>
                <w:rFonts w:ascii="Arial" w:eastAsia="Calibri" w:hAnsi="Arial" w:cs="Arial"/>
                <w:szCs w:val="20"/>
                <w:lang w:val="en-US"/>
              </w:rPr>
              <w:t>6</w:t>
            </w:r>
          </w:p>
        </w:tc>
      </w:tr>
      <w:tr w:rsidR="00A62399" w:rsidRPr="00F8370B" w14:paraId="534DECD1" w14:textId="77777777" w:rsidTr="00124A6C">
        <w:trPr>
          <w:jc w:val="center"/>
        </w:trPr>
        <w:tc>
          <w:tcPr>
            <w:tcW w:w="0" w:type="auto"/>
            <w:shd w:val="clear" w:color="auto" w:fill="auto"/>
          </w:tcPr>
          <w:p w14:paraId="4993832D" w14:textId="223B48F3" w:rsidR="00A62399" w:rsidRPr="00F8370B" w:rsidRDefault="00A62399" w:rsidP="00A62399">
            <w:pPr>
              <w:rPr>
                <w:rFonts w:ascii="Arial" w:eastAsia="Calibri" w:hAnsi="Arial" w:cs="Arial"/>
                <w:szCs w:val="20"/>
                <w:lang w:val="en-US"/>
              </w:rPr>
            </w:pPr>
            <w:r>
              <w:rPr>
                <w:rFonts w:ascii="Arial" w:eastAsia="Calibri" w:hAnsi="Arial" w:cs="Arial"/>
                <w:szCs w:val="20"/>
                <w:lang w:val="en-US"/>
              </w:rPr>
              <w:t xml:space="preserve">Price et al. </w:t>
            </w:r>
            <w:r>
              <w:rPr>
                <w:rFonts w:ascii="Arial" w:eastAsia="Calibri" w:hAnsi="Arial" w:cs="Arial"/>
                <w:szCs w:val="20"/>
                <w:lang w:val="en-US"/>
              </w:rPr>
              <w:fldChar w:fldCharType="begin" w:fldLock="1"/>
            </w:r>
            <w:r w:rsidR="00927572">
              <w:rPr>
                <w:rFonts w:ascii="Arial" w:eastAsia="Calibri" w:hAnsi="Arial" w:cs="Arial"/>
                <w:szCs w:val="20"/>
                <w:lang w:val="en-US"/>
              </w:rPr>
              <w:instrText>ADDIN CSL_CITATION {"citationItems":[{"id":"ITEM-1","itemData":{"DOI":"10.1016/j.chest.2020.06.006","ISSN":"00123692","author":[{"dropping-particle":"","family":"Price","given":"Christina C.","non-dropping-particle":"","parse-names":false,"suffix":""},{"dropping-particle":"","family":"Altice","given":"Frederick L.","non-dropping-particle":"","parse-names":false,"suffix":""},{"dropping-particle":"","family":"Shyr","given":"Yu","non-dropping-particle":"","parse-names":false,"suffix":""},{"dropping-particle":"","family":"Koff","given":"Alan","non-dropping-particle":"","parse-names":false,"suffix":""},{"dropping-particle":"","family":"Pischel","given":"Lauren","non-dropping-particle":"","parse-names":false,"suffix":""},{"dropping-particle":"","family":"Goshua","given":"George","non-dropping-particle":"","parse-names":false,"suffix":""},{"dropping-particle":"","family":"Azar","given":"Marwan M.","non-dropping-particle":"","parse-names":false,"suffix":""},{"dropping-particle":"","family":"Mcmanus","given":"Dayna","non-dropping-particle":"","parse-names":false,"suffix":""},{"dropping-particle":"","family":"Chen","given":"Sheau-Chiann","non-dropping-particle":"","parse-names":false,"suffix":""},{"dropping-particle":"","family":"Gleeson","given":"Shana E.","non-dropping-particle":"","parse-names":false,"suffix":""},{"dropping-particle":"","family":"Britto","given":"Clemente J.","non-dropping-particle":"","parse-names":false,"suffix":""},{"dropping-particle":"","family":"Azmy","given":"Veronica","non-dropping-particle":"","parse-names":false,"suffix":""},{"dropping-particle":"","family":"Kaman","given":"Kelsey","non-dropping-particle":"","parse-names":false,"suffix":""},{"dropping-particle":"","family":"Gaston","given":"David C.","non-dropping-particle":"","parse-names":false,"suffix":""},{"dropping-particle":"","family":"Davis","given":"Matthew","non-dropping-particle":"","parse-names":false,"suffix":""},{"dropping-particle":"","family":"Burrello","given":"Trisha","non-dropping-particle":"","parse-names":false,"suffix":""},{"dropping-particle":"","family":"Harris","given":"Zachary","non-dropping-particle":"","parse-names":false,"suffix":""},{"dropping-particle":"","family":"Villanueva","given":"Merceditas S.","non-dropping-particle":"","parse-names":false,"suffix":""},{"dropping-particle":"","family":"Aoun-Barakat","given":"Lydia","non-dropping-particle":"","parse-names":false,"suffix":""},{"dropping-particle":"","family":"Kang","given":"Insoo","non-dropping-particle":"","parse-names":false,"suffix":""},{"dropping-particle":"","family":"Seropian","given":"Stuart","non-dropping-particle":"","parse-names":false,"suffix":""},{"dropping-particle":"","family":"Chupp","given":"Geoffrey","non-dropping-particle":"","parse-names":false,"suffix":""},{"dropping-particle":"","family":"Bucala","given":"Richard","non-dropping-particle":"","parse-names":false,"suffix":""},{"dropping-particle":"","family":"Kaminski","given":"Naftali","non-dropping-particle":"","parse-names":false,"suffix":""},{"dropping-particle":"","family":"Lee","given":"Alfred I.","non-dropping-particle":"","parse-names":false,"suffix":""},{"dropping-particle":"","family":"LoRusso","given":"Patricia Mucci","non-dropping-particle":"","parse-names":false,"suffix":""},{"dropping-particle":"","family":"Topal","given":"Jeffrey E.","non-dropping-particle":"","parse-names":false,"suffix":""},{"dropping-particle":"","family":"Cruz","given":"Charles","non-dropping-particle":"Dela","parse-names":false,"suffix":""},{"dropping-particle":"","family":"Malinis","given":"Maricar","non-dropping-particle":"","parse-names":false,"suffix":""}],"container-title":"Chest","id":"ITEM-1","issued":{"date-parts":[["2020","6"]]},"title":"Tocilizumab treatment for Cytokine Release Syndrome in hospitalized COVID-19 patients: survival and clinical outcomes","type":"article-journal"},"uris":["http://www.mendeley.com/documents/?uuid=dc4f1a63-d526-3b45-bb06-8012b226af34"]}],"mendeley":{"formattedCitation":"&lt;sup&gt;8&lt;/sup&gt;","plainTextFormattedCitation":"8","previouslyFormattedCitation":"&lt;sup&gt;8&lt;/sup&gt;"},"properties":{"noteIndex":0},"schema":"https://github.com/citation-style-language/schema/raw/master/csl-citation.json"}</w:instrText>
            </w:r>
            <w:r>
              <w:rPr>
                <w:rFonts w:ascii="Arial" w:eastAsia="Calibri" w:hAnsi="Arial" w:cs="Arial"/>
                <w:szCs w:val="20"/>
                <w:lang w:val="en-US"/>
              </w:rPr>
              <w:fldChar w:fldCharType="separate"/>
            </w:r>
            <w:r w:rsidR="001E26C2" w:rsidRPr="001E26C2">
              <w:rPr>
                <w:rFonts w:ascii="Arial" w:eastAsia="Calibri" w:hAnsi="Arial" w:cs="Arial"/>
                <w:noProof/>
                <w:szCs w:val="20"/>
                <w:vertAlign w:val="superscript"/>
                <w:lang w:val="en-US"/>
              </w:rPr>
              <w:t>8</w:t>
            </w:r>
            <w:r>
              <w:rPr>
                <w:rFonts w:ascii="Arial" w:eastAsia="Calibri" w:hAnsi="Arial" w:cs="Arial"/>
                <w:szCs w:val="20"/>
                <w:lang w:val="en-US"/>
              </w:rPr>
              <w:fldChar w:fldCharType="end"/>
            </w:r>
          </w:p>
        </w:tc>
        <w:tc>
          <w:tcPr>
            <w:tcW w:w="0" w:type="auto"/>
            <w:shd w:val="clear" w:color="auto" w:fill="auto"/>
          </w:tcPr>
          <w:p w14:paraId="3B1C2718" w14:textId="00D3A2C6" w:rsidR="00A62399" w:rsidRPr="00F8370B" w:rsidRDefault="00A62399" w:rsidP="00A62399">
            <w:pPr>
              <w:rPr>
                <w:rFonts w:ascii="Arial" w:eastAsia="Calibri" w:hAnsi="Arial" w:cs="Arial"/>
                <w:szCs w:val="20"/>
                <w:lang w:val="en-US"/>
              </w:rPr>
            </w:pPr>
            <w:r>
              <w:rPr>
                <w:rFonts w:ascii="Arial" w:eastAsia="Calibri" w:hAnsi="Arial" w:cs="Arial"/>
                <w:szCs w:val="20"/>
                <w:lang w:val="en-US"/>
              </w:rPr>
              <w:t>Cohort</w:t>
            </w:r>
          </w:p>
        </w:tc>
        <w:tc>
          <w:tcPr>
            <w:tcW w:w="0" w:type="auto"/>
            <w:shd w:val="clear" w:color="auto" w:fill="auto"/>
          </w:tcPr>
          <w:p w14:paraId="4214A414" w14:textId="52183C67" w:rsidR="00A62399" w:rsidRPr="00F8370B" w:rsidRDefault="00A62399" w:rsidP="00A62399">
            <w:pPr>
              <w:rPr>
                <w:rFonts w:ascii="Arial" w:eastAsia="Calibri" w:hAnsi="Arial" w:cs="Arial"/>
                <w:szCs w:val="20"/>
                <w:lang w:val="en-US"/>
              </w:rPr>
            </w:pPr>
            <w:r>
              <w:rPr>
                <w:rFonts w:ascii="Arial" w:eastAsia="Calibri" w:hAnsi="Arial" w:cs="Arial"/>
                <w:szCs w:val="20"/>
                <w:lang w:val="en-US"/>
              </w:rPr>
              <w:t>*</w:t>
            </w:r>
          </w:p>
        </w:tc>
        <w:tc>
          <w:tcPr>
            <w:tcW w:w="0" w:type="auto"/>
            <w:shd w:val="clear" w:color="auto" w:fill="auto"/>
          </w:tcPr>
          <w:p w14:paraId="2CE75D5F" w14:textId="77777777" w:rsidR="00A62399" w:rsidRPr="00F8370B" w:rsidRDefault="00A62399" w:rsidP="00A62399">
            <w:pPr>
              <w:rPr>
                <w:rFonts w:ascii="Arial" w:eastAsia="Calibri" w:hAnsi="Arial" w:cs="Arial"/>
                <w:szCs w:val="20"/>
                <w:lang w:val="en-US"/>
              </w:rPr>
            </w:pPr>
          </w:p>
        </w:tc>
        <w:tc>
          <w:tcPr>
            <w:tcW w:w="0" w:type="auto"/>
            <w:shd w:val="clear" w:color="auto" w:fill="auto"/>
          </w:tcPr>
          <w:p w14:paraId="42F5D1A4" w14:textId="06D21749" w:rsidR="00A62399" w:rsidRPr="00F8370B" w:rsidRDefault="00A62399" w:rsidP="00A62399">
            <w:pPr>
              <w:rPr>
                <w:rFonts w:ascii="Arial" w:eastAsia="Calibri" w:hAnsi="Arial" w:cs="Arial"/>
                <w:szCs w:val="20"/>
                <w:lang w:val="en-US"/>
              </w:rPr>
            </w:pPr>
            <w:r>
              <w:rPr>
                <w:rFonts w:ascii="Arial" w:eastAsia="Calibri" w:hAnsi="Arial" w:cs="Arial"/>
                <w:szCs w:val="20"/>
                <w:lang w:val="en-US"/>
              </w:rPr>
              <w:t>*</w:t>
            </w:r>
          </w:p>
        </w:tc>
        <w:tc>
          <w:tcPr>
            <w:tcW w:w="0" w:type="auto"/>
            <w:shd w:val="clear" w:color="auto" w:fill="auto"/>
          </w:tcPr>
          <w:p w14:paraId="6B784908" w14:textId="44D3FE9F" w:rsidR="00A62399" w:rsidRPr="00F8370B" w:rsidRDefault="00A62399" w:rsidP="00A62399">
            <w:pPr>
              <w:rPr>
                <w:rFonts w:ascii="Arial" w:eastAsia="Calibri" w:hAnsi="Arial" w:cs="Arial"/>
                <w:szCs w:val="20"/>
                <w:lang w:val="en-US"/>
              </w:rPr>
            </w:pPr>
            <w:r>
              <w:rPr>
                <w:rFonts w:ascii="Arial" w:eastAsia="Calibri" w:hAnsi="Arial" w:cs="Arial"/>
                <w:szCs w:val="20"/>
                <w:lang w:val="en-US"/>
              </w:rPr>
              <w:t>*</w:t>
            </w:r>
          </w:p>
        </w:tc>
        <w:tc>
          <w:tcPr>
            <w:tcW w:w="0" w:type="auto"/>
            <w:shd w:val="clear" w:color="auto" w:fill="auto"/>
          </w:tcPr>
          <w:p w14:paraId="0096AA8D" w14:textId="77777777" w:rsidR="00A62399" w:rsidRPr="00F8370B" w:rsidRDefault="00A62399" w:rsidP="00A62399">
            <w:pPr>
              <w:rPr>
                <w:rFonts w:ascii="Arial" w:eastAsia="Calibri" w:hAnsi="Arial" w:cs="Arial"/>
                <w:szCs w:val="20"/>
                <w:lang w:val="en-US"/>
              </w:rPr>
            </w:pPr>
          </w:p>
        </w:tc>
        <w:tc>
          <w:tcPr>
            <w:tcW w:w="0" w:type="auto"/>
            <w:shd w:val="clear" w:color="auto" w:fill="auto"/>
          </w:tcPr>
          <w:p w14:paraId="2F199367" w14:textId="13DBEEF5" w:rsidR="00A62399" w:rsidRPr="00F8370B" w:rsidRDefault="00A62399" w:rsidP="00A62399">
            <w:pPr>
              <w:rPr>
                <w:rFonts w:ascii="Arial" w:eastAsia="Calibri" w:hAnsi="Arial" w:cs="Arial"/>
                <w:szCs w:val="20"/>
                <w:lang w:val="en-US"/>
              </w:rPr>
            </w:pPr>
            <w:r>
              <w:rPr>
                <w:rFonts w:ascii="Arial" w:eastAsia="Calibri" w:hAnsi="Arial" w:cs="Arial"/>
                <w:szCs w:val="20"/>
                <w:lang w:val="en-US"/>
              </w:rPr>
              <w:t>*</w:t>
            </w:r>
          </w:p>
        </w:tc>
        <w:tc>
          <w:tcPr>
            <w:tcW w:w="0" w:type="auto"/>
            <w:shd w:val="clear" w:color="auto" w:fill="auto"/>
          </w:tcPr>
          <w:p w14:paraId="0338A865" w14:textId="776AF4A2" w:rsidR="00A62399" w:rsidRPr="00F8370B" w:rsidRDefault="00A62399" w:rsidP="00A62399">
            <w:pPr>
              <w:rPr>
                <w:rFonts w:ascii="Arial" w:eastAsia="Calibri" w:hAnsi="Arial" w:cs="Arial"/>
                <w:szCs w:val="20"/>
                <w:lang w:val="en-US"/>
              </w:rPr>
            </w:pPr>
            <w:r>
              <w:rPr>
                <w:rFonts w:ascii="Arial" w:eastAsia="Calibri" w:hAnsi="Arial" w:cs="Arial"/>
                <w:szCs w:val="20"/>
                <w:lang w:val="en-US"/>
              </w:rPr>
              <w:t>*</w:t>
            </w:r>
          </w:p>
        </w:tc>
        <w:tc>
          <w:tcPr>
            <w:tcW w:w="0" w:type="auto"/>
            <w:shd w:val="clear" w:color="auto" w:fill="auto"/>
          </w:tcPr>
          <w:p w14:paraId="2FA0DEBB" w14:textId="5D37DD91" w:rsidR="00A62399" w:rsidRPr="00F8370B" w:rsidRDefault="00A62399" w:rsidP="00A62399">
            <w:pPr>
              <w:rPr>
                <w:rFonts w:ascii="Arial" w:eastAsia="Calibri" w:hAnsi="Arial" w:cs="Arial"/>
                <w:szCs w:val="20"/>
                <w:lang w:val="en-US"/>
              </w:rPr>
            </w:pPr>
            <w:r>
              <w:rPr>
                <w:rFonts w:ascii="Arial" w:eastAsia="Calibri" w:hAnsi="Arial" w:cs="Arial"/>
                <w:szCs w:val="20"/>
                <w:lang w:val="en-US"/>
              </w:rPr>
              <w:t>*</w:t>
            </w:r>
          </w:p>
        </w:tc>
        <w:tc>
          <w:tcPr>
            <w:tcW w:w="0" w:type="auto"/>
            <w:shd w:val="clear" w:color="auto" w:fill="auto"/>
          </w:tcPr>
          <w:p w14:paraId="498D7853" w14:textId="433BE11D" w:rsidR="00A62399" w:rsidRPr="00F8370B" w:rsidRDefault="00A62399" w:rsidP="00A62399">
            <w:pPr>
              <w:rPr>
                <w:rFonts w:ascii="Arial" w:eastAsia="Calibri" w:hAnsi="Arial" w:cs="Arial"/>
                <w:szCs w:val="20"/>
                <w:lang w:val="en-US"/>
              </w:rPr>
            </w:pPr>
            <w:r>
              <w:rPr>
                <w:rFonts w:ascii="Arial" w:eastAsia="Calibri" w:hAnsi="Arial" w:cs="Arial"/>
                <w:szCs w:val="20"/>
                <w:lang w:val="en-US"/>
              </w:rPr>
              <w:t>6</w:t>
            </w:r>
          </w:p>
        </w:tc>
      </w:tr>
      <w:tr w:rsidR="00A62399" w:rsidRPr="00F8370B" w14:paraId="78065C27" w14:textId="77777777" w:rsidTr="00124A6C">
        <w:trPr>
          <w:jc w:val="center"/>
        </w:trPr>
        <w:tc>
          <w:tcPr>
            <w:tcW w:w="0" w:type="auto"/>
            <w:shd w:val="clear" w:color="auto" w:fill="auto"/>
          </w:tcPr>
          <w:p w14:paraId="540CC1EA" w14:textId="3C8D7141" w:rsidR="00A62399" w:rsidRPr="00F8370B" w:rsidRDefault="00A62399" w:rsidP="00A62399">
            <w:pPr>
              <w:rPr>
                <w:rFonts w:ascii="Arial" w:eastAsia="Calibri" w:hAnsi="Arial" w:cs="Arial"/>
                <w:szCs w:val="20"/>
                <w:lang w:val="en-US"/>
              </w:rPr>
            </w:pPr>
            <w:r w:rsidRPr="00F8370B">
              <w:rPr>
                <w:rFonts w:ascii="Arial" w:hAnsi="Arial" w:cs="Arial"/>
                <w:szCs w:val="20"/>
                <w:lang w:val="en-US"/>
              </w:rPr>
              <w:t>Rimland et al.</w:t>
            </w:r>
            <w:r>
              <w:rPr>
                <w:rFonts w:ascii="Arial" w:hAnsi="Arial" w:cs="Arial"/>
                <w:szCs w:val="20"/>
                <w:lang w:val="en-US"/>
              </w:rPr>
              <w:t xml:space="preserve"> </w:t>
            </w:r>
            <w:r>
              <w:rPr>
                <w:rFonts w:ascii="Arial" w:hAnsi="Arial" w:cs="Arial"/>
                <w:szCs w:val="20"/>
                <w:lang w:val="en-US"/>
              </w:rPr>
              <w:fldChar w:fldCharType="begin" w:fldLock="1"/>
            </w:r>
            <w:r w:rsidR="00927572">
              <w:rPr>
                <w:rFonts w:ascii="Arial" w:hAnsi="Arial" w:cs="Arial"/>
                <w:szCs w:val="20"/>
                <w:lang w:val="en-US"/>
              </w:rPr>
              <w:instrText>ADDIN CSL_CITATION {"citationItems":[{"id":"ITEM-1","itemData":{"DOI":"10.1101/2020.05.13.20100404","abstract":"Limited evidence is available to guide treatment of coronavirus disease 2019 (COVID-19), caused by the novel severe acute respiratory syndrome coronavirus 2 (SARS-CoV-2). A hyperinflammatory state mediated by interleukin-6 (IL-6) has been proposed as a driver of severe disease. Use of the IL-6 receptor inhibitor tocilizumab for severe COVID-19 was first reported in China, where a case series described marked improvements in inflammatory markers, fever, oxygen requirement, and outcomes following its administration. Here, we provide the first description of a tocilizumab-treated cohort of patients with COVID-19 in the United States. We describe 11 patients from a single academic medical center, nine (82%) of whom were critically ill requiring mechanical ventilation in an intensive care unit at the time of tocilizumab administration. C-reactive protein levels decreased in all patients following treatment (median 211.6 pre- vs. 19.7 mg/L 5 days post-tocilizumab [p=0.001]). When IL-6 levels were obtained before and after therapy, wide variation was seen in baseline levels; post-dose IL-6 concentrations were consistently increased. In contrast to prior reports, we did not observe significant clinical improvement in temperature or oxygen requirements in most patients. Two patients were discharged (18%), five remained in critical condition in the intensive care unit (46%), one was weaned off the ventilator to room air (9%), and three died (27%). Our findings suggest that tocilizumab should be used with caution in severe and critically ill patients and highlight the need for data from randomized controlled trials to determine its efficacy in the treatment of COVID-19.Competing Interest Statement JBP reports research support outside the submitted work from Gilead Sciences and the World Health Organization, and non-financial support from Abbott Laboratories. CLG has received research support outside the submitted work from Viiv Healthcare and Gilead Sciences. SSC reports research support outside of the submitted work from Biomarck Pharmaceuticals.Funding StatementThe authors report no designated funding for the project. CAR and CEM receive training support from the University of North Carolina at Chapel Hill Medical Scientist Training Program. CAR additionally receives training support from the National Institutes of Health MD/PhD Partnership Program.Author DeclarationsAll relevant ethical guidelines have been followed; any necessary IRB and/or ethics committee ap…","author":[{"dropping-particle":"","family":"Rimland","given":"Casey Allison","non-dropping-particle":"","parse-names":false,"suffix":""},{"dropping-particle":"","family":"Morgan","given":"Camille E","non-dropping-particle":"","parse-names":false,"suffix":""},{"dropping-particle":"","family":"Bell","given":"Griffin J","non-dropping-particle":"","parse-names":false,"suffix":""},{"dropping-particle":"","family":"Kim","given":"Min K","non-dropping-particle":"","parse-names":false,"suffix":""},{"dropping-particle":"","family":"Hedrick","given":"Tanner","non-dropping-particle":"","parse-names":false,"suffix":""},{"dropping-particle":"","family":"Marx","given":"Ashley","non-dropping-particle":"","parse-names":false,"suffix":""},{"dropping-particle":"","family":"Bramson","given":"Brian","non-dropping-particle":"","parse-names":false,"suffix":""},{"dropping-particle":"","family":"Napravnik","given":"Sonia","non-dropping-particle":"","parse-names":false,"suffix":""},{"dropping-particle":"","family":"Schmitz","given":"John L","non-dropping-particle":"","parse-names":false,"suffix":""},{"dropping-particle":"","family":"Carson","given":"Shannon S","non-dropping-particle":"","parse-names":false,"suffix":""},{"dropping-particle":"","family":"Fischer","given":"William A","non-dropping-particle":"","parse-names":false,"suffix":""},{"dropping-particle":"","family":"Eron","given":"Joseph J","non-dropping-particle":"","parse-names":false,"suffix":""},{"dropping-particle":"","family":"Gay","given":"Cynthia L","non-dropping-particle":"","parse-names":false,"suffix":""},{"dropping-particle":"","family":"Parr","given":"Jonathan B","non-dropping-particle":"","parse-names":false,"suffix":""}],"container-title":"medRxiv","id":"ITEM-1","issued":{"date-parts":[["2020","5","19"]]},"publisher":"Cold Spring Harbor Laboratory Press","title":"Clinical characteristics and early outcomes in patients with COVID-19 treated with tocilizumab at a United States academic center","type":"article-journal"},"uris":["http://www.mendeley.com/documents/?uuid=7168c6ff-a5f8-3d32-8e06-7996e5e51257"]}],"mendeley":{"formattedCitation":"&lt;sup&gt;9&lt;/sup&gt;","plainTextFormattedCitation":"9","previouslyFormattedCitation":"&lt;sup&gt;9&lt;/sup&gt;"},"properties":{"noteIndex":0},"schema":"https://github.com/citation-style-language/schema/raw/master/csl-citation.json"}</w:instrText>
            </w:r>
            <w:r>
              <w:rPr>
                <w:rFonts w:ascii="Arial" w:hAnsi="Arial" w:cs="Arial"/>
                <w:szCs w:val="20"/>
                <w:lang w:val="en-US"/>
              </w:rPr>
              <w:fldChar w:fldCharType="separate"/>
            </w:r>
            <w:r w:rsidR="001E26C2" w:rsidRPr="001E26C2">
              <w:rPr>
                <w:rFonts w:ascii="Arial" w:hAnsi="Arial" w:cs="Arial"/>
                <w:noProof/>
                <w:szCs w:val="20"/>
                <w:vertAlign w:val="superscript"/>
                <w:lang w:val="en-US"/>
              </w:rPr>
              <w:t>9</w:t>
            </w:r>
            <w:r>
              <w:rPr>
                <w:rFonts w:ascii="Arial" w:hAnsi="Arial" w:cs="Arial"/>
                <w:szCs w:val="20"/>
                <w:lang w:val="en-US"/>
              </w:rPr>
              <w:fldChar w:fldCharType="end"/>
            </w:r>
          </w:p>
        </w:tc>
        <w:tc>
          <w:tcPr>
            <w:tcW w:w="0" w:type="auto"/>
            <w:shd w:val="clear" w:color="auto" w:fill="auto"/>
          </w:tcPr>
          <w:p w14:paraId="08781F01" w14:textId="0C146825"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Cohort</w:t>
            </w:r>
          </w:p>
        </w:tc>
        <w:tc>
          <w:tcPr>
            <w:tcW w:w="0" w:type="auto"/>
            <w:shd w:val="clear" w:color="auto" w:fill="auto"/>
          </w:tcPr>
          <w:p w14:paraId="034A198C" w14:textId="05EC0473"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4CC2BB78" w14:textId="77777777" w:rsidR="00A62399" w:rsidRPr="00F8370B" w:rsidRDefault="00A62399" w:rsidP="00A62399">
            <w:pPr>
              <w:rPr>
                <w:rFonts w:ascii="Arial" w:eastAsia="Calibri" w:hAnsi="Arial" w:cs="Arial"/>
                <w:szCs w:val="20"/>
                <w:lang w:val="en-US"/>
              </w:rPr>
            </w:pPr>
          </w:p>
        </w:tc>
        <w:tc>
          <w:tcPr>
            <w:tcW w:w="0" w:type="auto"/>
            <w:shd w:val="clear" w:color="auto" w:fill="auto"/>
          </w:tcPr>
          <w:p w14:paraId="659EB97E" w14:textId="4A735B4F"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153F11E2" w14:textId="4682D3FE"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2F9DCF4A" w14:textId="77777777" w:rsidR="00A62399" w:rsidRPr="00F8370B" w:rsidRDefault="00A62399" w:rsidP="00A62399">
            <w:pPr>
              <w:rPr>
                <w:rFonts w:ascii="Arial" w:eastAsia="Calibri" w:hAnsi="Arial" w:cs="Arial"/>
                <w:szCs w:val="20"/>
                <w:lang w:val="en-US"/>
              </w:rPr>
            </w:pPr>
          </w:p>
        </w:tc>
        <w:tc>
          <w:tcPr>
            <w:tcW w:w="0" w:type="auto"/>
            <w:shd w:val="clear" w:color="auto" w:fill="auto"/>
          </w:tcPr>
          <w:p w14:paraId="54260899" w14:textId="240B9F80"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5224B0B2" w14:textId="6CF2BE60"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649B71B5" w14:textId="377E50A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3A660CD0" w14:textId="03E8E02D"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6</w:t>
            </w:r>
          </w:p>
        </w:tc>
      </w:tr>
      <w:tr w:rsidR="00A62399" w:rsidRPr="00F8370B" w14:paraId="13DDB914" w14:textId="77777777" w:rsidTr="00124A6C">
        <w:trPr>
          <w:jc w:val="center"/>
        </w:trPr>
        <w:tc>
          <w:tcPr>
            <w:tcW w:w="0" w:type="auto"/>
            <w:shd w:val="clear" w:color="auto" w:fill="auto"/>
          </w:tcPr>
          <w:p w14:paraId="12DAB2B2" w14:textId="2F765187" w:rsidR="00A62399" w:rsidRPr="00F8370B" w:rsidRDefault="00A62399" w:rsidP="00A62399">
            <w:pPr>
              <w:rPr>
                <w:rFonts w:ascii="Arial" w:eastAsia="Calibri" w:hAnsi="Arial" w:cs="Arial"/>
                <w:szCs w:val="20"/>
                <w:lang w:val="en-US"/>
              </w:rPr>
            </w:pPr>
            <w:r w:rsidRPr="00F8370B">
              <w:rPr>
                <w:rFonts w:ascii="Arial" w:hAnsi="Arial" w:cs="Arial"/>
                <w:szCs w:val="20"/>
                <w:lang w:val="en-US"/>
              </w:rPr>
              <w:t>Sanchez Montalva et al.</w:t>
            </w:r>
            <w:r>
              <w:rPr>
                <w:rFonts w:ascii="Arial" w:hAnsi="Arial" w:cs="Arial"/>
                <w:szCs w:val="20"/>
                <w:lang w:val="en-US"/>
              </w:rPr>
              <w:t xml:space="preserve"> </w:t>
            </w:r>
            <w:r>
              <w:rPr>
                <w:rFonts w:ascii="Arial" w:hAnsi="Arial" w:cs="Arial"/>
                <w:szCs w:val="20"/>
                <w:lang w:val="en-US"/>
              </w:rPr>
              <w:fldChar w:fldCharType="begin" w:fldLock="1"/>
            </w:r>
            <w:r w:rsidR="00927572">
              <w:rPr>
                <w:rFonts w:ascii="Arial" w:hAnsi="Arial" w:cs="Arial"/>
                <w:szCs w:val="20"/>
                <w:lang w:val="en-US"/>
              </w:rPr>
              <w:instrText>ADDIN CSL_CITATION {"citationItems":[{"id":"ITEM-1","itemData":{"DOI":"10.1101/2020.05.07.20094599","abstract":"Background: Modulation of the immune system to prevent lung injury is being widely used against the new coronavirus disease (COVID19) despite the scarcity of evidence. Methods: We report preliminary results from the Vall dHebron prospective cohort study at Vall dHebron University Hospital, in Barcelona (Spain), including all consecutive patients who had a confirmed infection with the severe acute respiratory syndrome coronavirus2 (SARSCoV2) and who were treated with tocilizumab until March 25th. The primary endpoint was mortality at 7 days after tocilizumab administration. Secondary endpoints were admission to the intensive care unit, development of ARDS and respiratory insufficiency among others. Results: 82 patients with COVID19 received at least one dose of tocilizumab. The mean (SD) age was 59.1 (19.8) years, 63% were male, 22% were of non Spanish ancestry, and the median (IQR) ageadjusted Charlson index at baseline was 3 (1 to 4) points. Respiratory failure and ARDS developed in 62 (75.6%) and 45 (54.9%) patients, respectively. Median time from symptom onset to ARDS development was 8 (5 to 11) days. The median time from symptom onset to the first dose of tocilizumab was 9 (7 to 11) days. Mortality at 7 days was 26.8%. Hazard ratio for mortality was 3.3; 95% CI, 1.3 to 8.5 (age adjusted hazard ratio for mortality 2.1; 95% CI, 0.8 to 5.8) if tocilizumab was administered after the onset of ARDS. Conclusion: Time from lung injury onset to tocilizumab administration may be critical to patient recovery. Our preliminary data could inform bedside decisions until more data from clinical trials becomes available. ### Competing Interest Statement The authors have declared no competing interest. ### Funding Statement No specific funding was received for this study. ### Author Declarations All relevant ethical guidelines have been followed; any necessary IRB and/or ethics committee approvals have been obtained and details of the IRB/oversight body are included in the manuscript. Yes All necessary patient/participant consent has been obtained and the appropriate institutional forms have been archived. Yes I understand that all clinical trials and any other prospective interventional studies must be registered with an ICMJE-approved registry, such as ClinicalTrials.gov. I confirm that any such study reported in the manuscript has been registered and the trial registration ID is provided (note: if posting a prospective study registered retrospectively, please prov…","author":[{"dropping-particle":"","family":"Sanchez-Montalva","given":"Adrian","non-dropping-particle":"","parse-names":false,"suffix":""},{"dropping-particle":"","family":"Selares-Nadal","given":"Julia","non-dropping-particle":"","parse-names":false,"suffix":""},{"dropping-particle":"","family":"Espinosa-Pereiro","given":"Juan","non-dropping-particle":"","parse-names":false,"suffix":""},{"dropping-particle":"","family":"Fernandez-Hidalgo","given":"Nuria","non-dropping-particle":"","parse-names":false,"suffix":""},{"dropping-particle":"","family":"Perez-Hoyos","given":"Santiago","non-dropping-particle":"","parse-names":false,"suffix":""},{"dropping-particle":"","family":"Salvador","given":"Fernando","non-dropping-particle":"","parse-names":false,"suffix":""},{"dropping-particle":"","family":"Dura-Miralles","given":"Xavier","non-dropping-particle":"","parse-names":false,"suffix":""},{"dropping-particle":"","family":"Miarons","given":"Marta","non-dropping-particle":"","parse-names":false,"suffix":""},{"dropping-particle":"","family":"Anton","given":"Andres","non-dropping-particle":"","parse-names":false,"suffix":""},{"dropping-particle":"","family":"Eremiev","given":"Simeon","non-dropping-particle":"","parse-names":false,"suffix":""},{"dropping-particle":"","family":"Sempere-Gonzalez","given":"Abiu","non-dropping-particle":"","parse-names":false,"suffix":""},{"dropping-particle":"","family":"Bosch-Nicolau","given":"Pau","non-dropping-particle":"","parse-names":false,"suffix":""},{"dropping-particle":"","family":"Monforte-Pallares","given":"Arnau","non-dropping-particle":"","parse-names":false,"suffix":""},{"dropping-particle":"","family":"Augustin","given":"Salvador","non-dropping-particle":"","parse-names":false,"suffix":""},{"dropping-particle":"","family":"Sampol","given":"Julia","non-dropping-particle":"","parse-names":false,"suffix":""},{"dropping-particle":"","family":"Guillen-del-Castillo","given":"Alfredo","non-dropping-particle":"","parse-names":false,"suffix":""},{"dropping-particle":"","family":"Almirante","given":"Benito","non-dropping-particle":"","parse-names":false,"suffix":""}],"container-title":"medRxiv","id":"ITEM-1","issued":{"date-parts":[["2020","5","12"]]},"publisher":"Cold Spring Harbor Laboratory Press","title":"Early outcomes of tocilizumab in adults hospitalized with severe COVID19. An initial report from the Vall dHebron COVID19 prospective cohort study.","type":"article-journal"},"uris":["http://www.mendeley.com/documents/?uuid=a7f3f6a9-7d83-323c-b60c-665d1d94420b"]}],"mendeley":{"formattedCitation":"&lt;sup&gt;10&lt;/sup&gt;","plainTextFormattedCitation":"10","previouslyFormattedCitation":"&lt;sup&gt;10&lt;/sup&gt;"},"properties":{"noteIndex":0},"schema":"https://github.com/citation-style-language/schema/raw/master/csl-citation.json"}</w:instrText>
            </w:r>
            <w:r>
              <w:rPr>
                <w:rFonts w:ascii="Arial" w:hAnsi="Arial" w:cs="Arial"/>
                <w:szCs w:val="20"/>
                <w:lang w:val="en-US"/>
              </w:rPr>
              <w:fldChar w:fldCharType="separate"/>
            </w:r>
            <w:r w:rsidR="001E26C2" w:rsidRPr="001E26C2">
              <w:rPr>
                <w:rFonts w:ascii="Arial" w:hAnsi="Arial" w:cs="Arial"/>
                <w:noProof/>
                <w:szCs w:val="20"/>
                <w:vertAlign w:val="superscript"/>
                <w:lang w:val="en-US"/>
              </w:rPr>
              <w:t>10</w:t>
            </w:r>
            <w:r>
              <w:rPr>
                <w:rFonts w:ascii="Arial" w:hAnsi="Arial" w:cs="Arial"/>
                <w:szCs w:val="20"/>
                <w:lang w:val="en-US"/>
              </w:rPr>
              <w:fldChar w:fldCharType="end"/>
            </w:r>
          </w:p>
        </w:tc>
        <w:tc>
          <w:tcPr>
            <w:tcW w:w="0" w:type="auto"/>
            <w:shd w:val="clear" w:color="auto" w:fill="auto"/>
          </w:tcPr>
          <w:p w14:paraId="6B0603B2" w14:textId="745130C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Cohort</w:t>
            </w:r>
          </w:p>
        </w:tc>
        <w:tc>
          <w:tcPr>
            <w:tcW w:w="0" w:type="auto"/>
            <w:shd w:val="clear" w:color="auto" w:fill="auto"/>
          </w:tcPr>
          <w:p w14:paraId="60C8A3DF" w14:textId="69C931EF"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0C43848C" w14:textId="77777777" w:rsidR="00A62399" w:rsidRPr="00F8370B" w:rsidRDefault="00A62399" w:rsidP="00A62399">
            <w:pPr>
              <w:rPr>
                <w:rFonts w:ascii="Arial" w:eastAsia="Calibri" w:hAnsi="Arial" w:cs="Arial"/>
                <w:szCs w:val="20"/>
                <w:lang w:val="en-US"/>
              </w:rPr>
            </w:pPr>
          </w:p>
        </w:tc>
        <w:tc>
          <w:tcPr>
            <w:tcW w:w="0" w:type="auto"/>
            <w:shd w:val="clear" w:color="auto" w:fill="auto"/>
          </w:tcPr>
          <w:p w14:paraId="15409CDE" w14:textId="668D908A"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6ACEB85A" w14:textId="5FEEDB7E"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17834E62" w14:textId="77777777" w:rsidR="00A62399" w:rsidRPr="00F8370B" w:rsidRDefault="00A62399" w:rsidP="00A62399">
            <w:pPr>
              <w:rPr>
                <w:rFonts w:ascii="Arial" w:eastAsia="Calibri" w:hAnsi="Arial" w:cs="Arial"/>
                <w:szCs w:val="20"/>
                <w:lang w:val="en-US"/>
              </w:rPr>
            </w:pPr>
          </w:p>
        </w:tc>
        <w:tc>
          <w:tcPr>
            <w:tcW w:w="0" w:type="auto"/>
            <w:shd w:val="clear" w:color="auto" w:fill="auto"/>
          </w:tcPr>
          <w:p w14:paraId="2362B87B" w14:textId="6967570C"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1D4C06F9" w14:textId="3C83653D"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08B45275" w14:textId="17CFB4FF"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08CBF75F" w14:textId="165F5A54"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6</w:t>
            </w:r>
          </w:p>
        </w:tc>
      </w:tr>
      <w:tr w:rsidR="00A62399" w:rsidRPr="00F8370B" w14:paraId="3993714E" w14:textId="77777777" w:rsidTr="00124A6C">
        <w:trPr>
          <w:jc w:val="center"/>
        </w:trPr>
        <w:tc>
          <w:tcPr>
            <w:tcW w:w="0" w:type="auto"/>
            <w:shd w:val="clear" w:color="auto" w:fill="auto"/>
          </w:tcPr>
          <w:p w14:paraId="53697DA2" w14:textId="785C0C9A"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Sciascia et al.</w:t>
            </w:r>
            <w:r>
              <w:rPr>
                <w:rFonts w:ascii="Arial" w:eastAsia="Calibri" w:hAnsi="Arial" w:cs="Arial"/>
                <w:szCs w:val="20"/>
                <w:lang w:val="en-US"/>
              </w:rPr>
              <w:t xml:space="preserve"> </w:t>
            </w:r>
            <w:r>
              <w:rPr>
                <w:rFonts w:ascii="Arial" w:eastAsia="Calibri" w:hAnsi="Arial" w:cs="Arial"/>
                <w:szCs w:val="20"/>
                <w:lang w:val="en-US"/>
              </w:rPr>
              <w:fldChar w:fldCharType="begin" w:fldLock="1"/>
            </w:r>
            <w:r w:rsidR="00927572">
              <w:rPr>
                <w:rFonts w:ascii="Arial" w:eastAsia="Calibri" w:hAnsi="Arial" w:cs="Arial"/>
                <w:szCs w:val="20"/>
                <w:lang w:val="en-US"/>
              </w:rPr>
              <w:instrText>ADDIN CSL_CITATION {"citationItems":[{"id":"ITEM-1","itemData":{"ISSN":"0392-856X","PMID":"32359035","abstract":"OBJECTIVES No agent has yet been proven to be effective for the treatment of patients with severe COVID-19. METHODS We conducted a pilot prospective open, single-arm multicentre study on off-label use of tocilizumab (TCZ) involving 63 hospitalised adult patients (56 males, age 62.6±12.5) with severe COVID-19. Clinical and laboratory parameters were prospectively collected at baseline, day 1, 2, 7 and 14. No moderate-to severe adverse events attributable to TCZ were recorded. RESULTS We observed a significant improvement in the levels of ferritin, C-reactive protein, D-dimer. The ratio of the partial pressure of oxygen (Pa02) to the fraction of inspired oxygen (Fi02) improved (mean±SD Pa02/Fi02 at admission: 152±53; at day 7: 283.73 ± 115.9, at day 14: 302.2 ± 126, p&lt;0.05). The overall mortality was 11%; D-dimer level at baseline, but not IL-6 levels were predictors of mortality. TCZ administration within 6 days from admission in the hospital was associated with an increased likelihood of survival (HR 2.2 95%CI 1.3-6.7, p&lt;0.05). CONCLUSIONS In hospitalised adult patients with severe COVID-19, TCZ could be a safe option. An improvement in respiratory and laboratory parameters was observed. Future controlled trials in patients with severe illness are urgently needed to confirm the definite benefit with IL-6 target therapy.","author":[{"dropping-particle":"","family":"Sciascia","given":"Savino","non-dropping-particle":"","parse-names":false,"suffix":""},{"dropping-particle":"","family":"Aprà","given":"Franco","non-dropping-particle":"","parse-names":false,"suffix":""},{"dropping-particle":"","family":"Baffa","given":"Alessandra","non-dropping-particle":"","parse-names":false,"suffix":""},{"dropping-particle":"","family":"Baldovino","given":"Simone","non-dropping-particle":"","parse-names":false,"suffix":""},{"dropping-particle":"","family":"Boaro","given":"Daniela","non-dropping-particle":"","parse-names":false,"suffix":""},{"dropping-particle":"","family":"Boero","given":"Roberto","non-dropping-particle":"","parse-names":false,"suffix":""},{"dropping-particle":"","family":"Bonora","given":"Stefano","non-dropping-particle":"","parse-names":false,"suffix":""},{"dropping-particle":"","family":"Calcagno","given":"Andrea","non-dropping-particle":"","parse-names":false,"suffix":""},{"dropping-particle":"","family":"Cecchi","given":"Irene","non-dropping-particle":"","parse-names":false,"suffix":""},{"dropping-particle":"","family":"Cinnirella","given":"Giacoma","non-dropping-particle":"","parse-names":false,"suffix":""},{"dropping-particle":"","family":"Converso","given":"Marcella","non-dropping-particle":"","parse-names":false,"suffix":""},{"dropping-particle":"","family":"Cozzi","given":"Martina","non-dropping-particle":"","parse-names":false,"suffix":""},{"dropping-particle":"","family":"Crosasso","given":"Paola","non-dropping-particle":"","parse-names":false,"suffix":""},{"dropping-particle":"","family":"Iaco","given":"Fabio","non-dropping-particle":"De","parse-names":false,"suffix":""},{"dropping-particle":"","family":"Perri","given":"Giovanni","non-dropping-particle":"Di","parse-names":false,"suffix":""},{"dropping-particle":"","family":"Eandi","given":"Mario","non-dropping-particle":"","parse-names":false,"suffix":""},{"dropping-particle":"","family":"Fenoglio","given":"Roberta","non-dropping-particle":"","parse-names":false,"suffix":""},{"dropping-particle":"","family":"Giusti","given":"Massimo","non-dropping-particle":"","parse-names":false,"suffix":""},{"dropping-particle":"","family":"Imperiale","given":"Daniele","non-dropping-particle":"","parse-names":false,"suffix":""},{"dropping-particle":"","family":"Imperiale","given":"Gianlorenzo","non-dropping-particle":"","parse-names":false,"suffix":""},{"dropping-particle":"","family":"Livigni","given":"Sergio","non-dropping-particle":"","parse-names":false,"suffix":""},{"dropping-particle":"","family":"Manno","given":"Emilpaolo","non-dropping-particle":"","parse-names":false,"suffix":""},{"dropping-particle":"","family":"Massara","given":"Carlo","non-dropping-particle":"","parse-names":false,"suffix":""},{"dropping-particle":"","family":"Milone","given":"Valeria","non-dropping-particle":"","parse-names":false,"suffix":""},{"dropping-particle":"","family":"Natale","given":"Giuseppe","non-dropping-particle":"","parse-names":false,"suffix":""},{"dropping-particle":"","family":"Navarra","given":"Mauro","non-dropping-particle":"","parse-names":false,"suffix":""},{"dropping-particle":"","family":"Oddone","given":"Valentina","non-dropping-particle":"","parse-names":false,"suffix":""},{"dropping-particle":"","family":"Osella","given":"Sara","non-dropping-particle":"","parse-names":false,"suffix":""},{"dropping-particle":"","family":"Piccioni","given":"Pavilio","non-dropping-particle":"","parse-names":false,"suffix":""},{"dropping-particle":"","family":"Radin","given":"Massimo","non-dropping-particle":"","parse-names":false,"suffix":""},{"dropping-particle":"","family":"Roccatello","given":"Dario","non-dropping-particle":"","parse-names":false,"suffix":""},{"dropping-particle":"","family":"Rossi","given":"Daniela","non-dropping-particle":"","parse-names":false,"suffix":""}],"container-title":"Clinical and experimental rheumatology","id":"ITEM-1","issue":"3","issued":{"date-parts":[["2020"]]},"page":"529</w:instrText>
            </w:r>
            <w:r w:rsidR="00927572">
              <w:rPr>
                <w:rFonts w:ascii="Cambria Math" w:eastAsia="Calibri" w:hAnsi="Cambria Math" w:cs="Cambria Math"/>
                <w:szCs w:val="20"/>
                <w:lang w:val="en-US"/>
              </w:rPr>
              <w:instrText>‐</w:instrText>
            </w:r>
            <w:r w:rsidR="00927572">
              <w:rPr>
                <w:rFonts w:ascii="Arial" w:eastAsia="Calibri" w:hAnsi="Arial" w:cs="Arial"/>
                <w:szCs w:val="20"/>
                <w:lang w:val="en-US"/>
              </w:rPr>
              <w:instrText>532","title":"Pilot prospective open, single-arm multicentre study on off-label use of tocilizumab in patients with severe COVID-19.","type":"article-journal","volume":"38"},"uris":["http://www.mendeley.com/documents/?uuid=a391b716-81ed-3e51-ab61-fc31173f68ab"]}],"mendeley":{"formattedCitation":"&lt;sup&gt;11&lt;/sup&gt;","plainTextFormattedCitation":"11","previouslyFormattedCitation":"&lt;sup&gt;11&lt;/sup&gt;"},"properties":{"noteIndex":0},"schema":"https://github.com/citation-style-language/schema/raw/master/csl-citation.json"}</w:instrText>
            </w:r>
            <w:r>
              <w:rPr>
                <w:rFonts w:ascii="Arial" w:eastAsia="Calibri" w:hAnsi="Arial" w:cs="Arial"/>
                <w:szCs w:val="20"/>
                <w:lang w:val="en-US"/>
              </w:rPr>
              <w:fldChar w:fldCharType="separate"/>
            </w:r>
            <w:r w:rsidR="001E26C2" w:rsidRPr="001E26C2">
              <w:rPr>
                <w:rFonts w:ascii="Arial" w:eastAsia="Calibri" w:hAnsi="Arial" w:cs="Arial"/>
                <w:noProof/>
                <w:szCs w:val="20"/>
                <w:vertAlign w:val="superscript"/>
                <w:lang w:val="en-US"/>
              </w:rPr>
              <w:t>11</w:t>
            </w:r>
            <w:r>
              <w:rPr>
                <w:rFonts w:ascii="Arial" w:eastAsia="Calibri" w:hAnsi="Arial" w:cs="Arial"/>
                <w:szCs w:val="20"/>
                <w:lang w:val="en-US"/>
              </w:rPr>
              <w:fldChar w:fldCharType="end"/>
            </w:r>
          </w:p>
        </w:tc>
        <w:tc>
          <w:tcPr>
            <w:tcW w:w="0" w:type="auto"/>
            <w:shd w:val="clear" w:color="auto" w:fill="auto"/>
          </w:tcPr>
          <w:p w14:paraId="11058F9E"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Cohort</w:t>
            </w:r>
          </w:p>
        </w:tc>
        <w:tc>
          <w:tcPr>
            <w:tcW w:w="0" w:type="auto"/>
            <w:shd w:val="clear" w:color="auto" w:fill="auto"/>
          </w:tcPr>
          <w:p w14:paraId="1D6349C3"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05117B82" w14:textId="77777777" w:rsidR="00A62399" w:rsidRPr="00F8370B" w:rsidRDefault="00A62399" w:rsidP="00A62399">
            <w:pPr>
              <w:rPr>
                <w:rFonts w:ascii="Arial" w:eastAsia="Calibri" w:hAnsi="Arial" w:cs="Arial"/>
                <w:szCs w:val="20"/>
                <w:lang w:val="en-US"/>
              </w:rPr>
            </w:pPr>
          </w:p>
        </w:tc>
        <w:tc>
          <w:tcPr>
            <w:tcW w:w="0" w:type="auto"/>
            <w:shd w:val="clear" w:color="auto" w:fill="auto"/>
          </w:tcPr>
          <w:p w14:paraId="0ABBF083"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6706939A"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025955C3" w14:textId="77777777" w:rsidR="00A62399" w:rsidRPr="00F8370B" w:rsidRDefault="00A62399" w:rsidP="00A62399">
            <w:pPr>
              <w:rPr>
                <w:rFonts w:ascii="Arial" w:eastAsia="Calibri" w:hAnsi="Arial" w:cs="Arial"/>
                <w:szCs w:val="20"/>
                <w:lang w:val="en-US"/>
              </w:rPr>
            </w:pPr>
          </w:p>
        </w:tc>
        <w:tc>
          <w:tcPr>
            <w:tcW w:w="0" w:type="auto"/>
            <w:shd w:val="clear" w:color="auto" w:fill="auto"/>
          </w:tcPr>
          <w:p w14:paraId="383BD303"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6A1AE445"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24B4152B"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2B9CCDE4"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6</w:t>
            </w:r>
          </w:p>
        </w:tc>
      </w:tr>
      <w:tr w:rsidR="00A62399" w:rsidRPr="001843C2" w14:paraId="70D40E08" w14:textId="77777777" w:rsidTr="00124A6C">
        <w:trPr>
          <w:jc w:val="center"/>
        </w:trPr>
        <w:tc>
          <w:tcPr>
            <w:tcW w:w="0" w:type="auto"/>
            <w:shd w:val="clear" w:color="auto" w:fill="auto"/>
          </w:tcPr>
          <w:p w14:paraId="686E9021" w14:textId="01A6AC3D"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Toniati et al.</w:t>
            </w:r>
            <w:r>
              <w:rPr>
                <w:rFonts w:ascii="Arial" w:eastAsia="Calibri" w:hAnsi="Arial" w:cs="Arial"/>
                <w:szCs w:val="20"/>
                <w:lang w:val="en-US"/>
              </w:rPr>
              <w:t xml:space="preserve"> </w:t>
            </w:r>
            <w:r>
              <w:rPr>
                <w:rFonts w:ascii="Arial" w:eastAsia="Calibri" w:hAnsi="Arial" w:cs="Arial"/>
                <w:szCs w:val="20"/>
                <w:lang w:val="en-US"/>
              </w:rPr>
              <w:fldChar w:fldCharType="begin" w:fldLock="1"/>
            </w:r>
            <w:r w:rsidR="00927572">
              <w:rPr>
                <w:rFonts w:ascii="Arial" w:eastAsia="Calibri" w:hAnsi="Arial" w:cs="Arial"/>
                <w:szCs w:val="20"/>
                <w:lang w:val="en-US"/>
              </w:rPr>
              <w:instrText>ADDIN CSL_CITATION {"citationItems":[{"id":"ITEM-1","itemData":{"DOI":"10.1016/j.autrev.2020.102568","ISSN":"18730183","PMID":"32376398","abstract":"A hyperinflammatory syndrome (HIS) may cause a life-threatening acute respiratory distress syndrome (ARDS) in patients with COVID-19 pneumonia. A prospective series of 100 consecutive patients admitted to the Spedali Civili University Hospital in Brescia (Italy) between March 9th and March 20th with confirmed COVID-19 pneumonia and ARDS requiring ventilatory support was analyzed to determine whether intravenous administration of tocilizumab (TCZ), a monoclonal antibody that targets the interleukin 6 receptor, was associated with improved outcome. Tocilizumab was administered at a dosage of 8 mg/kg by two consecutive intravenous infusions 12 h apart. A third infusion was optional based on clinical response. The outcome measure was an improvement in ARDS assessed by means of the Brescia COVID Respiratory Severity Score (BCRSS 0 to 8, with higher scores indicating higher severity) at 24-72 h and 10 days after tocilizumab administration. Out of 100 treated patients (88 M, 12 F; median age: 62 years), 43 received TCZ in the intensive care unit (ICU), while 57 in the general ward as no ICU beds were available. Of these 57 patients, 37 (65%) improved and suspended noninvasive ventilation (NIV) (median BCRSS: 1 [IQR 0-2]), 7 (12%) patients remained stable in NIV, and 13 (23%) patients worsened (10 died, 3 were admitted to ICU). Of the 43 patients treated in ICU, 32 (74%) improved (17 of them were taken off the ventilator and were discharged to the ward), 1 (2%) remained stable (BCRSS: 5) and 10 (24%) died (all of them had BCRSS≥7 before TCZ). Overall at 10 days, the respiratory condition was improved or stabilized in 77 (77%) patients, of whom 61 showed a significant clearing of diffuse bilateral opacities on chest x-ray and 15 were discharged from the hospital. Respiratory condition worsened in 23 (23%) patients, of whom 20 (20%) died. All the patients presented with lymphopenia and high levels of C-reactive protein (CRP), fibrinogen, ferritin and interleukin 6 (IL-6) indicating a HIS. During the 10-day follow-up, three cases of severe adverse events were recorded: two patients developed septic shock and died, one had gastrointestinal perforation requiring urgent surgery and was alive at day 10. In conclusion, our series showed that COVID-19 pneumonia with ARDS was characterized by HIS. The response to TCZ was rapid, sustained, and associated with significant clinical improvement.","author":[{"dropping-particle":"","family":"Toniati","given":"Paola","non-dropping-particle":"","parse-names":false,"suffix":""},{"dropping-particle":"","family":"Piva","given":"Simone","non-dropping-particle":"","parse-names":false,"suffix":""},{"dropping-particle":"","family":"Cattalini","given":"Marco","non-dropping-particle":"","parse-names":false,"suffix":""},{"dropping-particle":"","family":"Garrafa","given":"Emirena","non-dropping-particle":"","parse-names":false,"suffix":""},{"dropping-particle":"","family":"Regola","given":"Francesca","non-dropping-particle":"","parse-names":false,"suffix":""},{"dropping-particle":"","family":"Castelli","given":"Francesco","non-dropping-particle":"","parse-names":false,"suffix":""},{"dropping-particle":"","family":"Franceschini","given":"Franco","non-dropping-particle":"","parse-names":false,"suffix":""},{"dropping-particle":"","family":"Focà","given":"Emanuele","non-dropping-particle":"","parse-names":false,"suffix":""},{"dropping-particle":"","family":"Andreoli","given":"Laura","non-dropping-particle":"","parse-names":false,"suffix":""},{"dropping-particle":"","family":"Latronico","given":"Nicola","non-dropping-particle":"","parse-names":false,"suffix":""}],"container-title":"Autoimmunity reviews","id":"ITEM-1","issue":"7","issued":{"date-parts":[["2020","5","3"]]},"page":"102568","publisher":"NLM (Medline)","title":"Tocilizumab for the treatment of severe COVID-19 pneumonia with hyperinflammatory syndrome and acute respiratory failure: A single center study of 100 patients in Brescia, Italy","type":"article","volume":"19"},"uris":["http://www.mendeley.com/documents/?uuid=21c098e0-0962-3595-ab68-b7151011d1c6"]}],"mendeley":{"formattedCitation":"&lt;sup&gt;12&lt;/sup&gt;","plainTextFormattedCitation":"12","previouslyFormattedCitation":"&lt;sup&gt;12&lt;/sup&gt;"},"properties":{"noteIndex":0},"schema":"https://github.com/citation-style-language/schema/raw/master/csl-citation.json"}</w:instrText>
            </w:r>
            <w:r>
              <w:rPr>
                <w:rFonts w:ascii="Arial" w:eastAsia="Calibri" w:hAnsi="Arial" w:cs="Arial"/>
                <w:szCs w:val="20"/>
                <w:lang w:val="en-US"/>
              </w:rPr>
              <w:fldChar w:fldCharType="separate"/>
            </w:r>
            <w:r w:rsidR="001E26C2" w:rsidRPr="001E26C2">
              <w:rPr>
                <w:rFonts w:ascii="Arial" w:eastAsia="Calibri" w:hAnsi="Arial" w:cs="Arial"/>
                <w:noProof/>
                <w:szCs w:val="20"/>
                <w:vertAlign w:val="superscript"/>
                <w:lang w:val="en-US"/>
              </w:rPr>
              <w:t>12</w:t>
            </w:r>
            <w:r>
              <w:rPr>
                <w:rFonts w:ascii="Arial" w:eastAsia="Calibri" w:hAnsi="Arial" w:cs="Arial"/>
                <w:szCs w:val="20"/>
                <w:lang w:val="en-US"/>
              </w:rPr>
              <w:fldChar w:fldCharType="end"/>
            </w:r>
          </w:p>
        </w:tc>
        <w:tc>
          <w:tcPr>
            <w:tcW w:w="0" w:type="auto"/>
            <w:shd w:val="clear" w:color="auto" w:fill="auto"/>
          </w:tcPr>
          <w:p w14:paraId="749C372C"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Cohort</w:t>
            </w:r>
          </w:p>
        </w:tc>
        <w:tc>
          <w:tcPr>
            <w:tcW w:w="0" w:type="auto"/>
            <w:shd w:val="clear" w:color="auto" w:fill="auto"/>
          </w:tcPr>
          <w:p w14:paraId="27FD967C"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4682E47E" w14:textId="77777777" w:rsidR="00A62399" w:rsidRPr="00F8370B" w:rsidRDefault="00A62399" w:rsidP="00A62399">
            <w:pPr>
              <w:rPr>
                <w:rFonts w:ascii="Arial" w:eastAsia="Calibri" w:hAnsi="Arial" w:cs="Arial"/>
                <w:szCs w:val="20"/>
                <w:lang w:val="en-US"/>
              </w:rPr>
            </w:pPr>
          </w:p>
        </w:tc>
        <w:tc>
          <w:tcPr>
            <w:tcW w:w="0" w:type="auto"/>
            <w:shd w:val="clear" w:color="auto" w:fill="auto"/>
          </w:tcPr>
          <w:p w14:paraId="2684A0A0"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4912CE5A"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71831D52" w14:textId="77777777" w:rsidR="00A62399" w:rsidRPr="00F8370B" w:rsidRDefault="00A62399" w:rsidP="00A62399">
            <w:pPr>
              <w:rPr>
                <w:rFonts w:ascii="Arial" w:eastAsia="Calibri" w:hAnsi="Arial" w:cs="Arial"/>
                <w:szCs w:val="20"/>
                <w:lang w:val="en-US"/>
              </w:rPr>
            </w:pPr>
          </w:p>
        </w:tc>
        <w:tc>
          <w:tcPr>
            <w:tcW w:w="0" w:type="auto"/>
            <w:shd w:val="clear" w:color="auto" w:fill="auto"/>
          </w:tcPr>
          <w:p w14:paraId="4E08CFB2"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4314B1B6"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0BF268FD"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6DB26B87" w14:textId="77777777"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6</w:t>
            </w:r>
          </w:p>
        </w:tc>
      </w:tr>
      <w:tr w:rsidR="00A62399" w:rsidRPr="0068569D" w14:paraId="6AC0BF27" w14:textId="77777777" w:rsidTr="00124A6C">
        <w:trPr>
          <w:jc w:val="center"/>
        </w:trPr>
        <w:tc>
          <w:tcPr>
            <w:tcW w:w="0" w:type="auto"/>
            <w:shd w:val="clear" w:color="auto" w:fill="auto"/>
          </w:tcPr>
          <w:p w14:paraId="122B29A4" w14:textId="6853B192"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Xu et al.</w:t>
            </w:r>
            <w:r>
              <w:rPr>
                <w:rFonts w:ascii="Arial" w:eastAsia="Calibri" w:hAnsi="Arial" w:cs="Arial"/>
                <w:szCs w:val="20"/>
                <w:lang w:val="en-US"/>
              </w:rPr>
              <w:t xml:space="preserve"> </w:t>
            </w:r>
            <w:r>
              <w:rPr>
                <w:rFonts w:ascii="Arial" w:eastAsia="Calibri" w:hAnsi="Arial" w:cs="Arial"/>
                <w:szCs w:val="20"/>
                <w:lang w:val="en-US"/>
              </w:rPr>
              <w:fldChar w:fldCharType="begin" w:fldLock="1"/>
            </w:r>
            <w:r w:rsidR="00927572">
              <w:rPr>
                <w:rFonts w:ascii="Arial" w:eastAsia="Calibri" w:hAnsi="Arial" w:cs="Arial"/>
                <w:szCs w:val="20"/>
                <w:lang w:val="en-US"/>
              </w:rPr>
              <w:instrText>ADDIN CSL_CITATION {"citationItems":[{"id":"ITEM-1","itemData":{"DOI":"10.1073/pnas.2005615117","ISSN":"0027-8424","PMID":"32350134","abstract":"After analyzing the immune characteristics of patients with severe coronavirus disease 2019 (COVID-19), we have identified that pathogenic T cells and inflammatory monocytes with large amount of interleukin 6 secreting may incite the inflammatory storm, which may potentially be curbed through monoclonal antibody that targets the IL-6 pathways. Here, we aimed to assess the efficacy of tocilizumab in severe patients with COVID-19 and seek a therapeutic strategy. The patients diagnosed as severe or critical COVID-19 in The First Affiliated Hospital of University of Science and Technology of China (Anhui Provincial Hospital) and Anhui Fuyang Second People’s Hospital were given tocilizumab in addition to routine therapy between 5 and 14 February 2020. The changes of clinical manifestations, computerized tomography (CT) scan image, and laboratory examinations were retrospectively analyzed. Fever returned to normal on the first day, and other symptoms improved remarkably within a few days. Within 5 d after tocilizumab, 15 of the 20 patients (75.0%) had lowered their oxygen intake, and 1 patient needed no oxygen therapy. CT scans manifested that the lung lesion opacity absorbed in 19 patients (90.5%). The percentage of lymphocytes in peripheral blood, which decreased in 85.0% of patients (17/20) before treatment (mean, 15.52 ± 8.89%), returned to normal in 52.6% of patients (10/19) on the fifth day after treatment. Abnormally elevated C-reactive protein decreased significantly in 84.2% of patients (16/19). No obvious adverse reactions were observed. All patients have been discharged on average 15.1 d after giving tocilizumab. Preliminary data show that tocilizumab, which improved the clinical outcome immediately in severe and critical COVID-19 patients, is an effective treatment to reduce mortality.","author":[{"dropping-particle":"","family":"Xu","given":"Xiaoling","non-dropping-particle":"","parse-names":false,"suffix":""},{"dropping-particle":"","family":"Han","given":"Mingfeng","non-dropping-particle":"","parse-names":false,"suffix":""},{"dropping-particle":"","family":"Li","given":"Tiantian","non-dropping-particle":"","parse-names":false,"suffix":""},{"dropping-particle":"","family":"Sun","given":"Wei","non-dropping-particle":"","parse-names":false,"suffix":""},{"dropping-particle":"","family":"Wang","given":"Dongsheng","non-dropping-particle":"","parse-names":false,"suffix":""},{"dropping-particle":"","family":"Fu","given":"Binqing","non-dropping-particle":"","parse-names":false,"suffix":""},{"dropping-particle":"","family":"Zhou","given":"Yonggang","non-dropping-particle":"","parse-names":false,"suffix":""},{"dropping-particle":"","family":"Zheng","given":"Xiaohu","non-dropping-particle":"","parse-names":false,"suffix":""},{"dropping-particle":"","family":"Yang","given":"Yun","non-dropping-particle":"","parse-names":false,"suffix":""},{"dropping-particle":"","family":"Li","given":"Xiuyong","non-dropping-particle":"","parse-names":false,"suffix":""},{"dropping-particle":"","family":"Zhang","given":"Xiaohua","non-dropping-particle":"","parse-names":false,"suffix":""},{"dropping-particle":"","family":"Pan","given":"Aijun","non-dropping-particle":"","parse-names":false,"suffix":""},{"dropping-particle":"","family":"Wei","given":"Haiming","non-dropping-particle":"","parse-names":false,"suffix":""}],"container-title":"Proceedings of the National Academy of Sciences","id":"ITEM-1","issued":{"date-parts":[["2020","4","29"]]},"publisher":"Proceedings of the National Academy of Sciences","title":"Effective treatment of severe COVID-19 patients with tocilizumab","type":"article-journal"},"uris":["http://www.mendeley.com/documents/?uuid=d498bd08-88b5-35a1-9344-de0e4a8e25af"]}],"mendeley":{"formattedCitation":"&lt;sup&gt;13&lt;/sup&gt;","plainTextFormattedCitation":"13","previouslyFormattedCitation":"&lt;sup&gt;13&lt;/sup&gt;"},"properties":{"noteIndex":0},"schema":"https://github.com/citation-style-language/schema/raw/master/csl-citation.json"}</w:instrText>
            </w:r>
            <w:r>
              <w:rPr>
                <w:rFonts w:ascii="Arial" w:eastAsia="Calibri" w:hAnsi="Arial" w:cs="Arial"/>
                <w:szCs w:val="20"/>
                <w:lang w:val="en-US"/>
              </w:rPr>
              <w:fldChar w:fldCharType="separate"/>
            </w:r>
            <w:r w:rsidR="001E26C2" w:rsidRPr="001E26C2">
              <w:rPr>
                <w:rFonts w:ascii="Arial" w:eastAsia="Calibri" w:hAnsi="Arial" w:cs="Arial"/>
                <w:noProof/>
                <w:szCs w:val="20"/>
                <w:vertAlign w:val="superscript"/>
                <w:lang w:val="en-US"/>
              </w:rPr>
              <w:t>13</w:t>
            </w:r>
            <w:r>
              <w:rPr>
                <w:rFonts w:ascii="Arial" w:eastAsia="Calibri" w:hAnsi="Arial" w:cs="Arial"/>
                <w:szCs w:val="20"/>
                <w:lang w:val="en-US"/>
              </w:rPr>
              <w:fldChar w:fldCharType="end"/>
            </w:r>
          </w:p>
        </w:tc>
        <w:tc>
          <w:tcPr>
            <w:tcW w:w="0" w:type="auto"/>
            <w:shd w:val="clear" w:color="auto" w:fill="auto"/>
          </w:tcPr>
          <w:p w14:paraId="1CE93F3D" w14:textId="6DB45789"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Cohort</w:t>
            </w:r>
          </w:p>
        </w:tc>
        <w:tc>
          <w:tcPr>
            <w:tcW w:w="0" w:type="auto"/>
            <w:shd w:val="clear" w:color="auto" w:fill="auto"/>
          </w:tcPr>
          <w:p w14:paraId="3B2BC5A7" w14:textId="3A8F0A2C"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194A5DE1" w14:textId="77777777" w:rsidR="00A62399" w:rsidRPr="00F8370B" w:rsidRDefault="00A62399" w:rsidP="00A62399">
            <w:pPr>
              <w:rPr>
                <w:rFonts w:ascii="Arial" w:eastAsia="Calibri" w:hAnsi="Arial" w:cs="Arial"/>
                <w:szCs w:val="20"/>
                <w:lang w:val="en-US"/>
              </w:rPr>
            </w:pPr>
          </w:p>
        </w:tc>
        <w:tc>
          <w:tcPr>
            <w:tcW w:w="0" w:type="auto"/>
            <w:shd w:val="clear" w:color="auto" w:fill="auto"/>
          </w:tcPr>
          <w:p w14:paraId="55003BC8" w14:textId="1C8606F0"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05024698" w14:textId="5CC4ED91"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435AEE04" w14:textId="77777777" w:rsidR="00A62399" w:rsidRPr="00F8370B" w:rsidRDefault="00A62399" w:rsidP="00A62399">
            <w:pPr>
              <w:rPr>
                <w:rFonts w:ascii="Arial" w:eastAsia="Calibri" w:hAnsi="Arial" w:cs="Arial"/>
                <w:szCs w:val="20"/>
                <w:lang w:val="en-US"/>
              </w:rPr>
            </w:pPr>
          </w:p>
        </w:tc>
        <w:tc>
          <w:tcPr>
            <w:tcW w:w="0" w:type="auto"/>
            <w:shd w:val="clear" w:color="auto" w:fill="auto"/>
          </w:tcPr>
          <w:p w14:paraId="1269DD28" w14:textId="09DABF5A"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025608DF" w14:textId="27EB93D9"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399F1579" w14:textId="1393AF7F"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w:t>
            </w:r>
          </w:p>
        </w:tc>
        <w:tc>
          <w:tcPr>
            <w:tcW w:w="0" w:type="auto"/>
            <w:shd w:val="clear" w:color="auto" w:fill="auto"/>
          </w:tcPr>
          <w:p w14:paraId="2707A139" w14:textId="23C04F70" w:rsidR="00A62399" w:rsidRPr="00F8370B" w:rsidRDefault="00A62399" w:rsidP="00A62399">
            <w:pPr>
              <w:rPr>
                <w:rFonts w:ascii="Arial" w:eastAsia="Calibri" w:hAnsi="Arial" w:cs="Arial"/>
                <w:szCs w:val="20"/>
                <w:lang w:val="en-US"/>
              </w:rPr>
            </w:pPr>
            <w:r w:rsidRPr="00F8370B">
              <w:rPr>
                <w:rFonts w:ascii="Arial" w:eastAsia="Calibri" w:hAnsi="Arial" w:cs="Arial"/>
                <w:szCs w:val="20"/>
                <w:lang w:val="en-US"/>
              </w:rPr>
              <w:t>6</w:t>
            </w:r>
          </w:p>
        </w:tc>
      </w:tr>
    </w:tbl>
    <w:p w14:paraId="347BCE23" w14:textId="77777777" w:rsidR="00124A6C" w:rsidRPr="00124A6C" w:rsidRDefault="00124A6C" w:rsidP="00124A6C">
      <w:pPr>
        <w:tabs>
          <w:tab w:val="left" w:pos="-1080"/>
          <w:tab w:val="left" w:pos="-720"/>
          <w:tab w:val="left" w:pos="270"/>
        </w:tabs>
        <w:jc w:val="center"/>
        <w:rPr>
          <w:rFonts w:ascii="Arial" w:hAnsi="Arial" w:cs="Arial"/>
          <w:lang w:val="en-GB"/>
        </w:rPr>
      </w:pPr>
    </w:p>
    <w:p w14:paraId="0C9FDF7F" w14:textId="5E6F8E48" w:rsidR="00124A6C" w:rsidRPr="00124A6C" w:rsidRDefault="00124A6C" w:rsidP="008A2544">
      <w:pPr>
        <w:tabs>
          <w:tab w:val="left" w:pos="-1080"/>
          <w:tab w:val="left" w:pos="-720"/>
          <w:tab w:val="left" w:pos="270"/>
        </w:tabs>
        <w:rPr>
          <w:rStyle w:val="Hyperlink0"/>
          <w:rFonts w:cs="Arial"/>
          <w:b/>
          <w:bCs/>
        </w:rPr>
      </w:pPr>
      <w:r w:rsidRPr="00124A6C">
        <w:rPr>
          <w:rStyle w:val="Hyperlink0"/>
          <w:rFonts w:cs="Arial"/>
          <w:b/>
          <w:bCs/>
        </w:rPr>
        <w:t xml:space="preserve">Table </w:t>
      </w:r>
      <w:r w:rsidR="0068569D">
        <w:rPr>
          <w:rStyle w:val="Hyperlink0"/>
          <w:rFonts w:cs="Arial"/>
          <w:b/>
          <w:bCs/>
        </w:rPr>
        <w:t>A</w:t>
      </w:r>
      <w:r w:rsidR="00D801A8">
        <w:rPr>
          <w:rStyle w:val="Hyperlink0"/>
          <w:rFonts w:cs="Arial"/>
          <w:b/>
          <w:bCs/>
        </w:rPr>
        <w:t>.</w:t>
      </w:r>
      <w:r w:rsidRPr="00124A6C">
        <w:rPr>
          <w:rStyle w:val="Hyperlink0"/>
          <w:rFonts w:cs="Arial"/>
          <w:b/>
          <w:bCs/>
        </w:rPr>
        <w:t>2. Risk of bias of single arm included studies</w:t>
      </w:r>
    </w:p>
    <w:p w14:paraId="6C4DC940" w14:textId="15642E63" w:rsidR="00124A6C" w:rsidRDefault="00124A6C" w:rsidP="008A2544">
      <w:pPr>
        <w:tabs>
          <w:tab w:val="left" w:pos="-1080"/>
          <w:tab w:val="left" w:pos="-720"/>
          <w:tab w:val="left" w:pos="270"/>
        </w:tabs>
        <w:rPr>
          <w:rFonts w:ascii="Arial" w:hAnsi="Arial" w:cs="Arial"/>
          <w:lang w:val="en-GB"/>
        </w:rPr>
      </w:pPr>
      <w:r w:rsidRPr="00124A6C">
        <w:rPr>
          <w:rFonts w:ascii="Arial" w:hAnsi="Arial" w:cs="Arial"/>
          <w:lang w:val="en-GB"/>
        </w:rPr>
        <w:t>The table shows the results of Newcastle-Ottawa-scale (NOS)</w:t>
      </w:r>
      <w:r w:rsidR="00F8370B">
        <w:rPr>
          <w:rFonts w:ascii="Arial" w:hAnsi="Arial" w:cs="Arial"/>
          <w:lang w:val="en-GB"/>
        </w:rPr>
        <w:t xml:space="preserve"> </w:t>
      </w:r>
      <w:r w:rsidR="00F8370B">
        <w:rPr>
          <w:rFonts w:ascii="Arial" w:hAnsi="Arial" w:cs="Arial"/>
          <w:lang w:val="en-GB"/>
        </w:rPr>
        <w:fldChar w:fldCharType="begin" w:fldLock="1"/>
      </w:r>
      <w:r w:rsidR="00927572">
        <w:rPr>
          <w:rFonts w:ascii="Arial" w:hAnsi="Arial" w:cs="Arial"/>
          <w:lang w:val="en-GB"/>
        </w:rPr>
        <w:instrText>ADDIN CSL_CITATION {"citationItems":[{"id":"ITEM-1","itemData":{"DOI":"10.1007/s10654-010-9491-z","ISSN":"03932990","PMID":"20652370","author":[{"dropping-particle":"","family":"Stang","given":"Andreas","non-dropping-particle":"","parse-names":false,"suffix":""}],"container-title":"European Journal of Epidemiology","id":"ITEM-1","issue":"9","issued":{"date-parts":[["2010"]]},"page":"603-605","title":"Critical evaluation of the Newcastle-Ottawa scale for the assessment of the quality of nonrandomized studies in meta-analyses","type":"article-journal","volume":"25"},"uris":["http://www.mendeley.com/documents/?uuid=482642b3-842f-4bfb-8a9e-50786957f006"]}],"mendeley":{"formattedCitation":"&lt;sup&gt;14&lt;/sup&gt;","plainTextFormattedCitation":"14","previouslyFormattedCitation":"&lt;sup&gt;14&lt;/sup&gt;"},"properties":{"noteIndex":0},"schema":"https://github.com/citation-style-language/schema/raw/master/csl-citation.json"}</w:instrText>
      </w:r>
      <w:r w:rsidR="00F8370B">
        <w:rPr>
          <w:rFonts w:ascii="Arial" w:hAnsi="Arial" w:cs="Arial"/>
          <w:lang w:val="en-GB"/>
        </w:rPr>
        <w:fldChar w:fldCharType="separate"/>
      </w:r>
      <w:r w:rsidR="001E26C2" w:rsidRPr="001E26C2">
        <w:rPr>
          <w:rFonts w:ascii="Arial" w:hAnsi="Arial" w:cs="Arial"/>
          <w:noProof/>
          <w:vertAlign w:val="superscript"/>
          <w:lang w:val="en-GB"/>
        </w:rPr>
        <w:t>14</w:t>
      </w:r>
      <w:r w:rsidR="00F8370B">
        <w:rPr>
          <w:rFonts w:ascii="Arial" w:hAnsi="Arial" w:cs="Arial"/>
          <w:lang w:val="en-GB"/>
        </w:rPr>
        <w:fldChar w:fldCharType="end"/>
      </w:r>
      <w:r w:rsidRPr="00124A6C">
        <w:rPr>
          <w:rFonts w:ascii="Arial" w:hAnsi="Arial" w:cs="Arial"/>
          <w:lang w:val="en-GB"/>
        </w:rPr>
        <w:t>,</w:t>
      </w:r>
      <w:r w:rsidRPr="00124A6C">
        <w:rPr>
          <w:rFonts w:ascii="Arial" w:hAnsi="Arial" w:cs="Arial"/>
          <w:lang w:val="en-GB"/>
        </w:rPr>
        <w:fldChar w:fldCharType="begin" w:fldLock="1"/>
      </w:r>
      <w:r w:rsidR="00927572">
        <w:rPr>
          <w:rFonts w:ascii="Arial" w:hAnsi="Arial" w:cs="Arial"/>
          <w:lang w:val="en-GB"/>
        </w:rPr>
        <w:instrText>ADDIN CSL_CITATION {"citationItems":[{"id":"ITEM-1","itemData":{"DOI":"10.1007/s10654-010-9491-z","ISSN":"03932990","PMID":"20652370","author":[{"dropping-particle":"","family":"Stang","given":"Andreas","non-dropping-particle":"","parse-names":false,"suffix":""}],"container-title":"European Journal of Epidemiology","id":"ITEM-1","issue":"9","issued":{"date-parts":[["2010"]]},"page":"603-605","title":"Critical evaluation of the Newcastle-Ottawa scale for the assessment of the quality of nonrandomized studies in meta-analyses","type":"article-journal","volume":"25"},"uris":["http://www.mendeley.com/documents/?uuid=482642b3-842f-4bfb-8a9e-50786957f006"]}],"mendeley":{"formattedCitation":"&lt;sup&gt;14&lt;/sup&gt;","plainTextFormattedCitation":"14","previouslyFormattedCitation":"&lt;sup&gt;14&lt;/sup&gt;"},"properties":{"noteIndex":0},"schema":"https://github.com/citation-style-language/schema/raw/master/csl-citation.json"}</w:instrText>
      </w:r>
      <w:r w:rsidRPr="00124A6C">
        <w:rPr>
          <w:rFonts w:ascii="Arial" w:hAnsi="Arial" w:cs="Arial"/>
          <w:lang w:val="en-GB"/>
        </w:rPr>
        <w:fldChar w:fldCharType="end"/>
      </w:r>
      <w:r w:rsidR="00927572">
        <w:rPr>
          <w:rFonts w:ascii="Arial" w:hAnsi="Arial" w:cs="Arial"/>
          <w:lang w:val="en-GB"/>
        </w:rPr>
        <w:t>&lt;sup&gt;14&lt;/sup&gt;&lt;sup&gt;14&lt;/sup&gt;</w:t>
      </w:r>
      <w:r w:rsidR="001E26C2">
        <w:rPr>
          <w:rFonts w:ascii="Arial" w:hAnsi="Arial" w:cs="Arial"/>
          <w:lang w:val="en-GB"/>
        </w:rPr>
        <w:t>&lt;sup&gt;14&lt;/sup&gt;</w:t>
      </w:r>
      <w:r w:rsidR="00A62399">
        <w:rPr>
          <w:rFonts w:ascii="Arial" w:hAnsi="Arial" w:cs="Arial"/>
          <w:lang w:val="en-GB"/>
        </w:rPr>
        <w:t>[14]</w:t>
      </w:r>
      <w:r w:rsidR="00785793">
        <w:rPr>
          <w:rFonts w:ascii="Arial" w:hAnsi="Arial" w:cs="Arial"/>
          <w:lang w:val="en-GB"/>
        </w:rPr>
        <w:t>[13]</w:t>
      </w:r>
      <w:r w:rsidR="00FD2E97">
        <w:rPr>
          <w:rFonts w:ascii="Arial" w:hAnsi="Arial" w:cs="Arial"/>
          <w:lang w:val="en-GB"/>
        </w:rPr>
        <w:t>[12]</w:t>
      </w:r>
      <w:r w:rsidR="00B17F76">
        <w:rPr>
          <w:rFonts w:ascii="Arial" w:hAnsi="Arial" w:cs="Arial"/>
          <w:lang w:val="en-GB"/>
        </w:rPr>
        <w:t>[11]</w:t>
      </w:r>
      <w:r w:rsidR="00805A88">
        <w:rPr>
          <w:rFonts w:ascii="Arial" w:hAnsi="Arial" w:cs="Arial"/>
          <w:lang w:val="en-GB"/>
        </w:rPr>
        <w:t>[10]</w:t>
      </w:r>
      <w:r w:rsidRPr="00124A6C">
        <w:rPr>
          <w:rFonts w:ascii="Arial" w:hAnsi="Arial" w:cs="Arial"/>
          <w:lang w:val="en-GB"/>
        </w:rPr>
        <w:t xml:space="preserve"> performed for single-arm included studies. A ‘good’ quality score required three or four stars in selection, one or two stars in comparability, and two or three stars in outcomes. A ‘fair’ quality score required two stars in selection, one or two stars in comparability, and two or three stars in outcomes. A ‘poor’ quality score reflected no or one star(s) in selection, or no stars in comparability, or no or one star(s) in outcomes</w:t>
      </w:r>
    </w:p>
    <w:p w14:paraId="2B547882" w14:textId="629FF083" w:rsidR="00F8370B" w:rsidRDefault="00F8370B" w:rsidP="008A2544">
      <w:pPr>
        <w:tabs>
          <w:tab w:val="left" w:pos="-1080"/>
          <w:tab w:val="left" w:pos="-720"/>
          <w:tab w:val="left" w:pos="270"/>
        </w:tabs>
        <w:rPr>
          <w:rFonts w:ascii="Arial" w:hAnsi="Arial" w:cs="Arial"/>
          <w:lang w:val="en-GB"/>
        </w:rPr>
      </w:pPr>
    </w:p>
    <w:p w14:paraId="2CDAB0E6" w14:textId="77777777" w:rsidR="00F8370B" w:rsidRPr="00124A6C" w:rsidRDefault="00F8370B" w:rsidP="008A2544">
      <w:pPr>
        <w:tabs>
          <w:tab w:val="left" w:pos="-1080"/>
          <w:tab w:val="left" w:pos="-720"/>
          <w:tab w:val="left" w:pos="270"/>
        </w:tabs>
        <w:rPr>
          <w:rFonts w:ascii="Arial" w:hAnsi="Arial" w:cs="Arial"/>
          <w:lang w:val="en-GB"/>
        </w:rPr>
      </w:pPr>
    </w:p>
    <w:p w14:paraId="7AE6825B" w14:textId="6C839503" w:rsidR="00124A6C" w:rsidRDefault="00124A6C" w:rsidP="00D32DCB">
      <w:pPr>
        <w:pStyle w:val="CorpoA"/>
        <w:spacing w:after="40" w:line="40" w:lineRule="atLeast"/>
        <w:ind w:left="720"/>
        <w:jc w:val="both"/>
        <w:rPr>
          <w:rFonts w:ascii="Arial" w:hAnsi="Arial" w:cs="Arial"/>
          <w:lang w:val="en-GB"/>
        </w:rPr>
      </w:pPr>
    </w:p>
    <w:p w14:paraId="0EF87D38" w14:textId="6DE87AD3" w:rsidR="00F8370B" w:rsidRDefault="00F8370B" w:rsidP="00D32DCB">
      <w:pPr>
        <w:pStyle w:val="CorpoA"/>
        <w:spacing w:after="40" w:line="40" w:lineRule="atLeast"/>
        <w:ind w:left="720"/>
        <w:jc w:val="both"/>
        <w:rPr>
          <w:rFonts w:ascii="Arial" w:hAnsi="Arial" w:cs="Arial"/>
          <w:lang w:val="en-GB"/>
        </w:rPr>
      </w:pPr>
    </w:p>
    <w:p w14:paraId="0ABCD450" w14:textId="6E1BB4C1" w:rsidR="00F8370B" w:rsidRDefault="00F8370B" w:rsidP="00D32DCB">
      <w:pPr>
        <w:pStyle w:val="CorpoA"/>
        <w:spacing w:after="40" w:line="40" w:lineRule="atLeast"/>
        <w:ind w:left="720"/>
        <w:jc w:val="both"/>
        <w:rPr>
          <w:rFonts w:ascii="Arial" w:hAnsi="Arial" w:cs="Arial"/>
          <w:lang w:val="en-GB"/>
        </w:rPr>
      </w:pPr>
    </w:p>
    <w:p w14:paraId="0AC696EB" w14:textId="77777777" w:rsidR="00D801A8" w:rsidRDefault="00D801A8" w:rsidP="00D32DCB">
      <w:pPr>
        <w:pStyle w:val="CorpoA"/>
        <w:spacing w:after="40" w:line="40" w:lineRule="atLeast"/>
        <w:ind w:left="720"/>
        <w:jc w:val="both"/>
        <w:rPr>
          <w:rFonts w:ascii="Arial" w:hAnsi="Arial" w:cs="Arial"/>
          <w:lang w:val="en-GB"/>
        </w:rPr>
      </w:pPr>
    </w:p>
    <w:p w14:paraId="1D9E7F39" w14:textId="68A9A091" w:rsidR="00F8370B" w:rsidRDefault="00F8370B" w:rsidP="00D32DCB">
      <w:pPr>
        <w:pStyle w:val="CorpoA"/>
        <w:spacing w:after="40" w:line="40" w:lineRule="atLeast"/>
        <w:ind w:left="720"/>
        <w:jc w:val="both"/>
        <w:rPr>
          <w:rFonts w:ascii="Arial" w:hAnsi="Arial" w:cs="Arial"/>
          <w:lang w:val="en-GB"/>
        </w:rPr>
      </w:pPr>
    </w:p>
    <w:p w14:paraId="4E81BAF5" w14:textId="77777777" w:rsidR="0016396F" w:rsidRDefault="0016396F" w:rsidP="00D32DCB">
      <w:pPr>
        <w:pStyle w:val="CorpoA"/>
        <w:spacing w:after="40" w:line="40" w:lineRule="atLeast"/>
        <w:ind w:left="720"/>
        <w:jc w:val="both"/>
        <w:rPr>
          <w:rFonts w:ascii="Arial" w:hAnsi="Arial" w:cs="Arial"/>
          <w:lang w:val="en-GB"/>
        </w:rPr>
      </w:pPr>
    </w:p>
    <w:p w14:paraId="23952750" w14:textId="2C11DF23" w:rsidR="00F8370B" w:rsidRDefault="00F8370B" w:rsidP="00D32DCB">
      <w:pPr>
        <w:pStyle w:val="CorpoA"/>
        <w:spacing w:after="40" w:line="40" w:lineRule="atLeast"/>
        <w:ind w:left="720"/>
        <w:jc w:val="both"/>
        <w:rPr>
          <w:rFonts w:ascii="Arial" w:hAnsi="Arial" w:cs="Arial"/>
          <w:lang w:val="en-GB"/>
        </w:rPr>
      </w:pPr>
    </w:p>
    <w:p w14:paraId="44AA0899" w14:textId="6CBD8DA7" w:rsidR="00F8370B" w:rsidRPr="00F8370B" w:rsidRDefault="00F8370B" w:rsidP="00F8370B">
      <w:pPr>
        <w:pStyle w:val="CorpoA"/>
        <w:spacing w:after="40" w:line="480" w:lineRule="auto"/>
        <w:ind w:left="720"/>
        <w:jc w:val="both"/>
        <w:rPr>
          <w:rFonts w:ascii="Arial" w:hAnsi="Arial" w:cs="Arial"/>
          <w:b/>
          <w:bCs/>
          <w:sz w:val="24"/>
          <w:szCs w:val="24"/>
          <w:lang w:val="en-GB"/>
        </w:rPr>
      </w:pPr>
      <w:r w:rsidRPr="00F8370B">
        <w:rPr>
          <w:rFonts w:ascii="Arial" w:hAnsi="Arial" w:cs="Arial"/>
          <w:b/>
          <w:bCs/>
          <w:sz w:val="24"/>
          <w:szCs w:val="24"/>
          <w:lang w:val="en-GB"/>
        </w:rPr>
        <w:t>REFERENCES</w:t>
      </w:r>
    </w:p>
    <w:p w14:paraId="28AC9D61" w14:textId="0E6F9BA8" w:rsidR="00927572" w:rsidRPr="00927572" w:rsidRDefault="00F8370B" w:rsidP="00927572">
      <w:pPr>
        <w:widowControl w:val="0"/>
        <w:autoSpaceDE w:val="0"/>
        <w:autoSpaceDN w:val="0"/>
        <w:adjustRightInd w:val="0"/>
        <w:spacing w:after="40" w:line="480" w:lineRule="auto"/>
        <w:ind w:left="640" w:hanging="640"/>
        <w:rPr>
          <w:rFonts w:ascii="Arial" w:hAnsi="Arial" w:cs="Arial"/>
          <w:noProof/>
        </w:rPr>
      </w:pPr>
      <w:r w:rsidRPr="00F8370B">
        <w:rPr>
          <w:rFonts w:ascii="Arial" w:hAnsi="Arial" w:cs="Arial"/>
          <w:lang w:val="en-GB"/>
        </w:rPr>
        <w:fldChar w:fldCharType="begin" w:fldLock="1"/>
      </w:r>
      <w:r w:rsidRPr="00F8370B">
        <w:rPr>
          <w:rFonts w:ascii="Arial" w:hAnsi="Arial" w:cs="Arial"/>
          <w:lang w:val="en-GB"/>
        </w:rPr>
        <w:instrText xml:space="preserve">ADDIN Mendeley Bibliography CSL_BIBLIOGRAPHY </w:instrText>
      </w:r>
      <w:r w:rsidRPr="00F8370B">
        <w:rPr>
          <w:rFonts w:ascii="Arial" w:hAnsi="Arial" w:cs="Arial"/>
          <w:lang w:val="en-GB"/>
        </w:rPr>
        <w:fldChar w:fldCharType="separate"/>
      </w:r>
      <w:r w:rsidR="00927572" w:rsidRPr="00927572">
        <w:rPr>
          <w:rFonts w:ascii="Arial" w:hAnsi="Arial" w:cs="Arial"/>
          <w:noProof/>
        </w:rPr>
        <w:t xml:space="preserve">1. </w:t>
      </w:r>
      <w:r w:rsidR="00927572" w:rsidRPr="00927572">
        <w:rPr>
          <w:rFonts w:ascii="Arial" w:hAnsi="Arial" w:cs="Arial"/>
          <w:noProof/>
        </w:rPr>
        <w:tab/>
        <w:t xml:space="preserve">Alattar R, Ibrahim TBH, Shaar SH, </w:t>
      </w:r>
      <w:r w:rsidR="00927572">
        <w:rPr>
          <w:rFonts w:ascii="Arial" w:hAnsi="Arial" w:cs="Arial"/>
          <w:noProof/>
          <w:sz w:val="22"/>
        </w:rPr>
        <w:t>Abdalla S, Shukri K, Daghfal JN,</w:t>
      </w:r>
      <w:r w:rsidR="00927572">
        <w:rPr>
          <w:rFonts w:ascii="Arial" w:hAnsi="Arial" w:cs="Arial"/>
          <w:noProof/>
          <w:sz w:val="22"/>
        </w:rPr>
        <w:t xml:space="preserve"> </w:t>
      </w:r>
      <w:r w:rsidR="00927572" w:rsidRPr="00927572">
        <w:rPr>
          <w:rFonts w:ascii="Arial" w:hAnsi="Arial" w:cs="Arial"/>
          <w:noProof/>
        </w:rPr>
        <w:t xml:space="preserve">et al. Tocilizumab for the treatment of severe coronavirus disease 2019. </w:t>
      </w:r>
      <w:r w:rsidR="00927572" w:rsidRPr="00927572">
        <w:rPr>
          <w:rFonts w:ascii="Arial" w:hAnsi="Arial" w:cs="Arial"/>
          <w:i/>
          <w:iCs/>
          <w:noProof/>
        </w:rPr>
        <w:t>J Med Virol</w:t>
      </w:r>
      <w:r w:rsidR="00927572" w:rsidRPr="00927572">
        <w:rPr>
          <w:rFonts w:ascii="Arial" w:hAnsi="Arial" w:cs="Arial"/>
          <w:noProof/>
        </w:rPr>
        <w:t>. 2020. doi:10.1002/jmv.25964</w:t>
      </w:r>
    </w:p>
    <w:p w14:paraId="011E6138" w14:textId="62CDAA9D" w:rsidR="00927572" w:rsidRPr="00927572" w:rsidRDefault="00927572" w:rsidP="00927572">
      <w:pPr>
        <w:widowControl w:val="0"/>
        <w:autoSpaceDE w:val="0"/>
        <w:autoSpaceDN w:val="0"/>
        <w:adjustRightInd w:val="0"/>
        <w:spacing w:after="40" w:line="480" w:lineRule="auto"/>
        <w:ind w:left="640" w:hanging="640"/>
        <w:rPr>
          <w:rFonts w:ascii="Arial" w:hAnsi="Arial" w:cs="Arial"/>
          <w:noProof/>
        </w:rPr>
      </w:pPr>
      <w:r w:rsidRPr="00927572">
        <w:rPr>
          <w:rFonts w:ascii="Arial" w:hAnsi="Arial" w:cs="Arial"/>
          <w:noProof/>
        </w:rPr>
        <w:lastRenderedPageBreak/>
        <w:t xml:space="preserve">2. </w:t>
      </w:r>
      <w:r w:rsidRPr="00927572">
        <w:rPr>
          <w:rFonts w:ascii="Arial" w:hAnsi="Arial" w:cs="Arial"/>
          <w:noProof/>
        </w:rPr>
        <w:tab/>
        <w:t>Fomina DS, Lysenko M, Beloglazova IP,</w:t>
      </w:r>
      <w:r>
        <w:rPr>
          <w:rFonts w:ascii="Arial" w:hAnsi="Arial" w:cs="Arial"/>
          <w:noProof/>
        </w:rPr>
        <w:t xml:space="preserve"> </w:t>
      </w:r>
      <w:r w:rsidRPr="00853145">
        <w:rPr>
          <w:rFonts w:ascii="Arial" w:hAnsi="Arial" w:cs="Arial"/>
          <w:noProof/>
          <w:sz w:val="22"/>
        </w:rPr>
        <w:t>Mutinova ZY, Poteshkina NG, Samsonova IV</w:t>
      </w:r>
      <w:r>
        <w:rPr>
          <w:rFonts w:ascii="Arial" w:hAnsi="Arial" w:cs="Arial"/>
          <w:noProof/>
          <w:sz w:val="22"/>
        </w:rPr>
        <w:t>,</w:t>
      </w:r>
      <w:r w:rsidRPr="00927572">
        <w:rPr>
          <w:rFonts w:ascii="Arial" w:hAnsi="Arial" w:cs="Arial"/>
          <w:noProof/>
        </w:rPr>
        <w:t xml:space="preserve"> et al. Temporal clinical and laboratory response to interleukin-6 receptor blockade with Tocilizumab in 89 hospitalized patients with COVID-19 pneumonia. </w:t>
      </w:r>
      <w:r w:rsidRPr="00927572">
        <w:rPr>
          <w:rFonts w:ascii="Arial" w:hAnsi="Arial" w:cs="Arial"/>
          <w:i/>
          <w:iCs/>
          <w:noProof/>
        </w:rPr>
        <w:t>medRxiv</w:t>
      </w:r>
      <w:r w:rsidRPr="00927572">
        <w:rPr>
          <w:rFonts w:ascii="Arial" w:hAnsi="Arial" w:cs="Arial"/>
          <w:noProof/>
        </w:rPr>
        <w:t>. 2020. doi:10.1101/2020.06.12.20122374</w:t>
      </w:r>
    </w:p>
    <w:p w14:paraId="05843FB2" w14:textId="491E65B0" w:rsidR="00927572" w:rsidRPr="00927572" w:rsidRDefault="00927572" w:rsidP="00927572">
      <w:pPr>
        <w:widowControl w:val="0"/>
        <w:autoSpaceDE w:val="0"/>
        <w:autoSpaceDN w:val="0"/>
        <w:adjustRightInd w:val="0"/>
        <w:spacing w:after="40" w:line="480" w:lineRule="auto"/>
        <w:ind w:left="640" w:hanging="640"/>
        <w:rPr>
          <w:rFonts w:ascii="Arial" w:hAnsi="Arial" w:cs="Arial"/>
          <w:noProof/>
        </w:rPr>
      </w:pPr>
      <w:r w:rsidRPr="00927572">
        <w:rPr>
          <w:rFonts w:ascii="Arial" w:hAnsi="Arial" w:cs="Arial"/>
          <w:noProof/>
        </w:rPr>
        <w:t xml:space="preserve">3. </w:t>
      </w:r>
      <w:r w:rsidRPr="00927572">
        <w:rPr>
          <w:rFonts w:ascii="Arial" w:hAnsi="Arial" w:cs="Arial"/>
          <w:noProof/>
        </w:rPr>
        <w:tab/>
        <w:t xml:space="preserve">Gorgolas M, Cabello A, Perez LP, </w:t>
      </w:r>
      <w:r w:rsidRPr="00853145">
        <w:rPr>
          <w:rFonts w:ascii="Arial" w:hAnsi="Arial" w:cs="Arial"/>
          <w:noProof/>
          <w:sz w:val="22"/>
        </w:rPr>
        <w:t>Alvarez FV, Alvare</w:t>
      </w:r>
      <w:r>
        <w:rPr>
          <w:rFonts w:ascii="Arial" w:hAnsi="Arial" w:cs="Arial"/>
          <w:noProof/>
          <w:sz w:val="22"/>
        </w:rPr>
        <w:t xml:space="preserve">z BA, Rodriguez Nieto MJ, </w:t>
      </w:r>
      <w:r w:rsidRPr="00927572">
        <w:rPr>
          <w:rFonts w:ascii="Arial" w:hAnsi="Arial" w:cs="Arial"/>
          <w:noProof/>
        </w:rPr>
        <w:t xml:space="preserve">et al. Compassionate Use of Tocilizumab in Severe SARS-CoV2 Pneumonia. When late administration is too late. </w:t>
      </w:r>
      <w:r w:rsidRPr="00927572">
        <w:rPr>
          <w:rFonts w:ascii="Arial" w:hAnsi="Arial" w:cs="Arial"/>
          <w:i/>
          <w:iCs/>
          <w:noProof/>
        </w:rPr>
        <w:t>medRxiv</w:t>
      </w:r>
      <w:r w:rsidRPr="00927572">
        <w:rPr>
          <w:rFonts w:ascii="Arial" w:hAnsi="Arial" w:cs="Arial"/>
          <w:noProof/>
        </w:rPr>
        <w:t>. 2020. doi:10.1101/2020.06.13.20130088</w:t>
      </w:r>
    </w:p>
    <w:p w14:paraId="3D8C326F" w14:textId="5DDBBB7F" w:rsidR="00927572" w:rsidRPr="00927572" w:rsidRDefault="00927572" w:rsidP="00927572">
      <w:pPr>
        <w:widowControl w:val="0"/>
        <w:autoSpaceDE w:val="0"/>
        <w:autoSpaceDN w:val="0"/>
        <w:adjustRightInd w:val="0"/>
        <w:spacing w:after="40" w:line="480" w:lineRule="auto"/>
        <w:ind w:left="640" w:hanging="640"/>
        <w:rPr>
          <w:rFonts w:ascii="Arial" w:hAnsi="Arial" w:cs="Arial"/>
          <w:noProof/>
        </w:rPr>
      </w:pPr>
      <w:r w:rsidRPr="00927572">
        <w:rPr>
          <w:rFonts w:ascii="Arial" w:hAnsi="Arial" w:cs="Arial"/>
          <w:noProof/>
        </w:rPr>
        <w:t xml:space="preserve">4. </w:t>
      </w:r>
      <w:r w:rsidRPr="00927572">
        <w:rPr>
          <w:rFonts w:ascii="Arial" w:hAnsi="Arial" w:cs="Arial"/>
          <w:noProof/>
        </w:rPr>
        <w:tab/>
        <w:t xml:space="preserve">Luo P, Liu Y, Qiu L, Liu X, Liu D, Li J. Tocilizumab treatment in COVID-19: A single center experience. </w:t>
      </w:r>
      <w:r w:rsidRPr="00927572">
        <w:rPr>
          <w:rFonts w:ascii="Arial" w:hAnsi="Arial" w:cs="Arial"/>
          <w:i/>
          <w:iCs/>
          <w:noProof/>
        </w:rPr>
        <w:t>J Med Virol</w:t>
      </w:r>
      <w:r w:rsidRPr="00927572">
        <w:rPr>
          <w:rFonts w:ascii="Arial" w:hAnsi="Arial" w:cs="Arial"/>
          <w:noProof/>
        </w:rPr>
        <w:t>. 2020. doi:10.1002/jmv.25801</w:t>
      </w:r>
    </w:p>
    <w:p w14:paraId="46779616" w14:textId="6F713CDC" w:rsidR="00927572" w:rsidRPr="00927572" w:rsidRDefault="00927572" w:rsidP="00927572">
      <w:pPr>
        <w:widowControl w:val="0"/>
        <w:autoSpaceDE w:val="0"/>
        <w:autoSpaceDN w:val="0"/>
        <w:adjustRightInd w:val="0"/>
        <w:spacing w:after="40" w:line="480" w:lineRule="auto"/>
        <w:ind w:left="640" w:hanging="640"/>
        <w:rPr>
          <w:rFonts w:ascii="Arial" w:hAnsi="Arial" w:cs="Arial"/>
          <w:noProof/>
        </w:rPr>
      </w:pPr>
      <w:r w:rsidRPr="00927572">
        <w:rPr>
          <w:rFonts w:ascii="Arial" w:hAnsi="Arial" w:cs="Arial"/>
          <w:noProof/>
        </w:rPr>
        <w:t xml:space="preserve">5. </w:t>
      </w:r>
      <w:r w:rsidRPr="00927572">
        <w:rPr>
          <w:rFonts w:ascii="Arial" w:hAnsi="Arial" w:cs="Arial"/>
          <w:noProof/>
        </w:rPr>
        <w:tab/>
        <w:t xml:space="preserve">Morena V, Milazzo L, Oreni L, </w:t>
      </w:r>
      <w:r>
        <w:rPr>
          <w:rFonts w:ascii="Arial" w:hAnsi="Arial" w:cs="Arial"/>
          <w:noProof/>
          <w:sz w:val="22"/>
        </w:rPr>
        <w:t>Bestetti G, Fossali T, Bassoli C</w:t>
      </w:r>
      <w:r w:rsidRPr="00927572">
        <w:rPr>
          <w:rFonts w:ascii="Arial" w:hAnsi="Arial" w:cs="Arial"/>
          <w:noProof/>
        </w:rPr>
        <w:t xml:space="preserve"> et al. Off-label use of tocilizumab for the treatment of SARS-CoV-2 pneumonia in Milan, Italy. </w:t>
      </w:r>
      <w:r w:rsidRPr="00927572">
        <w:rPr>
          <w:rFonts w:ascii="Arial" w:hAnsi="Arial" w:cs="Arial"/>
          <w:i/>
          <w:iCs/>
          <w:noProof/>
        </w:rPr>
        <w:t>Eur J Intern Med</w:t>
      </w:r>
      <w:r w:rsidRPr="00927572">
        <w:rPr>
          <w:rFonts w:ascii="Arial" w:hAnsi="Arial" w:cs="Arial"/>
          <w:noProof/>
        </w:rPr>
        <w:t>. 2020;</w:t>
      </w:r>
      <w:r w:rsidRPr="00927572">
        <w:rPr>
          <w:rFonts w:ascii="Arial" w:hAnsi="Arial" w:cs="Arial"/>
          <w:b/>
          <w:bCs/>
          <w:noProof/>
        </w:rPr>
        <w:t>76</w:t>
      </w:r>
      <w:r w:rsidRPr="00927572">
        <w:rPr>
          <w:rFonts w:ascii="Arial" w:hAnsi="Arial" w:cs="Arial"/>
          <w:noProof/>
        </w:rPr>
        <w:t>:36-42. doi:10.1016/j.ejim.2020.05.011</w:t>
      </w:r>
    </w:p>
    <w:p w14:paraId="74C5A8B3" w14:textId="580FD147" w:rsidR="00927572" w:rsidRPr="00927572" w:rsidRDefault="00927572" w:rsidP="00927572">
      <w:pPr>
        <w:widowControl w:val="0"/>
        <w:autoSpaceDE w:val="0"/>
        <w:autoSpaceDN w:val="0"/>
        <w:adjustRightInd w:val="0"/>
        <w:spacing w:after="40" w:line="480" w:lineRule="auto"/>
        <w:ind w:left="640" w:hanging="640"/>
        <w:rPr>
          <w:rFonts w:ascii="Arial" w:hAnsi="Arial" w:cs="Arial"/>
          <w:noProof/>
        </w:rPr>
      </w:pPr>
      <w:r w:rsidRPr="00927572">
        <w:rPr>
          <w:rFonts w:ascii="Arial" w:hAnsi="Arial" w:cs="Arial"/>
          <w:noProof/>
        </w:rPr>
        <w:t xml:space="preserve">6. </w:t>
      </w:r>
      <w:r w:rsidRPr="00927572">
        <w:rPr>
          <w:rFonts w:ascii="Arial" w:hAnsi="Arial" w:cs="Arial"/>
          <w:noProof/>
        </w:rPr>
        <w:tab/>
        <w:t xml:space="preserve">Perrone F, Piccirillo MC, Ascierto PA, </w:t>
      </w:r>
      <w:r w:rsidRPr="00853145">
        <w:rPr>
          <w:rFonts w:ascii="Arial" w:hAnsi="Arial" w:cs="Arial"/>
          <w:noProof/>
          <w:sz w:val="22"/>
        </w:rPr>
        <w:t xml:space="preserve">Salvarani C, Parrella </w:t>
      </w:r>
      <w:r>
        <w:rPr>
          <w:rFonts w:ascii="Arial" w:hAnsi="Arial" w:cs="Arial"/>
          <w:noProof/>
          <w:sz w:val="22"/>
        </w:rPr>
        <w:t>R, Marata AM</w:t>
      </w:r>
      <w:r w:rsidRPr="00927572">
        <w:rPr>
          <w:rFonts w:ascii="Arial" w:hAnsi="Arial" w:cs="Arial"/>
          <w:noProof/>
        </w:rPr>
        <w:t xml:space="preserve"> et al. Tocilizumab for patients with COVID-19 pneumonia. The TOCIVID-19 phase 2 trial. </w:t>
      </w:r>
      <w:r w:rsidRPr="00927572">
        <w:rPr>
          <w:rFonts w:ascii="Arial" w:hAnsi="Arial" w:cs="Arial"/>
          <w:i/>
          <w:iCs/>
          <w:noProof/>
        </w:rPr>
        <w:t>medRxiv</w:t>
      </w:r>
      <w:r w:rsidRPr="00927572">
        <w:rPr>
          <w:rFonts w:ascii="Arial" w:hAnsi="Arial" w:cs="Arial"/>
          <w:noProof/>
        </w:rPr>
        <w:t>. 2020. doi:10.1101/2020.06.01.20119149</w:t>
      </w:r>
    </w:p>
    <w:p w14:paraId="5DE5CBA5" w14:textId="1CEC357C" w:rsidR="00927572" w:rsidRPr="00927572" w:rsidRDefault="00927572" w:rsidP="00927572">
      <w:pPr>
        <w:widowControl w:val="0"/>
        <w:autoSpaceDE w:val="0"/>
        <w:autoSpaceDN w:val="0"/>
        <w:adjustRightInd w:val="0"/>
        <w:spacing w:after="40" w:line="480" w:lineRule="auto"/>
        <w:ind w:left="640" w:hanging="640"/>
        <w:rPr>
          <w:rFonts w:ascii="Arial" w:hAnsi="Arial" w:cs="Arial"/>
          <w:noProof/>
        </w:rPr>
      </w:pPr>
      <w:r w:rsidRPr="00927572">
        <w:rPr>
          <w:rFonts w:ascii="Arial" w:hAnsi="Arial" w:cs="Arial"/>
          <w:noProof/>
        </w:rPr>
        <w:t xml:space="preserve">7. </w:t>
      </w:r>
      <w:r w:rsidRPr="00927572">
        <w:rPr>
          <w:rFonts w:ascii="Arial" w:hAnsi="Arial" w:cs="Arial"/>
          <w:noProof/>
        </w:rPr>
        <w:tab/>
        <w:t xml:space="preserve">Petrak R, Skorodin N, Hise N Van, et al. Tocilizumab as a Therapeutic Agent for Critically Ill Patients Infected with SARS-CoV-2. </w:t>
      </w:r>
      <w:r w:rsidRPr="00927572">
        <w:rPr>
          <w:rFonts w:ascii="Arial" w:hAnsi="Arial" w:cs="Arial"/>
          <w:i/>
          <w:iCs/>
          <w:noProof/>
        </w:rPr>
        <w:t>medRxiv</w:t>
      </w:r>
      <w:r w:rsidRPr="00927572">
        <w:rPr>
          <w:rFonts w:ascii="Arial" w:hAnsi="Arial" w:cs="Arial"/>
          <w:noProof/>
        </w:rPr>
        <w:t>. 2020. doi:10.1101/2020.06.05.20122622</w:t>
      </w:r>
    </w:p>
    <w:p w14:paraId="53C25314" w14:textId="7C3F10B9" w:rsidR="00927572" w:rsidRPr="00927572" w:rsidRDefault="00927572" w:rsidP="00927572">
      <w:pPr>
        <w:widowControl w:val="0"/>
        <w:autoSpaceDE w:val="0"/>
        <w:autoSpaceDN w:val="0"/>
        <w:adjustRightInd w:val="0"/>
        <w:spacing w:after="40" w:line="480" w:lineRule="auto"/>
        <w:ind w:left="640" w:hanging="640"/>
        <w:rPr>
          <w:rFonts w:ascii="Arial" w:hAnsi="Arial" w:cs="Arial"/>
          <w:noProof/>
        </w:rPr>
      </w:pPr>
      <w:r w:rsidRPr="00927572">
        <w:rPr>
          <w:rFonts w:ascii="Arial" w:hAnsi="Arial" w:cs="Arial"/>
          <w:noProof/>
        </w:rPr>
        <w:t xml:space="preserve">8. </w:t>
      </w:r>
      <w:r w:rsidRPr="00927572">
        <w:rPr>
          <w:rFonts w:ascii="Arial" w:hAnsi="Arial" w:cs="Arial"/>
          <w:noProof/>
        </w:rPr>
        <w:tab/>
        <w:t xml:space="preserve">Price CC, Altice FL, Shyr Y, </w:t>
      </w:r>
      <w:r>
        <w:rPr>
          <w:rFonts w:ascii="Arial" w:hAnsi="Arial" w:cs="Arial"/>
          <w:noProof/>
          <w:sz w:val="22"/>
        </w:rPr>
        <w:t>Koff A, Pischel L, Goshua G</w:t>
      </w:r>
      <w:r w:rsidRPr="00927572">
        <w:rPr>
          <w:rFonts w:ascii="Arial" w:hAnsi="Arial" w:cs="Arial"/>
          <w:noProof/>
        </w:rPr>
        <w:t xml:space="preserve"> et al. Tocilizumab treatment for Cytokine Release Syndrome in hospitalized COVID-19 patients: survival and clinical outcomes. </w:t>
      </w:r>
      <w:r w:rsidRPr="00927572">
        <w:rPr>
          <w:rFonts w:ascii="Arial" w:hAnsi="Arial" w:cs="Arial"/>
          <w:i/>
          <w:iCs/>
          <w:noProof/>
        </w:rPr>
        <w:t>Chest</w:t>
      </w:r>
      <w:r w:rsidRPr="00927572">
        <w:rPr>
          <w:rFonts w:ascii="Arial" w:hAnsi="Arial" w:cs="Arial"/>
          <w:noProof/>
        </w:rPr>
        <w:t>. 2020. doi:10.1016/j.chest.2020.06.006</w:t>
      </w:r>
    </w:p>
    <w:p w14:paraId="60FA13CF" w14:textId="73600EB2" w:rsidR="00927572" w:rsidRPr="00927572" w:rsidRDefault="00927572" w:rsidP="00927572">
      <w:pPr>
        <w:widowControl w:val="0"/>
        <w:autoSpaceDE w:val="0"/>
        <w:autoSpaceDN w:val="0"/>
        <w:adjustRightInd w:val="0"/>
        <w:spacing w:after="40" w:line="480" w:lineRule="auto"/>
        <w:ind w:left="640" w:hanging="640"/>
        <w:rPr>
          <w:rFonts w:ascii="Arial" w:hAnsi="Arial" w:cs="Arial"/>
          <w:noProof/>
        </w:rPr>
      </w:pPr>
      <w:r w:rsidRPr="00927572">
        <w:rPr>
          <w:rFonts w:ascii="Arial" w:hAnsi="Arial" w:cs="Arial"/>
          <w:noProof/>
        </w:rPr>
        <w:lastRenderedPageBreak/>
        <w:t xml:space="preserve">9. </w:t>
      </w:r>
      <w:r w:rsidRPr="00927572">
        <w:rPr>
          <w:rFonts w:ascii="Arial" w:hAnsi="Arial" w:cs="Arial"/>
          <w:noProof/>
        </w:rPr>
        <w:tab/>
      </w:r>
      <w:r w:rsidRPr="00927572">
        <w:rPr>
          <w:rFonts w:ascii="Arial" w:hAnsi="Arial" w:cs="Arial"/>
          <w:noProof/>
          <w:lang w:val="en-US"/>
        </w:rPr>
        <w:t xml:space="preserve">Rimland CA, Morgan CE, Bell GJ, </w:t>
      </w:r>
      <w:r w:rsidRPr="00927572">
        <w:rPr>
          <w:rFonts w:ascii="Arial" w:hAnsi="Arial" w:cs="Arial"/>
          <w:noProof/>
          <w:sz w:val="22"/>
          <w:lang w:val="en-US"/>
        </w:rPr>
        <w:t>Kim MK, Hendrick T, Marx A</w:t>
      </w:r>
      <w:r w:rsidRPr="00927572">
        <w:rPr>
          <w:rFonts w:ascii="Arial" w:hAnsi="Arial" w:cs="Arial"/>
          <w:noProof/>
          <w:lang w:val="en-US"/>
        </w:rPr>
        <w:t xml:space="preserve"> et al. </w:t>
      </w:r>
      <w:r w:rsidRPr="00927572">
        <w:rPr>
          <w:rFonts w:ascii="Arial" w:hAnsi="Arial" w:cs="Arial"/>
          <w:noProof/>
        </w:rPr>
        <w:t xml:space="preserve">Clinical characteristics and early outcomes in patients with COVID-19 treated with tocilizumab at a United States academic center. </w:t>
      </w:r>
      <w:r w:rsidRPr="00927572">
        <w:rPr>
          <w:rFonts w:ascii="Arial" w:hAnsi="Arial" w:cs="Arial"/>
          <w:i/>
          <w:iCs/>
          <w:noProof/>
        </w:rPr>
        <w:t>medRxiv</w:t>
      </w:r>
      <w:r w:rsidRPr="00927572">
        <w:rPr>
          <w:rFonts w:ascii="Arial" w:hAnsi="Arial" w:cs="Arial"/>
          <w:noProof/>
        </w:rPr>
        <w:t>. 2020. doi:10.1101/2020.05.13.20100404</w:t>
      </w:r>
    </w:p>
    <w:p w14:paraId="74D6DB77" w14:textId="73BB456F" w:rsidR="00927572" w:rsidRPr="00927572" w:rsidRDefault="00927572" w:rsidP="00927572">
      <w:pPr>
        <w:widowControl w:val="0"/>
        <w:autoSpaceDE w:val="0"/>
        <w:autoSpaceDN w:val="0"/>
        <w:adjustRightInd w:val="0"/>
        <w:spacing w:after="40" w:line="480" w:lineRule="auto"/>
        <w:ind w:left="640" w:hanging="640"/>
        <w:rPr>
          <w:rFonts w:ascii="Arial" w:hAnsi="Arial" w:cs="Arial"/>
          <w:noProof/>
        </w:rPr>
      </w:pPr>
      <w:r w:rsidRPr="00927572">
        <w:rPr>
          <w:rFonts w:ascii="Arial" w:hAnsi="Arial" w:cs="Arial"/>
          <w:noProof/>
        </w:rPr>
        <w:t xml:space="preserve">10. </w:t>
      </w:r>
      <w:r w:rsidRPr="00927572">
        <w:rPr>
          <w:rFonts w:ascii="Arial" w:hAnsi="Arial" w:cs="Arial"/>
          <w:noProof/>
        </w:rPr>
        <w:tab/>
        <w:t xml:space="preserve">Sanchez-Montalva A, Selares-Nadal J, Espinosa-Pereiro J, </w:t>
      </w:r>
      <w:r>
        <w:rPr>
          <w:rFonts w:ascii="Arial" w:hAnsi="Arial" w:cs="Arial"/>
          <w:noProof/>
          <w:sz w:val="22"/>
        </w:rPr>
        <w:t>Fernandez-Hidalgo N, Perez-Hoyos S, Salvador F,</w:t>
      </w:r>
      <w:r>
        <w:rPr>
          <w:rFonts w:ascii="Arial" w:hAnsi="Arial" w:cs="Arial"/>
          <w:noProof/>
          <w:sz w:val="22"/>
        </w:rPr>
        <w:t xml:space="preserve"> </w:t>
      </w:r>
      <w:r w:rsidRPr="00927572">
        <w:rPr>
          <w:rFonts w:ascii="Arial" w:hAnsi="Arial" w:cs="Arial"/>
          <w:noProof/>
        </w:rPr>
        <w:t xml:space="preserve">et al. Early outcomes of tocilizumab in adults hospitalized with severe COVID19. An initial report from the Vall dHebron COVID19 prospective cohort study. </w:t>
      </w:r>
      <w:r w:rsidRPr="00927572">
        <w:rPr>
          <w:rFonts w:ascii="Arial" w:hAnsi="Arial" w:cs="Arial"/>
          <w:i/>
          <w:iCs/>
          <w:noProof/>
        </w:rPr>
        <w:t>medRxiv</w:t>
      </w:r>
      <w:r w:rsidRPr="00927572">
        <w:rPr>
          <w:rFonts w:ascii="Arial" w:hAnsi="Arial" w:cs="Arial"/>
          <w:noProof/>
        </w:rPr>
        <w:t>. 2020. doi:10.1101/2020.05.07.20094599</w:t>
      </w:r>
    </w:p>
    <w:p w14:paraId="71AE5A51" w14:textId="43274CD1" w:rsidR="00927572" w:rsidRPr="00927572" w:rsidRDefault="00927572" w:rsidP="00927572">
      <w:pPr>
        <w:widowControl w:val="0"/>
        <w:autoSpaceDE w:val="0"/>
        <w:autoSpaceDN w:val="0"/>
        <w:adjustRightInd w:val="0"/>
        <w:spacing w:after="40" w:line="480" w:lineRule="auto"/>
        <w:ind w:left="640" w:hanging="640"/>
        <w:rPr>
          <w:rFonts w:ascii="Arial" w:hAnsi="Arial" w:cs="Arial"/>
          <w:noProof/>
        </w:rPr>
      </w:pPr>
      <w:r w:rsidRPr="00927572">
        <w:rPr>
          <w:rFonts w:ascii="Arial" w:hAnsi="Arial" w:cs="Arial"/>
          <w:noProof/>
        </w:rPr>
        <w:t xml:space="preserve">11. </w:t>
      </w:r>
      <w:r w:rsidRPr="00927572">
        <w:rPr>
          <w:rFonts w:ascii="Arial" w:hAnsi="Arial" w:cs="Arial"/>
          <w:noProof/>
        </w:rPr>
        <w:tab/>
        <w:t xml:space="preserve">Sciascia S, Aprà F, Baffa A, </w:t>
      </w:r>
      <w:r w:rsidRPr="000D25C5">
        <w:rPr>
          <w:rFonts w:ascii="Arial" w:hAnsi="Arial" w:cs="Arial"/>
          <w:noProof/>
          <w:sz w:val="22"/>
        </w:rPr>
        <w:t>Baldovino S, Boaro D, Boero R,</w:t>
      </w:r>
      <w:r>
        <w:rPr>
          <w:rFonts w:ascii="Arial" w:hAnsi="Arial" w:cs="Arial"/>
          <w:noProof/>
          <w:sz w:val="22"/>
        </w:rPr>
        <w:t xml:space="preserve"> </w:t>
      </w:r>
      <w:r w:rsidRPr="00927572">
        <w:rPr>
          <w:rFonts w:ascii="Arial" w:hAnsi="Arial" w:cs="Arial"/>
          <w:noProof/>
        </w:rPr>
        <w:t xml:space="preserve">et al. Pilot prospective open, single-arm multicentre study on off-label use of tocilizumab in patients with severe COVID-19. </w:t>
      </w:r>
      <w:r w:rsidRPr="00927572">
        <w:rPr>
          <w:rFonts w:ascii="Arial" w:hAnsi="Arial" w:cs="Arial"/>
          <w:i/>
          <w:iCs/>
          <w:noProof/>
        </w:rPr>
        <w:t>Clin Exp Rheumatol</w:t>
      </w:r>
      <w:r w:rsidRPr="00927572">
        <w:rPr>
          <w:rFonts w:ascii="Arial" w:hAnsi="Arial" w:cs="Arial"/>
          <w:noProof/>
        </w:rPr>
        <w:t>. 2020;</w:t>
      </w:r>
      <w:r w:rsidRPr="00927572">
        <w:rPr>
          <w:rFonts w:ascii="Arial" w:hAnsi="Arial" w:cs="Arial"/>
          <w:b/>
          <w:bCs/>
          <w:noProof/>
        </w:rPr>
        <w:t>38</w:t>
      </w:r>
      <w:r w:rsidRPr="00927572">
        <w:rPr>
          <w:rFonts w:ascii="Arial" w:hAnsi="Arial" w:cs="Arial"/>
          <w:noProof/>
        </w:rPr>
        <w:t xml:space="preserve">:529‐532. </w:t>
      </w:r>
    </w:p>
    <w:p w14:paraId="48CBB974" w14:textId="3C08A86A" w:rsidR="00927572" w:rsidRPr="00927572" w:rsidRDefault="00927572" w:rsidP="00927572">
      <w:pPr>
        <w:widowControl w:val="0"/>
        <w:autoSpaceDE w:val="0"/>
        <w:autoSpaceDN w:val="0"/>
        <w:adjustRightInd w:val="0"/>
        <w:spacing w:after="40" w:line="480" w:lineRule="auto"/>
        <w:ind w:left="640" w:hanging="640"/>
        <w:rPr>
          <w:rFonts w:ascii="Arial" w:hAnsi="Arial" w:cs="Arial"/>
          <w:noProof/>
        </w:rPr>
      </w:pPr>
      <w:r w:rsidRPr="00927572">
        <w:rPr>
          <w:rFonts w:ascii="Arial" w:hAnsi="Arial" w:cs="Arial"/>
          <w:noProof/>
        </w:rPr>
        <w:t xml:space="preserve">12. </w:t>
      </w:r>
      <w:r w:rsidRPr="00927572">
        <w:rPr>
          <w:rFonts w:ascii="Arial" w:hAnsi="Arial" w:cs="Arial"/>
          <w:noProof/>
        </w:rPr>
        <w:tab/>
        <w:t xml:space="preserve">Toniati P, Piva S, Cattalini M, </w:t>
      </w:r>
      <w:r w:rsidRPr="000B6877">
        <w:rPr>
          <w:rFonts w:ascii="Arial" w:hAnsi="Arial" w:cs="Arial"/>
          <w:noProof/>
          <w:sz w:val="22"/>
        </w:rPr>
        <w:t>Garrafa E, Regola F, Castelli F,</w:t>
      </w:r>
      <w:r>
        <w:rPr>
          <w:rFonts w:ascii="Arial" w:hAnsi="Arial" w:cs="Arial"/>
          <w:noProof/>
          <w:sz w:val="22"/>
        </w:rPr>
        <w:t xml:space="preserve"> </w:t>
      </w:r>
      <w:r w:rsidRPr="00927572">
        <w:rPr>
          <w:rFonts w:ascii="Arial" w:hAnsi="Arial" w:cs="Arial"/>
          <w:noProof/>
        </w:rPr>
        <w:t xml:space="preserve">et al. Tocilizumab for the treatment of severe COVID-19 pneumonia with hyperinflammatory syndrome and acute respiratory failure: A single center study of 100 patients in Brescia, Italy. </w:t>
      </w:r>
      <w:r w:rsidRPr="00927572">
        <w:rPr>
          <w:rFonts w:ascii="Arial" w:hAnsi="Arial" w:cs="Arial"/>
          <w:i/>
          <w:iCs/>
          <w:noProof/>
        </w:rPr>
        <w:t>Autoimmun Rev</w:t>
      </w:r>
      <w:r w:rsidRPr="00927572">
        <w:rPr>
          <w:rFonts w:ascii="Arial" w:hAnsi="Arial" w:cs="Arial"/>
          <w:noProof/>
        </w:rPr>
        <w:t>. 2020;</w:t>
      </w:r>
      <w:r w:rsidRPr="00927572">
        <w:rPr>
          <w:rFonts w:ascii="Arial" w:hAnsi="Arial" w:cs="Arial"/>
          <w:b/>
          <w:bCs/>
          <w:noProof/>
        </w:rPr>
        <w:t>19</w:t>
      </w:r>
      <w:r w:rsidRPr="00927572">
        <w:rPr>
          <w:rFonts w:ascii="Arial" w:hAnsi="Arial" w:cs="Arial"/>
          <w:noProof/>
        </w:rPr>
        <w:t>:102568. doi:10.1016/j.autrev.2020.102568</w:t>
      </w:r>
    </w:p>
    <w:p w14:paraId="4A9683DC" w14:textId="3237F8FD" w:rsidR="00927572" w:rsidRPr="00927572" w:rsidRDefault="00927572" w:rsidP="00927572">
      <w:pPr>
        <w:widowControl w:val="0"/>
        <w:autoSpaceDE w:val="0"/>
        <w:autoSpaceDN w:val="0"/>
        <w:adjustRightInd w:val="0"/>
        <w:spacing w:after="40" w:line="480" w:lineRule="auto"/>
        <w:ind w:left="640" w:hanging="640"/>
        <w:rPr>
          <w:rFonts w:ascii="Arial" w:hAnsi="Arial" w:cs="Arial"/>
          <w:noProof/>
        </w:rPr>
      </w:pPr>
      <w:r w:rsidRPr="00927572">
        <w:rPr>
          <w:rFonts w:ascii="Arial" w:hAnsi="Arial" w:cs="Arial"/>
          <w:noProof/>
        </w:rPr>
        <w:t xml:space="preserve">13. </w:t>
      </w:r>
      <w:r w:rsidRPr="00927572">
        <w:rPr>
          <w:rFonts w:ascii="Arial" w:hAnsi="Arial" w:cs="Arial"/>
          <w:noProof/>
        </w:rPr>
        <w:tab/>
        <w:t xml:space="preserve">Xu X, Han M, Li T, </w:t>
      </w:r>
      <w:r>
        <w:rPr>
          <w:rFonts w:ascii="Arial" w:hAnsi="Arial" w:cs="Arial"/>
          <w:noProof/>
          <w:sz w:val="22"/>
        </w:rPr>
        <w:t>Sun W, Wang D, Fu B,</w:t>
      </w:r>
      <w:r>
        <w:rPr>
          <w:rFonts w:ascii="Arial" w:hAnsi="Arial" w:cs="Arial"/>
          <w:noProof/>
          <w:sz w:val="22"/>
        </w:rPr>
        <w:t xml:space="preserve"> </w:t>
      </w:r>
      <w:r w:rsidRPr="00927572">
        <w:rPr>
          <w:rFonts w:ascii="Arial" w:hAnsi="Arial" w:cs="Arial"/>
          <w:noProof/>
        </w:rPr>
        <w:t xml:space="preserve">et al. Effective treatment of severe COVID-19 patients with tocilizumab. </w:t>
      </w:r>
      <w:r w:rsidRPr="00927572">
        <w:rPr>
          <w:rFonts w:ascii="Arial" w:hAnsi="Arial" w:cs="Arial"/>
          <w:i/>
          <w:iCs/>
          <w:noProof/>
        </w:rPr>
        <w:t>Proc Natl Acad Sci</w:t>
      </w:r>
      <w:r w:rsidRPr="00927572">
        <w:rPr>
          <w:rFonts w:ascii="Arial" w:hAnsi="Arial" w:cs="Arial"/>
          <w:noProof/>
        </w:rPr>
        <w:t>. April 2020. doi:10.1073/pnas.2005615117</w:t>
      </w:r>
    </w:p>
    <w:p w14:paraId="0B4D7E45" w14:textId="0F27078E" w:rsidR="00927572" w:rsidRPr="00927572" w:rsidRDefault="00927572" w:rsidP="00927572">
      <w:pPr>
        <w:widowControl w:val="0"/>
        <w:autoSpaceDE w:val="0"/>
        <w:autoSpaceDN w:val="0"/>
        <w:adjustRightInd w:val="0"/>
        <w:spacing w:after="40" w:line="480" w:lineRule="auto"/>
        <w:ind w:left="640" w:hanging="640"/>
        <w:rPr>
          <w:rFonts w:ascii="Arial" w:hAnsi="Arial" w:cs="Arial"/>
          <w:noProof/>
        </w:rPr>
      </w:pPr>
      <w:r w:rsidRPr="00927572">
        <w:rPr>
          <w:rFonts w:ascii="Arial" w:hAnsi="Arial" w:cs="Arial"/>
          <w:noProof/>
        </w:rPr>
        <w:t xml:space="preserve">14. </w:t>
      </w:r>
      <w:r w:rsidRPr="00927572">
        <w:rPr>
          <w:rFonts w:ascii="Arial" w:hAnsi="Arial" w:cs="Arial"/>
          <w:noProof/>
        </w:rPr>
        <w:tab/>
        <w:t xml:space="preserve">Stang A. Critical evaluation of the Newcastle-Ottawa scale for the assessment of the quality of nonrandomized studies in meta-analyses. </w:t>
      </w:r>
      <w:r w:rsidRPr="00927572">
        <w:rPr>
          <w:rFonts w:ascii="Arial" w:hAnsi="Arial" w:cs="Arial"/>
          <w:i/>
          <w:iCs/>
          <w:noProof/>
        </w:rPr>
        <w:t>Eur J Epidemiol</w:t>
      </w:r>
      <w:r w:rsidRPr="00927572">
        <w:rPr>
          <w:rFonts w:ascii="Arial" w:hAnsi="Arial" w:cs="Arial"/>
          <w:noProof/>
        </w:rPr>
        <w:t>. 2010;</w:t>
      </w:r>
      <w:r w:rsidRPr="00927572">
        <w:rPr>
          <w:rFonts w:ascii="Arial" w:hAnsi="Arial" w:cs="Arial"/>
          <w:b/>
          <w:bCs/>
          <w:noProof/>
        </w:rPr>
        <w:t>25</w:t>
      </w:r>
      <w:r w:rsidRPr="00927572">
        <w:rPr>
          <w:rFonts w:ascii="Arial" w:hAnsi="Arial" w:cs="Arial"/>
          <w:noProof/>
        </w:rPr>
        <w:t>:603-605. doi:10.1007/s10654-010-9491-z</w:t>
      </w:r>
    </w:p>
    <w:p w14:paraId="2F175F08" w14:textId="36F1CD65" w:rsidR="00F8370B" w:rsidRPr="00124A6C" w:rsidRDefault="00F8370B" w:rsidP="00927572">
      <w:pPr>
        <w:widowControl w:val="0"/>
        <w:autoSpaceDE w:val="0"/>
        <w:autoSpaceDN w:val="0"/>
        <w:adjustRightInd w:val="0"/>
        <w:spacing w:after="40" w:line="480" w:lineRule="auto"/>
        <w:ind w:left="640" w:hanging="640"/>
        <w:rPr>
          <w:rFonts w:ascii="Arial" w:hAnsi="Arial" w:cs="Arial"/>
          <w:lang w:val="en-GB"/>
        </w:rPr>
      </w:pPr>
      <w:r w:rsidRPr="00F8370B">
        <w:rPr>
          <w:rFonts w:ascii="Arial" w:hAnsi="Arial" w:cs="Arial"/>
          <w:lang w:val="en-GB"/>
        </w:rPr>
        <w:fldChar w:fldCharType="end"/>
      </w:r>
    </w:p>
    <w:sectPr w:rsidR="00F8370B" w:rsidRPr="00124A6C" w:rsidSect="00F8370B">
      <w:footerReference w:type="even" r:id="rId9"/>
      <w:footerReference w:type="default" r:id="rId10"/>
      <w:pgSz w:w="16840" w:h="11900" w:orient="landscape"/>
      <w:pgMar w:top="1418" w:right="1418" w:bottom="1418" w:left="1418" w:header="1417" w:footer="141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88FB" w14:textId="77777777" w:rsidR="009B61EB" w:rsidRDefault="009B61EB">
      <w:r>
        <w:separator/>
      </w:r>
    </w:p>
  </w:endnote>
  <w:endnote w:type="continuationSeparator" w:id="0">
    <w:p w14:paraId="73691B5A" w14:textId="77777777" w:rsidR="009B61EB" w:rsidRDefault="009B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865174179"/>
      <w:docPartObj>
        <w:docPartGallery w:val="Page Numbers (Bottom of Page)"/>
        <w:docPartUnique/>
      </w:docPartObj>
    </w:sdtPr>
    <w:sdtEndPr>
      <w:rPr>
        <w:rStyle w:val="Numeropagina"/>
      </w:rPr>
    </w:sdtEndPr>
    <w:sdtContent>
      <w:p w14:paraId="5BF75A87" w14:textId="579080BF" w:rsidR="001843C2" w:rsidRDefault="001843C2" w:rsidP="008B779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C4C08B9" w14:textId="77777777" w:rsidR="001843C2" w:rsidRDefault="001843C2" w:rsidP="0016396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Fonts w:ascii="Arial" w:hAnsi="Arial" w:cs="Arial"/>
      </w:rPr>
      <w:id w:val="-531657073"/>
      <w:docPartObj>
        <w:docPartGallery w:val="Page Numbers (Bottom of Page)"/>
        <w:docPartUnique/>
      </w:docPartObj>
    </w:sdtPr>
    <w:sdtEndPr>
      <w:rPr>
        <w:rStyle w:val="Numeropagina"/>
      </w:rPr>
    </w:sdtEndPr>
    <w:sdtContent>
      <w:p w14:paraId="3778CC09" w14:textId="25E40DBF" w:rsidR="001843C2" w:rsidRPr="0016396F" w:rsidRDefault="001843C2" w:rsidP="0016396F">
        <w:pPr>
          <w:pStyle w:val="Pidipagina"/>
          <w:framePr w:wrap="notBeside" w:vAnchor="text" w:hAnchor="margin" w:xAlign="right" w:y="1"/>
          <w:rPr>
            <w:rStyle w:val="Numeropagina"/>
            <w:rFonts w:ascii="Arial" w:hAnsi="Arial" w:cs="Arial"/>
          </w:rPr>
        </w:pPr>
        <w:r w:rsidRPr="0016396F">
          <w:rPr>
            <w:rStyle w:val="Numeropagina"/>
            <w:rFonts w:ascii="Arial" w:hAnsi="Arial" w:cs="Arial"/>
          </w:rPr>
          <w:fldChar w:fldCharType="begin"/>
        </w:r>
        <w:r w:rsidRPr="0016396F">
          <w:rPr>
            <w:rStyle w:val="Numeropagina"/>
            <w:rFonts w:ascii="Arial" w:hAnsi="Arial" w:cs="Arial"/>
          </w:rPr>
          <w:instrText xml:space="preserve"> PAGE </w:instrText>
        </w:r>
        <w:r w:rsidRPr="0016396F">
          <w:rPr>
            <w:rStyle w:val="Numeropagina"/>
            <w:rFonts w:ascii="Arial" w:hAnsi="Arial" w:cs="Arial"/>
          </w:rPr>
          <w:fldChar w:fldCharType="separate"/>
        </w:r>
        <w:r w:rsidR="00C64958">
          <w:rPr>
            <w:rStyle w:val="Numeropagina"/>
            <w:rFonts w:ascii="Arial" w:hAnsi="Arial" w:cs="Arial"/>
            <w:noProof/>
          </w:rPr>
          <w:t>1</w:t>
        </w:r>
        <w:r w:rsidRPr="0016396F">
          <w:rPr>
            <w:rStyle w:val="Numeropagina"/>
            <w:rFonts w:ascii="Arial" w:hAnsi="Arial" w:cs="Arial"/>
          </w:rPr>
          <w:fldChar w:fldCharType="end"/>
        </w:r>
      </w:p>
    </w:sdtContent>
  </w:sdt>
  <w:p w14:paraId="5E066C62" w14:textId="77777777" w:rsidR="001843C2" w:rsidRDefault="001843C2" w:rsidP="0016396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C50FB" w14:textId="77777777" w:rsidR="009B61EB" w:rsidRDefault="009B61EB">
      <w:r>
        <w:separator/>
      </w:r>
    </w:p>
  </w:footnote>
  <w:footnote w:type="continuationSeparator" w:id="0">
    <w:p w14:paraId="6C4E051F" w14:textId="77777777" w:rsidR="009B61EB" w:rsidRDefault="009B6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F14E4"/>
    <w:multiLevelType w:val="multilevel"/>
    <w:tmpl w:val="65944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F5E70"/>
    <w:multiLevelType w:val="multilevel"/>
    <w:tmpl w:val="56A6A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55143"/>
    <w:multiLevelType w:val="multilevel"/>
    <w:tmpl w:val="6B7A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6566E"/>
    <w:multiLevelType w:val="multilevel"/>
    <w:tmpl w:val="225C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029B8"/>
    <w:multiLevelType w:val="multilevel"/>
    <w:tmpl w:val="658C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87871"/>
    <w:multiLevelType w:val="multilevel"/>
    <w:tmpl w:val="9766B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0257D9"/>
    <w:multiLevelType w:val="multilevel"/>
    <w:tmpl w:val="BC1AD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B34FDE"/>
    <w:multiLevelType w:val="multilevel"/>
    <w:tmpl w:val="67BE3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4313CA"/>
    <w:multiLevelType w:val="multilevel"/>
    <w:tmpl w:val="B2B07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DF6395"/>
    <w:multiLevelType w:val="multilevel"/>
    <w:tmpl w:val="2DDE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D0076"/>
    <w:multiLevelType w:val="hybridMultilevel"/>
    <w:tmpl w:val="8F789936"/>
    <w:lvl w:ilvl="0" w:tplc="7FEC133E">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3AD6CC8"/>
    <w:multiLevelType w:val="multilevel"/>
    <w:tmpl w:val="F34E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AD3DE0"/>
    <w:multiLevelType w:val="multilevel"/>
    <w:tmpl w:val="1A187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A25652"/>
    <w:multiLevelType w:val="hybridMultilevel"/>
    <w:tmpl w:val="BEEAB356"/>
    <w:lvl w:ilvl="0" w:tplc="196A56F8">
      <w:start w:val="1"/>
      <w:numFmt w:val="bullet"/>
      <w:lvlText w:val=""/>
      <w:lvlJc w:val="left"/>
      <w:pPr>
        <w:ind w:left="720" w:hanging="360"/>
      </w:pPr>
      <w:rPr>
        <w:rFonts w:ascii="Symbol" w:eastAsia="Arial Unicode MS" w:hAnsi="Symbol" w:cs="Arial Unicode M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0933DD8"/>
    <w:multiLevelType w:val="hybridMultilevel"/>
    <w:tmpl w:val="0F709356"/>
    <w:lvl w:ilvl="0" w:tplc="4FEEEE92">
      <w:start w:val="1"/>
      <w:numFmt w:val="bullet"/>
      <w:lvlText w:val=""/>
      <w:lvlJc w:val="left"/>
      <w:pPr>
        <w:ind w:left="720" w:hanging="360"/>
      </w:pPr>
      <w:rPr>
        <w:rFonts w:ascii="Symbol" w:eastAsia="Arial Unicode MS" w:hAnsi="Symbol" w:cs="Arial Unicode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BC2360D"/>
    <w:multiLevelType w:val="multilevel"/>
    <w:tmpl w:val="9CB4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197F2F"/>
    <w:multiLevelType w:val="multilevel"/>
    <w:tmpl w:val="E78A5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9635E2"/>
    <w:multiLevelType w:val="multilevel"/>
    <w:tmpl w:val="9A04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C931FA"/>
    <w:multiLevelType w:val="multilevel"/>
    <w:tmpl w:val="24D44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7A4746"/>
    <w:multiLevelType w:val="multilevel"/>
    <w:tmpl w:val="1CAA2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CB71C1"/>
    <w:multiLevelType w:val="multilevel"/>
    <w:tmpl w:val="B2526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E05B40"/>
    <w:multiLevelType w:val="multilevel"/>
    <w:tmpl w:val="E65E2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253E20"/>
    <w:multiLevelType w:val="multilevel"/>
    <w:tmpl w:val="06AAF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770056"/>
    <w:multiLevelType w:val="multilevel"/>
    <w:tmpl w:val="28F22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B316C2"/>
    <w:multiLevelType w:val="multilevel"/>
    <w:tmpl w:val="823E0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AC2D3C"/>
    <w:multiLevelType w:val="multilevel"/>
    <w:tmpl w:val="417EF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8C4C49"/>
    <w:multiLevelType w:val="multilevel"/>
    <w:tmpl w:val="8576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21"/>
  </w:num>
  <w:num w:numId="4">
    <w:abstractNumId w:val="6"/>
  </w:num>
  <w:num w:numId="5">
    <w:abstractNumId w:val="1"/>
  </w:num>
  <w:num w:numId="6">
    <w:abstractNumId w:val="13"/>
  </w:num>
  <w:num w:numId="7">
    <w:abstractNumId w:val="14"/>
  </w:num>
  <w:num w:numId="8">
    <w:abstractNumId w:val="22"/>
  </w:num>
  <w:num w:numId="9">
    <w:abstractNumId w:val="2"/>
  </w:num>
  <w:num w:numId="10">
    <w:abstractNumId w:val="15"/>
  </w:num>
  <w:num w:numId="11">
    <w:abstractNumId w:val="25"/>
  </w:num>
  <w:num w:numId="12">
    <w:abstractNumId w:val="9"/>
  </w:num>
  <w:num w:numId="13">
    <w:abstractNumId w:val="26"/>
  </w:num>
  <w:num w:numId="14">
    <w:abstractNumId w:val="3"/>
  </w:num>
  <w:num w:numId="15">
    <w:abstractNumId w:val="18"/>
  </w:num>
  <w:num w:numId="16">
    <w:abstractNumId w:val="19"/>
  </w:num>
  <w:num w:numId="17">
    <w:abstractNumId w:val="4"/>
  </w:num>
  <w:num w:numId="18">
    <w:abstractNumId w:val="24"/>
  </w:num>
  <w:num w:numId="19">
    <w:abstractNumId w:val="17"/>
  </w:num>
  <w:num w:numId="20">
    <w:abstractNumId w:val="0"/>
  </w:num>
  <w:num w:numId="21">
    <w:abstractNumId w:val="23"/>
  </w:num>
  <w:num w:numId="22">
    <w:abstractNumId w:val="11"/>
  </w:num>
  <w:num w:numId="23">
    <w:abstractNumId w:val="12"/>
  </w:num>
  <w:num w:numId="24">
    <w:abstractNumId w:val="5"/>
  </w:num>
  <w:num w:numId="25">
    <w:abstractNumId w:val="8"/>
  </w:num>
  <w:num w:numId="26">
    <w:abstractNumId w:val="2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displayBackgroundShape/>
  <w:defaultTabStop w:val="720"/>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7DAF"/>
    <w:rsid w:val="00001E73"/>
    <w:rsid w:val="000137A6"/>
    <w:rsid w:val="00023459"/>
    <w:rsid w:val="00034D24"/>
    <w:rsid w:val="00050F17"/>
    <w:rsid w:val="00071073"/>
    <w:rsid w:val="00085EFE"/>
    <w:rsid w:val="000D6104"/>
    <w:rsid w:val="00124A6C"/>
    <w:rsid w:val="00145F57"/>
    <w:rsid w:val="0016396F"/>
    <w:rsid w:val="001843C2"/>
    <w:rsid w:val="001E26C2"/>
    <w:rsid w:val="00277BB6"/>
    <w:rsid w:val="002B5EA0"/>
    <w:rsid w:val="002D2A44"/>
    <w:rsid w:val="002D6353"/>
    <w:rsid w:val="002D7DAF"/>
    <w:rsid w:val="00300D06"/>
    <w:rsid w:val="00326A03"/>
    <w:rsid w:val="00327959"/>
    <w:rsid w:val="00392787"/>
    <w:rsid w:val="003A6640"/>
    <w:rsid w:val="003B1789"/>
    <w:rsid w:val="003E7F36"/>
    <w:rsid w:val="00401F03"/>
    <w:rsid w:val="0040248E"/>
    <w:rsid w:val="00422A78"/>
    <w:rsid w:val="004424F1"/>
    <w:rsid w:val="004519AE"/>
    <w:rsid w:val="0046389D"/>
    <w:rsid w:val="004722D4"/>
    <w:rsid w:val="004B084C"/>
    <w:rsid w:val="004D2B3B"/>
    <w:rsid w:val="004F7BAB"/>
    <w:rsid w:val="0051426B"/>
    <w:rsid w:val="005B6AB7"/>
    <w:rsid w:val="005C19C7"/>
    <w:rsid w:val="00631497"/>
    <w:rsid w:val="00665E27"/>
    <w:rsid w:val="0068569D"/>
    <w:rsid w:val="006A7234"/>
    <w:rsid w:val="006D52A7"/>
    <w:rsid w:val="006F0A6D"/>
    <w:rsid w:val="0072063A"/>
    <w:rsid w:val="00785269"/>
    <w:rsid w:val="00785793"/>
    <w:rsid w:val="007C2284"/>
    <w:rsid w:val="007C3848"/>
    <w:rsid w:val="00805A88"/>
    <w:rsid w:val="008A2544"/>
    <w:rsid w:val="008B6418"/>
    <w:rsid w:val="008B7792"/>
    <w:rsid w:val="008E20DB"/>
    <w:rsid w:val="00927572"/>
    <w:rsid w:val="009B61EB"/>
    <w:rsid w:val="009D6549"/>
    <w:rsid w:val="00A0472F"/>
    <w:rsid w:val="00A24DDA"/>
    <w:rsid w:val="00A35CCB"/>
    <w:rsid w:val="00A62399"/>
    <w:rsid w:val="00A83193"/>
    <w:rsid w:val="00AA4092"/>
    <w:rsid w:val="00AA6C5F"/>
    <w:rsid w:val="00AD5AB5"/>
    <w:rsid w:val="00AE395A"/>
    <w:rsid w:val="00B17CAD"/>
    <w:rsid w:val="00B17F76"/>
    <w:rsid w:val="00B26F8A"/>
    <w:rsid w:val="00B85551"/>
    <w:rsid w:val="00BA6946"/>
    <w:rsid w:val="00C231F6"/>
    <w:rsid w:val="00C35A7F"/>
    <w:rsid w:val="00C539A2"/>
    <w:rsid w:val="00C570A9"/>
    <w:rsid w:val="00C64958"/>
    <w:rsid w:val="00C87964"/>
    <w:rsid w:val="00C93CF2"/>
    <w:rsid w:val="00CA10EF"/>
    <w:rsid w:val="00CA6A93"/>
    <w:rsid w:val="00CC4016"/>
    <w:rsid w:val="00CE7178"/>
    <w:rsid w:val="00D16ECF"/>
    <w:rsid w:val="00D32DCB"/>
    <w:rsid w:val="00D51963"/>
    <w:rsid w:val="00D801A8"/>
    <w:rsid w:val="00D96F44"/>
    <w:rsid w:val="00DA670D"/>
    <w:rsid w:val="00E06B9E"/>
    <w:rsid w:val="00E12196"/>
    <w:rsid w:val="00E4118D"/>
    <w:rsid w:val="00E460CD"/>
    <w:rsid w:val="00E53041"/>
    <w:rsid w:val="00E545CD"/>
    <w:rsid w:val="00ED5267"/>
    <w:rsid w:val="00F23134"/>
    <w:rsid w:val="00F511A5"/>
    <w:rsid w:val="00F664CC"/>
    <w:rsid w:val="00F80D1D"/>
    <w:rsid w:val="00F8370B"/>
    <w:rsid w:val="00FD2E97"/>
    <w:rsid w:val="00FE473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AA2F0B"/>
  <w15:docId w15:val="{9B6C3C4C-42E7-334E-B7F5-C02488BE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409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pagina">
    <w:name w:val="Intestazione e piè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rPr>
      <w:rFonts w:cs="Arial Unicode MS"/>
      <w:color w:val="000000"/>
      <w:sz w:val="24"/>
      <w:szCs w:val="24"/>
      <w:u w:color="000000"/>
      <w14:textOutline w14:w="0" w14:cap="flat" w14:cmpd="sng" w14:algn="ctr">
        <w14:noFill/>
        <w14:prstDash w14:val="solid"/>
        <w14:bevel/>
      </w14:textOutline>
    </w:rPr>
  </w:style>
  <w:style w:type="paragraph" w:customStyle="1" w:styleId="Stiletabella2A">
    <w:name w:val="Stile tabella 2 A"/>
    <w:pPr>
      <w:spacing w:line="288" w:lineRule="auto"/>
      <w:jc w:val="center"/>
    </w:pPr>
    <w:rPr>
      <w:rFonts w:ascii="Arial" w:hAnsi="Arial" w:cs="Arial Unicode MS"/>
      <w:color w:val="000000"/>
      <w:u w:color="000000"/>
      <w14:textOutline w14:w="12700" w14:cap="flat" w14:cmpd="sng" w14:algn="ctr">
        <w14:noFill/>
        <w14:prstDash w14:val="solid"/>
        <w14:miter w14:lim="400000"/>
      </w14:textOutline>
    </w:rPr>
  </w:style>
  <w:style w:type="paragraph" w:customStyle="1" w:styleId="DidefaultA">
    <w:name w:val="Di default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Didefault">
    <w:name w:val="Di default"/>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CorpoA">
    <w:name w:val="Corpo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CorpoB">
    <w:name w:val="Corpo B"/>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character" w:styleId="Rimandocommento">
    <w:name w:val="annotation reference"/>
    <w:basedOn w:val="Carpredefinitoparagrafo"/>
    <w:uiPriority w:val="99"/>
    <w:semiHidden/>
    <w:unhideWhenUsed/>
    <w:rsid w:val="00785269"/>
    <w:rPr>
      <w:sz w:val="16"/>
      <w:szCs w:val="16"/>
    </w:rPr>
  </w:style>
  <w:style w:type="paragraph" w:styleId="Testocommento">
    <w:name w:val="annotation text"/>
    <w:basedOn w:val="Normale"/>
    <w:link w:val="TestocommentoCarattere"/>
    <w:uiPriority w:val="99"/>
    <w:semiHidden/>
    <w:unhideWhenUsed/>
    <w:rsid w:val="00785269"/>
    <w:rPr>
      <w:sz w:val="20"/>
      <w:szCs w:val="20"/>
    </w:rPr>
  </w:style>
  <w:style w:type="character" w:customStyle="1" w:styleId="TestocommentoCarattere">
    <w:name w:val="Testo commento Carattere"/>
    <w:basedOn w:val="Carpredefinitoparagrafo"/>
    <w:link w:val="Testocommento"/>
    <w:uiPriority w:val="99"/>
    <w:semiHidden/>
    <w:rsid w:val="00785269"/>
    <w:rPr>
      <w:lang w:val="en-US" w:eastAsia="en-US"/>
    </w:rPr>
  </w:style>
  <w:style w:type="paragraph" w:styleId="Soggettocommento">
    <w:name w:val="annotation subject"/>
    <w:basedOn w:val="Testocommento"/>
    <w:next w:val="Testocommento"/>
    <w:link w:val="SoggettocommentoCarattere"/>
    <w:uiPriority w:val="99"/>
    <w:semiHidden/>
    <w:unhideWhenUsed/>
    <w:rsid w:val="00785269"/>
    <w:rPr>
      <w:b/>
      <w:bCs/>
    </w:rPr>
  </w:style>
  <w:style w:type="character" w:customStyle="1" w:styleId="SoggettocommentoCarattere">
    <w:name w:val="Soggetto commento Carattere"/>
    <w:basedOn w:val="TestocommentoCarattere"/>
    <w:link w:val="Soggettocommento"/>
    <w:uiPriority w:val="99"/>
    <w:semiHidden/>
    <w:rsid w:val="00785269"/>
    <w:rPr>
      <w:b/>
      <w:bCs/>
      <w:lang w:val="en-US" w:eastAsia="en-US"/>
    </w:rPr>
  </w:style>
  <w:style w:type="paragraph" w:styleId="Testofumetto">
    <w:name w:val="Balloon Text"/>
    <w:basedOn w:val="Normale"/>
    <w:link w:val="TestofumettoCarattere"/>
    <w:uiPriority w:val="99"/>
    <w:semiHidden/>
    <w:unhideWhenUsed/>
    <w:rsid w:val="00785269"/>
    <w:rPr>
      <w:sz w:val="18"/>
      <w:szCs w:val="18"/>
    </w:rPr>
  </w:style>
  <w:style w:type="character" w:customStyle="1" w:styleId="TestofumettoCarattere">
    <w:name w:val="Testo fumetto Carattere"/>
    <w:basedOn w:val="Carpredefinitoparagrafo"/>
    <w:link w:val="Testofumetto"/>
    <w:uiPriority w:val="99"/>
    <w:semiHidden/>
    <w:rsid w:val="00785269"/>
    <w:rPr>
      <w:sz w:val="18"/>
      <w:szCs w:val="18"/>
      <w:lang w:val="en-US" w:eastAsia="en-US"/>
    </w:rPr>
  </w:style>
  <w:style w:type="paragraph" w:styleId="NormaleWeb">
    <w:name w:val="Normal (Web)"/>
    <w:basedOn w:val="Normale"/>
    <w:uiPriority w:val="99"/>
    <w:unhideWhenUsed/>
    <w:rsid w:val="00665E27"/>
    <w:pPr>
      <w:spacing w:before="100" w:beforeAutospacing="1" w:after="100" w:afterAutospacing="1"/>
    </w:pPr>
  </w:style>
  <w:style w:type="character" w:customStyle="1" w:styleId="apple-converted-space">
    <w:name w:val="apple-converted-space"/>
    <w:basedOn w:val="Carpredefinitoparagrafo"/>
    <w:rsid w:val="00E460CD"/>
  </w:style>
  <w:style w:type="table" w:customStyle="1" w:styleId="Tabellasemplice-21">
    <w:name w:val="Tabella semplice - 21"/>
    <w:basedOn w:val="Tabellanormale"/>
    <w:uiPriority w:val="42"/>
    <w:rsid w:val="00422A7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yperlink0">
    <w:name w:val="Hyperlink.0"/>
    <w:rsid w:val="00124A6C"/>
    <w:rPr>
      <w:rFonts w:ascii="Arial" w:hAnsi="Arial"/>
      <w:sz w:val="24"/>
      <w:szCs w:val="24"/>
      <w:lang w:val="en-US"/>
    </w:rPr>
  </w:style>
  <w:style w:type="paragraph" w:styleId="Intestazione">
    <w:name w:val="header"/>
    <w:basedOn w:val="Normale"/>
    <w:link w:val="IntestazioneCarattere"/>
    <w:uiPriority w:val="99"/>
    <w:unhideWhenUsed/>
    <w:rsid w:val="00124A6C"/>
    <w:pPr>
      <w:tabs>
        <w:tab w:val="center" w:pos="4819"/>
        <w:tab w:val="right" w:pos="9638"/>
      </w:tabs>
    </w:pPr>
  </w:style>
  <w:style w:type="character" w:customStyle="1" w:styleId="IntestazioneCarattere">
    <w:name w:val="Intestazione Carattere"/>
    <w:basedOn w:val="Carpredefinitoparagrafo"/>
    <w:link w:val="Intestazione"/>
    <w:uiPriority w:val="99"/>
    <w:rsid w:val="00124A6C"/>
    <w:rPr>
      <w:rFonts w:eastAsia="Times New Roman"/>
      <w:sz w:val="24"/>
      <w:szCs w:val="24"/>
      <w:bdr w:val="none" w:sz="0" w:space="0" w:color="auto"/>
    </w:rPr>
  </w:style>
  <w:style w:type="paragraph" w:styleId="Pidipagina">
    <w:name w:val="footer"/>
    <w:basedOn w:val="Normale"/>
    <w:link w:val="PidipaginaCarattere"/>
    <w:uiPriority w:val="99"/>
    <w:unhideWhenUsed/>
    <w:rsid w:val="00124A6C"/>
    <w:pPr>
      <w:tabs>
        <w:tab w:val="center" w:pos="4819"/>
        <w:tab w:val="right" w:pos="9638"/>
      </w:tabs>
    </w:pPr>
  </w:style>
  <w:style w:type="character" w:customStyle="1" w:styleId="PidipaginaCarattere">
    <w:name w:val="Piè di pagina Carattere"/>
    <w:basedOn w:val="Carpredefinitoparagrafo"/>
    <w:link w:val="Pidipagina"/>
    <w:uiPriority w:val="99"/>
    <w:rsid w:val="00124A6C"/>
    <w:rPr>
      <w:rFonts w:eastAsia="Times New Roman"/>
      <w:sz w:val="24"/>
      <w:szCs w:val="24"/>
      <w:bdr w:val="none" w:sz="0" w:space="0" w:color="auto"/>
    </w:rPr>
  </w:style>
  <w:style w:type="character" w:styleId="Numeropagina">
    <w:name w:val="page number"/>
    <w:basedOn w:val="Carpredefinitoparagrafo"/>
    <w:uiPriority w:val="99"/>
    <w:semiHidden/>
    <w:unhideWhenUsed/>
    <w:rsid w:val="00163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44840">
      <w:bodyDiv w:val="1"/>
      <w:marLeft w:val="0"/>
      <w:marRight w:val="0"/>
      <w:marTop w:val="0"/>
      <w:marBottom w:val="0"/>
      <w:divBdr>
        <w:top w:val="none" w:sz="0" w:space="0" w:color="auto"/>
        <w:left w:val="none" w:sz="0" w:space="0" w:color="auto"/>
        <w:bottom w:val="none" w:sz="0" w:space="0" w:color="auto"/>
        <w:right w:val="none" w:sz="0" w:space="0" w:color="auto"/>
      </w:divBdr>
      <w:divsChild>
        <w:div w:id="1153377154">
          <w:marLeft w:val="240"/>
          <w:marRight w:val="0"/>
          <w:marTop w:val="60"/>
          <w:marBottom w:val="0"/>
          <w:divBdr>
            <w:top w:val="none" w:sz="0" w:space="0" w:color="auto"/>
            <w:left w:val="none" w:sz="0" w:space="0" w:color="auto"/>
            <w:bottom w:val="none" w:sz="0" w:space="0" w:color="auto"/>
            <w:right w:val="none" w:sz="0" w:space="0" w:color="auto"/>
          </w:divBdr>
        </w:div>
        <w:div w:id="1157653791">
          <w:marLeft w:val="240"/>
          <w:marRight w:val="0"/>
          <w:marTop w:val="60"/>
          <w:marBottom w:val="0"/>
          <w:divBdr>
            <w:top w:val="none" w:sz="0" w:space="0" w:color="auto"/>
            <w:left w:val="none" w:sz="0" w:space="0" w:color="auto"/>
            <w:bottom w:val="none" w:sz="0" w:space="0" w:color="auto"/>
            <w:right w:val="none" w:sz="0" w:space="0" w:color="auto"/>
          </w:divBdr>
        </w:div>
      </w:divsChild>
    </w:div>
    <w:div w:id="40402187">
      <w:bodyDiv w:val="1"/>
      <w:marLeft w:val="0"/>
      <w:marRight w:val="0"/>
      <w:marTop w:val="0"/>
      <w:marBottom w:val="0"/>
      <w:divBdr>
        <w:top w:val="none" w:sz="0" w:space="0" w:color="auto"/>
        <w:left w:val="none" w:sz="0" w:space="0" w:color="auto"/>
        <w:bottom w:val="none" w:sz="0" w:space="0" w:color="auto"/>
        <w:right w:val="none" w:sz="0" w:space="0" w:color="auto"/>
      </w:divBdr>
    </w:div>
    <w:div w:id="53815577">
      <w:bodyDiv w:val="1"/>
      <w:marLeft w:val="0"/>
      <w:marRight w:val="0"/>
      <w:marTop w:val="0"/>
      <w:marBottom w:val="0"/>
      <w:divBdr>
        <w:top w:val="none" w:sz="0" w:space="0" w:color="auto"/>
        <w:left w:val="none" w:sz="0" w:space="0" w:color="auto"/>
        <w:bottom w:val="none" w:sz="0" w:space="0" w:color="auto"/>
        <w:right w:val="none" w:sz="0" w:space="0" w:color="auto"/>
      </w:divBdr>
      <w:divsChild>
        <w:div w:id="673344179">
          <w:marLeft w:val="240"/>
          <w:marRight w:val="0"/>
          <w:marTop w:val="60"/>
          <w:marBottom w:val="0"/>
          <w:divBdr>
            <w:top w:val="none" w:sz="0" w:space="0" w:color="auto"/>
            <w:left w:val="none" w:sz="0" w:space="0" w:color="auto"/>
            <w:bottom w:val="none" w:sz="0" w:space="0" w:color="auto"/>
            <w:right w:val="none" w:sz="0" w:space="0" w:color="auto"/>
          </w:divBdr>
        </w:div>
      </w:divsChild>
    </w:div>
    <w:div w:id="59598915">
      <w:bodyDiv w:val="1"/>
      <w:marLeft w:val="0"/>
      <w:marRight w:val="0"/>
      <w:marTop w:val="0"/>
      <w:marBottom w:val="0"/>
      <w:divBdr>
        <w:top w:val="none" w:sz="0" w:space="0" w:color="auto"/>
        <w:left w:val="none" w:sz="0" w:space="0" w:color="auto"/>
        <w:bottom w:val="none" w:sz="0" w:space="0" w:color="auto"/>
        <w:right w:val="none" w:sz="0" w:space="0" w:color="auto"/>
      </w:divBdr>
    </w:div>
    <w:div w:id="78794873">
      <w:bodyDiv w:val="1"/>
      <w:marLeft w:val="0"/>
      <w:marRight w:val="0"/>
      <w:marTop w:val="0"/>
      <w:marBottom w:val="0"/>
      <w:divBdr>
        <w:top w:val="none" w:sz="0" w:space="0" w:color="auto"/>
        <w:left w:val="none" w:sz="0" w:space="0" w:color="auto"/>
        <w:bottom w:val="none" w:sz="0" w:space="0" w:color="auto"/>
        <w:right w:val="none" w:sz="0" w:space="0" w:color="auto"/>
      </w:divBdr>
      <w:divsChild>
        <w:div w:id="1515460913">
          <w:marLeft w:val="240"/>
          <w:marRight w:val="0"/>
          <w:marTop w:val="60"/>
          <w:marBottom w:val="0"/>
          <w:divBdr>
            <w:top w:val="none" w:sz="0" w:space="0" w:color="auto"/>
            <w:left w:val="none" w:sz="0" w:space="0" w:color="auto"/>
            <w:bottom w:val="none" w:sz="0" w:space="0" w:color="auto"/>
            <w:right w:val="none" w:sz="0" w:space="0" w:color="auto"/>
          </w:divBdr>
        </w:div>
      </w:divsChild>
    </w:div>
    <w:div w:id="96826310">
      <w:bodyDiv w:val="1"/>
      <w:marLeft w:val="0"/>
      <w:marRight w:val="0"/>
      <w:marTop w:val="0"/>
      <w:marBottom w:val="0"/>
      <w:divBdr>
        <w:top w:val="none" w:sz="0" w:space="0" w:color="auto"/>
        <w:left w:val="none" w:sz="0" w:space="0" w:color="auto"/>
        <w:bottom w:val="none" w:sz="0" w:space="0" w:color="auto"/>
        <w:right w:val="none" w:sz="0" w:space="0" w:color="auto"/>
      </w:divBdr>
    </w:div>
    <w:div w:id="113526747">
      <w:bodyDiv w:val="1"/>
      <w:marLeft w:val="0"/>
      <w:marRight w:val="0"/>
      <w:marTop w:val="0"/>
      <w:marBottom w:val="0"/>
      <w:divBdr>
        <w:top w:val="none" w:sz="0" w:space="0" w:color="auto"/>
        <w:left w:val="none" w:sz="0" w:space="0" w:color="auto"/>
        <w:bottom w:val="none" w:sz="0" w:space="0" w:color="auto"/>
        <w:right w:val="none" w:sz="0" w:space="0" w:color="auto"/>
      </w:divBdr>
    </w:div>
    <w:div w:id="117913521">
      <w:bodyDiv w:val="1"/>
      <w:marLeft w:val="0"/>
      <w:marRight w:val="0"/>
      <w:marTop w:val="0"/>
      <w:marBottom w:val="0"/>
      <w:divBdr>
        <w:top w:val="none" w:sz="0" w:space="0" w:color="auto"/>
        <w:left w:val="none" w:sz="0" w:space="0" w:color="auto"/>
        <w:bottom w:val="none" w:sz="0" w:space="0" w:color="auto"/>
        <w:right w:val="none" w:sz="0" w:space="0" w:color="auto"/>
      </w:divBdr>
    </w:div>
    <w:div w:id="123891706">
      <w:bodyDiv w:val="1"/>
      <w:marLeft w:val="0"/>
      <w:marRight w:val="0"/>
      <w:marTop w:val="0"/>
      <w:marBottom w:val="0"/>
      <w:divBdr>
        <w:top w:val="none" w:sz="0" w:space="0" w:color="auto"/>
        <w:left w:val="none" w:sz="0" w:space="0" w:color="auto"/>
        <w:bottom w:val="none" w:sz="0" w:space="0" w:color="auto"/>
        <w:right w:val="none" w:sz="0" w:space="0" w:color="auto"/>
      </w:divBdr>
      <w:divsChild>
        <w:div w:id="424419655">
          <w:marLeft w:val="240"/>
          <w:marRight w:val="0"/>
          <w:marTop w:val="60"/>
          <w:marBottom w:val="0"/>
          <w:divBdr>
            <w:top w:val="none" w:sz="0" w:space="0" w:color="auto"/>
            <w:left w:val="none" w:sz="0" w:space="0" w:color="auto"/>
            <w:bottom w:val="none" w:sz="0" w:space="0" w:color="auto"/>
            <w:right w:val="none" w:sz="0" w:space="0" w:color="auto"/>
          </w:divBdr>
        </w:div>
        <w:div w:id="718431081">
          <w:marLeft w:val="240"/>
          <w:marRight w:val="0"/>
          <w:marTop w:val="60"/>
          <w:marBottom w:val="0"/>
          <w:divBdr>
            <w:top w:val="none" w:sz="0" w:space="0" w:color="auto"/>
            <w:left w:val="none" w:sz="0" w:space="0" w:color="auto"/>
            <w:bottom w:val="none" w:sz="0" w:space="0" w:color="auto"/>
            <w:right w:val="none" w:sz="0" w:space="0" w:color="auto"/>
          </w:divBdr>
        </w:div>
        <w:div w:id="811023704">
          <w:marLeft w:val="240"/>
          <w:marRight w:val="0"/>
          <w:marTop w:val="60"/>
          <w:marBottom w:val="0"/>
          <w:divBdr>
            <w:top w:val="none" w:sz="0" w:space="0" w:color="auto"/>
            <w:left w:val="none" w:sz="0" w:space="0" w:color="auto"/>
            <w:bottom w:val="none" w:sz="0" w:space="0" w:color="auto"/>
            <w:right w:val="none" w:sz="0" w:space="0" w:color="auto"/>
          </w:divBdr>
        </w:div>
        <w:div w:id="1190797241">
          <w:marLeft w:val="240"/>
          <w:marRight w:val="0"/>
          <w:marTop w:val="60"/>
          <w:marBottom w:val="0"/>
          <w:divBdr>
            <w:top w:val="none" w:sz="0" w:space="0" w:color="auto"/>
            <w:left w:val="none" w:sz="0" w:space="0" w:color="auto"/>
            <w:bottom w:val="none" w:sz="0" w:space="0" w:color="auto"/>
            <w:right w:val="none" w:sz="0" w:space="0" w:color="auto"/>
          </w:divBdr>
        </w:div>
        <w:div w:id="1341077575">
          <w:marLeft w:val="240"/>
          <w:marRight w:val="0"/>
          <w:marTop w:val="60"/>
          <w:marBottom w:val="0"/>
          <w:divBdr>
            <w:top w:val="none" w:sz="0" w:space="0" w:color="auto"/>
            <w:left w:val="none" w:sz="0" w:space="0" w:color="auto"/>
            <w:bottom w:val="none" w:sz="0" w:space="0" w:color="auto"/>
            <w:right w:val="none" w:sz="0" w:space="0" w:color="auto"/>
          </w:divBdr>
        </w:div>
        <w:div w:id="1395810426">
          <w:marLeft w:val="240"/>
          <w:marRight w:val="0"/>
          <w:marTop w:val="60"/>
          <w:marBottom w:val="0"/>
          <w:divBdr>
            <w:top w:val="none" w:sz="0" w:space="0" w:color="auto"/>
            <w:left w:val="none" w:sz="0" w:space="0" w:color="auto"/>
            <w:bottom w:val="none" w:sz="0" w:space="0" w:color="auto"/>
            <w:right w:val="none" w:sz="0" w:space="0" w:color="auto"/>
          </w:divBdr>
        </w:div>
        <w:div w:id="1653100870">
          <w:marLeft w:val="240"/>
          <w:marRight w:val="0"/>
          <w:marTop w:val="60"/>
          <w:marBottom w:val="0"/>
          <w:divBdr>
            <w:top w:val="none" w:sz="0" w:space="0" w:color="auto"/>
            <w:left w:val="none" w:sz="0" w:space="0" w:color="auto"/>
            <w:bottom w:val="none" w:sz="0" w:space="0" w:color="auto"/>
            <w:right w:val="none" w:sz="0" w:space="0" w:color="auto"/>
          </w:divBdr>
        </w:div>
        <w:div w:id="1780372335">
          <w:marLeft w:val="240"/>
          <w:marRight w:val="0"/>
          <w:marTop w:val="60"/>
          <w:marBottom w:val="0"/>
          <w:divBdr>
            <w:top w:val="none" w:sz="0" w:space="0" w:color="auto"/>
            <w:left w:val="none" w:sz="0" w:space="0" w:color="auto"/>
            <w:bottom w:val="none" w:sz="0" w:space="0" w:color="auto"/>
            <w:right w:val="none" w:sz="0" w:space="0" w:color="auto"/>
          </w:divBdr>
        </w:div>
        <w:div w:id="1903641819">
          <w:marLeft w:val="240"/>
          <w:marRight w:val="0"/>
          <w:marTop w:val="60"/>
          <w:marBottom w:val="0"/>
          <w:divBdr>
            <w:top w:val="none" w:sz="0" w:space="0" w:color="auto"/>
            <w:left w:val="none" w:sz="0" w:space="0" w:color="auto"/>
            <w:bottom w:val="none" w:sz="0" w:space="0" w:color="auto"/>
            <w:right w:val="none" w:sz="0" w:space="0" w:color="auto"/>
          </w:divBdr>
        </w:div>
        <w:div w:id="2005431056">
          <w:marLeft w:val="240"/>
          <w:marRight w:val="0"/>
          <w:marTop w:val="60"/>
          <w:marBottom w:val="0"/>
          <w:divBdr>
            <w:top w:val="none" w:sz="0" w:space="0" w:color="auto"/>
            <w:left w:val="none" w:sz="0" w:space="0" w:color="auto"/>
            <w:bottom w:val="none" w:sz="0" w:space="0" w:color="auto"/>
            <w:right w:val="none" w:sz="0" w:space="0" w:color="auto"/>
          </w:divBdr>
        </w:div>
        <w:div w:id="2083796511">
          <w:marLeft w:val="240"/>
          <w:marRight w:val="0"/>
          <w:marTop w:val="60"/>
          <w:marBottom w:val="0"/>
          <w:divBdr>
            <w:top w:val="none" w:sz="0" w:space="0" w:color="auto"/>
            <w:left w:val="none" w:sz="0" w:space="0" w:color="auto"/>
            <w:bottom w:val="none" w:sz="0" w:space="0" w:color="auto"/>
            <w:right w:val="none" w:sz="0" w:space="0" w:color="auto"/>
          </w:divBdr>
        </w:div>
      </w:divsChild>
    </w:div>
    <w:div w:id="133255602">
      <w:bodyDiv w:val="1"/>
      <w:marLeft w:val="0"/>
      <w:marRight w:val="0"/>
      <w:marTop w:val="0"/>
      <w:marBottom w:val="0"/>
      <w:divBdr>
        <w:top w:val="none" w:sz="0" w:space="0" w:color="auto"/>
        <w:left w:val="none" w:sz="0" w:space="0" w:color="auto"/>
        <w:bottom w:val="none" w:sz="0" w:space="0" w:color="auto"/>
        <w:right w:val="none" w:sz="0" w:space="0" w:color="auto"/>
      </w:divBdr>
      <w:divsChild>
        <w:div w:id="2076270972">
          <w:marLeft w:val="240"/>
          <w:marRight w:val="0"/>
          <w:marTop w:val="60"/>
          <w:marBottom w:val="0"/>
          <w:divBdr>
            <w:top w:val="none" w:sz="0" w:space="0" w:color="auto"/>
            <w:left w:val="none" w:sz="0" w:space="0" w:color="auto"/>
            <w:bottom w:val="none" w:sz="0" w:space="0" w:color="auto"/>
            <w:right w:val="none" w:sz="0" w:space="0" w:color="auto"/>
          </w:divBdr>
        </w:div>
        <w:div w:id="2132507289">
          <w:marLeft w:val="240"/>
          <w:marRight w:val="0"/>
          <w:marTop w:val="60"/>
          <w:marBottom w:val="0"/>
          <w:divBdr>
            <w:top w:val="none" w:sz="0" w:space="0" w:color="auto"/>
            <w:left w:val="none" w:sz="0" w:space="0" w:color="auto"/>
            <w:bottom w:val="none" w:sz="0" w:space="0" w:color="auto"/>
            <w:right w:val="none" w:sz="0" w:space="0" w:color="auto"/>
          </w:divBdr>
        </w:div>
      </w:divsChild>
    </w:div>
    <w:div w:id="153381947">
      <w:bodyDiv w:val="1"/>
      <w:marLeft w:val="0"/>
      <w:marRight w:val="0"/>
      <w:marTop w:val="0"/>
      <w:marBottom w:val="0"/>
      <w:divBdr>
        <w:top w:val="none" w:sz="0" w:space="0" w:color="auto"/>
        <w:left w:val="none" w:sz="0" w:space="0" w:color="auto"/>
        <w:bottom w:val="none" w:sz="0" w:space="0" w:color="auto"/>
        <w:right w:val="none" w:sz="0" w:space="0" w:color="auto"/>
      </w:divBdr>
      <w:divsChild>
        <w:div w:id="317149967">
          <w:marLeft w:val="240"/>
          <w:marRight w:val="0"/>
          <w:marTop w:val="120"/>
          <w:marBottom w:val="0"/>
          <w:divBdr>
            <w:top w:val="none" w:sz="0" w:space="0" w:color="auto"/>
            <w:left w:val="none" w:sz="0" w:space="0" w:color="auto"/>
            <w:bottom w:val="none" w:sz="0" w:space="0" w:color="auto"/>
            <w:right w:val="none" w:sz="0" w:space="0" w:color="auto"/>
          </w:divBdr>
        </w:div>
      </w:divsChild>
    </w:div>
    <w:div w:id="182285751">
      <w:bodyDiv w:val="1"/>
      <w:marLeft w:val="0"/>
      <w:marRight w:val="0"/>
      <w:marTop w:val="0"/>
      <w:marBottom w:val="0"/>
      <w:divBdr>
        <w:top w:val="none" w:sz="0" w:space="0" w:color="auto"/>
        <w:left w:val="none" w:sz="0" w:space="0" w:color="auto"/>
        <w:bottom w:val="none" w:sz="0" w:space="0" w:color="auto"/>
        <w:right w:val="none" w:sz="0" w:space="0" w:color="auto"/>
      </w:divBdr>
    </w:div>
    <w:div w:id="189951419">
      <w:bodyDiv w:val="1"/>
      <w:marLeft w:val="0"/>
      <w:marRight w:val="0"/>
      <w:marTop w:val="0"/>
      <w:marBottom w:val="0"/>
      <w:divBdr>
        <w:top w:val="none" w:sz="0" w:space="0" w:color="auto"/>
        <w:left w:val="none" w:sz="0" w:space="0" w:color="auto"/>
        <w:bottom w:val="none" w:sz="0" w:space="0" w:color="auto"/>
        <w:right w:val="none" w:sz="0" w:space="0" w:color="auto"/>
      </w:divBdr>
      <w:divsChild>
        <w:div w:id="276647244">
          <w:marLeft w:val="240"/>
          <w:marRight w:val="0"/>
          <w:marTop w:val="60"/>
          <w:marBottom w:val="0"/>
          <w:divBdr>
            <w:top w:val="none" w:sz="0" w:space="0" w:color="auto"/>
            <w:left w:val="none" w:sz="0" w:space="0" w:color="auto"/>
            <w:bottom w:val="none" w:sz="0" w:space="0" w:color="auto"/>
            <w:right w:val="none" w:sz="0" w:space="0" w:color="auto"/>
          </w:divBdr>
        </w:div>
      </w:divsChild>
    </w:div>
    <w:div w:id="221411273">
      <w:bodyDiv w:val="1"/>
      <w:marLeft w:val="0"/>
      <w:marRight w:val="0"/>
      <w:marTop w:val="0"/>
      <w:marBottom w:val="0"/>
      <w:divBdr>
        <w:top w:val="none" w:sz="0" w:space="0" w:color="auto"/>
        <w:left w:val="none" w:sz="0" w:space="0" w:color="auto"/>
        <w:bottom w:val="none" w:sz="0" w:space="0" w:color="auto"/>
        <w:right w:val="none" w:sz="0" w:space="0" w:color="auto"/>
      </w:divBdr>
    </w:div>
    <w:div w:id="221795014">
      <w:bodyDiv w:val="1"/>
      <w:marLeft w:val="0"/>
      <w:marRight w:val="0"/>
      <w:marTop w:val="0"/>
      <w:marBottom w:val="0"/>
      <w:divBdr>
        <w:top w:val="none" w:sz="0" w:space="0" w:color="auto"/>
        <w:left w:val="none" w:sz="0" w:space="0" w:color="auto"/>
        <w:bottom w:val="none" w:sz="0" w:space="0" w:color="auto"/>
        <w:right w:val="none" w:sz="0" w:space="0" w:color="auto"/>
      </w:divBdr>
    </w:div>
    <w:div w:id="224419646">
      <w:bodyDiv w:val="1"/>
      <w:marLeft w:val="0"/>
      <w:marRight w:val="0"/>
      <w:marTop w:val="0"/>
      <w:marBottom w:val="0"/>
      <w:divBdr>
        <w:top w:val="none" w:sz="0" w:space="0" w:color="auto"/>
        <w:left w:val="none" w:sz="0" w:space="0" w:color="auto"/>
        <w:bottom w:val="none" w:sz="0" w:space="0" w:color="auto"/>
        <w:right w:val="none" w:sz="0" w:space="0" w:color="auto"/>
      </w:divBdr>
    </w:div>
    <w:div w:id="236014295">
      <w:bodyDiv w:val="1"/>
      <w:marLeft w:val="0"/>
      <w:marRight w:val="0"/>
      <w:marTop w:val="0"/>
      <w:marBottom w:val="0"/>
      <w:divBdr>
        <w:top w:val="none" w:sz="0" w:space="0" w:color="auto"/>
        <w:left w:val="none" w:sz="0" w:space="0" w:color="auto"/>
        <w:bottom w:val="none" w:sz="0" w:space="0" w:color="auto"/>
        <w:right w:val="none" w:sz="0" w:space="0" w:color="auto"/>
      </w:divBdr>
      <w:divsChild>
        <w:div w:id="2015567314">
          <w:marLeft w:val="240"/>
          <w:marRight w:val="0"/>
          <w:marTop w:val="60"/>
          <w:marBottom w:val="0"/>
          <w:divBdr>
            <w:top w:val="none" w:sz="0" w:space="0" w:color="auto"/>
            <w:left w:val="none" w:sz="0" w:space="0" w:color="auto"/>
            <w:bottom w:val="none" w:sz="0" w:space="0" w:color="auto"/>
            <w:right w:val="none" w:sz="0" w:space="0" w:color="auto"/>
          </w:divBdr>
        </w:div>
      </w:divsChild>
    </w:div>
    <w:div w:id="239757889">
      <w:bodyDiv w:val="1"/>
      <w:marLeft w:val="0"/>
      <w:marRight w:val="0"/>
      <w:marTop w:val="0"/>
      <w:marBottom w:val="0"/>
      <w:divBdr>
        <w:top w:val="none" w:sz="0" w:space="0" w:color="auto"/>
        <w:left w:val="none" w:sz="0" w:space="0" w:color="auto"/>
        <w:bottom w:val="none" w:sz="0" w:space="0" w:color="auto"/>
        <w:right w:val="none" w:sz="0" w:space="0" w:color="auto"/>
      </w:divBdr>
    </w:div>
    <w:div w:id="240022460">
      <w:bodyDiv w:val="1"/>
      <w:marLeft w:val="0"/>
      <w:marRight w:val="0"/>
      <w:marTop w:val="0"/>
      <w:marBottom w:val="0"/>
      <w:divBdr>
        <w:top w:val="none" w:sz="0" w:space="0" w:color="auto"/>
        <w:left w:val="none" w:sz="0" w:space="0" w:color="auto"/>
        <w:bottom w:val="none" w:sz="0" w:space="0" w:color="auto"/>
        <w:right w:val="none" w:sz="0" w:space="0" w:color="auto"/>
      </w:divBdr>
    </w:div>
    <w:div w:id="249046725">
      <w:bodyDiv w:val="1"/>
      <w:marLeft w:val="0"/>
      <w:marRight w:val="0"/>
      <w:marTop w:val="0"/>
      <w:marBottom w:val="0"/>
      <w:divBdr>
        <w:top w:val="none" w:sz="0" w:space="0" w:color="auto"/>
        <w:left w:val="none" w:sz="0" w:space="0" w:color="auto"/>
        <w:bottom w:val="none" w:sz="0" w:space="0" w:color="auto"/>
        <w:right w:val="none" w:sz="0" w:space="0" w:color="auto"/>
      </w:divBdr>
    </w:div>
    <w:div w:id="263733273">
      <w:bodyDiv w:val="1"/>
      <w:marLeft w:val="0"/>
      <w:marRight w:val="0"/>
      <w:marTop w:val="0"/>
      <w:marBottom w:val="0"/>
      <w:divBdr>
        <w:top w:val="none" w:sz="0" w:space="0" w:color="auto"/>
        <w:left w:val="none" w:sz="0" w:space="0" w:color="auto"/>
        <w:bottom w:val="none" w:sz="0" w:space="0" w:color="auto"/>
        <w:right w:val="none" w:sz="0" w:space="0" w:color="auto"/>
      </w:divBdr>
    </w:div>
    <w:div w:id="272589704">
      <w:bodyDiv w:val="1"/>
      <w:marLeft w:val="0"/>
      <w:marRight w:val="0"/>
      <w:marTop w:val="0"/>
      <w:marBottom w:val="0"/>
      <w:divBdr>
        <w:top w:val="none" w:sz="0" w:space="0" w:color="auto"/>
        <w:left w:val="none" w:sz="0" w:space="0" w:color="auto"/>
        <w:bottom w:val="none" w:sz="0" w:space="0" w:color="auto"/>
        <w:right w:val="none" w:sz="0" w:space="0" w:color="auto"/>
      </w:divBdr>
    </w:div>
    <w:div w:id="277221790">
      <w:bodyDiv w:val="1"/>
      <w:marLeft w:val="0"/>
      <w:marRight w:val="0"/>
      <w:marTop w:val="0"/>
      <w:marBottom w:val="0"/>
      <w:divBdr>
        <w:top w:val="none" w:sz="0" w:space="0" w:color="auto"/>
        <w:left w:val="none" w:sz="0" w:space="0" w:color="auto"/>
        <w:bottom w:val="none" w:sz="0" w:space="0" w:color="auto"/>
        <w:right w:val="none" w:sz="0" w:space="0" w:color="auto"/>
      </w:divBdr>
    </w:div>
    <w:div w:id="284385657">
      <w:bodyDiv w:val="1"/>
      <w:marLeft w:val="0"/>
      <w:marRight w:val="0"/>
      <w:marTop w:val="0"/>
      <w:marBottom w:val="0"/>
      <w:divBdr>
        <w:top w:val="none" w:sz="0" w:space="0" w:color="auto"/>
        <w:left w:val="none" w:sz="0" w:space="0" w:color="auto"/>
        <w:bottom w:val="none" w:sz="0" w:space="0" w:color="auto"/>
        <w:right w:val="none" w:sz="0" w:space="0" w:color="auto"/>
      </w:divBdr>
    </w:div>
    <w:div w:id="308097293">
      <w:bodyDiv w:val="1"/>
      <w:marLeft w:val="0"/>
      <w:marRight w:val="0"/>
      <w:marTop w:val="0"/>
      <w:marBottom w:val="0"/>
      <w:divBdr>
        <w:top w:val="none" w:sz="0" w:space="0" w:color="auto"/>
        <w:left w:val="none" w:sz="0" w:space="0" w:color="auto"/>
        <w:bottom w:val="none" w:sz="0" w:space="0" w:color="auto"/>
        <w:right w:val="none" w:sz="0" w:space="0" w:color="auto"/>
      </w:divBdr>
    </w:div>
    <w:div w:id="309484938">
      <w:bodyDiv w:val="1"/>
      <w:marLeft w:val="0"/>
      <w:marRight w:val="0"/>
      <w:marTop w:val="0"/>
      <w:marBottom w:val="0"/>
      <w:divBdr>
        <w:top w:val="none" w:sz="0" w:space="0" w:color="auto"/>
        <w:left w:val="none" w:sz="0" w:space="0" w:color="auto"/>
        <w:bottom w:val="none" w:sz="0" w:space="0" w:color="auto"/>
        <w:right w:val="none" w:sz="0" w:space="0" w:color="auto"/>
      </w:divBdr>
      <w:divsChild>
        <w:div w:id="508446141">
          <w:marLeft w:val="240"/>
          <w:marRight w:val="0"/>
          <w:marTop w:val="120"/>
          <w:marBottom w:val="0"/>
          <w:divBdr>
            <w:top w:val="none" w:sz="0" w:space="0" w:color="auto"/>
            <w:left w:val="none" w:sz="0" w:space="0" w:color="auto"/>
            <w:bottom w:val="none" w:sz="0" w:space="0" w:color="auto"/>
            <w:right w:val="none" w:sz="0" w:space="0" w:color="auto"/>
          </w:divBdr>
        </w:div>
      </w:divsChild>
    </w:div>
    <w:div w:id="319698534">
      <w:bodyDiv w:val="1"/>
      <w:marLeft w:val="0"/>
      <w:marRight w:val="0"/>
      <w:marTop w:val="0"/>
      <w:marBottom w:val="0"/>
      <w:divBdr>
        <w:top w:val="none" w:sz="0" w:space="0" w:color="auto"/>
        <w:left w:val="none" w:sz="0" w:space="0" w:color="auto"/>
        <w:bottom w:val="none" w:sz="0" w:space="0" w:color="auto"/>
        <w:right w:val="none" w:sz="0" w:space="0" w:color="auto"/>
      </w:divBdr>
    </w:div>
    <w:div w:id="328144121">
      <w:bodyDiv w:val="1"/>
      <w:marLeft w:val="0"/>
      <w:marRight w:val="0"/>
      <w:marTop w:val="0"/>
      <w:marBottom w:val="0"/>
      <w:divBdr>
        <w:top w:val="none" w:sz="0" w:space="0" w:color="auto"/>
        <w:left w:val="none" w:sz="0" w:space="0" w:color="auto"/>
        <w:bottom w:val="none" w:sz="0" w:space="0" w:color="auto"/>
        <w:right w:val="none" w:sz="0" w:space="0" w:color="auto"/>
      </w:divBdr>
    </w:div>
    <w:div w:id="329068857">
      <w:bodyDiv w:val="1"/>
      <w:marLeft w:val="0"/>
      <w:marRight w:val="0"/>
      <w:marTop w:val="0"/>
      <w:marBottom w:val="0"/>
      <w:divBdr>
        <w:top w:val="none" w:sz="0" w:space="0" w:color="auto"/>
        <w:left w:val="none" w:sz="0" w:space="0" w:color="auto"/>
        <w:bottom w:val="none" w:sz="0" w:space="0" w:color="auto"/>
        <w:right w:val="none" w:sz="0" w:space="0" w:color="auto"/>
      </w:divBdr>
    </w:div>
    <w:div w:id="329480218">
      <w:bodyDiv w:val="1"/>
      <w:marLeft w:val="0"/>
      <w:marRight w:val="0"/>
      <w:marTop w:val="0"/>
      <w:marBottom w:val="0"/>
      <w:divBdr>
        <w:top w:val="none" w:sz="0" w:space="0" w:color="auto"/>
        <w:left w:val="none" w:sz="0" w:space="0" w:color="auto"/>
        <w:bottom w:val="none" w:sz="0" w:space="0" w:color="auto"/>
        <w:right w:val="none" w:sz="0" w:space="0" w:color="auto"/>
      </w:divBdr>
    </w:div>
    <w:div w:id="338390962">
      <w:bodyDiv w:val="1"/>
      <w:marLeft w:val="0"/>
      <w:marRight w:val="0"/>
      <w:marTop w:val="0"/>
      <w:marBottom w:val="0"/>
      <w:divBdr>
        <w:top w:val="none" w:sz="0" w:space="0" w:color="auto"/>
        <w:left w:val="none" w:sz="0" w:space="0" w:color="auto"/>
        <w:bottom w:val="none" w:sz="0" w:space="0" w:color="auto"/>
        <w:right w:val="none" w:sz="0" w:space="0" w:color="auto"/>
      </w:divBdr>
    </w:div>
    <w:div w:id="343095992">
      <w:bodyDiv w:val="1"/>
      <w:marLeft w:val="0"/>
      <w:marRight w:val="0"/>
      <w:marTop w:val="0"/>
      <w:marBottom w:val="0"/>
      <w:divBdr>
        <w:top w:val="none" w:sz="0" w:space="0" w:color="auto"/>
        <w:left w:val="none" w:sz="0" w:space="0" w:color="auto"/>
        <w:bottom w:val="none" w:sz="0" w:space="0" w:color="auto"/>
        <w:right w:val="none" w:sz="0" w:space="0" w:color="auto"/>
      </w:divBdr>
      <w:divsChild>
        <w:div w:id="271478669">
          <w:marLeft w:val="240"/>
          <w:marRight w:val="0"/>
          <w:marTop w:val="60"/>
          <w:marBottom w:val="0"/>
          <w:divBdr>
            <w:top w:val="none" w:sz="0" w:space="0" w:color="auto"/>
            <w:left w:val="none" w:sz="0" w:space="0" w:color="auto"/>
            <w:bottom w:val="none" w:sz="0" w:space="0" w:color="auto"/>
            <w:right w:val="none" w:sz="0" w:space="0" w:color="auto"/>
          </w:divBdr>
        </w:div>
        <w:div w:id="293366538">
          <w:marLeft w:val="240"/>
          <w:marRight w:val="0"/>
          <w:marTop w:val="60"/>
          <w:marBottom w:val="0"/>
          <w:divBdr>
            <w:top w:val="none" w:sz="0" w:space="0" w:color="auto"/>
            <w:left w:val="none" w:sz="0" w:space="0" w:color="auto"/>
            <w:bottom w:val="none" w:sz="0" w:space="0" w:color="auto"/>
            <w:right w:val="none" w:sz="0" w:space="0" w:color="auto"/>
          </w:divBdr>
        </w:div>
      </w:divsChild>
    </w:div>
    <w:div w:id="349455396">
      <w:bodyDiv w:val="1"/>
      <w:marLeft w:val="0"/>
      <w:marRight w:val="0"/>
      <w:marTop w:val="0"/>
      <w:marBottom w:val="0"/>
      <w:divBdr>
        <w:top w:val="none" w:sz="0" w:space="0" w:color="auto"/>
        <w:left w:val="none" w:sz="0" w:space="0" w:color="auto"/>
        <w:bottom w:val="none" w:sz="0" w:space="0" w:color="auto"/>
        <w:right w:val="none" w:sz="0" w:space="0" w:color="auto"/>
      </w:divBdr>
    </w:div>
    <w:div w:id="351030794">
      <w:bodyDiv w:val="1"/>
      <w:marLeft w:val="0"/>
      <w:marRight w:val="0"/>
      <w:marTop w:val="0"/>
      <w:marBottom w:val="0"/>
      <w:divBdr>
        <w:top w:val="none" w:sz="0" w:space="0" w:color="auto"/>
        <w:left w:val="none" w:sz="0" w:space="0" w:color="auto"/>
        <w:bottom w:val="none" w:sz="0" w:space="0" w:color="auto"/>
        <w:right w:val="none" w:sz="0" w:space="0" w:color="auto"/>
      </w:divBdr>
    </w:div>
    <w:div w:id="351273548">
      <w:bodyDiv w:val="1"/>
      <w:marLeft w:val="0"/>
      <w:marRight w:val="0"/>
      <w:marTop w:val="0"/>
      <w:marBottom w:val="0"/>
      <w:divBdr>
        <w:top w:val="none" w:sz="0" w:space="0" w:color="auto"/>
        <w:left w:val="none" w:sz="0" w:space="0" w:color="auto"/>
        <w:bottom w:val="none" w:sz="0" w:space="0" w:color="auto"/>
        <w:right w:val="none" w:sz="0" w:space="0" w:color="auto"/>
      </w:divBdr>
      <w:divsChild>
        <w:div w:id="1256212042">
          <w:marLeft w:val="240"/>
          <w:marRight w:val="0"/>
          <w:marTop w:val="120"/>
          <w:marBottom w:val="0"/>
          <w:divBdr>
            <w:top w:val="none" w:sz="0" w:space="0" w:color="auto"/>
            <w:left w:val="none" w:sz="0" w:space="0" w:color="auto"/>
            <w:bottom w:val="none" w:sz="0" w:space="0" w:color="auto"/>
            <w:right w:val="none" w:sz="0" w:space="0" w:color="auto"/>
          </w:divBdr>
        </w:div>
      </w:divsChild>
    </w:div>
    <w:div w:id="355622219">
      <w:bodyDiv w:val="1"/>
      <w:marLeft w:val="0"/>
      <w:marRight w:val="0"/>
      <w:marTop w:val="0"/>
      <w:marBottom w:val="0"/>
      <w:divBdr>
        <w:top w:val="none" w:sz="0" w:space="0" w:color="auto"/>
        <w:left w:val="none" w:sz="0" w:space="0" w:color="auto"/>
        <w:bottom w:val="none" w:sz="0" w:space="0" w:color="auto"/>
        <w:right w:val="none" w:sz="0" w:space="0" w:color="auto"/>
      </w:divBdr>
    </w:div>
    <w:div w:id="376245419">
      <w:bodyDiv w:val="1"/>
      <w:marLeft w:val="0"/>
      <w:marRight w:val="0"/>
      <w:marTop w:val="0"/>
      <w:marBottom w:val="0"/>
      <w:divBdr>
        <w:top w:val="none" w:sz="0" w:space="0" w:color="auto"/>
        <w:left w:val="none" w:sz="0" w:space="0" w:color="auto"/>
        <w:bottom w:val="none" w:sz="0" w:space="0" w:color="auto"/>
        <w:right w:val="none" w:sz="0" w:space="0" w:color="auto"/>
      </w:divBdr>
      <w:divsChild>
        <w:div w:id="1079790715">
          <w:marLeft w:val="240"/>
          <w:marRight w:val="0"/>
          <w:marTop w:val="120"/>
          <w:marBottom w:val="0"/>
          <w:divBdr>
            <w:top w:val="none" w:sz="0" w:space="0" w:color="auto"/>
            <w:left w:val="none" w:sz="0" w:space="0" w:color="auto"/>
            <w:bottom w:val="none" w:sz="0" w:space="0" w:color="auto"/>
            <w:right w:val="none" w:sz="0" w:space="0" w:color="auto"/>
          </w:divBdr>
        </w:div>
      </w:divsChild>
    </w:div>
    <w:div w:id="415827279">
      <w:bodyDiv w:val="1"/>
      <w:marLeft w:val="0"/>
      <w:marRight w:val="0"/>
      <w:marTop w:val="0"/>
      <w:marBottom w:val="0"/>
      <w:divBdr>
        <w:top w:val="none" w:sz="0" w:space="0" w:color="auto"/>
        <w:left w:val="none" w:sz="0" w:space="0" w:color="auto"/>
        <w:bottom w:val="none" w:sz="0" w:space="0" w:color="auto"/>
        <w:right w:val="none" w:sz="0" w:space="0" w:color="auto"/>
      </w:divBdr>
    </w:div>
    <w:div w:id="433088739">
      <w:bodyDiv w:val="1"/>
      <w:marLeft w:val="0"/>
      <w:marRight w:val="0"/>
      <w:marTop w:val="0"/>
      <w:marBottom w:val="0"/>
      <w:divBdr>
        <w:top w:val="none" w:sz="0" w:space="0" w:color="auto"/>
        <w:left w:val="none" w:sz="0" w:space="0" w:color="auto"/>
        <w:bottom w:val="none" w:sz="0" w:space="0" w:color="auto"/>
        <w:right w:val="none" w:sz="0" w:space="0" w:color="auto"/>
      </w:divBdr>
      <w:divsChild>
        <w:div w:id="809831976">
          <w:marLeft w:val="240"/>
          <w:marRight w:val="0"/>
          <w:marTop w:val="120"/>
          <w:marBottom w:val="0"/>
          <w:divBdr>
            <w:top w:val="none" w:sz="0" w:space="0" w:color="auto"/>
            <w:left w:val="none" w:sz="0" w:space="0" w:color="auto"/>
            <w:bottom w:val="none" w:sz="0" w:space="0" w:color="auto"/>
            <w:right w:val="none" w:sz="0" w:space="0" w:color="auto"/>
          </w:divBdr>
        </w:div>
        <w:div w:id="1941065698">
          <w:marLeft w:val="240"/>
          <w:marRight w:val="0"/>
          <w:marTop w:val="120"/>
          <w:marBottom w:val="0"/>
          <w:divBdr>
            <w:top w:val="none" w:sz="0" w:space="0" w:color="auto"/>
            <w:left w:val="none" w:sz="0" w:space="0" w:color="auto"/>
            <w:bottom w:val="none" w:sz="0" w:space="0" w:color="auto"/>
            <w:right w:val="none" w:sz="0" w:space="0" w:color="auto"/>
          </w:divBdr>
        </w:div>
      </w:divsChild>
    </w:div>
    <w:div w:id="435444084">
      <w:bodyDiv w:val="1"/>
      <w:marLeft w:val="0"/>
      <w:marRight w:val="0"/>
      <w:marTop w:val="0"/>
      <w:marBottom w:val="0"/>
      <w:divBdr>
        <w:top w:val="none" w:sz="0" w:space="0" w:color="auto"/>
        <w:left w:val="none" w:sz="0" w:space="0" w:color="auto"/>
        <w:bottom w:val="none" w:sz="0" w:space="0" w:color="auto"/>
        <w:right w:val="none" w:sz="0" w:space="0" w:color="auto"/>
      </w:divBdr>
    </w:div>
    <w:div w:id="442770049">
      <w:bodyDiv w:val="1"/>
      <w:marLeft w:val="0"/>
      <w:marRight w:val="0"/>
      <w:marTop w:val="0"/>
      <w:marBottom w:val="0"/>
      <w:divBdr>
        <w:top w:val="none" w:sz="0" w:space="0" w:color="auto"/>
        <w:left w:val="none" w:sz="0" w:space="0" w:color="auto"/>
        <w:bottom w:val="none" w:sz="0" w:space="0" w:color="auto"/>
        <w:right w:val="none" w:sz="0" w:space="0" w:color="auto"/>
      </w:divBdr>
    </w:div>
    <w:div w:id="448936388">
      <w:bodyDiv w:val="1"/>
      <w:marLeft w:val="0"/>
      <w:marRight w:val="0"/>
      <w:marTop w:val="0"/>
      <w:marBottom w:val="0"/>
      <w:divBdr>
        <w:top w:val="none" w:sz="0" w:space="0" w:color="auto"/>
        <w:left w:val="none" w:sz="0" w:space="0" w:color="auto"/>
        <w:bottom w:val="none" w:sz="0" w:space="0" w:color="auto"/>
        <w:right w:val="none" w:sz="0" w:space="0" w:color="auto"/>
      </w:divBdr>
    </w:div>
    <w:div w:id="473065175">
      <w:bodyDiv w:val="1"/>
      <w:marLeft w:val="0"/>
      <w:marRight w:val="0"/>
      <w:marTop w:val="0"/>
      <w:marBottom w:val="0"/>
      <w:divBdr>
        <w:top w:val="none" w:sz="0" w:space="0" w:color="auto"/>
        <w:left w:val="none" w:sz="0" w:space="0" w:color="auto"/>
        <w:bottom w:val="none" w:sz="0" w:space="0" w:color="auto"/>
        <w:right w:val="none" w:sz="0" w:space="0" w:color="auto"/>
      </w:divBdr>
    </w:div>
    <w:div w:id="482158206">
      <w:bodyDiv w:val="1"/>
      <w:marLeft w:val="0"/>
      <w:marRight w:val="0"/>
      <w:marTop w:val="0"/>
      <w:marBottom w:val="0"/>
      <w:divBdr>
        <w:top w:val="none" w:sz="0" w:space="0" w:color="auto"/>
        <w:left w:val="none" w:sz="0" w:space="0" w:color="auto"/>
        <w:bottom w:val="none" w:sz="0" w:space="0" w:color="auto"/>
        <w:right w:val="none" w:sz="0" w:space="0" w:color="auto"/>
      </w:divBdr>
    </w:div>
    <w:div w:id="495924912">
      <w:bodyDiv w:val="1"/>
      <w:marLeft w:val="0"/>
      <w:marRight w:val="0"/>
      <w:marTop w:val="0"/>
      <w:marBottom w:val="0"/>
      <w:divBdr>
        <w:top w:val="none" w:sz="0" w:space="0" w:color="auto"/>
        <w:left w:val="none" w:sz="0" w:space="0" w:color="auto"/>
        <w:bottom w:val="none" w:sz="0" w:space="0" w:color="auto"/>
        <w:right w:val="none" w:sz="0" w:space="0" w:color="auto"/>
      </w:divBdr>
      <w:divsChild>
        <w:div w:id="335504518">
          <w:marLeft w:val="240"/>
          <w:marRight w:val="0"/>
          <w:marTop w:val="120"/>
          <w:marBottom w:val="0"/>
          <w:divBdr>
            <w:top w:val="none" w:sz="0" w:space="0" w:color="auto"/>
            <w:left w:val="none" w:sz="0" w:space="0" w:color="auto"/>
            <w:bottom w:val="none" w:sz="0" w:space="0" w:color="auto"/>
            <w:right w:val="none" w:sz="0" w:space="0" w:color="auto"/>
          </w:divBdr>
        </w:div>
      </w:divsChild>
    </w:div>
    <w:div w:id="500657721">
      <w:bodyDiv w:val="1"/>
      <w:marLeft w:val="0"/>
      <w:marRight w:val="0"/>
      <w:marTop w:val="0"/>
      <w:marBottom w:val="0"/>
      <w:divBdr>
        <w:top w:val="none" w:sz="0" w:space="0" w:color="auto"/>
        <w:left w:val="none" w:sz="0" w:space="0" w:color="auto"/>
        <w:bottom w:val="none" w:sz="0" w:space="0" w:color="auto"/>
        <w:right w:val="none" w:sz="0" w:space="0" w:color="auto"/>
      </w:divBdr>
    </w:div>
    <w:div w:id="522398351">
      <w:bodyDiv w:val="1"/>
      <w:marLeft w:val="0"/>
      <w:marRight w:val="0"/>
      <w:marTop w:val="0"/>
      <w:marBottom w:val="0"/>
      <w:divBdr>
        <w:top w:val="none" w:sz="0" w:space="0" w:color="auto"/>
        <w:left w:val="none" w:sz="0" w:space="0" w:color="auto"/>
        <w:bottom w:val="none" w:sz="0" w:space="0" w:color="auto"/>
        <w:right w:val="none" w:sz="0" w:space="0" w:color="auto"/>
      </w:divBdr>
    </w:div>
    <w:div w:id="530842521">
      <w:bodyDiv w:val="1"/>
      <w:marLeft w:val="0"/>
      <w:marRight w:val="0"/>
      <w:marTop w:val="0"/>
      <w:marBottom w:val="0"/>
      <w:divBdr>
        <w:top w:val="none" w:sz="0" w:space="0" w:color="auto"/>
        <w:left w:val="none" w:sz="0" w:space="0" w:color="auto"/>
        <w:bottom w:val="none" w:sz="0" w:space="0" w:color="auto"/>
        <w:right w:val="none" w:sz="0" w:space="0" w:color="auto"/>
      </w:divBdr>
      <w:divsChild>
        <w:div w:id="820274518">
          <w:marLeft w:val="240"/>
          <w:marRight w:val="0"/>
          <w:marTop w:val="60"/>
          <w:marBottom w:val="0"/>
          <w:divBdr>
            <w:top w:val="none" w:sz="0" w:space="0" w:color="auto"/>
            <w:left w:val="none" w:sz="0" w:space="0" w:color="auto"/>
            <w:bottom w:val="none" w:sz="0" w:space="0" w:color="auto"/>
            <w:right w:val="none" w:sz="0" w:space="0" w:color="auto"/>
          </w:divBdr>
        </w:div>
      </w:divsChild>
    </w:div>
    <w:div w:id="531311263">
      <w:bodyDiv w:val="1"/>
      <w:marLeft w:val="0"/>
      <w:marRight w:val="0"/>
      <w:marTop w:val="0"/>
      <w:marBottom w:val="0"/>
      <w:divBdr>
        <w:top w:val="none" w:sz="0" w:space="0" w:color="auto"/>
        <w:left w:val="none" w:sz="0" w:space="0" w:color="auto"/>
        <w:bottom w:val="none" w:sz="0" w:space="0" w:color="auto"/>
        <w:right w:val="none" w:sz="0" w:space="0" w:color="auto"/>
      </w:divBdr>
    </w:div>
    <w:div w:id="535970690">
      <w:bodyDiv w:val="1"/>
      <w:marLeft w:val="0"/>
      <w:marRight w:val="0"/>
      <w:marTop w:val="0"/>
      <w:marBottom w:val="0"/>
      <w:divBdr>
        <w:top w:val="none" w:sz="0" w:space="0" w:color="auto"/>
        <w:left w:val="none" w:sz="0" w:space="0" w:color="auto"/>
        <w:bottom w:val="none" w:sz="0" w:space="0" w:color="auto"/>
        <w:right w:val="none" w:sz="0" w:space="0" w:color="auto"/>
      </w:divBdr>
      <w:divsChild>
        <w:div w:id="131169873">
          <w:marLeft w:val="240"/>
          <w:marRight w:val="0"/>
          <w:marTop w:val="120"/>
          <w:marBottom w:val="0"/>
          <w:divBdr>
            <w:top w:val="none" w:sz="0" w:space="0" w:color="auto"/>
            <w:left w:val="none" w:sz="0" w:space="0" w:color="auto"/>
            <w:bottom w:val="none" w:sz="0" w:space="0" w:color="auto"/>
            <w:right w:val="none" w:sz="0" w:space="0" w:color="auto"/>
          </w:divBdr>
        </w:div>
        <w:div w:id="258950758">
          <w:marLeft w:val="240"/>
          <w:marRight w:val="0"/>
          <w:marTop w:val="120"/>
          <w:marBottom w:val="0"/>
          <w:divBdr>
            <w:top w:val="none" w:sz="0" w:space="0" w:color="auto"/>
            <w:left w:val="none" w:sz="0" w:space="0" w:color="auto"/>
            <w:bottom w:val="none" w:sz="0" w:space="0" w:color="auto"/>
            <w:right w:val="none" w:sz="0" w:space="0" w:color="auto"/>
          </w:divBdr>
        </w:div>
        <w:div w:id="291985435">
          <w:marLeft w:val="240"/>
          <w:marRight w:val="0"/>
          <w:marTop w:val="120"/>
          <w:marBottom w:val="0"/>
          <w:divBdr>
            <w:top w:val="none" w:sz="0" w:space="0" w:color="auto"/>
            <w:left w:val="none" w:sz="0" w:space="0" w:color="auto"/>
            <w:bottom w:val="none" w:sz="0" w:space="0" w:color="auto"/>
            <w:right w:val="none" w:sz="0" w:space="0" w:color="auto"/>
          </w:divBdr>
        </w:div>
        <w:div w:id="295910939">
          <w:marLeft w:val="240"/>
          <w:marRight w:val="0"/>
          <w:marTop w:val="120"/>
          <w:marBottom w:val="0"/>
          <w:divBdr>
            <w:top w:val="none" w:sz="0" w:space="0" w:color="auto"/>
            <w:left w:val="none" w:sz="0" w:space="0" w:color="auto"/>
            <w:bottom w:val="none" w:sz="0" w:space="0" w:color="auto"/>
            <w:right w:val="none" w:sz="0" w:space="0" w:color="auto"/>
          </w:divBdr>
        </w:div>
        <w:div w:id="310602428">
          <w:marLeft w:val="240"/>
          <w:marRight w:val="0"/>
          <w:marTop w:val="120"/>
          <w:marBottom w:val="0"/>
          <w:divBdr>
            <w:top w:val="none" w:sz="0" w:space="0" w:color="auto"/>
            <w:left w:val="none" w:sz="0" w:space="0" w:color="auto"/>
            <w:bottom w:val="none" w:sz="0" w:space="0" w:color="auto"/>
            <w:right w:val="none" w:sz="0" w:space="0" w:color="auto"/>
          </w:divBdr>
        </w:div>
        <w:div w:id="682898513">
          <w:marLeft w:val="240"/>
          <w:marRight w:val="0"/>
          <w:marTop w:val="120"/>
          <w:marBottom w:val="0"/>
          <w:divBdr>
            <w:top w:val="none" w:sz="0" w:space="0" w:color="auto"/>
            <w:left w:val="none" w:sz="0" w:space="0" w:color="auto"/>
            <w:bottom w:val="none" w:sz="0" w:space="0" w:color="auto"/>
            <w:right w:val="none" w:sz="0" w:space="0" w:color="auto"/>
          </w:divBdr>
        </w:div>
        <w:div w:id="801731786">
          <w:marLeft w:val="240"/>
          <w:marRight w:val="0"/>
          <w:marTop w:val="120"/>
          <w:marBottom w:val="0"/>
          <w:divBdr>
            <w:top w:val="none" w:sz="0" w:space="0" w:color="auto"/>
            <w:left w:val="none" w:sz="0" w:space="0" w:color="auto"/>
            <w:bottom w:val="none" w:sz="0" w:space="0" w:color="auto"/>
            <w:right w:val="none" w:sz="0" w:space="0" w:color="auto"/>
          </w:divBdr>
        </w:div>
        <w:div w:id="818232864">
          <w:marLeft w:val="240"/>
          <w:marRight w:val="0"/>
          <w:marTop w:val="120"/>
          <w:marBottom w:val="0"/>
          <w:divBdr>
            <w:top w:val="none" w:sz="0" w:space="0" w:color="auto"/>
            <w:left w:val="none" w:sz="0" w:space="0" w:color="auto"/>
            <w:bottom w:val="none" w:sz="0" w:space="0" w:color="auto"/>
            <w:right w:val="none" w:sz="0" w:space="0" w:color="auto"/>
          </w:divBdr>
        </w:div>
        <w:div w:id="1006249838">
          <w:marLeft w:val="240"/>
          <w:marRight w:val="0"/>
          <w:marTop w:val="120"/>
          <w:marBottom w:val="0"/>
          <w:divBdr>
            <w:top w:val="none" w:sz="0" w:space="0" w:color="auto"/>
            <w:left w:val="none" w:sz="0" w:space="0" w:color="auto"/>
            <w:bottom w:val="none" w:sz="0" w:space="0" w:color="auto"/>
            <w:right w:val="none" w:sz="0" w:space="0" w:color="auto"/>
          </w:divBdr>
        </w:div>
        <w:div w:id="1108695790">
          <w:marLeft w:val="240"/>
          <w:marRight w:val="0"/>
          <w:marTop w:val="120"/>
          <w:marBottom w:val="0"/>
          <w:divBdr>
            <w:top w:val="none" w:sz="0" w:space="0" w:color="auto"/>
            <w:left w:val="none" w:sz="0" w:space="0" w:color="auto"/>
            <w:bottom w:val="none" w:sz="0" w:space="0" w:color="auto"/>
            <w:right w:val="none" w:sz="0" w:space="0" w:color="auto"/>
          </w:divBdr>
        </w:div>
        <w:div w:id="1188831955">
          <w:marLeft w:val="240"/>
          <w:marRight w:val="0"/>
          <w:marTop w:val="120"/>
          <w:marBottom w:val="0"/>
          <w:divBdr>
            <w:top w:val="none" w:sz="0" w:space="0" w:color="auto"/>
            <w:left w:val="none" w:sz="0" w:space="0" w:color="auto"/>
            <w:bottom w:val="none" w:sz="0" w:space="0" w:color="auto"/>
            <w:right w:val="none" w:sz="0" w:space="0" w:color="auto"/>
          </w:divBdr>
        </w:div>
        <w:div w:id="1245262016">
          <w:marLeft w:val="240"/>
          <w:marRight w:val="0"/>
          <w:marTop w:val="120"/>
          <w:marBottom w:val="0"/>
          <w:divBdr>
            <w:top w:val="none" w:sz="0" w:space="0" w:color="auto"/>
            <w:left w:val="none" w:sz="0" w:space="0" w:color="auto"/>
            <w:bottom w:val="none" w:sz="0" w:space="0" w:color="auto"/>
            <w:right w:val="none" w:sz="0" w:space="0" w:color="auto"/>
          </w:divBdr>
        </w:div>
        <w:div w:id="1340424975">
          <w:marLeft w:val="240"/>
          <w:marRight w:val="0"/>
          <w:marTop w:val="120"/>
          <w:marBottom w:val="0"/>
          <w:divBdr>
            <w:top w:val="none" w:sz="0" w:space="0" w:color="auto"/>
            <w:left w:val="none" w:sz="0" w:space="0" w:color="auto"/>
            <w:bottom w:val="none" w:sz="0" w:space="0" w:color="auto"/>
            <w:right w:val="none" w:sz="0" w:space="0" w:color="auto"/>
          </w:divBdr>
        </w:div>
        <w:div w:id="1464032947">
          <w:marLeft w:val="240"/>
          <w:marRight w:val="0"/>
          <w:marTop w:val="120"/>
          <w:marBottom w:val="0"/>
          <w:divBdr>
            <w:top w:val="none" w:sz="0" w:space="0" w:color="auto"/>
            <w:left w:val="none" w:sz="0" w:space="0" w:color="auto"/>
            <w:bottom w:val="none" w:sz="0" w:space="0" w:color="auto"/>
            <w:right w:val="none" w:sz="0" w:space="0" w:color="auto"/>
          </w:divBdr>
        </w:div>
        <w:div w:id="1509640829">
          <w:marLeft w:val="240"/>
          <w:marRight w:val="0"/>
          <w:marTop w:val="120"/>
          <w:marBottom w:val="0"/>
          <w:divBdr>
            <w:top w:val="none" w:sz="0" w:space="0" w:color="auto"/>
            <w:left w:val="none" w:sz="0" w:space="0" w:color="auto"/>
            <w:bottom w:val="none" w:sz="0" w:space="0" w:color="auto"/>
            <w:right w:val="none" w:sz="0" w:space="0" w:color="auto"/>
          </w:divBdr>
        </w:div>
        <w:div w:id="1801916188">
          <w:marLeft w:val="240"/>
          <w:marRight w:val="0"/>
          <w:marTop w:val="120"/>
          <w:marBottom w:val="0"/>
          <w:divBdr>
            <w:top w:val="none" w:sz="0" w:space="0" w:color="auto"/>
            <w:left w:val="none" w:sz="0" w:space="0" w:color="auto"/>
            <w:bottom w:val="none" w:sz="0" w:space="0" w:color="auto"/>
            <w:right w:val="none" w:sz="0" w:space="0" w:color="auto"/>
          </w:divBdr>
        </w:div>
        <w:div w:id="1999264919">
          <w:marLeft w:val="240"/>
          <w:marRight w:val="0"/>
          <w:marTop w:val="120"/>
          <w:marBottom w:val="0"/>
          <w:divBdr>
            <w:top w:val="none" w:sz="0" w:space="0" w:color="auto"/>
            <w:left w:val="none" w:sz="0" w:space="0" w:color="auto"/>
            <w:bottom w:val="none" w:sz="0" w:space="0" w:color="auto"/>
            <w:right w:val="none" w:sz="0" w:space="0" w:color="auto"/>
          </w:divBdr>
        </w:div>
        <w:div w:id="2044817562">
          <w:marLeft w:val="240"/>
          <w:marRight w:val="0"/>
          <w:marTop w:val="120"/>
          <w:marBottom w:val="0"/>
          <w:divBdr>
            <w:top w:val="none" w:sz="0" w:space="0" w:color="auto"/>
            <w:left w:val="none" w:sz="0" w:space="0" w:color="auto"/>
            <w:bottom w:val="none" w:sz="0" w:space="0" w:color="auto"/>
            <w:right w:val="none" w:sz="0" w:space="0" w:color="auto"/>
          </w:divBdr>
        </w:div>
      </w:divsChild>
    </w:div>
    <w:div w:id="556278186">
      <w:bodyDiv w:val="1"/>
      <w:marLeft w:val="0"/>
      <w:marRight w:val="0"/>
      <w:marTop w:val="0"/>
      <w:marBottom w:val="0"/>
      <w:divBdr>
        <w:top w:val="none" w:sz="0" w:space="0" w:color="auto"/>
        <w:left w:val="none" w:sz="0" w:space="0" w:color="auto"/>
        <w:bottom w:val="none" w:sz="0" w:space="0" w:color="auto"/>
        <w:right w:val="none" w:sz="0" w:space="0" w:color="auto"/>
      </w:divBdr>
      <w:divsChild>
        <w:div w:id="1646278791">
          <w:marLeft w:val="240"/>
          <w:marRight w:val="0"/>
          <w:marTop w:val="60"/>
          <w:marBottom w:val="0"/>
          <w:divBdr>
            <w:top w:val="none" w:sz="0" w:space="0" w:color="auto"/>
            <w:left w:val="none" w:sz="0" w:space="0" w:color="auto"/>
            <w:bottom w:val="none" w:sz="0" w:space="0" w:color="auto"/>
            <w:right w:val="none" w:sz="0" w:space="0" w:color="auto"/>
          </w:divBdr>
        </w:div>
      </w:divsChild>
    </w:div>
    <w:div w:id="566260170">
      <w:bodyDiv w:val="1"/>
      <w:marLeft w:val="0"/>
      <w:marRight w:val="0"/>
      <w:marTop w:val="0"/>
      <w:marBottom w:val="0"/>
      <w:divBdr>
        <w:top w:val="none" w:sz="0" w:space="0" w:color="auto"/>
        <w:left w:val="none" w:sz="0" w:space="0" w:color="auto"/>
        <w:bottom w:val="none" w:sz="0" w:space="0" w:color="auto"/>
        <w:right w:val="none" w:sz="0" w:space="0" w:color="auto"/>
      </w:divBdr>
    </w:div>
    <w:div w:id="584340649">
      <w:bodyDiv w:val="1"/>
      <w:marLeft w:val="0"/>
      <w:marRight w:val="0"/>
      <w:marTop w:val="0"/>
      <w:marBottom w:val="0"/>
      <w:divBdr>
        <w:top w:val="none" w:sz="0" w:space="0" w:color="auto"/>
        <w:left w:val="none" w:sz="0" w:space="0" w:color="auto"/>
        <w:bottom w:val="none" w:sz="0" w:space="0" w:color="auto"/>
        <w:right w:val="none" w:sz="0" w:space="0" w:color="auto"/>
      </w:divBdr>
      <w:divsChild>
        <w:div w:id="629020678">
          <w:marLeft w:val="240"/>
          <w:marRight w:val="0"/>
          <w:marTop w:val="60"/>
          <w:marBottom w:val="0"/>
          <w:divBdr>
            <w:top w:val="none" w:sz="0" w:space="0" w:color="auto"/>
            <w:left w:val="none" w:sz="0" w:space="0" w:color="auto"/>
            <w:bottom w:val="none" w:sz="0" w:space="0" w:color="auto"/>
            <w:right w:val="none" w:sz="0" w:space="0" w:color="auto"/>
          </w:divBdr>
        </w:div>
      </w:divsChild>
    </w:div>
    <w:div w:id="585460783">
      <w:bodyDiv w:val="1"/>
      <w:marLeft w:val="0"/>
      <w:marRight w:val="0"/>
      <w:marTop w:val="0"/>
      <w:marBottom w:val="0"/>
      <w:divBdr>
        <w:top w:val="none" w:sz="0" w:space="0" w:color="auto"/>
        <w:left w:val="none" w:sz="0" w:space="0" w:color="auto"/>
        <w:bottom w:val="none" w:sz="0" w:space="0" w:color="auto"/>
        <w:right w:val="none" w:sz="0" w:space="0" w:color="auto"/>
      </w:divBdr>
    </w:div>
    <w:div w:id="594554466">
      <w:bodyDiv w:val="1"/>
      <w:marLeft w:val="0"/>
      <w:marRight w:val="0"/>
      <w:marTop w:val="0"/>
      <w:marBottom w:val="0"/>
      <w:divBdr>
        <w:top w:val="none" w:sz="0" w:space="0" w:color="auto"/>
        <w:left w:val="none" w:sz="0" w:space="0" w:color="auto"/>
        <w:bottom w:val="none" w:sz="0" w:space="0" w:color="auto"/>
        <w:right w:val="none" w:sz="0" w:space="0" w:color="auto"/>
      </w:divBdr>
    </w:div>
    <w:div w:id="610237908">
      <w:bodyDiv w:val="1"/>
      <w:marLeft w:val="0"/>
      <w:marRight w:val="0"/>
      <w:marTop w:val="0"/>
      <w:marBottom w:val="0"/>
      <w:divBdr>
        <w:top w:val="none" w:sz="0" w:space="0" w:color="auto"/>
        <w:left w:val="none" w:sz="0" w:space="0" w:color="auto"/>
        <w:bottom w:val="none" w:sz="0" w:space="0" w:color="auto"/>
        <w:right w:val="none" w:sz="0" w:space="0" w:color="auto"/>
      </w:divBdr>
      <w:divsChild>
        <w:div w:id="536116334">
          <w:marLeft w:val="240"/>
          <w:marRight w:val="0"/>
          <w:marTop w:val="60"/>
          <w:marBottom w:val="0"/>
          <w:divBdr>
            <w:top w:val="none" w:sz="0" w:space="0" w:color="auto"/>
            <w:left w:val="none" w:sz="0" w:space="0" w:color="auto"/>
            <w:bottom w:val="none" w:sz="0" w:space="0" w:color="auto"/>
            <w:right w:val="none" w:sz="0" w:space="0" w:color="auto"/>
          </w:divBdr>
        </w:div>
      </w:divsChild>
    </w:div>
    <w:div w:id="628166645">
      <w:bodyDiv w:val="1"/>
      <w:marLeft w:val="0"/>
      <w:marRight w:val="0"/>
      <w:marTop w:val="0"/>
      <w:marBottom w:val="0"/>
      <w:divBdr>
        <w:top w:val="none" w:sz="0" w:space="0" w:color="auto"/>
        <w:left w:val="none" w:sz="0" w:space="0" w:color="auto"/>
        <w:bottom w:val="none" w:sz="0" w:space="0" w:color="auto"/>
        <w:right w:val="none" w:sz="0" w:space="0" w:color="auto"/>
      </w:divBdr>
    </w:div>
    <w:div w:id="634027336">
      <w:bodyDiv w:val="1"/>
      <w:marLeft w:val="0"/>
      <w:marRight w:val="0"/>
      <w:marTop w:val="0"/>
      <w:marBottom w:val="0"/>
      <w:divBdr>
        <w:top w:val="none" w:sz="0" w:space="0" w:color="auto"/>
        <w:left w:val="none" w:sz="0" w:space="0" w:color="auto"/>
        <w:bottom w:val="none" w:sz="0" w:space="0" w:color="auto"/>
        <w:right w:val="none" w:sz="0" w:space="0" w:color="auto"/>
      </w:divBdr>
      <w:divsChild>
        <w:div w:id="1184124631">
          <w:marLeft w:val="240"/>
          <w:marRight w:val="0"/>
          <w:marTop w:val="60"/>
          <w:marBottom w:val="0"/>
          <w:divBdr>
            <w:top w:val="none" w:sz="0" w:space="0" w:color="auto"/>
            <w:left w:val="none" w:sz="0" w:space="0" w:color="auto"/>
            <w:bottom w:val="none" w:sz="0" w:space="0" w:color="auto"/>
            <w:right w:val="none" w:sz="0" w:space="0" w:color="auto"/>
          </w:divBdr>
        </w:div>
      </w:divsChild>
    </w:div>
    <w:div w:id="643125776">
      <w:bodyDiv w:val="1"/>
      <w:marLeft w:val="0"/>
      <w:marRight w:val="0"/>
      <w:marTop w:val="0"/>
      <w:marBottom w:val="0"/>
      <w:divBdr>
        <w:top w:val="none" w:sz="0" w:space="0" w:color="auto"/>
        <w:left w:val="none" w:sz="0" w:space="0" w:color="auto"/>
        <w:bottom w:val="none" w:sz="0" w:space="0" w:color="auto"/>
        <w:right w:val="none" w:sz="0" w:space="0" w:color="auto"/>
      </w:divBdr>
    </w:div>
    <w:div w:id="647784879">
      <w:bodyDiv w:val="1"/>
      <w:marLeft w:val="0"/>
      <w:marRight w:val="0"/>
      <w:marTop w:val="0"/>
      <w:marBottom w:val="0"/>
      <w:divBdr>
        <w:top w:val="none" w:sz="0" w:space="0" w:color="auto"/>
        <w:left w:val="none" w:sz="0" w:space="0" w:color="auto"/>
        <w:bottom w:val="none" w:sz="0" w:space="0" w:color="auto"/>
        <w:right w:val="none" w:sz="0" w:space="0" w:color="auto"/>
      </w:divBdr>
      <w:divsChild>
        <w:div w:id="928588209">
          <w:marLeft w:val="240"/>
          <w:marRight w:val="0"/>
          <w:marTop w:val="60"/>
          <w:marBottom w:val="0"/>
          <w:divBdr>
            <w:top w:val="none" w:sz="0" w:space="0" w:color="auto"/>
            <w:left w:val="none" w:sz="0" w:space="0" w:color="auto"/>
            <w:bottom w:val="none" w:sz="0" w:space="0" w:color="auto"/>
            <w:right w:val="none" w:sz="0" w:space="0" w:color="auto"/>
          </w:divBdr>
        </w:div>
      </w:divsChild>
    </w:div>
    <w:div w:id="648554522">
      <w:bodyDiv w:val="1"/>
      <w:marLeft w:val="0"/>
      <w:marRight w:val="0"/>
      <w:marTop w:val="0"/>
      <w:marBottom w:val="0"/>
      <w:divBdr>
        <w:top w:val="none" w:sz="0" w:space="0" w:color="auto"/>
        <w:left w:val="none" w:sz="0" w:space="0" w:color="auto"/>
        <w:bottom w:val="none" w:sz="0" w:space="0" w:color="auto"/>
        <w:right w:val="none" w:sz="0" w:space="0" w:color="auto"/>
      </w:divBdr>
    </w:div>
    <w:div w:id="662974358">
      <w:bodyDiv w:val="1"/>
      <w:marLeft w:val="0"/>
      <w:marRight w:val="0"/>
      <w:marTop w:val="0"/>
      <w:marBottom w:val="0"/>
      <w:divBdr>
        <w:top w:val="none" w:sz="0" w:space="0" w:color="auto"/>
        <w:left w:val="none" w:sz="0" w:space="0" w:color="auto"/>
        <w:bottom w:val="none" w:sz="0" w:space="0" w:color="auto"/>
        <w:right w:val="none" w:sz="0" w:space="0" w:color="auto"/>
      </w:divBdr>
    </w:div>
    <w:div w:id="663974558">
      <w:bodyDiv w:val="1"/>
      <w:marLeft w:val="0"/>
      <w:marRight w:val="0"/>
      <w:marTop w:val="0"/>
      <w:marBottom w:val="0"/>
      <w:divBdr>
        <w:top w:val="none" w:sz="0" w:space="0" w:color="auto"/>
        <w:left w:val="none" w:sz="0" w:space="0" w:color="auto"/>
        <w:bottom w:val="none" w:sz="0" w:space="0" w:color="auto"/>
        <w:right w:val="none" w:sz="0" w:space="0" w:color="auto"/>
      </w:divBdr>
    </w:div>
    <w:div w:id="665092095">
      <w:bodyDiv w:val="1"/>
      <w:marLeft w:val="0"/>
      <w:marRight w:val="0"/>
      <w:marTop w:val="0"/>
      <w:marBottom w:val="0"/>
      <w:divBdr>
        <w:top w:val="none" w:sz="0" w:space="0" w:color="auto"/>
        <w:left w:val="none" w:sz="0" w:space="0" w:color="auto"/>
        <w:bottom w:val="none" w:sz="0" w:space="0" w:color="auto"/>
        <w:right w:val="none" w:sz="0" w:space="0" w:color="auto"/>
      </w:divBdr>
      <w:divsChild>
        <w:div w:id="242448016">
          <w:marLeft w:val="240"/>
          <w:marRight w:val="0"/>
          <w:marTop w:val="120"/>
          <w:marBottom w:val="0"/>
          <w:divBdr>
            <w:top w:val="none" w:sz="0" w:space="0" w:color="auto"/>
            <w:left w:val="none" w:sz="0" w:space="0" w:color="auto"/>
            <w:bottom w:val="none" w:sz="0" w:space="0" w:color="auto"/>
            <w:right w:val="none" w:sz="0" w:space="0" w:color="auto"/>
          </w:divBdr>
        </w:div>
      </w:divsChild>
    </w:div>
    <w:div w:id="669018765">
      <w:bodyDiv w:val="1"/>
      <w:marLeft w:val="0"/>
      <w:marRight w:val="0"/>
      <w:marTop w:val="0"/>
      <w:marBottom w:val="0"/>
      <w:divBdr>
        <w:top w:val="none" w:sz="0" w:space="0" w:color="auto"/>
        <w:left w:val="none" w:sz="0" w:space="0" w:color="auto"/>
        <w:bottom w:val="none" w:sz="0" w:space="0" w:color="auto"/>
        <w:right w:val="none" w:sz="0" w:space="0" w:color="auto"/>
      </w:divBdr>
    </w:div>
    <w:div w:id="669409518">
      <w:bodyDiv w:val="1"/>
      <w:marLeft w:val="0"/>
      <w:marRight w:val="0"/>
      <w:marTop w:val="0"/>
      <w:marBottom w:val="0"/>
      <w:divBdr>
        <w:top w:val="none" w:sz="0" w:space="0" w:color="auto"/>
        <w:left w:val="none" w:sz="0" w:space="0" w:color="auto"/>
        <w:bottom w:val="none" w:sz="0" w:space="0" w:color="auto"/>
        <w:right w:val="none" w:sz="0" w:space="0" w:color="auto"/>
      </w:divBdr>
    </w:div>
    <w:div w:id="701708612">
      <w:bodyDiv w:val="1"/>
      <w:marLeft w:val="0"/>
      <w:marRight w:val="0"/>
      <w:marTop w:val="0"/>
      <w:marBottom w:val="0"/>
      <w:divBdr>
        <w:top w:val="none" w:sz="0" w:space="0" w:color="auto"/>
        <w:left w:val="none" w:sz="0" w:space="0" w:color="auto"/>
        <w:bottom w:val="none" w:sz="0" w:space="0" w:color="auto"/>
        <w:right w:val="none" w:sz="0" w:space="0" w:color="auto"/>
      </w:divBdr>
    </w:div>
    <w:div w:id="706566659">
      <w:bodyDiv w:val="1"/>
      <w:marLeft w:val="0"/>
      <w:marRight w:val="0"/>
      <w:marTop w:val="0"/>
      <w:marBottom w:val="0"/>
      <w:divBdr>
        <w:top w:val="none" w:sz="0" w:space="0" w:color="auto"/>
        <w:left w:val="none" w:sz="0" w:space="0" w:color="auto"/>
        <w:bottom w:val="none" w:sz="0" w:space="0" w:color="auto"/>
        <w:right w:val="none" w:sz="0" w:space="0" w:color="auto"/>
      </w:divBdr>
    </w:div>
    <w:div w:id="720598389">
      <w:bodyDiv w:val="1"/>
      <w:marLeft w:val="0"/>
      <w:marRight w:val="0"/>
      <w:marTop w:val="0"/>
      <w:marBottom w:val="0"/>
      <w:divBdr>
        <w:top w:val="none" w:sz="0" w:space="0" w:color="auto"/>
        <w:left w:val="none" w:sz="0" w:space="0" w:color="auto"/>
        <w:bottom w:val="none" w:sz="0" w:space="0" w:color="auto"/>
        <w:right w:val="none" w:sz="0" w:space="0" w:color="auto"/>
      </w:divBdr>
    </w:div>
    <w:div w:id="734669038">
      <w:bodyDiv w:val="1"/>
      <w:marLeft w:val="0"/>
      <w:marRight w:val="0"/>
      <w:marTop w:val="0"/>
      <w:marBottom w:val="0"/>
      <w:divBdr>
        <w:top w:val="none" w:sz="0" w:space="0" w:color="auto"/>
        <w:left w:val="none" w:sz="0" w:space="0" w:color="auto"/>
        <w:bottom w:val="none" w:sz="0" w:space="0" w:color="auto"/>
        <w:right w:val="none" w:sz="0" w:space="0" w:color="auto"/>
      </w:divBdr>
      <w:divsChild>
        <w:div w:id="704016309">
          <w:marLeft w:val="240"/>
          <w:marRight w:val="0"/>
          <w:marTop w:val="60"/>
          <w:marBottom w:val="0"/>
          <w:divBdr>
            <w:top w:val="none" w:sz="0" w:space="0" w:color="auto"/>
            <w:left w:val="none" w:sz="0" w:space="0" w:color="auto"/>
            <w:bottom w:val="none" w:sz="0" w:space="0" w:color="auto"/>
            <w:right w:val="none" w:sz="0" w:space="0" w:color="auto"/>
          </w:divBdr>
        </w:div>
      </w:divsChild>
    </w:div>
    <w:div w:id="748233707">
      <w:bodyDiv w:val="1"/>
      <w:marLeft w:val="0"/>
      <w:marRight w:val="0"/>
      <w:marTop w:val="0"/>
      <w:marBottom w:val="0"/>
      <w:divBdr>
        <w:top w:val="none" w:sz="0" w:space="0" w:color="auto"/>
        <w:left w:val="none" w:sz="0" w:space="0" w:color="auto"/>
        <w:bottom w:val="none" w:sz="0" w:space="0" w:color="auto"/>
        <w:right w:val="none" w:sz="0" w:space="0" w:color="auto"/>
      </w:divBdr>
      <w:divsChild>
        <w:div w:id="56055047">
          <w:marLeft w:val="240"/>
          <w:marRight w:val="0"/>
          <w:marTop w:val="60"/>
          <w:marBottom w:val="0"/>
          <w:divBdr>
            <w:top w:val="none" w:sz="0" w:space="0" w:color="auto"/>
            <w:left w:val="none" w:sz="0" w:space="0" w:color="auto"/>
            <w:bottom w:val="none" w:sz="0" w:space="0" w:color="auto"/>
            <w:right w:val="none" w:sz="0" w:space="0" w:color="auto"/>
          </w:divBdr>
        </w:div>
        <w:div w:id="240873834">
          <w:marLeft w:val="240"/>
          <w:marRight w:val="0"/>
          <w:marTop w:val="60"/>
          <w:marBottom w:val="0"/>
          <w:divBdr>
            <w:top w:val="none" w:sz="0" w:space="0" w:color="auto"/>
            <w:left w:val="none" w:sz="0" w:space="0" w:color="auto"/>
            <w:bottom w:val="none" w:sz="0" w:space="0" w:color="auto"/>
            <w:right w:val="none" w:sz="0" w:space="0" w:color="auto"/>
          </w:divBdr>
        </w:div>
        <w:div w:id="418908225">
          <w:marLeft w:val="240"/>
          <w:marRight w:val="0"/>
          <w:marTop w:val="60"/>
          <w:marBottom w:val="0"/>
          <w:divBdr>
            <w:top w:val="none" w:sz="0" w:space="0" w:color="auto"/>
            <w:left w:val="none" w:sz="0" w:space="0" w:color="auto"/>
            <w:bottom w:val="none" w:sz="0" w:space="0" w:color="auto"/>
            <w:right w:val="none" w:sz="0" w:space="0" w:color="auto"/>
          </w:divBdr>
        </w:div>
        <w:div w:id="489250850">
          <w:marLeft w:val="240"/>
          <w:marRight w:val="0"/>
          <w:marTop w:val="60"/>
          <w:marBottom w:val="0"/>
          <w:divBdr>
            <w:top w:val="none" w:sz="0" w:space="0" w:color="auto"/>
            <w:left w:val="none" w:sz="0" w:space="0" w:color="auto"/>
            <w:bottom w:val="none" w:sz="0" w:space="0" w:color="auto"/>
            <w:right w:val="none" w:sz="0" w:space="0" w:color="auto"/>
          </w:divBdr>
        </w:div>
        <w:div w:id="577204265">
          <w:marLeft w:val="240"/>
          <w:marRight w:val="0"/>
          <w:marTop w:val="60"/>
          <w:marBottom w:val="0"/>
          <w:divBdr>
            <w:top w:val="none" w:sz="0" w:space="0" w:color="auto"/>
            <w:left w:val="none" w:sz="0" w:space="0" w:color="auto"/>
            <w:bottom w:val="none" w:sz="0" w:space="0" w:color="auto"/>
            <w:right w:val="none" w:sz="0" w:space="0" w:color="auto"/>
          </w:divBdr>
        </w:div>
        <w:div w:id="708846854">
          <w:marLeft w:val="240"/>
          <w:marRight w:val="0"/>
          <w:marTop w:val="60"/>
          <w:marBottom w:val="0"/>
          <w:divBdr>
            <w:top w:val="none" w:sz="0" w:space="0" w:color="auto"/>
            <w:left w:val="none" w:sz="0" w:space="0" w:color="auto"/>
            <w:bottom w:val="none" w:sz="0" w:space="0" w:color="auto"/>
            <w:right w:val="none" w:sz="0" w:space="0" w:color="auto"/>
          </w:divBdr>
        </w:div>
        <w:div w:id="1503471886">
          <w:marLeft w:val="240"/>
          <w:marRight w:val="0"/>
          <w:marTop w:val="60"/>
          <w:marBottom w:val="0"/>
          <w:divBdr>
            <w:top w:val="none" w:sz="0" w:space="0" w:color="auto"/>
            <w:left w:val="none" w:sz="0" w:space="0" w:color="auto"/>
            <w:bottom w:val="none" w:sz="0" w:space="0" w:color="auto"/>
            <w:right w:val="none" w:sz="0" w:space="0" w:color="auto"/>
          </w:divBdr>
        </w:div>
        <w:div w:id="1624533140">
          <w:marLeft w:val="240"/>
          <w:marRight w:val="0"/>
          <w:marTop w:val="60"/>
          <w:marBottom w:val="0"/>
          <w:divBdr>
            <w:top w:val="none" w:sz="0" w:space="0" w:color="auto"/>
            <w:left w:val="none" w:sz="0" w:space="0" w:color="auto"/>
            <w:bottom w:val="none" w:sz="0" w:space="0" w:color="auto"/>
            <w:right w:val="none" w:sz="0" w:space="0" w:color="auto"/>
          </w:divBdr>
        </w:div>
        <w:div w:id="1634940167">
          <w:marLeft w:val="240"/>
          <w:marRight w:val="0"/>
          <w:marTop w:val="60"/>
          <w:marBottom w:val="0"/>
          <w:divBdr>
            <w:top w:val="none" w:sz="0" w:space="0" w:color="auto"/>
            <w:left w:val="none" w:sz="0" w:space="0" w:color="auto"/>
            <w:bottom w:val="none" w:sz="0" w:space="0" w:color="auto"/>
            <w:right w:val="none" w:sz="0" w:space="0" w:color="auto"/>
          </w:divBdr>
        </w:div>
        <w:div w:id="2048488482">
          <w:marLeft w:val="240"/>
          <w:marRight w:val="0"/>
          <w:marTop w:val="60"/>
          <w:marBottom w:val="0"/>
          <w:divBdr>
            <w:top w:val="none" w:sz="0" w:space="0" w:color="auto"/>
            <w:left w:val="none" w:sz="0" w:space="0" w:color="auto"/>
            <w:bottom w:val="none" w:sz="0" w:space="0" w:color="auto"/>
            <w:right w:val="none" w:sz="0" w:space="0" w:color="auto"/>
          </w:divBdr>
        </w:div>
      </w:divsChild>
    </w:div>
    <w:div w:id="755176293">
      <w:bodyDiv w:val="1"/>
      <w:marLeft w:val="0"/>
      <w:marRight w:val="0"/>
      <w:marTop w:val="0"/>
      <w:marBottom w:val="0"/>
      <w:divBdr>
        <w:top w:val="none" w:sz="0" w:space="0" w:color="auto"/>
        <w:left w:val="none" w:sz="0" w:space="0" w:color="auto"/>
        <w:bottom w:val="none" w:sz="0" w:space="0" w:color="auto"/>
        <w:right w:val="none" w:sz="0" w:space="0" w:color="auto"/>
      </w:divBdr>
      <w:divsChild>
        <w:div w:id="638195402">
          <w:marLeft w:val="240"/>
          <w:marRight w:val="0"/>
          <w:marTop w:val="120"/>
          <w:marBottom w:val="0"/>
          <w:divBdr>
            <w:top w:val="none" w:sz="0" w:space="0" w:color="auto"/>
            <w:left w:val="none" w:sz="0" w:space="0" w:color="auto"/>
            <w:bottom w:val="none" w:sz="0" w:space="0" w:color="auto"/>
            <w:right w:val="none" w:sz="0" w:space="0" w:color="auto"/>
          </w:divBdr>
        </w:div>
        <w:div w:id="1429545290">
          <w:marLeft w:val="240"/>
          <w:marRight w:val="0"/>
          <w:marTop w:val="120"/>
          <w:marBottom w:val="0"/>
          <w:divBdr>
            <w:top w:val="none" w:sz="0" w:space="0" w:color="auto"/>
            <w:left w:val="none" w:sz="0" w:space="0" w:color="auto"/>
            <w:bottom w:val="none" w:sz="0" w:space="0" w:color="auto"/>
            <w:right w:val="none" w:sz="0" w:space="0" w:color="auto"/>
          </w:divBdr>
        </w:div>
      </w:divsChild>
    </w:div>
    <w:div w:id="776096528">
      <w:bodyDiv w:val="1"/>
      <w:marLeft w:val="0"/>
      <w:marRight w:val="0"/>
      <w:marTop w:val="0"/>
      <w:marBottom w:val="0"/>
      <w:divBdr>
        <w:top w:val="none" w:sz="0" w:space="0" w:color="auto"/>
        <w:left w:val="none" w:sz="0" w:space="0" w:color="auto"/>
        <w:bottom w:val="none" w:sz="0" w:space="0" w:color="auto"/>
        <w:right w:val="none" w:sz="0" w:space="0" w:color="auto"/>
      </w:divBdr>
    </w:div>
    <w:div w:id="799307020">
      <w:bodyDiv w:val="1"/>
      <w:marLeft w:val="0"/>
      <w:marRight w:val="0"/>
      <w:marTop w:val="0"/>
      <w:marBottom w:val="0"/>
      <w:divBdr>
        <w:top w:val="none" w:sz="0" w:space="0" w:color="auto"/>
        <w:left w:val="none" w:sz="0" w:space="0" w:color="auto"/>
        <w:bottom w:val="none" w:sz="0" w:space="0" w:color="auto"/>
        <w:right w:val="none" w:sz="0" w:space="0" w:color="auto"/>
      </w:divBdr>
    </w:div>
    <w:div w:id="801845003">
      <w:bodyDiv w:val="1"/>
      <w:marLeft w:val="0"/>
      <w:marRight w:val="0"/>
      <w:marTop w:val="0"/>
      <w:marBottom w:val="0"/>
      <w:divBdr>
        <w:top w:val="none" w:sz="0" w:space="0" w:color="auto"/>
        <w:left w:val="none" w:sz="0" w:space="0" w:color="auto"/>
        <w:bottom w:val="none" w:sz="0" w:space="0" w:color="auto"/>
        <w:right w:val="none" w:sz="0" w:space="0" w:color="auto"/>
      </w:divBdr>
    </w:div>
    <w:div w:id="812868331">
      <w:bodyDiv w:val="1"/>
      <w:marLeft w:val="0"/>
      <w:marRight w:val="0"/>
      <w:marTop w:val="0"/>
      <w:marBottom w:val="0"/>
      <w:divBdr>
        <w:top w:val="none" w:sz="0" w:space="0" w:color="auto"/>
        <w:left w:val="none" w:sz="0" w:space="0" w:color="auto"/>
        <w:bottom w:val="none" w:sz="0" w:space="0" w:color="auto"/>
        <w:right w:val="none" w:sz="0" w:space="0" w:color="auto"/>
      </w:divBdr>
    </w:div>
    <w:div w:id="840704640">
      <w:bodyDiv w:val="1"/>
      <w:marLeft w:val="0"/>
      <w:marRight w:val="0"/>
      <w:marTop w:val="0"/>
      <w:marBottom w:val="0"/>
      <w:divBdr>
        <w:top w:val="none" w:sz="0" w:space="0" w:color="auto"/>
        <w:left w:val="none" w:sz="0" w:space="0" w:color="auto"/>
        <w:bottom w:val="none" w:sz="0" w:space="0" w:color="auto"/>
        <w:right w:val="none" w:sz="0" w:space="0" w:color="auto"/>
      </w:divBdr>
    </w:div>
    <w:div w:id="874927156">
      <w:bodyDiv w:val="1"/>
      <w:marLeft w:val="0"/>
      <w:marRight w:val="0"/>
      <w:marTop w:val="0"/>
      <w:marBottom w:val="0"/>
      <w:divBdr>
        <w:top w:val="none" w:sz="0" w:space="0" w:color="auto"/>
        <w:left w:val="none" w:sz="0" w:space="0" w:color="auto"/>
        <w:bottom w:val="none" w:sz="0" w:space="0" w:color="auto"/>
        <w:right w:val="none" w:sz="0" w:space="0" w:color="auto"/>
      </w:divBdr>
    </w:div>
    <w:div w:id="883172581">
      <w:bodyDiv w:val="1"/>
      <w:marLeft w:val="0"/>
      <w:marRight w:val="0"/>
      <w:marTop w:val="0"/>
      <w:marBottom w:val="0"/>
      <w:divBdr>
        <w:top w:val="none" w:sz="0" w:space="0" w:color="auto"/>
        <w:left w:val="none" w:sz="0" w:space="0" w:color="auto"/>
        <w:bottom w:val="none" w:sz="0" w:space="0" w:color="auto"/>
        <w:right w:val="none" w:sz="0" w:space="0" w:color="auto"/>
      </w:divBdr>
    </w:div>
    <w:div w:id="887034488">
      <w:bodyDiv w:val="1"/>
      <w:marLeft w:val="0"/>
      <w:marRight w:val="0"/>
      <w:marTop w:val="0"/>
      <w:marBottom w:val="0"/>
      <w:divBdr>
        <w:top w:val="none" w:sz="0" w:space="0" w:color="auto"/>
        <w:left w:val="none" w:sz="0" w:space="0" w:color="auto"/>
        <w:bottom w:val="none" w:sz="0" w:space="0" w:color="auto"/>
        <w:right w:val="none" w:sz="0" w:space="0" w:color="auto"/>
      </w:divBdr>
    </w:div>
    <w:div w:id="891305756">
      <w:bodyDiv w:val="1"/>
      <w:marLeft w:val="0"/>
      <w:marRight w:val="0"/>
      <w:marTop w:val="0"/>
      <w:marBottom w:val="0"/>
      <w:divBdr>
        <w:top w:val="none" w:sz="0" w:space="0" w:color="auto"/>
        <w:left w:val="none" w:sz="0" w:space="0" w:color="auto"/>
        <w:bottom w:val="none" w:sz="0" w:space="0" w:color="auto"/>
        <w:right w:val="none" w:sz="0" w:space="0" w:color="auto"/>
      </w:divBdr>
      <w:divsChild>
        <w:div w:id="536159259">
          <w:marLeft w:val="240"/>
          <w:marRight w:val="0"/>
          <w:marTop w:val="60"/>
          <w:marBottom w:val="0"/>
          <w:divBdr>
            <w:top w:val="none" w:sz="0" w:space="0" w:color="auto"/>
            <w:left w:val="none" w:sz="0" w:space="0" w:color="auto"/>
            <w:bottom w:val="none" w:sz="0" w:space="0" w:color="auto"/>
            <w:right w:val="none" w:sz="0" w:space="0" w:color="auto"/>
          </w:divBdr>
        </w:div>
      </w:divsChild>
    </w:div>
    <w:div w:id="898050284">
      <w:bodyDiv w:val="1"/>
      <w:marLeft w:val="0"/>
      <w:marRight w:val="0"/>
      <w:marTop w:val="0"/>
      <w:marBottom w:val="0"/>
      <w:divBdr>
        <w:top w:val="none" w:sz="0" w:space="0" w:color="auto"/>
        <w:left w:val="none" w:sz="0" w:space="0" w:color="auto"/>
        <w:bottom w:val="none" w:sz="0" w:space="0" w:color="auto"/>
        <w:right w:val="none" w:sz="0" w:space="0" w:color="auto"/>
      </w:divBdr>
    </w:div>
    <w:div w:id="907616419">
      <w:bodyDiv w:val="1"/>
      <w:marLeft w:val="0"/>
      <w:marRight w:val="0"/>
      <w:marTop w:val="0"/>
      <w:marBottom w:val="0"/>
      <w:divBdr>
        <w:top w:val="none" w:sz="0" w:space="0" w:color="auto"/>
        <w:left w:val="none" w:sz="0" w:space="0" w:color="auto"/>
        <w:bottom w:val="none" w:sz="0" w:space="0" w:color="auto"/>
        <w:right w:val="none" w:sz="0" w:space="0" w:color="auto"/>
      </w:divBdr>
    </w:div>
    <w:div w:id="917515850">
      <w:bodyDiv w:val="1"/>
      <w:marLeft w:val="0"/>
      <w:marRight w:val="0"/>
      <w:marTop w:val="0"/>
      <w:marBottom w:val="0"/>
      <w:divBdr>
        <w:top w:val="none" w:sz="0" w:space="0" w:color="auto"/>
        <w:left w:val="none" w:sz="0" w:space="0" w:color="auto"/>
        <w:bottom w:val="none" w:sz="0" w:space="0" w:color="auto"/>
        <w:right w:val="none" w:sz="0" w:space="0" w:color="auto"/>
      </w:divBdr>
    </w:div>
    <w:div w:id="917711159">
      <w:bodyDiv w:val="1"/>
      <w:marLeft w:val="0"/>
      <w:marRight w:val="0"/>
      <w:marTop w:val="0"/>
      <w:marBottom w:val="0"/>
      <w:divBdr>
        <w:top w:val="none" w:sz="0" w:space="0" w:color="auto"/>
        <w:left w:val="none" w:sz="0" w:space="0" w:color="auto"/>
        <w:bottom w:val="none" w:sz="0" w:space="0" w:color="auto"/>
        <w:right w:val="none" w:sz="0" w:space="0" w:color="auto"/>
      </w:divBdr>
    </w:div>
    <w:div w:id="931549987">
      <w:bodyDiv w:val="1"/>
      <w:marLeft w:val="0"/>
      <w:marRight w:val="0"/>
      <w:marTop w:val="0"/>
      <w:marBottom w:val="0"/>
      <w:divBdr>
        <w:top w:val="none" w:sz="0" w:space="0" w:color="auto"/>
        <w:left w:val="none" w:sz="0" w:space="0" w:color="auto"/>
        <w:bottom w:val="none" w:sz="0" w:space="0" w:color="auto"/>
        <w:right w:val="none" w:sz="0" w:space="0" w:color="auto"/>
      </w:divBdr>
    </w:div>
    <w:div w:id="944966713">
      <w:bodyDiv w:val="1"/>
      <w:marLeft w:val="0"/>
      <w:marRight w:val="0"/>
      <w:marTop w:val="0"/>
      <w:marBottom w:val="0"/>
      <w:divBdr>
        <w:top w:val="none" w:sz="0" w:space="0" w:color="auto"/>
        <w:left w:val="none" w:sz="0" w:space="0" w:color="auto"/>
        <w:bottom w:val="none" w:sz="0" w:space="0" w:color="auto"/>
        <w:right w:val="none" w:sz="0" w:space="0" w:color="auto"/>
      </w:divBdr>
    </w:div>
    <w:div w:id="946234434">
      <w:bodyDiv w:val="1"/>
      <w:marLeft w:val="0"/>
      <w:marRight w:val="0"/>
      <w:marTop w:val="0"/>
      <w:marBottom w:val="0"/>
      <w:divBdr>
        <w:top w:val="none" w:sz="0" w:space="0" w:color="auto"/>
        <w:left w:val="none" w:sz="0" w:space="0" w:color="auto"/>
        <w:bottom w:val="none" w:sz="0" w:space="0" w:color="auto"/>
        <w:right w:val="none" w:sz="0" w:space="0" w:color="auto"/>
      </w:divBdr>
    </w:div>
    <w:div w:id="949511720">
      <w:bodyDiv w:val="1"/>
      <w:marLeft w:val="0"/>
      <w:marRight w:val="0"/>
      <w:marTop w:val="0"/>
      <w:marBottom w:val="0"/>
      <w:divBdr>
        <w:top w:val="none" w:sz="0" w:space="0" w:color="auto"/>
        <w:left w:val="none" w:sz="0" w:space="0" w:color="auto"/>
        <w:bottom w:val="none" w:sz="0" w:space="0" w:color="auto"/>
        <w:right w:val="none" w:sz="0" w:space="0" w:color="auto"/>
      </w:divBdr>
    </w:div>
    <w:div w:id="952591346">
      <w:bodyDiv w:val="1"/>
      <w:marLeft w:val="0"/>
      <w:marRight w:val="0"/>
      <w:marTop w:val="0"/>
      <w:marBottom w:val="0"/>
      <w:divBdr>
        <w:top w:val="none" w:sz="0" w:space="0" w:color="auto"/>
        <w:left w:val="none" w:sz="0" w:space="0" w:color="auto"/>
        <w:bottom w:val="none" w:sz="0" w:space="0" w:color="auto"/>
        <w:right w:val="none" w:sz="0" w:space="0" w:color="auto"/>
      </w:divBdr>
    </w:div>
    <w:div w:id="953248161">
      <w:bodyDiv w:val="1"/>
      <w:marLeft w:val="0"/>
      <w:marRight w:val="0"/>
      <w:marTop w:val="0"/>
      <w:marBottom w:val="0"/>
      <w:divBdr>
        <w:top w:val="none" w:sz="0" w:space="0" w:color="auto"/>
        <w:left w:val="none" w:sz="0" w:space="0" w:color="auto"/>
        <w:bottom w:val="none" w:sz="0" w:space="0" w:color="auto"/>
        <w:right w:val="none" w:sz="0" w:space="0" w:color="auto"/>
      </w:divBdr>
      <w:divsChild>
        <w:div w:id="1413890084">
          <w:marLeft w:val="240"/>
          <w:marRight w:val="0"/>
          <w:marTop w:val="120"/>
          <w:marBottom w:val="0"/>
          <w:divBdr>
            <w:top w:val="none" w:sz="0" w:space="0" w:color="auto"/>
            <w:left w:val="none" w:sz="0" w:space="0" w:color="auto"/>
            <w:bottom w:val="none" w:sz="0" w:space="0" w:color="auto"/>
            <w:right w:val="none" w:sz="0" w:space="0" w:color="auto"/>
          </w:divBdr>
        </w:div>
      </w:divsChild>
    </w:div>
    <w:div w:id="964039617">
      <w:bodyDiv w:val="1"/>
      <w:marLeft w:val="0"/>
      <w:marRight w:val="0"/>
      <w:marTop w:val="0"/>
      <w:marBottom w:val="0"/>
      <w:divBdr>
        <w:top w:val="none" w:sz="0" w:space="0" w:color="auto"/>
        <w:left w:val="none" w:sz="0" w:space="0" w:color="auto"/>
        <w:bottom w:val="none" w:sz="0" w:space="0" w:color="auto"/>
        <w:right w:val="none" w:sz="0" w:space="0" w:color="auto"/>
      </w:divBdr>
    </w:div>
    <w:div w:id="964390599">
      <w:bodyDiv w:val="1"/>
      <w:marLeft w:val="0"/>
      <w:marRight w:val="0"/>
      <w:marTop w:val="0"/>
      <w:marBottom w:val="0"/>
      <w:divBdr>
        <w:top w:val="none" w:sz="0" w:space="0" w:color="auto"/>
        <w:left w:val="none" w:sz="0" w:space="0" w:color="auto"/>
        <w:bottom w:val="none" w:sz="0" w:space="0" w:color="auto"/>
        <w:right w:val="none" w:sz="0" w:space="0" w:color="auto"/>
      </w:divBdr>
    </w:div>
    <w:div w:id="965622954">
      <w:bodyDiv w:val="1"/>
      <w:marLeft w:val="0"/>
      <w:marRight w:val="0"/>
      <w:marTop w:val="0"/>
      <w:marBottom w:val="0"/>
      <w:divBdr>
        <w:top w:val="none" w:sz="0" w:space="0" w:color="auto"/>
        <w:left w:val="none" w:sz="0" w:space="0" w:color="auto"/>
        <w:bottom w:val="none" w:sz="0" w:space="0" w:color="auto"/>
        <w:right w:val="none" w:sz="0" w:space="0" w:color="auto"/>
      </w:divBdr>
    </w:div>
    <w:div w:id="968321573">
      <w:bodyDiv w:val="1"/>
      <w:marLeft w:val="0"/>
      <w:marRight w:val="0"/>
      <w:marTop w:val="0"/>
      <w:marBottom w:val="0"/>
      <w:divBdr>
        <w:top w:val="none" w:sz="0" w:space="0" w:color="auto"/>
        <w:left w:val="none" w:sz="0" w:space="0" w:color="auto"/>
        <w:bottom w:val="none" w:sz="0" w:space="0" w:color="auto"/>
        <w:right w:val="none" w:sz="0" w:space="0" w:color="auto"/>
      </w:divBdr>
    </w:div>
    <w:div w:id="970013639">
      <w:bodyDiv w:val="1"/>
      <w:marLeft w:val="0"/>
      <w:marRight w:val="0"/>
      <w:marTop w:val="0"/>
      <w:marBottom w:val="0"/>
      <w:divBdr>
        <w:top w:val="none" w:sz="0" w:space="0" w:color="auto"/>
        <w:left w:val="none" w:sz="0" w:space="0" w:color="auto"/>
        <w:bottom w:val="none" w:sz="0" w:space="0" w:color="auto"/>
        <w:right w:val="none" w:sz="0" w:space="0" w:color="auto"/>
      </w:divBdr>
      <w:divsChild>
        <w:div w:id="1628396028">
          <w:marLeft w:val="240"/>
          <w:marRight w:val="0"/>
          <w:marTop w:val="60"/>
          <w:marBottom w:val="0"/>
          <w:divBdr>
            <w:top w:val="none" w:sz="0" w:space="0" w:color="auto"/>
            <w:left w:val="none" w:sz="0" w:space="0" w:color="auto"/>
            <w:bottom w:val="none" w:sz="0" w:space="0" w:color="auto"/>
            <w:right w:val="none" w:sz="0" w:space="0" w:color="auto"/>
          </w:divBdr>
        </w:div>
      </w:divsChild>
    </w:div>
    <w:div w:id="977996914">
      <w:bodyDiv w:val="1"/>
      <w:marLeft w:val="0"/>
      <w:marRight w:val="0"/>
      <w:marTop w:val="0"/>
      <w:marBottom w:val="0"/>
      <w:divBdr>
        <w:top w:val="none" w:sz="0" w:space="0" w:color="auto"/>
        <w:left w:val="none" w:sz="0" w:space="0" w:color="auto"/>
        <w:bottom w:val="none" w:sz="0" w:space="0" w:color="auto"/>
        <w:right w:val="none" w:sz="0" w:space="0" w:color="auto"/>
      </w:divBdr>
      <w:divsChild>
        <w:div w:id="73020181">
          <w:marLeft w:val="240"/>
          <w:marRight w:val="0"/>
          <w:marTop w:val="60"/>
          <w:marBottom w:val="0"/>
          <w:divBdr>
            <w:top w:val="none" w:sz="0" w:space="0" w:color="auto"/>
            <w:left w:val="none" w:sz="0" w:space="0" w:color="auto"/>
            <w:bottom w:val="none" w:sz="0" w:space="0" w:color="auto"/>
            <w:right w:val="none" w:sz="0" w:space="0" w:color="auto"/>
          </w:divBdr>
        </w:div>
        <w:div w:id="819421092">
          <w:marLeft w:val="240"/>
          <w:marRight w:val="0"/>
          <w:marTop w:val="60"/>
          <w:marBottom w:val="0"/>
          <w:divBdr>
            <w:top w:val="none" w:sz="0" w:space="0" w:color="auto"/>
            <w:left w:val="none" w:sz="0" w:space="0" w:color="auto"/>
            <w:bottom w:val="none" w:sz="0" w:space="0" w:color="auto"/>
            <w:right w:val="none" w:sz="0" w:space="0" w:color="auto"/>
          </w:divBdr>
        </w:div>
        <w:div w:id="2015449023">
          <w:marLeft w:val="240"/>
          <w:marRight w:val="0"/>
          <w:marTop w:val="60"/>
          <w:marBottom w:val="0"/>
          <w:divBdr>
            <w:top w:val="none" w:sz="0" w:space="0" w:color="auto"/>
            <w:left w:val="none" w:sz="0" w:space="0" w:color="auto"/>
            <w:bottom w:val="none" w:sz="0" w:space="0" w:color="auto"/>
            <w:right w:val="none" w:sz="0" w:space="0" w:color="auto"/>
          </w:divBdr>
        </w:div>
      </w:divsChild>
    </w:div>
    <w:div w:id="978464011">
      <w:bodyDiv w:val="1"/>
      <w:marLeft w:val="0"/>
      <w:marRight w:val="0"/>
      <w:marTop w:val="0"/>
      <w:marBottom w:val="0"/>
      <w:divBdr>
        <w:top w:val="none" w:sz="0" w:space="0" w:color="auto"/>
        <w:left w:val="none" w:sz="0" w:space="0" w:color="auto"/>
        <w:bottom w:val="none" w:sz="0" w:space="0" w:color="auto"/>
        <w:right w:val="none" w:sz="0" w:space="0" w:color="auto"/>
      </w:divBdr>
    </w:div>
    <w:div w:id="987786908">
      <w:bodyDiv w:val="1"/>
      <w:marLeft w:val="0"/>
      <w:marRight w:val="0"/>
      <w:marTop w:val="0"/>
      <w:marBottom w:val="0"/>
      <w:divBdr>
        <w:top w:val="none" w:sz="0" w:space="0" w:color="auto"/>
        <w:left w:val="none" w:sz="0" w:space="0" w:color="auto"/>
        <w:bottom w:val="none" w:sz="0" w:space="0" w:color="auto"/>
        <w:right w:val="none" w:sz="0" w:space="0" w:color="auto"/>
      </w:divBdr>
      <w:divsChild>
        <w:div w:id="394856488">
          <w:marLeft w:val="240"/>
          <w:marRight w:val="0"/>
          <w:marTop w:val="60"/>
          <w:marBottom w:val="0"/>
          <w:divBdr>
            <w:top w:val="none" w:sz="0" w:space="0" w:color="auto"/>
            <w:left w:val="none" w:sz="0" w:space="0" w:color="auto"/>
            <w:bottom w:val="none" w:sz="0" w:space="0" w:color="auto"/>
            <w:right w:val="none" w:sz="0" w:space="0" w:color="auto"/>
          </w:divBdr>
        </w:div>
        <w:div w:id="988094847">
          <w:marLeft w:val="240"/>
          <w:marRight w:val="0"/>
          <w:marTop w:val="60"/>
          <w:marBottom w:val="0"/>
          <w:divBdr>
            <w:top w:val="none" w:sz="0" w:space="0" w:color="auto"/>
            <w:left w:val="none" w:sz="0" w:space="0" w:color="auto"/>
            <w:bottom w:val="none" w:sz="0" w:space="0" w:color="auto"/>
            <w:right w:val="none" w:sz="0" w:space="0" w:color="auto"/>
          </w:divBdr>
        </w:div>
        <w:div w:id="1196044660">
          <w:marLeft w:val="240"/>
          <w:marRight w:val="0"/>
          <w:marTop w:val="60"/>
          <w:marBottom w:val="0"/>
          <w:divBdr>
            <w:top w:val="none" w:sz="0" w:space="0" w:color="auto"/>
            <w:left w:val="none" w:sz="0" w:space="0" w:color="auto"/>
            <w:bottom w:val="none" w:sz="0" w:space="0" w:color="auto"/>
            <w:right w:val="none" w:sz="0" w:space="0" w:color="auto"/>
          </w:divBdr>
        </w:div>
        <w:div w:id="1998606503">
          <w:marLeft w:val="240"/>
          <w:marRight w:val="0"/>
          <w:marTop w:val="60"/>
          <w:marBottom w:val="0"/>
          <w:divBdr>
            <w:top w:val="none" w:sz="0" w:space="0" w:color="auto"/>
            <w:left w:val="none" w:sz="0" w:space="0" w:color="auto"/>
            <w:bottom w:val="none" w:sz="0" w:space="0" w:color="auto"/>
            <w:right w:val="none" w:sz="0" w:space="0" w:color="auto"/>
          </w:divBdr>
        </w:div>
      </w:divsChild>
    </w:div>
    <w:div w:id="1014917593">
      <w:bodyDiv w:val="1"/>
      <w:marLeft w:val="0"/>
      <w:marRight w:val="0"/>
      <w:marTop w:val="0"/>
      <w:marBottom w:val="0"/>
      <w:divBdr>
        <w:top w:val="none" w:sz="0" w:space="0" w:color="auto"/>
        <w:left w:val="none" w:sz="0" w:space="0" w:color="auto"/>
        <w:bottom w:val="none" w:sz="0" w:space="0" w:color="auto"/>
        <w:right w:val="none" w:sz="0" w:space="0" w:color="auto"/>
      </w:divBdr>
      <w:divsChild>
        <w:div w:id="596447993">
          <w:marLeft w:val="240"/>
          <w:marRight w:val="0"/>
          <w:marTop w:val="60"/>
          <w:marBottom w:val="0"/>
          <w:divBdr>
            <w:top w:val="none" w:sz="0" w:space="0" w:color="auto"/>
            <w:left w:val="none" w:sz="0" w:space="0" w:color="auto"/>
            <w:bottom w:val="none" w:sz="0" w:space="0" w:color="auto"/>
            <w:right w:val="none" w:sz="0" w:space="0" w:color="auto"/>
          </w:divBdr>
        </w:div>
        <w:div w:id="1394081913">
          <w:marLeft w:val="240"/>
          <w:marRight w:val="0"/>
          <w:marTop w:val="60"/>
          <w:marBottom w:val="0"/>
          <w:divBdr>
            <w:top w:val="none" w:sz="0" w:space="0" w:color="auto"/>
            <w:left w:val="none" w:sz="0" w:space="0" w:color="auto"/>
            <w:bottom w:val="none" w:sz="0" w:space="0" w:color="auto"/>
            <w:right w:val="none" w:sz="0" w:space="0" w:color="auto"/>
          </w:divBdr>
        </w:div>
        <w:div w:id="1970237836">
          <w:marLeft w:val="240"/>
          <w:marRight w:val="0"/>
          <w:marTop w:val="60"/>
          <w:marBottom w:val="0"/>
          <w:divBdr>
            <w:top w:val="none" w:sz="0" w:space="0" w:color="auto"/>
            <w:left w:val="none" w:sz="0" w:space="0" w:color="auto"/>
            <w:bottom w:val="none" w:sz="0" w:space="0" w:color="auto"/>
            <w:right w:val="none" w:sz="0" w:space="0" w:color="auto"/>
          </w:divBdr>
        </w:div>
      </w:divsChild>
    </w:div>
    <w:div w:id="1020399599">
      <w:bodyDiv w:val="1"/>
      <w:marLeft w:val="0"/>
      <w:marRight w:val="0"/>
      <w:marTop w:val="0"/>
      <w:marBottom w:val="0"/>
      <w:divBdr>
        <w:top w:val="none" w:sz="0" w:space="0" w:color="auto"/>
        <w:left w:val="none" w:sz="0" w:space="0" w:color="auto"/>
        <w:bottom w:val="none" w:sz="0" w:space="0" w:color="auto"/>
        <w:right w:val="none" w:sz="0" w:space="0" w:color="auto"/>
      </w:divBdr>
      <w:divsChild>
        <w:div w:id="746536475">
          <w:marLeft w:val="240"/>
          <w:marRight w:val="0"/>
          <w:marTop w:val="60"/>
          <w:marBottom w:val="0"/>
          <w:divBdr>
            <w:top w:val="none" w:sz="0" w:space="0" w:color="auto"/>
            <w:left w:val="none" w:sz="0" w:space="0" w:color="auto"/>
            <w:bottom w:val="none" w:sz="0" w:space="0" w:color="auto"/>
            <w:right w:val="none" w:sz="0" w:space="0" w:color="auto"/>
          </w:divBdr>
        </w:div>
        <w:div w:id="1898588654">
          <w:marLeft w:val="240"/>
          <w:marRight w:val="0"/>
          <w:marTop w:val="60"/>
          <w:marBottom w:val="0"/>
          <w:divBdr>
            <w:top w:val="none" w:sz="0" w:space="0" w:color="auto"/>
            <w:left w:val="none" w:sz="0" w:space="0" w:color="auto"/>
            <w:bottom w:val="none" w:sz="0" w:space="0" w:color="auto"/>
            <w:right w:val="none" w:sz="0" w:space="0" w:color="auto"/>
          </w:divBdr>
        </w:div>
      </w:divsChild>
    </w:div>
    <w:div w:id="1029643940">
      <w:bodyDiv w:val="1"/>
      <w:marLeft w:val="0"/>
      <w:marRight w:val="0"/>
      <w:marTop w:val="0"/>
      <w:marBottom w:val="0"/>
      <w:divBdr>
        <w:top w:val="none" w:sz="0" w:space="0" w:color="auto"/>
        <w:left w:val="none" w:sz="0" w:space="0" w:color="auto"/>
        <w:bottom w:val="none" w:sz="0" w:space="0" w:color="auto"/>
        <w:right w:val="none" w:sz="0" w:space="0" w:color="auto"/>
      </w:divBdr>
      <w:divsChild>
        <w:div w:id="703482109">
          <w:marLeft w:val="0"/>
          <w:marRight w:val="0"/>
          <w:marTop w:val="0"/>
          <w:marBottom w:val="0"/>
          <w:divBdr>
            <w:top w:val="none" w:sz="0" w:space="0" w:color="auto"/>
            <w:left w:val="none" w:sz="0" w:space="0" w:color="auto"/>
            <w:bottom w:val="none" w:sz="0" w:space="0" w:color="auto"/>
            <w:right w:val="none" w:sz="0" w:space="0" w:color="auto"/>
          </w:divBdr>
          <w:divsChild>
            <w:div w:id="1174413025">
              <w:marLeft w:val="240"/>
              <w:marRight w:val="0"/>
              <w:marTop w:val="120"/>
              <w:marBottom w:val="0"/>
              <w:divBdr>
                <w:top w:val="none" w:sz="0" w:space="0" w:color="auto"/>
                <w:left w:val="none" w:sz="0" w:space="0" w:color="auto"/>
                <w:bottom w:val="none" w:sz="0" w:space="0" w:color="auto"/>
                <w:right w:val="none" w:sz="0" w:space="0" w:color="auto"/>
              </w:divBdr>
            </w:div>
          </w:divsChild>
        </w:div>
      </w:divsChild>
    </w:div>
    <w:div w:id="1058940636">
      <w:bodyDiv w:val="1"/>
      <w:marLeft w:val="0"/>
      <w:marRight w:val="0"/>
      <w:marTop w:val="0"/>
      <w:marBottom w:val="0"/>
      <w:divBdr>
        <w:top w:val="none" w:sz="0" w:space="0" w:color="auto"/>
        <w:left w:val="none" w:sz="0" w:space="0" w:color="auto"/>
        <w:bottom w:val="none" w:sz="0" w:space="0" w:color="auto"/>
        <w:right w:val="none" w:sz="0" w:space="0" w:color="auto"/>
      </w:divBdr>
    </w:div>
    <w:div w:id="1074277807">
      <w:bodyDiv w:val="1"/>
      <w:marLeft w:val="0"/>
      <w:marRight w:val="0"/>
      <w:marTop w:val="0"/>
      <w:marBottom w:val="0"/>
      <w:divBdr>
        <w:top w:val="none" w:sz="0" w:space="0" w:color="auto"/>
        <w:left w:val="none" w:sz="0" w:space="0" w:color="auto"/>
        <w:bottom w:val="none" w:sz="0" w:space="0" w:color="auto"/>
        <w:right w:val="none" w:sz="0" w:space="0" w:color="auto"/>
      </w:divBdr>
      <w:divsChild>
        <w:div w:id="569657417">
          <w:marLeft w:val="240"/>
          <w:marRight w:val="0"/>
          <w:marTop w:val="60"/>
          <w:marBottom w:val="0"/>
          <w:divBdr>
            <w:top w:val="none" w:sz="0" w:space="0" w:color="auto"/>
            <w:left w:val="none" w:sz="0" w:space="0" w:color="auto"/>
            <w:bottom w:val="none" w:sz="0" w:space="0" w:color="auto"/>
            <w:right w:val="none" w:sz="0" w:space="0" w:color="auto"/>
          </w:divBdr>
        </w:div>
      </w:divsChild>
    </w:div>
    <w:div w:id="1078745116">
      <w:bodyDiv w:val="1"/>
      <w:marLeft w:val="0"/>
      <w:marRight w:val="0"/>
      <w:marTop w:val="0"/>
      <w:marBottom w:val="0"/>
      <w:divBdr>
        <w:top w:val="none" w:sz="0" w:space="0" w:color="auto"/>
        <w:left w:val="none" w:sz="0" w:space="0" w:color="auto"/>
        <w:bottom w:val="none" w:sz="0" w:space="0" w:color="auto"/>
        <w:right w:val="none" w:sz="0" w:space="0" w:color="auto"/>
      </w:divBdr>
    </w:div>
    <w:div w:id="1079444522">
      <w:bodyDiv w:val="1"/>
      <w:marLeft w:val="0"/>
      <w:marRight w:val="0"/>
      <w:marTop w:val="0"/>
      <w:marBottom w:val="0"/>
      <w:divBdr>
        <w:top w:val="none" w:sz="0" w:space="0" w:color="auto"/>
        <w:left w:val="none" w:sz="0" w:space="0" w:color="auto"/>
        <w:bottom w:val="none" w:sz="0" w:space="0" w:color="auto"/>
        <w:right w:val="none" w:sz="0" w:space="0" w:color="auto"/>
      </w:divBdr>
    </w:div>
    <w:div w:id="1112360130">
      <w:bodyDiv w:val="1"/>
      <w:marLeft w:val="0"/>
      <w:marRight w:val="0"/>
      <w:marTop w:val="0"/>
      <w:marBottom w:val="0"/>
      <w:divBdr>
        <w:top w:val="none" w:sz="0" w:space="0" w:color="auto"/>
        <w:left w:val="none" w:sz="0" w:space="0" w:color="auto"/>
        <w:bottom w:val="none" w:sz="0" w:space="0" w:color="auto"/>
        <w:right w:val="none" w:sz="0" w:space="0" w:color="auto"/>
      </w:divBdr>
    </w:div>
    <w:div w:id="1129086485">
      <w:bodyDiv w:val="1"/>
      <w:marLeft w:val="0"/>
      <w:marRight w:val="0"/>
      <w:marTop w:val="0"/>
      <w:marBottom w:val="0"/>
      <w:divBdr>
        <w:top w:val="none" w:sz="0" w:space="0" w:color="auto"/>
        <w:left w:val="none" w:sz="0" w:space="0" w:color="auto"/>
        <w:bottom w:val="none" w:sz="0" w:space="0" w:color="auto"/>
        <w:right w:val="none" w:sz="0" w:space="0" w:color="auto"/>
      </w:divBdr>
      <w:divsChild>
        <w:div w:id="42487054">
          <w:marLeft w:val="240"/>
          <w:marRight w:val="0"/>
          <w:marTop w:val="120"/>
          <w:marBottom w:val="0"/>
          <w:divBdr>
            <w:top w:val="none" w:sz="0" w:space="0" w:color="auto"/>
            <w:left w:val="none" w:sz="0" w:space="0" w:color="auto"/>
            <w:bottom w:val="none" w:sz="0" w:space="0" w:color="auto"/>
            <w:right w:val="none" w:sz="0" w:space="0" w:color="auto"/>
          </w:divBdr>
        </w:div>
        <w:div w:id="569124132">
          <w:marLeft w:val="240"/>
          <w:marRight w:val="0"/>
          <w:marTop w:val="120"/>
          <w:marBottom w:val="0"/>
          <w:divBdr>
            <w:top w:val="none" w:sz="0" w:space="0" w:color="auto"/>
            <w:left w:val="none" w:sz="0" w:space="0" w:color="auto"/>
            <w:bottom w:val="none" w:sz="0" w:space="0" w:color="auto"/>
            <w:right w:val="none" w:sz="0" w:space="0" w:color="auto"/>
          </w:divBdr>
        </w:div>
        <w:div w:id="1595286994">
          <w:marLeft w:val="240"/>
          <w:marRight w:val="0"/>
          <w:marTop w:val="120"/>
          <w:marBottom w:val="0"/>
          <w:divBdr>
            <w:top w:val="none" w:sz="0" w:space="0" w:color="auto"/>
            <w:left w:val="none" w:sz="0" w:space="0" w:color="auto"/>
            <w:bottom w:val="none" w:sz="0" w:space="0" w:color="auto"/>
            <w:right w:val="none" w:sz="0" w:space="0" w:color="auto"/>
          </w:divBdr>
        </w:div>
        <w:div w:id="2088839509">
          <w:marLeft w:val="240"/>
          <w:marRight w:val="0"/>
          <w:marTop w:val="120"/>
          <w:marBottom w:val="0"/>
          <w:divBdr>
            <w:top w:val="none" w:sz="0" w:space="0" w:color="auto"/>
            <w:left w:val="none" w:sz="0" w:space="0" w:color="auto"/>
            <w:bottom w:val="none" w:sz="0" w:space="0" w:color="auto"/>
            <w:right w:val="none" w:sz="0" w:space="0" w:color="auto"/>
          </w:divBdr>
        </w:div>
      </w:divsChild>
    </w:div>
    <w:div w:id="1139306446">
      <w:bodyDiv w:val="1"/>
      <w:marLeft w:val="0"/>
      <w:marRight w:val="0"/>
      <w:marTop w:val="0"/>
      <w:marBottom w:val="0"/>
      <w:divBdr>
        <w:top w:val="none" w:sz="0" w:space="0" w:color="auto"/>
        <w:left w:val="none" w:sz="0" w:space="0" w:color="auto"/>
        <w:bottom w:val="none" w:sz="0" w:space="0" w:color="auto"/>
        <w:right w:val="none" w:sz="0" w:space="0" w:color="auto"/>
      </w:divBdr>
    </w:div>
    <w:div w:id="1142230100">
      <w:bodyDiv w:val="1"/>
      <w:marLeft w:val="0"/>
      <w:marRight w:val="0"/>
      <w:marTop w:val="0"/>
      <w:marBottom w:val="0"/>
      <w:divBdr>
        <w:top w:val="none" w:sz="0" w:space="0" w:color="auto"/>
        <w:left w:val="none" w:sz="0" w:space="0" w:color="auto"/>
        <w:bottom w:val="none" w:sz="0" w:space="0" w:color="auto"/>
        <w:right w:val="none" w:sz="0" w:space="0" w:color="auto"/>
      </w:divBdr>
      <w:divsChild>
        <w:div w:id="1337880892">
          <w:marLeft w:val="0"/>
          <w:marRight w:val="0"/>
          <w:marTop w:val="0"/>
          <w:marBottom w:val="0"/>
          <w:divBdr>
            <w:top w:val="none" w:sz="0" w:space="0" w:color="auto"/>
            <w:left w:val="none" w:sz="0" w:space="0" w:color="auto"/>
            <w:bottom w:val="none" w:sz="0" w:space="0" w:color="auto"/>
            <w:right w:val="none" w:sz="0" w:space="0" w:color="auto"/>
          </w:divBdr>
        </w:div>
      </w:divsChild>
    </w:div>
    <w:div w:id="1186595321">
      <w:bodyDiv w:val="1"/>
      <w:marLeft w:val="0"/>
      <w:marRight w:val="0"/>
      <w:marTop w:val="0"/>
      <w:marBottom w:val="0"/>
      <w:divBdr>
        <w:top w:val="none" w:sz="0" w:space="0" w:color="auto"/>
        <w:left w:val="none" w:sz="0" w:space="0" w:color="auto"/>
        <w:bottom w:val="none" w:sz="0" w:space="0" w:color="auto"/>
        <w:right w:val="none" w:sz="0" w:space="0" w:color="auto"/>
      </w:divBdr>
    </w:div>
    <w:div w:id="1194229265">
      <w:bodyDiv w:val="1"/>
      <w:marLeft w:val="0"/>
      <w:marRight w:val="0"/>
      <w:marTop w:val="0"/>
      <w:marBottom w:val="0"/>
      <w:divBdr>
        <w:top w:val="none" w:sz="0" w:space="0" w:color="auto"/>
        <w:left w:val="none" w:sz="0" w:space="0" w:color="auto"/>
        <w:bottom w:val="none" w:sz="0" w:space="0" w:color="auto"/>
        <w:right w:val="none" w:sz="0" w:space="0" w:color="auto"/>
      </w:divBdr>
    </w:div>
    <w:div w:id="1200971014">
      <w:bodyDiv w:val="1"/>
      <w:marLeft w:val="0"/>
      <w:marRight w:val="0"/>
      <w:marTop w:val="0"/>
      <w:marBottom w:val="0"/>
      <w:divBdr>
        <w:top w:val="none" w:sz="0" w:space="0" w:color="auto"/>
        <w:left w:val="none" w:sz="0" w:space="0" w:color="auto"/>
        <w:bottom w:val="none" w:sz="0" w:space="0" w:color="auto"/>
        <w:right w:val="none" w:sz="0" w:space="0" w:color="auto"/>
      </w:divBdr>
    </w:div>
    <w:div w:id="1202788759">
      <w:bodyDiv w:val="1"/>
      <w:marLeft w:val="0"/>
      <w:marRight w:val="0"/>
      <w:marTop w:val="0"/>
      <w:marBottom w:val="0"/>
      <w:divBdr>
        <w:top w:val="none" w:sz="0" w:space="0" w:color="auto"/>
        <w:left w:val="none" w:sz="0" w:space="0" w:color="auto"/>
        <w:bottom w:val="none" w:sz="0" w:space="0" w:color="auto"/>
        <w:right w:val="none" w:sz="0" w:space="0" w:color="auto"/>
      </w:divBdr>
      <w:divsChild>
        <w:div w:id="990214995">
          <w:marLeft w:val="240"/>
          <w:marRight w:val="0"/>
          <w:marTop w:val="120"/>
          <w:marBottom w:val="0"/>
          <w:divBdr>
            <w:top w:val="none" w:sz="0" w:space="0" w:color="auto"/>
            <w:left w:val="none" w:sz="0" w:space="0" w:color="auto"/>
            <w:bottom w:val="none" w:sz="0" w:space="0" w:color="auto"/>
            <w:right w:val="none" w:sz="0" w:space="0" w:color="auto"/>
          </w:divBdr>
        </w:div>
      </w:divsChild>
    </w:div>
    <w:div w:id="1225138861">
      <w:bodyDiv w:val="1"/>
      <w:marLeft w:val="0"/>
      <w:marRight w:val="0"/>
      <w:marTop w:val="0"/>
      <w:marBottom w:val="0"/>
      <w:divBdr>
        <w:top w:val="none" w:sz="0" w:space="0" w:color="auto"/>
        <w:left w:val="none" w:sz="0" w:space="0" w:color="auto"/>
        <w:bottom w:val="none" w:sz="0" w:space="0" w:color="auto"/>
        <w:right w:val="none" w:sz="0" w:space="0" w:color="auto"/>
      </w:divBdr>
      <w:divsChild>
        <w:div w:id="368915058">
          <w:marLeft w:val="0"/>
          <w:marRight w:val="0"/>
          <w:marTop w:val="0"/>
          <w:marBottom w:val="0"/>
          <w:divBdr>
            <w:top w:val="none" w:sz="0" w:space="0" w:color="auto"/>
            <w:left w:val="none" w:sz="0" w:space="0" w:color="auto"/>
            <w:bottom w:val="none" w:sz="0" w:space="0" w:color="auto"/>
            <w:right w:val="none" w:sz="0" w:space="0" w:color="auto"/>
          </w:divBdr>
        </w:div>
      </w:divsChild>
    </w:div>
    <w:div w:id="1229265058">
      <w:bodyDiv w:val="1"/>
      <w:marLeft w:val="0"/>
      <w:marRight w:val="0"/>
      <w:marTop w:val="0"/>
      <w:marBottom w:val="0"/>
      <w:divBdr>
        <w:top w:val="none" w:sz="0" w:space="0" w:color="auto"/>
        <w:left w:val="none" w:sz="0" w:space="0" w:color="auto"/>
        <w:bottom w:val="none" w:sz="0" w:space="0" w:color="auto"/>
        <w:right w:val="none" w:sz="0" w:space="0" w:color="auto"/>
      </w:divBdr>
    </w:div>
    <w:div w:id="1241594300">
      <w:bodyDiv w:val="1"/>
      <w:marLeft w:val="0"/>
      <w:marRight w:val="0"/>
      <w:marTop w:val="0"/>
      <w:marBottom w:val="0"/>
      <w:divBdr>
        <w:top w:val="none" w:sz="0" w:space="0" w:color="auto"/>
        <w:left w:val="none" w:sz="0" w:space="0" w:color="auto"/>
        <w:bottom w:val="none" w:sz="0" w:space="0" w:color="auto"/>
        <w:right w:val="none" w:sz="0" w:space="0" w:color="auto"/>
      </w:divBdr>
    </w:div>
    <w:div w:id="1275669046">
      <w:bodyDiv w:val="1"/>
      <w:marLeft w:val="0"/>
      <w:marRight w:val="0"/>
      <w:marTop w:val="0"/>
      <w:marBottom w:val="0"/>
      <w:divBdr>
        <w:top w:val="none" w:sz="0" w:space="0" w:color="auto"/>
        <w:left w:val="none" w:sz="0" w:space="0" w:color="auto"/>
        <w:bottom w:val="none" w:sz="0" w:space="0" w:color="auto"/>
        <w:right w:val="none" w:sz="0" w:space="0" w:color="auto"/>
      </w:divBdr>
    </w:div>
    <w:div w:id="1276794978">
      <w:bodyDiv w:val="1"/>
      <w:marLeft w:val="0"/>
      <w:marRight w:val="0"/>
      <w:marTop w:val="0"/>
      <w:marBottom w:val="0"/>
      <w:divBdr>
        <w:top w:val="none" w:sz="0" w:space="0" w:color="auto"/>
        <w:left w:val="none" w:sz="0" w:space="0" w:color="auto"/>
        <w:bottom w:val="none" w:sz="0" w:space="0" w:color="auto"/>
        <w:right w:val="none" w:sz="0" w:space="0" w:color="auto"/>
      </w:divBdr>
    </w:div>
    <w:div w:id="1278293601">
      <w:bodyDiv w:val="1"/>
      <w:marLeft w:val="0"/>
      <w:marRight w:val="0"/>
      <w:marTop w:val="0"/>
      <w:marBottom w:val="0"/>
      <w:divBdr>
        <w:top w:val="none" w:sz="0" w:space="0" w:color="auto"/>
        <w:left w:val="none" w:sz="0" w:space="0" w:color="auto"/>
        <w:bottom w:val="none" w:sz="0" w:space="0" w:color="auto"/>
        <w:right w:val="none" w:sz="0" w:space="0" w:color="auto"/>
      </w:divBdr>
      <w:divsChild>
        <w:div w:id="1351758800">
          <w:marLeft w:val="240"/>
          <w:marRight w:val="0"/>
          <w:marTop w:val="60"/>
          <w:marBottom w:val="0"/>
          <w:divBdr>
            <w:top w:val="none" w:sz="0" w:space="0" w:color="auto"/>
            <w:left w:val="none" w:sz="0" w:space="0" w:color="auto"/>
            <w:bottom w:val="none" w:sz="0" w:space="0" w:color="auto"/>
            <w:right w:val="none" w:sz="0" w:space="0" w:color="auto"/>
          </w:divBdr>
        </w:div>
      </w:divsChild>
    </w:div>
    <w:div w:id="1284921009">
      <w:bodyDiv w:val="1"/>
      <w:marLeft w:val="0"/>
      <w:marRight w:val="0"/>
      <w:marTop w:val="0"/>
      <w:marBottom w:val="0"/>
      <w:divBdr>
        <w:top w:val="none" w:sz="0" w:space="0" w:color="auto"/>
        <w:left w:val="none" w:sz="0" w:space="0" w:color="auto"/>
        <w:bottom w:val="none" w:sz="0" w:space="0" w:color="auto"/>
        <w:right w:val="none" w:sz="0" w:space="0" w:color="auto"/>
      </w:divBdr>
    </w:div>
    <w:div w:id="1312247251">
      <w:bodyDiv w:val="1"/>
      <w:marLeft w:val="0"/>
      <w:marRight w:val="0"/>
      <w:marTop w:val="0"/>
      <w:marBottom w:val="0"/>
      <w:divBdr>
        <w:top w:val="none" w:sz="0" w:space="0" w:color="auto"/>
        <w:left w:val="none" w:sz="0" w:space="0" w:color="auto"/>
        <w:bottom w:val="none" w:sz="0" w:space="0" w:color="auto"/>
        <w:right w:val="none" w:sz="0" w:space="0" w:color="auto"/>
      </w:divBdr>
      <w:divsChild>
        <w:div w:id="27147385">
          <w:marLeft w:val="240"/>
          <w:marRight w:val="0"/>
          <w:marTop w:val="60"/>
          <w:marBottom w:val="0"/>
          <w:divBdr>
            <w:top w:val="none" w:sz="0" w:space="0" w:color="auto"/>
            <w:left w:val="none" w:sz="0" w:space="0" w:color="auto"/>
            <w:bottom w:val="none" w:sz="0" w:space="0" w:color="auto"/>
            <w:right w:val="none" w:sz="0" w:space="0" w:color="auto"/>
          </w:divBdr>
        </w:div>
      </w:divsChild>
    </w:div>
    <w:div w:id="1331592720">
      <w:bodyDiv w:val="1"/>
      <w:marLeft w:val="0"/>
      <w:marRight w:val="0"/>
      <w:marTop w:val="0"/>
      <w:marBottom w:val="0"/>
      <w:divBdr>
        <w:top w:val="none" w:sz="0" w:space="0" w:color="auto"/>
        <w:left w:val="none" w:sz="0" w:space="0" w:color="auto"/>
        <w:bottom w:val="none" w:sz="0" w:space="0" w:color="auto"/>
        <w:right w:val="none" w:sz="0" w:space="0" w:color="auto"/>
      </w:divBdr>
      <w:divsChild>
        <w:div w:id="1440249649">
          <w:marLeft w:val="240"/>
          <w:marRight w:val="0"/>
          <w:marTop w:val="60"/>
          <w:marBottom w:val="0"/>
          <w:divBdr>
            <w:top w:val="none" w:sz="0" w:space="0" w:color="auto"/>
            <w:left w:val="none" w:sz="0" w:space="0" w:color="auto"/>
            <w:bottom w:val="none" w:sz="0" w:space="0" w:color="auto"/>
            <w:right w:val="none" w:sz="0" w:space="0" w:color="auto"/>
          </w:divBdr>
        </w:div>
      </w:divsChild>
    </w:div>
    <w:div w:id="1363555233">
      <w:bodyDiv w:val="1"/>
      <w:marLeft w:val="0"/>
      <w:marRight w:val="0"/>
      <w:marTop w:val="0"/>
      <w:marBottom w:val="0"/>
      <w:divBdr>
        <w:top w:val="none" w:sz="0" w:space="0" w:color="auto"/>
        <w:left w:val="none" w:sz="0" w:space="0" w:color="auto"/>
        <w:bottom w:val="none" w:sz="0" w:space="0" w:color="auto"/>
        <w:right w:val="none" w:sz="0" w:space="0" w:color="auto"/>
      </w:divBdr>
    </w:div>
    <w:div w:id="1367833245">
      <w:bodyDiv w:val="1"/>
      <w:marLeft w:val="0"/>
      <w:marRight w:val="0"/>
      <w:marTop w:val="0"/>
      <w:marBottom w:val="0"/>
      <w:divBdr>
        <w:top w:val="none" w:sz="0" w:space="0" w:color="auto"/>
        <w:left w:val="none" w:sz="0" w:space="0" w:color="auto"/>
        <w:bottom w:val="none" w:sz="0" w:space="0" w:color="auto"/>
        <w:right w:val="none" w:sz="0" w:space="0" w:color="auto"/>
      </w:divBdr>
      <w:divsChild>
        <w:div w:id="738552181">
          <w:marLeft w:val="240"/>
          <w:marRight w:val="0"/>
          <w:marTop w:val="60"/>
          <w:marBottom w:val="0"/>
          <w:divBdr>
            <w:top w:val="none" w:sz="0" w:space="0" w:color="auto"/>
            <w:left w:val="none" w:sz="0" w:space="0" w:color="auto"/>
            <w:bottom w:val="none" w:sz="0" w:space="0" w:color="auto"/>
            <w:right w:val="none" w:sz="0" w:space="0" w:color="auto"/>
          </w:divBdr>
        </w:div>
        <w:div w:id="924651916">
          <w:marLeft w:val="240"/>
          <w:marRight w:val="0"/>
          <w:marTop w:val="60"/>
          <w:marBottom w:val="0"/>
          <w:divBdr>
            <w:top w:val="none" w:sz="0" w:space="0" w:color="auto"/>
            <w:left w:val="none" w:sz="0" w:space="0" w:color="auto"/>
            <w:bottom w:val="none" w:sz="0" w:space="0" w:color="auto"/>
            <w:right w:val="none" w:sz="0" w:space="0" w:color="auto"/>
          </w:divBdr>
        </w:div>
      </w:divsChild>
    </w:div>
    <w:div w:id="1373648162">
      <w:bodyDiv w:val="1"/>
      <w:marLeft w:val="0"/>
      <w:marRight w:val="0"/>
      <w:marTop w:val="0"/>
      <w:marBottom w:val="0"/>
      <w:divBdr>
        <w:top w:val="none" w:sz="0" w:space="0" w:color="auto"/>
        <w:left w:val="none" w:sz="0" w:space="0" w:color="auto"/>
        <w:bottom w:val="none" w:sz="0" w:space="0" w:color="auto"/>
        <w:right w:val="none" w:sz="0" w:space="0" w:color="auto"/>
      </w:divBdr>
    </w:div>
    <w:div w:id="1388723589">
      <w:bodyDiv w:val="1"/>
      <w:marLeft w:val="0"/>
      <w:marRight w:val="0"/>
      <w:marTop w:val="0"/>
      <w:marBottom w:val="0"/>
      <w:divBdr>
        <w:top w:val="none" w:sz="0" w:space="0" w:color="auto"/>
        <w:left w:val="none" w:sz="0" w:space="0" w:color="auto"/>
        <w:bottom w:val="none" w:sz="0" w:space="0" w:color="auto"/>
        <w:right w:val="none" w:sz="0" w:space="0" w:color="auto"/>
      </w:divBdr>
    </w:div>
    <w:div w:id="1400983852">
      <w:bodyDiv w:val="1"/>
      <w:marLeft w:val="0"/>
      <w:marRight w:val="0"/>
      <w:marTop w:val="0"/>
      <w:marBottom w:val="0"/>
      <w:divBdr>
        <w:top w:val="none" w:sz="0" w:space="0" w:color="auto"/>
        <w:left w:val="none" w:sz="0" w:space="0" w:color="auto"/>
        <w:bottom w:val="none" w:sz="0" w:space="0" w:color="auto"/>
        <w:right w:val="none" w:sz="0" w:space="0" w:color="auto"/>
      </w:divBdr>
    </w:div>
    <w:div w:id="1403482215">
      <w:bodyDiv w:val="1"/>
      <w:marLeft w:val="0"/>
      <w:marRight w:val="0"/>
      <w:marTop w:val="0"/>
      <w:marBottom w:val="0"/>
      <w:divBdr>
        <w:top w:val="none" w:sz="0" w:space="0" w:color="auto"/>
        <w:left w:val="none" w:sz="0" w:space="0" w:color="auto"/>
        <w:bottom w:val="none" w:sz="0" w:space="0" w:color="auto"/>
        <w:right w:val="none" w:sz="0" w:space="0" w:color="auto"/>
      </w:divBdr>
    </w:div>
    <w:div w:id="1407260867">
      <w:bodyDiv w:val="1"/>
      <w:marLeft w:val="0"/>
      <w:marRight w:val="0"/>
      <w:marTop w:val="0"/>
      <w:marBottom w:val="0"/>
      <w:divBdr>
        <w:top w:val="none" w:sz="0" w:space="0" w:color="auto"/>
        <w:left w:val="none" w:sz="0" w:space="0" w:color="auto"/>
        <w:bottom w:val="none" w:sz="0" w:space="0" w:color="auto"/>
        <w:right w:val="none" w:sz="0" w:space="0" w:color="auto"/>
      </w:divBdr>
    </w:div>
    <w:div w:id="1420561015">
      <w:bodyDiv w:val="1"/>
      <w:marLeft w:val="0"/>
      <w:marRight w:val="0"/>
      <w:marTop w:val="0"/>
      <w:marBottom w:val="0"/>
      <w:divBdr>
        <w:top w:val="none" w:sz="0" w:space="0" w:color="auto"/>
        <w:left w:val="none" w:sz="0" w:space="0" w:color="auto"/>
        <w:bottom w:val="none" w:sz="0" w:space="0" w:color="auto"/>
        <w:right w:val="none" w:sz="0" w:space="0" w:color="auto"/>
      </w:divBdr>
    </w:div>
    <w:div w:id="1450708414">
      <w:bodyDiv w:val="1"/>
      <w:marLeft w:val="0"/>
      <w:marRight w:val="0"/>
      <w:marTop w:val="0"/>
      <w:marBottom w:val="0"/>
      <w:divBdr>
        <w:top w:val="none" w:sz="0" w:space="0" w:color="auto"/>
        <w:left w:val="none" w:sz="0" w:space="0" w:color="auto"/>
        <w:bottom w:val="none" w:sz="0" w:space="0" w:color="auto"/>
        <w:right w:val="none" w:sz="0" w:space="0" w:color="auto"/>
      </w:divBdr>
    </w:div>
    <w:div w:id="1479883786">
      <w:bodyDiv w:val="1"/>
      <w:marLeft w:val="0"/>
      <w:marRight w:val="0"/>
      <w:marTop w:val="0"/>
      <w:marBottom w:val="0"/>
      <w:divBdr>
        <w:top w:val="none" w:sz="0" w:space="0" w:color="auto"/>
        <w:left w:val="none" w:sz="0" w:space="0" w:color="auto"/>
        <w:bottom w:val="none" w:sz="0" w:space="0" w:color="auto"/>
        <w:right w:val="none" w:sz="0" w:space="0" w:color="auto"/>
      </w:divBdr>
    </w:div>
    <w:div w:id="1479952499">
      <w:bodyDiv w:val="1"/>
      <w:marLeft w:val="0"/>
      <w:marRight w:val="0"/>
      <w:marTop w:val="0"/>
      <w:marBottom w:val="0"/>
      <w:divBdr>
        <w:top w:val="none" w:sz="0" w:space="0" w:color="auto"/>
        <w:left w:val="none" w:sz="0" w:space="0" w:color="auto"/>
        <w:bottom w:val="none" w:sz="0" w:space="0" w:color="auto"/>
        <w:right w:val="none" w:sz="0" w:space="0" w:color="auto"/>
      </w:divBdr>
    </w:div>
    <w:div w:id="1483354704">
      <w:bodyDiv w:val="1"/>
      <w:marLeft w:val="0"/>
      <w:marRight w:val="0"/>
      <w:marTop w:val="0"/>
      <w:marBottom w:val="0"/>
      <w:divBdr>
        <w:top w:val="none" w:sz="0" w:space="0" w:color="auto"/>
        <w:left w:val="none" w:sz="0" w:space="0" w:color="auto"/>
        <w:bottom w:val="none" w:sz="0" w:space="0" w:color="auto"/>
        <w:right w:val="none" w:sz="0" w:space="0" w:color="auto"/>
      </w:divBdr>
    </w:div>
    <w:div w:id="1486628450">
      <w:bodyDiv w:val="1"/>
      <w:marLeft w:val="0"/>
      <w:marRight w:val="0"/>
      <w:marTop w:val="0"/>
      <w:marBottom w:val="0"/>
      <w:divBdr>
        <w:top w:val="none" w:sz="0" w:space="0" w:color="auto"/>
        <w:left w:val="none" w:sz="0" w:space="0" w:color="auto"/>
        <w:bottom w:val="none" w:sz="0" w:space="0" w:color="auto"/>
        <w:right w:val="none" w:sz="0" w:space="0" w:color="auto"/>
      </w:divBdr>
    </w:div>
    <w:div w:id="1492407633">
      <w:bodyDiv w:val="1"/>
      <w:marLeft w:val="0"/>
      <w:marRight w:val="0"/>
      <w:marTop w:val="0"/>
      <w:marBottom w:val="0"/>
      <w:divBdr>
        <w:top w:val="none" w:sz="0" w:space="0" w:color="auto"/>
        <w:left w:val="none" w:sz="0" w:space="0" w:color="auto"/>
        <w:bottom w:val="none" w:sz="0" w:space="0" w:color="auto"/>
        <w:right w:val="none" w:sz="0" w:space="0" w:color="auto"/>
      </w:divBdr>
      <w:divsChild>
        <w:div w:id="751045512">
          <w:marLeft w:val="240"/>
          <w:marRight w:val="0"/>
          <w:marTop w:val="60"/>
          <w:marBottom w:val="0"/>
          <w:divBdr>
            <w:top w:val="none" w:sz="0" w:space="0" w:color="auto"/>
            <w:left w:val="none" w:sz="0" w:space="0" w:color="auto"/>
            <w:bottom w:val="none" w:sz="0" w:space="0" w:color="auto"/>
            <w:right w:val="none" w:sz="0" w:space="0" w:color="auto"/>
          </w:divBdr>
        </w:div>
        <w:div w:id="1981228729">
          <w:marLeft w:val="240"/>
          <w:marRight w:val="0"/>
          <w:marTop w:val="60"/>
          <w:marBottom w:val="0"/>
          <w:divBdr>
            <w:top w:val="none" w:sz="0" w:space="0" w:color="auto"/>
            <w:left w:val="none" w:sz="0" w:space="0" w:color="auto"/>
            <w:bottom w:val="none" w:sz="0" w:space="0" w:color="auto"/>
            <w:right w:val="none" w:sz="0" w:space="0" w:color="auto"/>
          </w:divBdr>
        </w:div>
      </w:divsChild>
    </w:div>
    <w:div w:id="1494300887">
      <w:bodyDiv w:val="1"/>
      <w:marLeft w:val="0"/>
      <w:marRight w:val="0"/>
      <w:marTop w:val="0"/>
      <w:marBottom w:val="0"/>
      <w:divBdr>
        <w:top w:val="none" w:sz="0" w:space="0" w:color="auto"/>
        <w:left w:val="none" w:sz="0" w:space="0" w:color="auto"/>
        <w:bottom w:val="none" w:sz="0" w:space="0" w:color="auto"/>
        <w:right w:val="none" w:sz="0" w:space="0" w:color="auto"/>
      </w:divBdr>
      <w:divsChild>
        <w:div w:id="1803501321">
          <w:marLeft w:val="0"/>
          <w:marRight w:val="0"/>
          <w:marTop w:val="0"/>
          <w:marBottom w:val="0"/>
          <w:divBdr>
            <w:top w:val="none" w:sz="0" w:space="0" w:color="auto"/>
            <w:left w:val="none" w:sz="0" w:space="0" w:color="auto"/>
            <w:bottom w:val="none" w:sz="0" w:space="0" w:color="auto"/>
            <w:right w:val="none" w:sz="0" w:space="0" w:color="auto"/>
          </w:divBdr>
        </w:div>
      </w:divsChild>
    </w:div>
    <w:div w:id="1504517490">
      <w:bodyDiv w:val="1"/>
      <w:marLeft w:val="0"/>
      <w:marRight w:val="0"/>
      <w:marTop w:val="0"/>
      <w:marBottom w:val="0"/>
      <w:divBdr>
        <w:top w:val="none" w:sz="0" w:space="0" w:color="auto"/>
        <w:left w:val="none" w:sz="0" w:space="0" w:color="auto"/>
        <w:bottom w:val="none" w:sz="0" w:space="0" w:color="auto"/>
        <w:right w:val="none" w:sz="0" w:space="0" w:color="auto"/>
      </w:divBdr>
    </w:div>
    <w:div w:id="1507328814">
      <w:bodyDiv w:val="1"/>
      <w:marLeft w:val="0"/>
      <w:marRight w:val="0"/>
      <w:marTop w:val="0"/>
      <w:marBottom w:val="0"/>
      <w:divBdr>
        <w:top w:val="none" w:sz="0" w:space="0" w:color="auto"/>
        <w:left w:val="none" w:sz="0" w:space="0" w:color="auto"/>
        <w:bottom w:val="none" w:sz="0" w:space="0" w:color="auto"/>
        <w:right w:val="none" w:sz="0" w:space="0" w:color="auto"/>
      </w:divBdr>
    </w:div>
    <w:div w:id="1507669741">
      <w:bodyDiv w:val="1"/>
      <w:marLeft w:val="0"/>
      <w:marRight w:val="0"/>
      <w:marTop w:val="0"/>
      <w:marBottom w:val="0"/>
      <w:divBdr>
        <w:top w:val="none" w:sz="0" w:space="0" w:color="auto"/>
        <w:left w:val="none" w:sz="0" w:space="0" w:color="auto"/>
        <w:bottom w:val="none" w:sz="0" w:space="0" w:color="auto"/>
        <w:right w:val="none" w:sz="0" w:space="0" w:color="auto"/>
      </w:divBdr>
      <w:divsChild>
        <w:div w:id="970329745">
          <w:marLeft w:val="240"/>
          <w:marRight w:val="0"/>
          <w:marTop w:val="120"/>
          <w:marBottom w:val="0"/>
          <w:divBdr>
            <w:top w:val="none" w:sz="0" w:space="0" w:color="auto"/>
            <w:left w:val="none" w:sz="0" w:space="0" w:color="auto"/>
            <w:bottom w:val="none" w:sz="0" w:space="0" w:color="auto"/>
            <w:right w:val="none" w:sz="0" w:space="0" w:color="auto"/>
          </w:divBdr>
        </w:div>
      </w:divsChild>
    </w:div>
    <w:div w:id="1511288464">
      <w:bodyDiv w:val="1"/>
      <w:marLeft w:val="0"/>
      <w:marRight w:val="0"/>
      <w:marTop w:val="0"/>
      <w:marBottom w:val="0"/>
      <w:divBdr>
        <w:top w:val="none" w:sz="0" w:space="0" w:color="auto"/>
        <w:left w:val="none" w:sz="0" w:space="0" w:color="auto"/>
        <w:bottom w:val="none" w:sz="0" w:space="0" w:color="auto"/>
        <w:right w:val="none" w:sz="0" w:space="0" w:color="auto"/>
      </w:divBdr>
    </w:div>
    <w:div w:id="1515605006">
      <w:bodyDiv w:val="1"/>
      <w:marLeft w:val="0"/>
      <w:marRight w:val="0"/>
      <w:marTop w:val="0"/>
      <w:marBottom w:val="0"/>
      <w:divBdr>
        <w:top w:val="none" w:sz="0" w:space="0" w:color="auto"/>
        <w:left w:val="none" w:sz="0" w:space="0" w:color="auto"/>
        <w:bottom w:val="none" w:sz="0" w:space="0" w:color="auto"/>
        <w:right w:val="none" w:sz="0" w:space="0" w:color="auto"/>
      </w:divBdr>
    </w:div>
    <w:div w:id="1523593684">
      <w:bodyDiv w:val="1"/>
      <w:marLeft w:val="0"/>
      <w:marRight w:val="0"/>
      <w:marTop w:val="0"/>
      <w:marBottom w:val="0"/>
      <w:divBdr>
        <w:top w:val="none" w:sz="0" w:space="0" w:color="auto"/>
        <w:left w:val="none" w:sz="0" w:space="0" w:color="auto"/>
        <w:bottom w:val="none" w:sz="0" w:space="0" w:color="auto"/>
        <w:right w:val="none" w:sz="0" w:space="0" w:color="auto"/>
      </w:divBdr>
    </w:div>
    <w:div w:id="1531186584">
      <w:bodyDiv w:val="1"/>
      <w:marLeft w:val="0"/>
      <w:marRight w:val="0"/>
      <w:marTop w:val="0"/>
      <w:marBottom w:val="0"/>
      <w:divBdr>
        <w:top w:val="none" w:sz="0" w:space="0" w:color="auto"/>
        <w:left w:val="none" w:sz="0" w:space="0" w:color="auto"/>
        <w:bottom w:val="none" w:sz="0" w:space="0" w:color="auto"/>
        <w:right w:val="none" w:sz="0" w:space="0" w:color="auto"/>
      </w:divBdr>
      <w:divsChild>
        <w:div w:id="2132478592">
          <w:marLeft w:val="0"/>
          <w:marRight w:val="0"/>
          <w:marTop w:val="0"/>
          <w:marBottom w:val="0"/>
          <w:divBdr>
            <w:top w:val="none" w:sz="0" w:space="0" w:color="auto"/>
            <w:left w:val="none" w:sz="0" w:space="0" w:color="auto"/>
            <w:bottom w:val="none" w:sz="0" w:space="0" w:color="auto"/>
            <w:right w:val="none" w:sz="0" w:space="0" w:color="auto"/>
          </w:divBdr>
        </w:div>
      </w:divsChild>
    </w:div>
    <w:div w:id="1533836836">
      <w:bodyDiv w:val="1"/>
      <w:marLeft w:val="0"/>
      <w:marRight w:val="0"/>
      <w:marTop w:val="0"/>
      <w:marBottom w:val="0"/>
      <w:divBdr>
        <w:top w:val="none" w:sz="0" w:space="0" w:color="auto"/>
        <w:left w:val="none" w:sz="0" w:space="0" w:color="auto"/>
        <w:bottom w:val="none" w:sz="0" w:space="0" w:color="auto"/>
        <w:right w:val="none" w:sz="0" w:space="0" w:color="auto"/>
      </w:divBdr>
      <w:divsChild>
        <w:div w:id="1359430766">
          <w:marLeft w:val="240"/>
          <w:marRight w:val="0"/>
          <w:marTop w:val="60"/>
          <w:marBottom w:val="0"/>
          <w:divBdr>
            <w:top w:val="none" w:sz="0" w:space="0" w:color="auto"/>
            <w:left w:val="none" w:sz="0" w:space="0" w:color="auto"/>
            <w:bottom w:val="none" w:sz="0" w:space="0" w:color="auto"/>
            <w:right w:val="none" w:sz="0" w:space="0" w:color="auto"/>
          </w:divBdr>
        </w:div>
      </w:divsChild>
    </w:div>
    <w:div w:id="1539272015">
      <w:bodyDiv w:val="1"/>
      <w:marLeft w:val="0"/>
      <w:marRight w:val="0"/>
      <w:marTop w:val="0"/>
      <w:marBottom w:val="0"/>
      <w:divBdr>
        <w:top w:val="none" w:sz="0" w:space="0" w:color="auto"/>
        <w:left w:val="none" w:sz="0" w:space="0" w:color="auto"/>
        <w:bottom w:val="none" w:sz="0" w:space="0" w:color="auto"/>
        <w:right w:val="none" w:sz="0" w:space="0" w:color="auto"/>
      </w:divBdr>
    </w:div>
    <w:div w:id="1568103675">
      <w:bodyDiv w:val="1"/>
      <w:marLeft w:val="0"/>
      <w:marRight w:val="0"/>
      <w:marTop w:val="0"/>
      <w:marBottom w:val="0"/>
      <w:divBdr>
        <w:top w:val="none" w:sz="0" w:space="0" w:color="auto"/>
        <w:left w:val="none" w:sz="0" w:space="0" w:color="auto"/>
        <w:bottom w:val="none" w:sz="0" w:space="0" w:color="auto"/>
        <w:right w:val="none" w:sz="0" w:space="0" w:color="auto"/>
      </w:divBdr>
    </w:div>
    <w:div w:id="1579248856">
      <w:bodyDiv w:val="1"/>
      <w:marLeft w:val="0"/>
      <w:marRight w:val="0"/>
      <w:marTop w:val="0"/>
      <w:marBottom w:val="0"/>
      <w:divBdr>
        <w:top w:val="none" w:sz="0" w:space="0" w:color="auto"/>
        <w:left w:val="none" w:sz="0" w:space="0" w:color="auto"/>
        <w:bottom w:val="none" w:sz="0" w:space="0" w:color="auto"/>
        <w:right w:val="none" w:sz="0" w:space="0" w:color="auto"/>
      </w:divBdr>
      <w:divsChild>
        <w:div w:id="1292902641">
          <w:marLeft w:val="240"/>
          <w:marRight w:val="0"/>
          <w:marTop w:val="60"/>
          <w:marBottom w:val="0"/>
          <w:divBdr>
            <w:top w:val="none" w:sz="0" w:space="0" w:color="auto"/>
            <w:left w:val="none" w:sz="0" w:space="0" w:color="auto"/>
            <w:bottom w:val="none" w:sz="0" w:space="0" w:color="auto"/>
            <w:right w:val="none" w:sz="0" w:space="0" w:color="auto"/>
          </w:divBdr>
        </w:div>
      </w:divsChild>
    </w:div>
    <w:div w:id="1583836201">
      <w:bodyDiv w:val="1"/>
      <w:marLeft w:val="0"/>
      <w:marRight w:val="0"/>
      <w:marTop w:val="0"/>
      <w:marBottom w:val="0"/>
      <w:divBdr>
        <w:top w:val="none" w:sz="0" w:space="0" w:color="auto"/>
        <w:left w:val="none" w:sz="0" w:space="0" w:color="auto"/>
        <w:bottom w:val="none" w:sz="0" w:space="0" w:color="auto"/>
        <w:right w:val="none" w:sz="0" w:space="0" w:color="auto"/>
      </w:divBdr>
    </w:div>
    <w:div w:id="1589198024">
      <w:bodyDiv w:val="1"/>
      <w:marLeft w:val="0"/>
      <w:marRight w:val="0"/>
      <w:marTop w:val="0"/>
      <w:marBottom w:val="0"/>
      <w:divBdr>
        <w:top w:val="none" w:sz="0" w:space="0" w:color="auto"/>
        <w:left w:val="none" w:sz="0" w:space="0" w:color="auto"/>
        <w:bottom w:val="none" w:sz="0" w:space="0" w:color="auto"/>
        <w:right w:val="none" w:sz="0" w:space="0" w:color="auto"/>
      </w:divBdr>
    </w:div>
    <w:div w:id="1603760985">
      <w:bodyDiv w:val="1"/>
      <w:marLeft w:val="0"/>
      <w:marRight w:val="0"/>
      <w:marTop w:val="0"/>
      <w:marBottom w:val="0"/>
      <w:divBdr>
        <w:top w:val="none" w:sz="0" w:space="0" w:color="auto"/>
        <w:left w:val="none" w:sz="0" w:space="0" w:color="auto"/>
        <w:bottom w:val="none" w:sz="0" w:space="0" w:color="auto"/>
        <w:right w:val="none" w:sz="0" w:space="0" w:color="auto"/>
      </w:divBdr>
      <w:divsChild>
        <w:div w:id="1270628048">
          <w:marLeft w:val="240"/>
          <w:marRight w:val="0"/>
          <w:marTop w:val="60"/>
          <w:marBottom w:val="0"/>
          <w:divBdr>
            <w:top w:val="none" w:sz="0" w:space="0" w:color="auto"/>
            <w:left w:val="none" w:sz="0" w:space="0" w:color="auto"/>
            <w:bottom w:val="none" w:sz="0" w:space="0" w:color="auto"/>
            <w:right w:val="none" w:sz="0" w:space="0" w:color="auto"/>
          </w:divBdr>
        </w:div>
      </w:divsChild>
    </w:div>
    <w:div w:id="1615015137">
      <w:bodyDiv w:val="1"/>
      <w:marLeft w:val="0"/>
      <w:marRight w:val="0"/>
      <w:marTop w:val="0"/>
      <w:marBottom w:val="0"/>
      <w:divBdr>
        <w:top w:val="none" w:sz="0" w:space="0" w:color="auto"/>
        <w:left w:val="none" w:sz="0" w:space="0" w:color="auto"/>
        <w:bottom w:val="none" w:sz="0" w:space="0" w:color="auto"/>
        <w:right w:val="none" w:sz="0" w:space="0" w:color="auto"/>
      </w:divBdr>
    </w:div>
    <w:div w:id="1620145725">
      <w:bodyDiv w:val="1"/>
      <w:marLeft w:val="0"/>
      <w:marRight w:val="0"/>
      <w:marTop w:val="0"/>
      <w:marBottom w:val="0"/>
      <w:divBdr>
        <w:top w:val="none" w:sz="0" w:space="0" w:color="auto"/>
        <w:left w:val="none" w:sz="0" w:space="0" w:color="auto"/>
        <w:bottom w:val="none" w:sz="0" w:space="0" w:color="auto"/>
        <w:right w:val="none" w:sz="0" w:space="0" w:color="auto"/>
      </w:divBdr>
      <w:divsChild>
        <w:div w:id="270432674">
          <w:marLeft w:val="240"/>
          <w:marRight w:val="0"/>
          <w:marTop w:val="60"/>
          <w:marBottom w:val="0"/>
          <w:divBdr>
            <w:top w:val="none" w:sz="0" w:space="0" w:color="auto"/>
            <w:left w:val="none" w:sz="0" w:space="0" w:color="auto"/>
            <w:bottom w:val="none" w:sz="0" w:space="0" w:color="auto"/>
            <w:right w:val="none" w:sz="0" w:space="0" w:color="auto"/>
          </w:divBdr>
        </w:div>
      </w:divsChild>
    </w:div>
    <w:div w:id="1637954144">
      <w:bodyDiv w:val="1"/>
      <w:marLeft w:val="0"/>
      <w:marRight w:val="0"/>
      <w:marTop w:val="0"/>
      <w:marBottom w:val="0"/>
      <w:divBdr>
        <w:top w:val="none" w:sz="0" w:space="0" w:color="auto"/>
        <w:left w:val="none" w:sz="0" w:space="0" w:color="auto"/>
        <w:bottom w:val="none" w:sz="0" w:space="0" w:color="auto"/>
        <w:right w:val="none" w:sz="0" w:space="0" w:color="auto"/>
      </w:divBdr>
    </w:div>
    <w:div w:id="1642728594">
      <w:bodyDiv w:val="1"/>
      <w:marLeft w:val="0"/>
      <w:marRight w:val="0"/>
      <w:marTop w:val="0"/>
      <w:marBottom w:val="0"/>
      <w:divBdr>
        <w:top w:val="none" w:sz="0" w:space="0" w:color="auto"/>
        <w:left w:val="none" w:sz="0" w:space="0" w:color="auto"/>
        <w:bottom w:val="none" w:sz="0" w:space="0" w:color="auto"/>
        <w:right w:val="none" w:sz="0" w:space="0" w:color="auto"/>
      </w:divBdr>
    </w:div>
    <w:div w:id="1642926844">
      <w:bodyDiv w:val="1"/>
      <w:marLeft w:val="0"/>
      <w:marRight w:val="0"/>
      <w:marTop w:val="0"/>
      <w:marBottom w:val="0"/>
      <w:divBdr>
        <w:top w:val="none" w:sz="0" w:space="0" w:color="auto"/>
        <w:left w:val="none" w:sz="0" w:space="0" w:color="auto"/>
        <w:bottom w:val="none" w:sz="0" w:space="0" w:color="auto"/>
        <w:right w:val="none" w:sz="0" w:space="0" w:color="auto"/>
      </w:divBdr>
    </w:div>
    <w:div w:id="1647271980">
      <w:bodyDiv w:val="1"/>
      <w:marLeft w:val="0"/>
      <w:marRight w:val="0"/>
      <w:marTop w:val="0"/>
      <w:marBottom w:val="0"/>
      <w:divBdr>
        <w:top w:val="none" w:sz="0" w:space="0" w:color="auto"/>
        <w:left w:val="none" w:sz="0" w:space="0" w:color="auto"/>
        <w:bottom w:val="none" w:sz="0" w:space="0" w:color="auto"/>
        <w:right w:val="none" w:sz="0" w:space="0" w:color="auto"/>
      </w:divBdr>
      <w:divsChild>
        <w:div w:id="1101796266">
          <w:marLeft w:val="240"/>
          <w:marRight w:val="0"/>
          <w:marTop w:val="60"/>
          <w:marBottom w:val="0"/>
          <w:divBdr>
            <w:top w:val="none" w:sz="0" w:space="0" w:color="auto"/>
            <w:left w:val="none" w:sz="0" w:space="0" w:color="auto"/>
            <w:bottom w:val="none" w:sz="0" w:space="0" w:color="auto"/>
            <w:right w:val="none" w:sz="0" w:space="0" w:color="auto"/>
          </w:divBdr>
        </w:div>
        <w:div w:id="2068649541">
          <w:marLeft w:val="240"/>
          <w:marRight w:val="0"/>
          <w:marTop w:val="60"/>
          <w:marBottom w:val="0"/>
          <w:divBdr>
            <w:top w:val="none" w:sz="0" w:space="0" w:color="auto"/>
            <w:left w:val="none" w:sz="0" w:space="0" w:color="auto"/>
            <w:bottom w:val="none" w:sz="0" w:space="0" w:color="auto"/>
            <w:right w:val="none" w:sz="0" w:space="0" w:color="auto"/>
          </w:divBdr>
        </w:div>
      </w:divsChild>
    </w:div>
    <w:div w:id="1655254315">
      <w:bodyDiv w:val="1"/>
      <w:marLeft w:val="0"/>
      <w:marRight w:val="0"/>
      <w:marTop w:val="0"/>
      <w:marBottom w:val="0"/>
      <w:divBdr>
        <w:top w:val="none" w:sz="0" w:space="0" w:color="auto"/>
        <w:left w:val="none" w:sz="0" w:space="0" w:color="auto"/>
        <w:bottom w:val="none" w:sz="0" w:space="0" w:color="auto"/>
        <w:right w:val="none" w:sz="0" w:space="0" w:color="auto"/>
      </w:divBdr>
    </w:div>
    <w:div w:id="1660188832">
      <w:bodyDiv w:val="1"/>
      <w:marLeft w:val="0"/>
      <w:marRight w:val="0"/>
      <w:marTop w:val="0"/>
      <w:marBottom w:val="0"/>
      <w:divBdr>
        <w:top w:val="none" w:sz="0" w:space="0" w:color="auto"/>
        <w:left w:val="none" w:sz="0" w:space="0" w:color="auto"/>
        <w:bottom w:val="none" w:sz="0" w:space="0" w:color="auto"/>
        <w:right w:val="none" w:sz="0" w:space="0" w:color="auto"/>
      </w:divBdr>
      <w:divsChild>
        <w:div w:id="1596749067">
          <w:marLeft w:val="240"/>
          <w:marRight w:val="0"/>
          <w:marTop w:val="60"/>
          <w:marBottom w:val="0"/>
          <w:divBdr>
            <w:top w:val="none" w:sz="0" w:space="0" w:color="auto"/>
            <w:left w:val="none" w:sz="0" w:space="0" w:color="auto"/>
            <w:bottom w:val="none" w:sz="0" w:space="0" w:color="auto"/>
            <w:right w:val="none" w:sz="0" w:space="0" w:color="auto"/>
          </w:divBdr>
        </w:div>
      </w:divsChild>
    </w:div>
    <w:div w:id="1661620570">
      <w:bodyDiv w:val="1"/>
      <w:marLeft w:val="0"/>
      <w:marRight w:val="0"/>
      <w:marTop w:val="0"/>
      <w:marBottom w:val="0"/>
      <w:divBdr>
        <w:top w:val="none" w:sz="0" w:space="0" w:color="auto"/>
        <w:left w:val="none" w:sz="0" w:space="0" w:color="auto"/>
        <w:bottom w:val="none" w:sz="0" w:space="0" w:color="auto"/>
        <w:right w:val="none" w:sz="0" w:space="0" w:color="auto"/>
      </w:divBdr>
    </w:div>
    <w:div w:id="1665234384">
      <w:bodyDiv w:val="1"/>
      <w:marLeft w:val="0"/>
      <w:marRight w:val="0"/>
      <w:marTop w:val="0"/>
      <w:marBottom w:val="0"/>
      <w:divBdr>
        <w:top w:val="none" w:sz="0" w:space="0" w:color="auto"/>
        <w:left w:val="none" w:sz="0" w:space="0" w:color="auto"/>
        <w:bottom w:val="none" w:sz="0" w:space="0" w:color="auto"/>
        <w:right w:val="none" w:sz="0" w:space="0" w:color="auto"/>
      </w:divBdr>
      <w:divsChild>
        <w:div w:id="2041858136">
          <w:marLeft w:val="240"/>
          <w:marRight w:val="0"/>
          <w:marTop w:val="60"/>
          <w:marBottom w:val="0"/>
          <w:divBdr>
            <w:top w:val="none" w:sz="0" w:space="0" w:color="auto"/>
            <w:left w:val="none" w:sz="0" w:space="0" w:color="auto"/>
            <w:bottom w:val="none" w:sz="0" w:space="0" w:color="auto"/>
            <w:right w:val="none" w:sz="0" w:space="0" w:color="auto"/>
          </w:divBdr>
        </w:div>
      </w:divsChild>
    </w:div>
    <w:div w:id="1688671304">
      <w:bodyDiv w:val="1"/>
      <w:marLeft w:val="0"/>
      <w:marRight w:val="0"/>
      <w:marTop w:val="0"/>
      <w:marBottom w:val="0"/>
      <w:divBdr>
        <w:top w:val="none" w:sz="0" w:space="0" w:color="auto"/>
        <w:left w:val="none" w:sz="0" w:space="0" w:color="auto"/>
        <w:bottom w:val="none" w:sz="0" w:space="0" w:color="auto"/>
        <w:right w:val="none" w:sz="0" w:space="0" w:color="auto"/>
      </w:divBdr>
    </w:div>
    <w:div w:id="1704866887">
      <w:bodyDiv w:val="1"/>
      <w:marLeft w:val="0"/>
      <w:marRight w:val="0"/>
      <w:marTop w:val="0"/>
      <w:marBottom w:val="0"/>
      <w:divBdr>
        <w:top w:val="none" w:sz="0" w:space="0" w:color="auto"/>
        <w:left w:val="none" w:sz="0" w:space="0" w:color="auto"/>
        <w:bottom w:val="none" w:sz="0" w:space="0" w:color="auto"/>
        <w:right w:val="none" w:sz="0" w:space="0" w:color="auto"/>
      </w:divBdr>
    </w:div>
    <w:div w:id="1707637647">
      <w:bodyDiv w:val="1"/>
      <w:marLeft w:val="0"/>
      <w:marRight w:val="0"/>
      <w:marTop w:val="0"/>
      <w:marBottom w:val="0"/>
      <w:divBdr>
        <w:top w:val="none" w:sz="0" w:space="0" w:color="auto"/>
        <w:left w:val="none" w:sz="0" w:space="0" w:color="auto"/>
        <w:bottom w:val="none" w:sz="0" w:space="0" w:color="auto"/>
        <w:right w:val="none" w:sz="0" w:space="0" w:color="auto"/>
      </w:divBdr>
    </w:div>
    <w:div w:id="1718047772">
      <w:bodyDiv w:val="1"/>
      <w:marLeft w:val="0"/>
      <w:marRight w:val="0"/>
      <w:marTop w:val="0"/>
      <w:marBottom w:val="0"/>
      <w:divBdr>
        <w:top w:val="none" w:sz="0" w:space="0" w:color="auto"/>
        <w:left w:val="none" w:sz="0" w:space="0" w:color="auto"/>
        <w:bottom w:val="none" w:sz="0" w:space="0" w:color="auto"/>
        <w:right w:val="none" w:sz="0" w:space="0" w:color="auto"/>
      </w:divBdr>
    </w:div>
    <w:div w:id="1743982524">
      <w:bodyDiv w:val="1"/>
      <w:marLeft w:val="0"/>
      <w:marRight w:val="0"/>
      <w:marTop w:val="0"/>
      <w:marBottom w:val="0"/>
      <w:divBdr>
        <w:top w:val="none" w:sz="0" w:space="0" w:color="auto"/>
        <w:left w:val="none" w:sz="0" w:space="0" w:color="auto"/>
        <w:bottom w:val="none" w:sz="0" w:space="0" w:color="auto"/>
        <w:right w:val="none" w:sz="0" w:space="0" w:color="auto"/>
      </w:divBdr>
      <w:divsChild>
        <w:div w:id="420301188">
          <w:marLeft w:val="240"/>
          <w:marRight w:val="0"/>
          <w:marTop w:val="60"/>
          <w:marBottom w:val="0"/>
          <w:divBdr>
            <w:top w:val="none" w:sz="0" w:space="0" w:color="auto"/>
            <w:left w:val="none" w:sz="0" w:space="0" w:color="auto"/>
            <w:bottom w:val="none" w:sz="0" w:space="0" w:color="auto"/>
            <w:right w:val="none" w:sz="0" w:space="0" w:color="auto"/>
          </w:divBdr>
        </w:div>
        <w:div w:id="1275285103">
          <w:marLeft w:val="240"/>
          <w:marRight w:val="0"/>
          <w:marTop w:val="60"/>
          <w:marBottom w:val="0"/>
          <w:divBdr>
            <w:top w:val="none" w:sz="0" w:space="0" w:color="auto"/>
            <w:left w:val="none" w:sz="0" w:space="0" w:color="auto"/>
            <w:bottom w:val="none" w:sz="0" w:space="0" w:color="auto"/>
            <w:right w:val="none" w:sz="0" w:space="0" w:color="auto"/>
          </w:divBdr>
        </w:div>
      </w:divsChild>
    </w:div>
    <w:div w:id="1781488084">
      <w:bodyDiv w:val="1"/>
      <w:marLeft w:val="0"/>
      <w:marRight w:val="0"/>
      <w:marTop w:val="0"/>
      <w:marBottom w:val="0"/>
      <w:divBdr>
        <w:top w:val="none" w:sz="0" w:space="0" w:color="auto"/>
        <w:left w:val="none" w:sz="0" w:space="0" w:color="auto"/>
        <w:bottom w:val="none" w:sz="0" w:space="0" w:color="auto"/>
        <w:right w:val="none" w:sz="0" w:space="0" w:color="auto"/>
      </w:divBdr>
      <w:divsChild>
        <w:div w:id="950864956">
          <w:marLeft w:val="240"/>
          <w:marRight w:val="0"/>
          <w:marTop w:val="60"/>
          <w:marBottom w:val="0"/>
          <w:divBdr>
            <w:top w:val="none" w:sz="0" w:space="0" w:color="auto"/>
            <w:left w:val="none" w:sz="0" w:space="0" w:color="auto"/>
            <w:bottom w:val="none" w:sz="0" w:space="0" w:color="auto"/>
            <w:right w:val="none" w:sz="0" w:space="0" w:color="auto"/>
          </w:divBdr>
        </w:div>
        <w:div w:id="1766151052">
          <w:marLeft w:val="240"/>
          <w:marRight w:val="0"/>
          <w:marTop w:val="60"/>
          <w:marBottom w:val="0"/>
          <w:divBdr>
            <w:top w:val="none" w:sz="0" w:space="0" w:color="auto"/>
            <w:left w:val="none" w:sz="0" w:space="0" w:color="auto"/>
            <w:bottom w:val="none" w:sz="0" w:space="0" w:color="auto"/>
            <w:right w:val="none" w:sz="0" w:space="0" w:color="auto"/>
          </w:divBdr>
        </w:div>
      </w:divsChild>
    </w:div>
    <w:div w:id="1781991176">
      <w:bodyDiv w:val="1"/>
      <w:marLeft w:val="0"/>
      <w:marRight w:val="0"/>
      <w:marTop w:val="0"/>
      <w:marBottom w:val="0"/>
      <w:divBdr>
        <w:top w:val="none" w:sz="0" w:space="0" w:color="auto"/>
        <w:left w:val="none" w:sz="0" w:space="0" w:color="auto"/>
        <w:bottom w:val="none" w:sz="0" w:space="0" w:color="auto"/>
        <w:right w:val="none" w:sz="0" w:space="0" w:color="auto"/>
      </w:divBdr>
    </w:div>
    <w:div w:id="1784495092">
      <w:bodyDiv w:val="1"/>
      <w:marLeft w:val="0"/>
      <w:marRight w:val="0"/>
      <w:marTop w:val="0"/>
      <w:marBottom w:val="0"/>
      <w:divBdr>
        <w:top w:val="none" w:sz="0" w:space="0" w:color="auto"/>
        <w:left w:val="none" w:sz="0" w:space="0" w:color="auto"/>
        <w:bottom w:val="none" w:sz="0" w:space="0" w:color="auto"/>
        <w:right w:val="none" w:sz="0" w:space="0" w:color="auto"/>
      </w:divBdr>
    </w:div>
    <w:div w:id="1789927195">
      <w:bodyDiv w:val="1"/>
      <w:marLeft w:val="0"/>
      <w:marRight w:val="0"/>
      <w:marTop w:val="0"/>
      <w:marBottom w:val="0"/>
      <w:divBdr>
        <w:top w:val="none" w:sz="0" w:space="0" w:color="auto"/>
        <w:left w:val="none" w:sz="0" w:space="0" w:color="auto"/>
        <w:bottom w:val="none" w:sz="0" w:space="0" w:color="auto"/>
        <w:right w:val="none" w:sz="0" w:space="0" w:color="auto"/>
      </w:divBdr>
      <w:divsChild>
        <w:div w:id="1966351979">
          <w:marLeft w:val="0"/>
          <w:marRight w:val="0"/>
          <w:marTop w:val="0"/>
          <w:marBottom w:val="0"/>
          <w:divBdr>
            <w:top w:val="none" w:sz="0" w:space="0" w:color="auto"/>
            <w:left w:val="none" w:sz="0" w:space="0" w:color="auto"/>
            <w:bottom w:val="none" w:sz="0" w:space="0" w:color="auto"/>
            <w:right w:val="none" w:sz="0" w:space="0" w:color="auto"/>
          </w:divBdr>
          <w:divsChild>
            <w:div w:id="852845506">
              <w:marLeft w:val="240"/>
              <w:marRight w:val="0"/>
              <w:marTop w:val="120"/>
              <w:marBottom w:val="0"/>
              <w:divBdr>
                <w:top w:val="none" w:sz="0" w:space="0" w:color="auto"/>
                <w:left w:val="none" w:sz="0" w:space="0" w:color="auto"/>
                <w:bottom w:val="none" w:sz="0" w:space="0" w:color="auto"/>
                <w:right w:val="none" w:sz="0" w:space="0" w:color="auto"/>
              </w:divBdr>
            </w:div>
            <w:div w:id="1005597936">
              <w:marLeft w:val="240"/>
              <w:marRight w:val="0"/>
              <w:marTop w:val="120"/>
              <w:marBottom w:val="0"/>
              <w:divBdr>
                <w:top w:val="none" w:sz="0" w:space="0" w:color="auto"/>
                <w:left w:val="none" w:sz="0" w:space="0" w:color="auto"/>
                <w:bottom w:val="none" w:sz="0" w:space="0" w:color="auto"/>
                <w:right w:val="none" w:sz="0" w:space="0" w:color="auto"/>
              </w:divBdr>
            </w:div>
            <w:div w:id="1074160796">
              <w:marLeft w:val="240"/>
              <w:marRight w:val="0"/>
              <w:marTop w:val="120"/>
              <w:marBottom w:val="0"/>
              <w:divBdr>
                <w:top w:val="none" w:sz="0" w:space="0" w:color="auto"/>
                <w:left w:val="none" w:sz="0" w:space="0" w:color="auto"/>
                <w:bottom w:val="none" w:sz="0" w:space="0" w:color="auto"/>
                <w:right w:val="none" w:sz="0" w:space="0" w:color="auto"/>
              </w:divBdr>
            </w:div>
            <w:div w:id="1331102813">
              <w:marLeft w:val="240"/>
              <w:marRight w:val="0"/>
              <w:marTop w:val="120"/>
              <w:marBottom w:val="0"/>
              <w:divBdr>
                <w:top w:val="none" w:sz="0" w:space="0" w:color="auto"/>
                <w:left w:val="none" w:sz="0" w:space="0" w:color="auto"/>
                <w:bottom w:val="none" w:sz="0" w:space="0" w:color="auto"/>
                <w:right w:val="none" w:sz="0" w:space="0" w:color="auto"/>
              </w:divBdr>
            </w:div>
            <w:div w:id="2064862475">
              <w:marLeft w:val="240"/>
              <w:marRight w:val="0"/>
              <w:marTop w:val="120"/>
              <w:marBottom w:val="0"/>
              <w:divBdr>
                <w:top w:val="none" w:sz="0" w:space="0" w:color="auto"/>
                <w:left w:val="none" w:sz="0" w:space="0" w:color="auto"/>
                <w:bottom w:val="none" w:sz="0" w:space="0" w:color="auto"/>
                <w:right w:val="none" w:sz="0" w:space="0" w:color="auto"/>
              </w:divBdr>
            </w:div>
          </w:divsChild>
        </w:div>
      </w:divsChild>
    </w:div>
    <w:div w:id="1805730028">
      <w:bodyDiv w:val="1"/>
      <w:marLeft w:val="0"/>
      <w:marRight w:val="0"/>
      <w:marTop w:val="0"/>
      <w:marBottom w:val="0"/>
      <w:divBdr>
        <w:top w:val="none" w:sz="0" w:space="0" w:color="auto"/>
        <w:left w:val="none" w:sz="0" w:space="0" w:color="auto"/>
        <w:bottom w:val="none" w:sz="0" w:space="0" w:color="auto"/>
        <w:right w:val="none" w:sz="0" w:space="0" w:color="auto"/>
      </w:divBdr>
      <w:divsChild>
        <w:div w:id="445462988">
          <w:marLeft w:val="0"/>
          <w:marRight w:val="0"/>
          <w:marTop w:val="0"/>
          <w:marBottom w:val="0"/>
          <w:divBdr>
            <w:top w:val="none" w:sz="0" w:space="0" w:color="auto"/>
            <w:left w:val="none" w:sz="0" w:space="0" w:color="auto"/>
            <w:bottom w:val="none" w:sz="0" w:space="0" w:color="auto"/>
            <w:right w:val="none" w:sz="0" w:space="0" w:color="auto"/>
          </w:divBdr>
        </w:div>
      </w:divsChild>
    </w:div>
    <w:div w:id="1807308405">
      <w:bodyDiv w:val="1"/>
      <w:marLeft w:val="0"/>
      <w:marRight w:val="0"/>
      <w:marTop w:val="0"/>
      <w:marBottom w:val="0"/>
      <w:divBdr>
        <w:top w:val="none" w:sz="0" w:space="0" w:color="auto"/>
        <w:left w:val="none" w:sz="0" w:space="0" w:color="auto"/>
        <w:bottom w:val="none" w:sz="0" w:space="0" w:color="auto"/>
        <w:right w:val="none" w:sz="0" w:space="0" w:color="auto"/>
      </w:divBdr>
    </w:div>
    <w:div w:id="1808738861">
      <w:bodyDiv w:val="1"/>
      <w:marLeft w:val="0"/>
      <w:marRight w:val="0"/>
      <w:marTop w:val="0"/>
      <w:marBottom w:val="0"/>
      <w:divBdr>
        <w:top w:val="none" w:sz="0" w:space="0" w:color="auto"/>
        <w:left w:val="none" w:sz="0" w:space="0" w:color="auto"/>
        <w:bottom w:val="none" w:sz="0" w:space="0" w:color="auto"/>
        <w:right w:val="none" w:sz="0" w:space="0" w:color="auto"/>
      </w:divBdr>
      <w:divsChild>
        <w:div w:id="251738436">
          <w:marLeft w:val="240"/>
          <w:marRight w:val="0"/>
          <w:marTop w:val="60"/>
          <w:marBottom w:val="0"/>
          <w:divBdr>
            <w:top w:val="none" w:sz="0" w:space="0" w:color="auto"/>
            <w:left w:val="none" w:sz="0" w:space="0" w:color="auto"/>
            <w:bottom w:val="none" w:sz="0" w:space="0" w:color="auto"/>
            <w:right w:val="none" w:sz="0" w:space="0" w:color="auto"/>
          </w:divBdr>
        </w:div>
        <w:div w:id="255410574">
          <w:marLeft w:val="240"/>
          <w:marRight w:val="0"/>
          <w:marTop w:val="60"/>
          <w:marBottom w:val="0"/>
          <w:divBdr>
            <w:top w:val="none" w:sz="0" w:space="0" w:color="auto"/>
            <w:left w:val="none" w:sz="0" w:space="0" w:color="auto"/>
            <w:bottom w:val="none" w:sz="0" w:space="0" w:color="auto"/>
            <w:right w:val="none" w:sz="0" w:space="0" w:color="auto"/>
          </w:divBdr>
        </w:div>
      </w:divsChild>
    </w:div>
    <w:div w:id="1830830200">
      <w:bodyDiv w:val="1"/>
      <w:marLeft w:val="0"/>
      <w:marRight w:val="0"/>
      <w:marTop w:val="0"/>
      <w:marBottom w:val="0"/>
      <w:divBdr>
        <w:top w:val="none" w:sz="0" w:space="0" w:color="auto"/>
        <w:left w:val="none" w:sz="0" w:space="0" w:color="auto"/>
        <w:bottom w:val="none" w:sz="0" w:space="0" w:color="auto"/>
        <w:right w:val="none" w:sz="0" w:space="0" w:color="auto"/>
      </w:divBdr>
    </w:div>
    <w:div w:id="1847019070">
      <w:bodyDiv w:val="1"/>
      <w:marLeft w:val="0"/>
      <w:marRight w:val="0"/>
      <w:marTop w:val="0"/>
      <w:marBottom w:val="0"/>
      <w:divBdr>
        <w:top w:val="none" w:sz="0" w:space="0" w:color="auto"/>
        <w:left w:val="none" w:sz="0" w:space="0" w:color="auto"/>
        <w:bottom w:val="none" w:sz="0" w:space="0" w:color="auto"/>
        <w:right w:val="none" w:sz="0" w:space="0" w:color="auto"/>
      </w:divBdr>
    </w:div>
    <w:div w:id="1853521623">
      <w:bodyDiv w:val="1"/>
      <w:marLeft w:val="0"/>
      <w:marRight w:val="0"/>
      <w:marTop w:val="0"/>
      <w:marBottom w:val="0"/>
      <w:divBdr>
        <w:top w:val="none" w:sz="0" w:space="0" w:color="auto"/>
        <w:left w:val="none" w:sz="0" w:space="0" w:color="auto"/>
        <w:bottom w:val="none" w:sz="0" w:space="0" w:color="auto"/>
        <w:right w:val="none" w:sz="0" w:space="0" w:color="auto"/>
      </w:divBdr>
      <w:divsChild>
        <w:div w:id="205027210">
          <w:marLeft w:val="240"/>
          <w:marRight w:val="0"/>
          <w:marTop w:val="60"/>
          <w:marBottom w:val="0"/>
          <w:divBdr>
            <w:top w:val="none" w:sz="0" w:space="0" w:color="auto"/>
            <w:left w:val="none" w:sz="0" w:space="0" w:color="auto"/>
            <w:bottom w:val="none" w:sz="0" w:space="0" w:color="auto"/>
            <w:right w:val="none" w:sz="0" w:space="0" w:color="auto"/>
          </w:divBdr>
        </w:div>
        <w:div w:id="205067374">
          <w:marLeft w:val="240"/>
          <w:marRight w:val="0"/>
          <w:marTop w:val="60"/>
          <w:marBottom w:val="0"/>
          <w:divBdr>
            <w:top w:val="none" w:sz="0" w:space="0" w:color="auto"/>
            <w:left w:val="none" w:sz="0" w:space="0" w:color="auto"/>
            <w:bottom w:val="none" w:sz="0" w:space="0" w:color="auto"/>
            <w:right w:val="none" w:sz="0" w:space="0" w:color="auto"/>
          </w:divBdr>
        </w:div>
        <w:div w:id="399451100">
          <w:marLeft w:val="240"/>
          <w:marRight w:val="0"/>
          <w:marTop w:val="60"/>
          <w:marBottom w:val="0"/>
          <w:divBdr>
            <w:top w:val="none" w:sz="0" w:space="0" w:color="auto"/>
            <w:left w:val="none" w:sz="0" w:space="0" w:color="auto"/>
            <w:bottom w:val="none" w:sz="0" w:space="0" w:color="auto"/>
            <w:right w:val="none" w:sz="0" w:space="0" w:color="auto"/>
          </w:divBdr>
        </w:div>
        <w:div w:id="790169721">
          <w:marLeft w:val="240"/>
          <w:marRight w:val="0"/>
          <w:marTop w:val="60"/>
          <w:marBottom w:val="0"/>
          <w:divBdr>
            <w:top w:val="none" w:sz="0" w:space="0" w:color="auto"/>
            <w:left w:val="none" w:sz="0" w:space="0" w:color="auto"/>
            <w:bottom w:val="none" w:sz="0" w:space="0" w:color="auto"/>
            <w:right w:val="none" w:sz="0" w:space="0" w:color="auto"/>
          </w:divBdr>
        </w:div>
        <w:div w:id="1006589329">
          <w:marLeft w:val="240"/>
          <w:marRight w:val="0"/>
          <w:marTop w:val="60"/>
          <w:marBottom w:val="0"/>
          <w:divBdr>
            <w:top w:val="none" w:sz="0" w:space="0" w:color="auto"/>
            <w:left w:val="none" w:sz="0" w:space="0" w:color="auto"/>
            <w:bottom w:val="none" w:sz="0" w:space="0" w:color="auto"/>
            <w:right w:val="none" w:sz="0" w:space="0" w:color="auto"/>
          </w:divBdr>
        </w:div>
        <w:div w:id="1342665283">
          <w:marLeft w:val="240"/>
          <w:marRight w:val="0"/>
          <w:marTop w:val="60"/>
          <w:marBottom w:val="0"/>
          <w:divBdr>
            <w:top w:val="none" w:sz="0" w:space="0" w:color="auto"/>
            <w:left w:val="none" w:sz="0" w:space="0" w:color="auto"/>
            <w:bottom w:val="none" w:sz="0" w:space="0" w:color="auto"/>
            <w:right w:val="none" w:sz="0" w:space="0" w:color="auto"/>
          </w:divBdr>
        </w:div>
        <w:div w:id="1422681671">
          <w:marLeft w:val="240"/>
          <w:marRight w:val="0"/>
          <w:marTop w:val="60"/>
          <w:marBottom w:val="0"/>
          <w:divBdr>
            <w:top w:val="none" w:sz="0" w:space="0" w:color="auto"/>
            <w:left w:val="none" w:sz="0" w:space="0" w:color="auto"/>
            <w:bottom w:val="none" w:sz="0" w:space="0" w:color="auto"/>
            <w:right w:val="none" w:sz="0" w:space="0" w:color="auto"/>
          </w:divBdr>
        </w:div>
      </w:divsChild>
    </w:div>
    <w:div w:id="1860503153">
      <w:bodyDiv w:val="1"/>
      <w:marLeft w:val="0"/>
      <w:marRight w:val="0"/>
      <w:marTop w:val="0"/>
      <w:marBottom w:val="0"/>
      <w:divBdr>
        <w:top w:val="none" w:sz="0" w:space="0" w:color="auto"/>
        <w:left w:val="none" w:sz="0" w:space="0" w:color="auto"/>
        <w:bottom w:val="none" w:sz="0" w:space="0" w:color="auto"/>
        <w:right w:val="none" w:sz="0" w:space="0" w:color="auto"/>
      </w:divBdr>
    </w:div>
    <w:div w:id="1864244492">
      <w:bodyDiv w:val="1"/>
      <w:marLeft w:val="0"/>
      <w:marRight w:val="0"/>
      <w:marTop w:val="0"/>
      <w:marBottom w:val="0"/>
      <w:divBdr>
        <w:top w:val="none" w:sz="0" w:space="0" w:color="auto"/>
        <w:left w:val="none" w:sz="0" w:space="0" w:color="auto"/>
        <w:bottom w:val="none" w:sz="0" w:space="0" w:color="auto"/>
        <w:right w:val="none" w:sz="0" w:space="0" w:color="auto"/>
      </w:divBdr>
      <w:divsChild>
        <w:div w:id="491138728">
          <w:marLeft w:val="240"/>
          <w:marRight w:val="0"/>
          <w:marTop w:val="60"/>
          <w:marBottom w:val="0"/>
          <w:divBdr>
            <w:top w:val="none" w:sz="0" w:space="0" w:color="auto"/>
            <w:left w:val="none" w:sz="0" w:space="0" w:color="auto"/>
            <w:bottom w:val="none" w:sz="0" w:space="0" w:color="auto"/>
            <w:right w:val="none" w:sz="0" w:space="0" w:color="auto"/>
          </w:divBdr>
        </w:div>
      </w:divsChild>
    </w:div>
    <w:div w:id="1867256961">
      <w:bodyDiv w:val="1"/>
      <w:marLeft w:val="0"/>
      <w:marRight w:val="0"/>
      <w:marTop w:val="0"/>
      <w:marBottom w:val="0"/>
      <w:divBdr>
        <w:top w:val="none" w:sz="0" w:space="0" w:color="auto"/>
        <w:left w:val="none" w:sz="0" w:space="0" w:color="auto"/>
        <w:bottom w:val="none" w:sz="0" w:space="0" w:color="auto"/>
        <w:right w:val="none" w:sz="0" w:space="0" w:color="auto"/>
      </w:divBdr>
      <w:divsChild>
        <w:div w:id="2123917863">
          <w:marLeft w:val="240"/>
          <w:marRight w:val="0"/>
          <w:marTop w:val="60"/>
          <w:marBottom w:val="0"/>
          <w:divBdr>
            <w:top w:val="none" w:sz="0" w:space="0" w:color="auto"/>
            <w:left w:val="none" w:sz="0" w:space="0" w:color="auto"/>
            <w:bottom w:val="none" w:sz="0" w:space="0" w:color="auto"/>
            <w:right w:val="none" w:sz="0" w:space="0" w:color="auto"/>
          </w:divBdr>
        </w:div>
      </w:divsChild>
    </w:div>
    <w:div w:id="1901865274">
      <w:bodyDiv w:val="1"/>
      <w:marLeft w:val="0"/>
      <w:marRight w:val="0"/>
      <w:marTop w:val="0"/>
      <w:marBottom w:val="0"/>
      <w:divBdr>
        <w:top w:val="none" w:sz="0" w:space="0" w:color="auto"/>
        <w:left w:val="none" w:sz="0" w:space="0" w:color="auto"/>
        <w:bottom w:val="none" w:sz="0" w:space="0" w:color="auto"/>
        <w:right w:val="none" w:sz="0" w:space="0" w:color="auto"/>
      </w:divBdr>
      <w:divsChild>
        <w:div w:id="323364776">
          <w:marLeft w:val="240"/>
          <w:marRight w:val="0"/>
          <w:marTop w:val="60"/>
          <w:marBottom w:val="0"/>
          <w:divBdr>
            <w:top w:val="none" w:sz="0" w:space="0" w:color="auto"/>
            <w:left w:val="none" w:sz="0" w:space="0" w:color="auto"/>
            <w:bottom w:val="none" w:sz="0" w:space="0" w:color="auto"/>
            <w:right w:val="none" w:sz="0" w:space="0" w:color="auto"/>
          </w:divBdr>
        </w:div>
      </w:divsChild>
    </w:div>
    <w:div w:id="1907497528">
      <w:bodyDiv w:val="1"/>
      <w:marLeft w:val="0"/>
      <w:marRight w:val="0"/>
      <w:marTop w:val="0"/>
      <w:marBottom w:val="0"/>
      <w:divBdr>
        <w:top w:val="none" w:sz="0" w:space="0" w:color="auto"/>
        <w:left w:val="none" w:sz="0" w:space="0" w:color="auto"/>
        <w:bottom w:val="none" w:sz="0" w:space="0" w:color="auto"/>
        <w:right w:val="none" w:sz="0" w:space="0" w:color="auto"/>
      </w:divBdr>
    </w:div>
    <w:div w:id="1919633208">
      <w:bodyDiv w:val="1"/>
      <w:marLeft w:val="0"/>
      <w:marRight w:val="0"/>
      <w:marTop w:val="0"/>
      <w:marBottom w:val="0"/>
      <w:divBdr>
        <w:top w:val="none" w:sz="0" w:space="0" w:color="auto"/>
        <w:left w:val="none" w:sz="0" w:space="0" w:color="auto"/>
        <w:bottom w:val="none" w:sz="0" w:space="0" w:color="auto"/>
        <w:right w:val="none" w:sz="0" w:space="0" w:color="auto"/>
      </w:divBdr>
    </w:div>
    <w:div w:id="1922252998">
      <w:bodyDiv w:val="1"/>
      <w:marLeft w:val="0"/>
      <w:marRight w:val="0"/>
      <w:marTop w:val="0"/>
      <w:marBottom w:val="0"/>
      <w:divBdr>
        <w:top w:val="none" w:sz="0" w:space="0" w:color="auto"/>
        <w:left w:val="none" w:sz="0" w:space="0" w:color="auto"/>
        <w:bottom w:val="none" w:sz="0" w:space="0" w:color="auto"/>
        <w:right w:val="none" w:sz="0" w:space="0" w:color="auto"/>
      </w:divBdr>
    </w:div>
    <w:div w:id="1943682567">
      <w:bodyDiv w:val="1"/>
      <w:marLeft w:val="0"/>
      <w:marRight w:val="0"/>
      <w:marTop w:val="0"/>
      <w:marBottom w:val="0"/>
      <w:divBdr>
        <w:top w:val="none" w:sz="0" w:space="0" w:color="auto"/>
        <w:left w:val="none" w:sz="0" w:space="0" w:color="auto"/>
        <w:bottom w:val="none" w:sz="0" w:space="0" w:color="auto"/>
        <w:right w:val="none" w:sz="0" w:space="0" w:color="auto"/>
      </w:divBdr>
      <w:divsChild>
        <w:div w:id="251134568">
          <w:marLeft w:val="240"/>
          <w:marRight w:val="0"/>
          <w:marTop w:val="60"/>
          <w:marBottom w:val="0"/>
          <w:divBdr>
            <w:top w:val="none" w:sz="0" w:space="0" w:color="auto"/>
            <w:left w:val="none" w:sz="0" w:space="0" w:color="auto"/>
            <w:bottom w:val="none" w:sz="0" w:space="0" w:color="auto"/>
            <w:right w:val="none" w:sz="0" w:space="0" w:color="auto"/>
          </w:divBdr>
        </w:div>
        <w:div w:id="1384333142">
          <w:marLeft w:val="240"/>
          <w:marRight w:val="0"/>
          <w:marTop w:val="60"/>
          <w:marBottom w:val="0"/>
          <w:divBdr>
            <w:top w:val="none" w:sz="0" w:space="0" w:color="auto"/>
            <w:left w:val="none" w:sz="0" w:space="0" w:color="auto"/>
            <w:bottom w:val="none" w:sz="0" w:space="0" w:color="auto"/>
            <w:right w:val="none" w:sz="0" w:space="0" w:color="auto"/>
          </w:divBdr>
        </w:div>
      </w:divsChild>
    </w:div>
    <w:div w:id="1945646941">
      <w:bodyDiv w:val="1"/>
      <w:marLeft w:val="0"/>
      <w:marRight w:val="0"/>
      <w:marTop w:val="0"/>
      <w:marBottom w:val="0"/>
      <w:divBdr>
        <w:top w:val="none" w:sz="0" w:space="0" w:color="auto"/>
        <w:left w:val="none" w:sz="0" w:space="0" w:color="auto"/>
        <w:bottom w:val="none" w:sz="0" w:space="0" w:color="auto"/>
        <w:right w:val="none" w:sz="0" w:space="0" w:color="auto"/>
      </w:divBdr>
    </w:div>
    <w:div w:id="1960212861">
      <w:bodyDiv w:val="1"/>
      <w:marLeft w:val="0"/>
      <w:marRight w:val="0"/>
      <w:marTop w:val="0"/>
      <w:marBottom w:val="0"/>
      <w:divBdr>
        <w:top w:val="none" w:sz="0" w:space="0" w:color="auto"/>
        <w:left w:val="none" w:sz="0" w:space="0" w:color="auto"/>
        <w:bottom w:val="none" w:sz="0" w:space="0" w:color="auto"/>
        <w:right w:val="none" w:sz="0" w:space="0" w:color="auto"/>
      </w:divBdr>
    </w:div>
    <w:div w:id="1962834295">
      <w:bodyDiv w:val="1"/>
      <w:marLeft w:val="0"/>
      <w:marRight w:val="0"/>
      <w:marTop w:val="0"/>
      <w:marBottom w:val="0"/>
      <w:divBdr>
        <w:top w:val="none" w:sz="0" w:space="0" w:color="auto"/>
        <w:left w:val="none" w:sz="0" w:space="0" w:color="auto"/>
        <w:bottom w:val="none" w:sz="0" w:space="0" w:color="auto"/>
        <w:right w:val="none" w:sz="0" w:space="0" w:color="auto"/>
      </w:divBdr>
      <w:divsChild>
        <w:div w:id="1778064869">
          <w:marLeft w:val="240"/>
          <w:marRight w:val="0"/>
          <w:marTop w:val="60"/>
          <w:marBottom w:val="0"/>
          <w:divBdr>
            <w:top w:val="none" w:sz="0" w:space="0" w:color="auto"/>
            <w:left w:val="none" w:sz="0" w:space="0" w:color="auto"/>
            <w:bottom w:val="none" w:sz="0" w:space="0" w:color="auto"/>
            <w:right w:val="none" w:sz="0" w:space="0" w:color="auto"/>
          </w:divBdr>
        </w:div>
      </w:divsChild>
    </w:div>
    <w:div w:id="1968125820">
      <w:bodyDiv w:val="1"/>
      <w:marLeft w:val="0"/>
      <w:marRight w:val="0"/>
      <w:marTop w:val="0"/>
      <w:marBottom w:val="0"/>
      <w:divBdr>
        <w:top w:val="none" w:sz="0" w:space="0" w:color="auto"/>
        <w:left w:val="none" w:sz="0" w:space="0" w:color="auto"/>
        <w:bottom w:val="none" w:sz="0" w:space="0" w:color="auto"/>
        <w:right w:val="none" w:sz="0" w:space="0" w:color="auto"/>
      </w:divBdr>
    </w:div>
    <w:div w:id="1975983351">
      <w:bodyDiv w:val="1"/>
      <w:marLeft w:val="0"/>
      <w:marRight w:val="0"/>
      <w:marTop w:val="0"/>
      <w:marBottom w:val="0"/>
      <w:divBdr>
        <w:top w:val="none" w:sz="0" w:space="0" w:color="auto"/>
        <w:left w:val="none" w:sz="0" w:space="0" w:color="auto"/>
        <w:bottom w:val="none" w:sz="0" w:space="0" w:color="auto"/>
        <w:right w:val="none" w:sz="0" w:space="0" w:color="auto"/>
      </w:divBdr>
    </w:div>
    <w:div w:id="1982222260">
      <w:bodyDiv w:val="1"/>
      <w:marLeft w:val="0"/>
      <w:marRight w:val="0"/>
      <w:marTop w:val="0"/>
      <w:marBottom w:val="0"/>
      <w:divBdr>
        <w:top w:val="none" w:sz="0" w:space="0" w:color="auto"/>
        <w:left w:val="none" w:sz="0" w:space="0" w:color="auto"/>
        <w:bottom w:val="none" w:sz="0" w:space="0" w:color="auto"/>
        <w:right w:val="none" w:sz="0" w:space="0" w:color="auto"/>
      </w:divBdr>
    </w:div>
    <w:div w:id="1991127805">
      <w:bodyDiv w:val="1"/>
      <w:marLeft w:val="0"/>
      <w:marRight w:val="0"/>
      <w:marTop w:val="0"/>
      <w:marBottom w:val="0"/>
      <w:divBdr>
        <w:top w:val="none" w:sz="0" w:space="0" w:color="auto"/>
        <w:left w:val="none" w:sz="0" w:space="0" w:color="auto"/>
        <w:bottom w:val="none" w:sz="0" w:space="0" w:color="auto"/>
        <w:right w:val="none" w:sz="0" w:space="0" w:color="auto"/>
      </w:divBdr>
    </w:div>
    <w:div w:id="1997221293">
      <w:bodyDiv w:val="1"/>
      <w:marLeft w:val="0"/>
      <w:marRight w:val="0"/>
      <w:marTop w:val="0"/>
      <w:marBottom w:val="0"/>
      <w:divBdr>
        <w:top w:val="none" w:sz="0" w:space="0" w:color="auto"/>
        <w:left w:val="none" w:sz="0" w:space="0" w:color="auto"/>
        <w:bottom w:val="none" w:sz="0" w:space="0" w:color="auto"/>
        <w:right w:val="none" w:sz="0" w:space="0" w:color="auto"/>
      </w:divBdr>
    </w:div>
    <w:div w:id="2006593706">
      <w:bodyDiv w:val="1"/>
      <w:marLeft w:val="0"/>
      <w:marRight w:val="0"/>
      <w:marTop w:val="0"/>
      <w:marBottom w:val="0"/>
      <w:divBdr>
        <w:top w:val="none" w:sz="0" w:space="0" w:color="auto"/>
        <w:left w:val="none" w:sz="0" w:space="0" w:color="auto"/>
        <w:bottom w:val="none" w:sz="0" w:space="0" w:color="auto"/>
        <w:right w:val="none" w:sz="0" w:space="0" w:color="auto"/>
      </w:divBdr>
      <w:divsChild>
        <w:div w:id="142934085">
          <w:marLeft w:val="240"/>
          <w:marRight w:val="0"/>
          <w:marTop w:val="60"/>
          <w:marBottom w:val="0"/>
          <w:divBdr>
            <w:top w:val="none" w:sz="0" w:space="0" w:color="auto"/>
            <w:left w:val="none" w:sz="0" w:space="0" w:color="auto"/>
            <w:bottom w:val="none" w:sz="0" w:space="0" w:color="auto"/>
            <w:right w:val="none" w:sz="0" w:space="0" w:color="auto"/>
          </w:divBdr>
        </w:div>
        <w:div w:id="740248538">
          <w:marLeft w:val="240"/>
          <w:marRight w:val="0"/>
          <w:marTop w:val="60"/>
          <w:marBottom w:val="0"/>
          <w:divBdr>
            <w:top w:val="none" w:sz="0" w:space="0" w:color="auto"/>
            <w:left w:val="none" w:sz="0" w:space="0" w:color="auto"/>
            <w:bottom w:val="none" w:sz="0" w:space="0" w:color="auto"/>
            <w:right w:val="none" w:sz="0" w:space="0" w:color="auto"/>
          </w:divBdr>
        </w:div>
        <w:div w:id="1329208179">
          <w:marLeft w:val="240"/>
          <w:marRight w:val="0"/>
          <w:marTop w:val="60"/>
          <w:marBottom w:val="0"/>
          <w:divBdr>
            <w:top w:val="none" w:sz="0" w:space="0" w:color="auto"/>
            <w:left w:val="none" w:sz="0" w:space="0" w:color="auto"/>
            <w:bottom w:val="none" w:sz="0" w:space="0" w:color="auto"/>
            <w:right w:val="none" w:sz="0" w:space="0" w:color="auto"/>
          </w:divBdr>
        </w:div>
        <w:div w:id="1647658056">
          <w:marLeft w:val="240"/>
          <w:marRight w:val="0"/>
          <w:marTop w:val="60"/>
          <w:marBottom w:val="0"/>
          <w:divBdr>
            <w:top w:val="none" w:sz="0" w:space="0" w:color="auto"/>
            <w:left w:val="none" w:sz="0" w:space="0" w:color="auto"/>
            <w:bottom w:val="none" w:sz="0" w:space="0" w:color="auto"/>
            <w:right w:val="none" w:sz="0" w:space="0" w:color="auto"/>
          </w:divBdr>
        </w:div>
      </w:divsChild>
    </w:div>
    <w:div w:id="2008752109">
      <w:bodyDiv w:val="1"/>
      <w:marLeft w:val="0"/>
      <w:marRight w:val="0"/>
      <w:marTop w:val="0"/>
      <w:marBottom w:val="0"/>
      <w:divBdr>
        <w:top w:val="none" w:sz="0" w:space="0" w:color="auto"/>
        <w:left w:val="none" w:sz="0" w:space="0" w:color="auto"/>
        <w:bottom w:val="none" w:sz="0" w:space="0" w:color="auto"/>
        <w:right w:val="none" w:sz="0" w:space="0" w:color="auto"/>
      </w:divBdr>
    </w:div>
    <w:div w:id="2033527660">
      <w:bodyDiv w:val="1"/>
      <w:marLeft w:val="0"/>
      <w:marRight w:val="0"/>
      <w:marTop w:val="0"/>
      <w:marBottom w:val="0"/>
      <w:divBdr>
        <w:top w:val="none" w:sz="0" w:space="0" w:color="auto"/>
        <w:left w:val="none" w:sz="0" w:space="0" w:color="auto"/>
        <w:bottom w:val="none" w:sz="0" w:space="0" w:color="auto"/>
        <w:right w:val="none" w:sz="0" w:space="0" w:color="auto"/>
      </w:divBdr>
    </w:div>
    <w:div w:id="2052262679">
      <w:bodyDiv w:val="1"/>
      <w:marLeft w:val="0"/>
      <w:marRight w:val="0"/>
      <w:marTop w:val="0"/>
      <w:marBottom w:val="0"/>
      <w:divBdr>
        <w:top w:val="none" w:sz="0" w:space="0" w:color="auto"/>
        <w:left w:val="none" w:sz="0" w:space="0" w:color="auto"/>
        <w:bottom w:val="none" w:sz="0" w:space="0" w:color="auto"/>
        <w:right w:val="none" w:sz="0" w:space="0" w:color="auto"/>
      </w:divBdr>
    </w:div>
    <w:div w:id="2053073564">
      <w:bodyDiv w:val="1"/>
      <w:marLeft w:val="0"/>
      <w:marRight w:val="0"/>
      <w:marTop w:val="0"/>
      <w:marBottom w:val="0"/>
      <w:divBdr>
        <w:top w:val="none" w:sz="0" w:space="0" w:color="auto"/>
        <w:left w:val="none" w:sz="0" w:space="0" w:color="auto"/>
        <w:bottom w:val="none" w:sz="0" w:space="0" w:color="auto"/>
        <w:right w:val="none" w:sz="0" w:space="0" w:color="auto"/>
      </w:divBdr>
    </w:div>
    <w:div w:id="2084837165">
      <w:bodyDiv w:val="1"/>
      <w:marLeft w:val="0"/>
      <w:marRight w:val="0"/>
      <w:marTop w:val="0"/>
      <w:marBottom w:val="0"/>
      <w:divBdr>
        <w:top w:val="none" w:sz="0" w:space="0" w:color="auto"/>
        <w:left w:val="none" w:sz="0" w:space="0" w:color="auto"/>
        <w:bottom w:val="none" w:sz="0" w:space="0" w:color="auto"/>
        <w:right w:val="none" w:sz="0" w:space="0" w:color="auto"/>
      </w:divBdr>
      <w:divsChild>
        <w:div w:id="469714129">
          <w:marLeft w:val="240"/>
          <w:marRight w:val="0"/>
          <w:marTop w:val="60"/>
          <w:marBottom w:val="0"/>
          <w:divBdr>
            <w:top w:val="none" w:sz="0" w:space="0" w:color="auto"/>
            <w:left w:val="none" w:sz="0" w:space="0" w:color="auto"/>
            <w:bottom w:val="none" w:sz="0" w:space="0" w:color="auto"/>
            <w:right w:val="none" w:sz="0" w:space="0" w:color="auto"/>
          </w:divBdr>
        </w:div>
        <w:div w:id="839931283">
          <w:marLeft w:val="240"/>
          <w:marRight w:val="0"/>
          <w:marTop w:val="60"/>
          <w:marBottom w:val="0"/>
          <w:divBdr>
            <w:top w:val="none" w:sz="0" w:space="0" w:color="auto"/>
            <w:left w:val="none" w:sz="0" w:space="0" w:color="auto"/>
            <w:bottom w:val="none" w:sz="0" w:space="0" w:color="auto"/>
            <w:right w:val="none" w:sz="0" w:space="0" w:color="auto"/>
          </w:divBdr>
        </w:div>
      </w:divsChild>
    </w:div>
    <w:div w:id="2090037874">
      <w:bodyDiv w:val="1"/>
      <w:marLeft w:val="0"/>
      <w:marRight w:val="0"/>
      <w:marTop w:val="0"/>
      <w:marBottom w:val="0"/>
      <w:divBdr>
        <w:top w:val="none" w:sz="0" w:space="0" w:color="auto"/>
        <w:left w:val="none" w:sz="0" w:space="0" w:color="auto"/>
        <w:bottom w:val="none" w:sz="0" w:space="0" w:color="auto"/>
        <w:right w:val="none" w:sz="0" w:space="0" w:color="auto"/>
      </w:divBdr>
    </w:div>
    <w:div w:id="2100829240">
      <w:bodyDiv w:val="1"/>
      <w:marLeft w:val="0"/>
      <w:marRight w:val="0"/>
      <w:marTop w:val="0"/>
      <w:marBottom w:val="0"/>
      <w:divBdr>
        <w:top w:val="none" w:sz="0" w:space="0" w:color="auto"/>
        <w:left w:val="none" w:sz="0" w:space="0" w:color="auto"/>
        <w:bottom w:val="none" w:sz="0" w:space="0" w:color="auto"/>
        <w:right w:val="none" w:sz="0" w:space="0" w:color="auto"/>
      </w:divBdr>
    </w:div>
    <w:div w:id="2104836479">
      <w:bodyDiv w:val="1"/>
      <w:marLeft w:val="0"/>
      <w:marRight w:val="0"/>
      <w:marTop w:val="0"/>
      <w:marBottom w:val="0"/>
      <w:divBdr>
        <w:top w:val="none" w:sz="0" w:space="0" w:color="auto"/>
        <w:left w:val="none" w:sz="0" w:space="0" w:color="auto"/>
        <w:bottom w:val="none" w:sz="0" w:space="0" w:color="auto"/>
        <w:right w:val="none" w:sz="0" w:space="0" w:color="auto"/>
      </w:divBdr>
      <w:divsChild>
        <w:div w:id="597059688">
          <w:marLeft w:val="240"/>
          <w:marRight w:val="0"/>
          <w:marTop w:val="60"/>
          <w:marBottom w:val="0"/>
          <w:divBdr>
            <w:top w:val="none" w:sz="0" w:space="0" w:color="auto"/>
            <w:left w:val="none" w:sz="0" w:space="0" w:color="auto"/>
            <w:bottom w:val="none" w:sz="0" w:space="0" w:color="auto"/>
            <w:right w:val="none" w:sz="0" w:space="0" w:color="auto"/>
          </w:divBdr>
        </w:div>
      </w:divsChild>
    </w:div>
    <w:div w:id="2109962066">
      <w:bodyDiv w:val="1"/>
      <w:marLeft w:val="0"/>
      <w:marRight w:val="0"/>
      <w:marTop w:val="0"/>
      <w:marBottom w:val="0"/>
      <w:divBdr>
        <w:top w:val="none" w:sz="0" w:space="0" w:color="auto"/>
        <w:left w:val="none" w:sz="0" w:space="0" w:color="auto"/>
        <w:bottom w:val="none" w:sz="0" w:space="0" w:color="auto"/>
        <w:right w:val="none" w:sz="0" w:space="0" w:color="auto"/>
      </w:divBdr>
    </w:div>
    <w:div w:id="2116747650">
      <w:bodyDiv w:val="1"/>
      <w:marLeft w:val="0"/>
      <w:marRight w:val="0"/>
      <w:marTop w:val="0"/>
      <w:marBottom w:val="0"/>
      <w:divBdr>
        <w:top w:val="none" w:sz="0" w:space="0" w:color="auto"/>
        <w:left w:val="none" w:sz="0" w:space="0" w:color="auto"/>
        <w:bottom w:val="none" w:sz="0" w:space="0" w:color="auto"/>
        <w:right w:val="none" w:sz="0" w:space="0" w:color="auto"/>
      </w:divBdr>
    </w:div>
    <w:div w:id="2117089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drea.cortegiani@unip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C009B-66F4-3148-A591-B5C7346E6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24</Pages>
  <Words>14201</Words>
  <Characters>80951</Characters>
  <Application>Microsoft Office Word</Application>
  <DocSecurity>0</DocSecurity>
  <Lines>674</Lines>
  <Paragraphs>189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Mariachiara Ippolito</dc:creator>
  <cp:keywords/>
  <dc:description/>
  <cp:lastModifiedBy>Mariachiara Ippolito</cp:lastModifiedBy>
  <cp:revision>15</cp:revision>
  <dcterms:created xsi:type="dcterms:W3CDTF">2020-06-23T20:19:00Z</dcterms:created>
  <dcterms:modified xsi:type="dcterms:W3CDTF">2020-07-06T16:07:00Z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http://www.zotero.org/styles/chemico-biological-interactions</vt:lpwstr>
  </property>
  <property fmtid="{D5CDD505-2E9C-101B-9397-08002B2CF9AE}" pid="9" name="Mendeley Recent Style Name 3_1">
    <vt:lpwstr>Chemico-Biological Interactions</vt:lpwstr>
  </property>
  <property fmtid="{D5CDD505-2E9C-101B-9397-08002B2CF9AE}" pid="10" name="Mendeley Recent Style Id 4_1">
    <vt:lpwstr>http://www.zotero.org/styles/chest</vt:lpwstr>
  </property>
  <property fmtid="{D5CDD505-2E9C-101B-9397-08002B2CF9AE}" pid="11" name="Mendeley Recent Style Name 4_1">
    <vt:lpwstr>Chest</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http://www.zotero.org/styles/journal-of-critical-care</vt:lpwstr>
  </property>
  <property fmtid="{D5CDD505-2E9C-101B-9397-08002B2CF9AE}" pid="19" name="Mendeley Recent Style Name 8_1">
    <vt:lpwstr>Journal of Critical Care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9968af1b-83b4-3d9a-9b61-b01eaf5ba5a2</vt:lpwstr>
  </property>
  <property fmtid="{D5CDD505-2E9C-101B-9397-08002B2CF9AE}" pid="24" name="Mendeley Citation Style_1">
    <vt:lpwstr>http://www.zotero.org/styles/american-medical-association</vt:lpwstr>
  </property>
</Properties>
</file>