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AAAD5" w14:textId="7324DE76" w:rsidR="00126D4F" w:rsidRDefault="00126D4F" w:rsidP="00126D4F">
      <w:pPr>
        <w:spacing w:line="480" w:lineRule="auto"/>
        <w:rPr>
          <w:rFonts w:ascii="Arial" w:hAnsi="Arial" w:cs="Arial"/>
          <w:lang w:val="en-GB"/>
        </w:rPr>
      </w:pPr>
      <w:r w:rsidRPr="00126D4F">
        <w:rPr>
          <w:rFonts w:ascii="Arial" w:hAnsi="Arial" w:cs="Arial"/>
          <w:lang w:val="en-GB"/>
        </w:rPr>
        <w:t>Appendix B</w:t>
      </w:r>
    </w:p>
    <w:p w14:paraId="572F671D" w14:textId="77777777" w:rsidR="009077F4" w:rsidRDefault="009077F4" w:rsidP="009077F4">
      <w:pPr>
        <w:autoSpaceDE w:val="0"/>
        <w:autoSpaceDN w:val="0"/>
        <w:adjustRightInd w:val="0"/>
        <w:spacing w:line="480" w:lineRule="auto"/>
        <w:jc w:val="center"/>
        <w:rPr>
          <w:rFonts w:ascii="Arial" w:hAnsi="Arial" w:cs="Arial"/>
          <w:b/>
          <w:color w:val="000000" w:themeColor="text1"/>
          <w:sz w:val="28"/>
          <w:szCs w:val="28"/>
          <w:lang w:val="en-GB"/>
        </w:rPr>
      </w:pPr>
      <w:r w:rsidRPr="00C91104">
        <w:rPr>
          <w:rFonts w:ascii="Arial" w:hAnsi="Arial" w:cs="Arial"/>
          <w:b/>
          <w:color w:val="000000" w:themeColor="text1"/>
          <w:sz w:val="28"/>
          <w:szCs w:val="28"/>
          <w:lang w:val="en-GB"/>
        </w:rPr>
        <w:t xml:space="preserve">EFFECTIVENESS AND SAFETY OF </w:t>
      </w:r>
      <w:r>
        <w:rPr>
          <w:rFonts w:ascii="Arial" w:hAnsi="Arial" w:cs="Arial"/>
          <w:b/>
          <w:color w:val="000000" w:themeColor="text1"/>
          <w:sz w:val="28"/>
          <w:szCs w:val="28"/>
          <w:lang w:val="en-GB"/>
        </w:rPr>
        <w:t xml:space="preserve">A NEW </w:t>
      </w:r>
      <w:r w:rsidRPr="00C91104">
        <w:rPr>
          <w:rFonts w:ascii="Arial" w:hAnsi="Arial" w:cs="Arial"/>
          <w:b/>
          <w:color w:val="000000" w:themeColor="text1"/>
          <w:sz w:val="28"/>
          <w:szCs w:val="28"/>
          <w:lang w:val="en-GB"/>
        </w:rPr>
        <w:t>HELMET CPAP</w:t>
      </w:r>
      <w:r>
        <w:rPr>
          <w:rFonts w:ascii="Arial" w:hAnsi="Arial" w:cs="Arial"/>
          <w:b/>
          <w:color w:val="000000" w:themeColor="text1"/>
          <w:sz w:val="28"/>
          <w:szCs w:val="28"/>
          <w:lang w:val="en-GB"/>
        </w:rPr>
        <w:t xml:space="preserve"> </w:t>
      </w:r>
      <w:r w:rsidRPr="00C91104">
        <w:rPr>
          <w:rFonts w:ascii="Arial" w:hAnsi="Arial" w:cs="Arial"/>
          <w:b/>
          <w:color w:val="000000" w:themeColor="text1"/>
          <w:sz w:val="28"/>
          <w:szCs w:val="28"/>
          <w:lang w:val="en-GB"/>
        </w:rPr>
        <w:t>CONFIGURATION ALLOWING TIDAL VOLUME MONITORING</w:t>
      </w:r>
    </w:p>
    <w:p w14:paraId="509394D5" w14:textId="77777777" w:rsidR="009077F4" w:rsidRPr="00D34160" w:rsidRDefault="009077F4" w:rsidP="009077F4">
      <w:pPr>
        <w:autoSpaceDE w:val="0"/>
        <w:autoSpaceDN w:val="0"/>
        <w:adjustRightInd w:val="0"/>
        <w:spacing w:line="480" w:lineRule="auto"/>
        <w:jc w:val="center"/>
        <w:rPr>
          <w:rFonts w:ascii="Arial" w:hAnsi="Arial" w:cs="Arial"/>
          <w:b/>
          <w:color w:val="000000" w:themeColor="text1"/>
          <w:sz w:val="28"/>
          <w:szCs w:val="28"/>
        </w:rPr>
      </w:pPr>
      <w:r w:rsidRPr="00C91104">
        <w:rPr>
          <w:rFonts w:ascii="Arial" w:hAnsi="Arial" w:cs="Arial"/>
          <w:b/>
          <w:color w:val="000000" w:themeColor="text1"/>
          <w:sz w:val="28"/>
          <w:szCs w:val="28"/>
          <w:lang w:val="en-GB"/>
        </w:rPr>
        <w:t xml:space="preserve"> </w:t>
      </w:r>
      <w:r w:rsidRPr="00D34160">
        <w:rPr>
          <w:rFonts w:ascii="Arial" w:hAnsi="Arial" w:cs="Arial"/>
          <w:b/>
          <w:color w:val="000000" w:themeColor="text1"/>
          <w:sz w:val="28"/>
          <w:szCs w:val="28"/>
        </w:rPr>
        <w:t xml:space="preserve">IN PATIENTS WITH COVID-19 </w:t>
      </w:r>
    </w:p>
    <w:p w14:paraId="48C18C4A" w14:textId="77777777" w:rsidR="009077F4" w:rsidRPr="00E03D2A" w:rsidRDefault="009077F4" w:rsidP="009077F4">
      <w:pPr>
        <w:jc w:val="center"/>
        <w:rPr>
          <w:rFonts w:ascii="Arial" w:hAnsi="Arial" w:cs="Arial"/>
          <w:bCs/>
        </w:rPr>
      </w:pPr>
      <w:r>
        <w:rPr>
          <w:rFonts w:ascii="Arial" w:hAnsi="Arial" w:cs="Arial"/>
          <w:bCs/>
        </w:rPr>
        <w:t>Chiara Chiappero</w:t>
      </w:r>
      <w:r>
        <w:rPr>
          <w:rFonts w:ascii="Arial" w:hAnsi="Arial" w:cs="Arial"/>
          <w:bCs/>
          <w:vertAlign w:val="superscript"/>
        </w:rPr>
        <w:t>a</w:t>
      </w:r>
      <w:r>
        <w:rPr>
          <w:rFonts w:ascii="Arial" w:hAnsi="Arial" w:cs="Arial"/>
          <w:bCs/>
        </w:rPr>
        <w:t>, Giovanni Misseri</w:t>
      </w:r>
      <w:r>
        <w:rPr>
          <w:rFonts w:ascii="Arial" w:hAnsi="Arial" w:cs="Arial"/>
          <w:bCs/>
          <w:vertAlign w:val="superscript"/>
        </w:rPr>
        <w:t>b</w:t>
      </w:r>
      <w:r>
        <w:rPr>
          <w:rFonts w:ascii="Arial" w:hAnsi="Arial" w:cs="Arial"/>
          <w:bCs/>
        </w:rPr>
        <w:t>, Alessio Mattei</w:t>
      </w:r>
      <w:r>
        <w:rPr>
          <w:rFonts w:ascii="Arial" w:hAnsi="Arial" w:cs="Arial"/>
          <w:bCs/>
          <w:vertAlign w:val="superscript"/>
        </w:rPr>
        <w:t>a</w:t>
      </w:r>
      <w:r>
        <w:rPr>
          <w:rFonts w:ascii="Arial" w:hAnsi="Arial" w:cs="Arial"/>
          <w:bCs/>
        </w:rPr>
        <w:t>, Mariachiara Ippolito</w:t>
      </w:r>
      <w:r>
        <w:rPr>
          <w:rFonts w:ascii="Arial" w:hAnsi="Arial" w:cs="Arial"/>
          <w:bCs/>
          <w:vertAlign w:val="superscript"/>
        </w:rPr>
        <w:t>c</w:t>
      </w:r>
      <w:r>
        <w:rPr>
          <w:rFonts w:ascii="Arial" w:hAnsi="Arial" w:cs="Arial"/>
          <w:bCs/>
        </w:rPr>
        <w:t xml:space="preserve">, Carlo </w:t>
      </w:r>
      <w:proofErr w:type="gramStart"/>
      <w:r>
        <w:rPr>
          <w:rFonts w:ascii="Arial" w:hAnsi="Arial" w:cs="Arial"/>
          <w:bCs/>
        </w:rPr>
        <w:t>Albera</w:t>
      </w:r>
      <w:r>
        <w:rPr>
          <w:rFonts w:ascii="Arial" w:hAnsi="Arial" w:cs="Arial"/>
          <w:bCs/>
          <w:vertAlign w:val="superscript"/>
        </w:rPr>
        <w:t>a</w:t>
      </w:r>
      <w:r w:rsidRPr="00D34160">
        <w:rPr>
          <w:rFonts w:ascii="Arial" w:hAnsi="Arial" w:cs="Arial"/>
          <w:bCs/>
          <w:vertAlign w:val="superscript"/>
        </w:rPr>
        <w:t>,</w:t>
      </w:r>
      <w:r>
        <w:rPr>
          <w:rFonts w:ascii="Arial" w:hAnsi="Arial" w:cs="Arial"/>
          <w:bCs/>
          <w:vertAlign w:val="superscript"/>
        </w:rPr>
        <w:t>d</w:t>
      </w:r>
      <w:proofErr w:type="gramEnd"/>
      <w:r>
        <w:rPr>
          <w:rFonts w:ascii="Arial" w:hAnsi="Arial" w:cs="Arial"/>
          <w:bCs/>
        </w:rPr>
        <w:t>, Emanuele Pivetta</w:t>
      </w:r>
      <w:r>
        <w:rPr>
          <w:rFonts w:ascii="Arial" w:hAnsi="Arial" w:cs="Arial"/>
          <w:bCs/>
          <w:vertAlign w:val="superscript"/>
        </w:rPr>
        <w:t>e</w:t>
      </w:r>
      <w:r>
        <w:rPr>
          <w:rFonts w:ascii="Arial" w:hAnsi="Arial" w:cs="Arial"/>
          <w:bCs/>
        </w:rPr>
        <w:t>, Andrea Cortegiani</w:t>
      </w:r>
      <w:r>
        <w:rPr>
          <w:rFonts w:ascii="Arial" w:hAnsi="Arial" w:cs="Arial"/>
          <w:bCs/>
          <w:vertAlign w:val="superscript"/>
        </w:rPr>
        <w:t>c</w:t>
      </w:r>
      <w:r w:rsidRPr="00E03D2A">
        <w:rPr>
          <w:rFonts w:ascii="Arial" w:hAnsi="Arial" w:cs="Arial"/>
          <w:bCs/>
          <w:vertAlign w:val="superscript"/>
        </w:rPr>
        <w:t>,</w:t>
      </w:r>
      <w:r>
        <w:rPr>
          <w:rFonts w:ascii="Arial" w:hAnsi="Arial" w:cs="Arial"/>
          <w:bCs/>
          <w:vertAlign w:val="superscript"/>
        </w:rPr>
        <w:t>f</w:t>
      </w:r>
      <w:r>
        <w:rPr>
          <w:rFonts w:ascii="Arial" w:hAnsi="Arial" w:cs="Arial"/>
          <w:bCs/>
        </w:rPr>
        <w:t>, Cesare Gregoretti</w:t>
      </w:r>
      <w:r>
        <w:rPr>
          <w:rFonts w:ascii="Arial" w:hAnsi="Arial" w:cs="Arial"/>
          <w:bCs/>
          <w:vertAlign w:val="superscript"/>
        </w:rPr>
        <w:t>b,c</w:t>
      </w:r>
    </w:p>
    <w:p w14:paraId="442FD5B7" w14:textId="77777777" w:rsidR="009077F4" w:rsidRDefault="009077F4" w:rsidP="009077F4">
      <w:pPr>
        <w:jc w:val="center"/>
        <w:rPr>
          <w:rFonts w:ascii="Arial" w:hAnsi="Arial" w:cs="Arial"/>
          <w:bCs/>
        </w:rPr>
      </w:pPr>
    </w:p>
    <w:p w14:paraId="7A26975B" w14:textId="77777777" w:rsidR="009077F4" w:rsidRDefault="009077F4" w:rsidP="009077F4">
      <w:pPr>
        <w:jc w:val="center"/>
        <w:rPr>
          <w:rFonts w:ascii="Arial" w:hAnsi="Arial" w:cs="Arial"/>
          <w:bCs/>
        </w:rPr>
      </w:pPr>
    </w:p>
    <w:p w14:paraId="35898202" w14:textId="77777777" w:rsidR="009077F4" w:rsidRDefault="009077F4" w:rsidP="009077F4">
      <w:pPr>
        <w:rPr>
          <w:rFonts w:ascii="Arial" w:hAnsi="Arial" w:cs="Arial"/>
          <w:bCs/>
        </w:rPr>
      </w:pPr>
    </w:p>
    <w:p w14:paraId="774D5B9E" w14:textId="77777777" w:rsidR="009077F4" w:rsidRDefault="009077F4" w:rsidP="009077F4">
      <w:pPr>
        <w:jc w:val="center"/>
        <w:rPr>
          <w:rFonts w:ascii="Arial" w:hAnsi="Arial" w:cs="Arial"/>
          <w:bCs/>
        </w:rPr>
      </w:pPr>
      <w:r>
        <w:rPr>
          <w:rFonts w:ascii="Arial" w:hAnsi="Arial" w:cs="Arial"/>
          <w:bCs/>
          <w:vertAlign w:val="superscript"/>
        </w:rPr>
        <w:t>a</w:t>
      </w:r>
      <w:r w:rsidRPr="00C91104">
        <w:rPr>
          <w:vertAlign w:val="superscript"/>
        </w:rPr>
        <w:t xml:space="preserve"> </w:t>
      </w:r>
      <w:r w:rsidRPr="00C91104">
        <w:rPr>
          <w:rFonts w:ascii="Arial" w:hAnsi="Arial" w:cs="Arial"/>
          <w:bCs/>
        </w:rPr>
        <w:t>Pneumology, Cardiovascular and Thoracic Department, AOU Città della Salute e della Scienza di Torino - Molinette hospital, Turin, Italy</w:t>
      </w:r>
    </w:p>
    <w:p w14:paraId="6DC0B4E1" w14:textId="77777777" w:rsidR="009077F4" w:rsidRDefault="009077F4" w:rsidP="009077F4">
      <w:pPr>
        <w:jc w:val="center"/>
        <w:rPr>
          <w:rFonts w:ascii="Arial" w:hAnsi="Arial" w:cs="Arial"/>
          <w:bCs/>
        </w:rPr>
      </w:pPr>
    </w:p>
    <w:p w14:paraId="14E81EF1" w14:textId="77777777" w:rsidR="009077F4" w:rsidRPr="00D34160" w:rsidRDefault="009077F4" w:rsidP="009077F4">
      <w:pPr>
        <w:jc w:val="center"/>
        <w:rPr>
          <w:rFonts w:ascii="Arial" w:hAnsi="Arial" w:cs="Arial"/>
          <w:bCs/>
          <w:lang w:val="en-GB"/>
        </w:rPr>
      </w:pPr>
      <w:r>
        <w:rPr>
          <w:rFonts w:ascii="Arial" w:hAnsi="Arial" w:cs="Arial"/>
          <w:bCs/>
          <w:vertAlign w:val="superscript"/>
          <w:lang w:val="en-GB"/>
        </w:rPr>
        <w:t>b</w:t>
      </w:r>
      <w:r w:rsidRPr="00D34160">
        <w:rPr>
          <w:rFonts w:ascii="Arial" w:hAnsi="Arial" w:cs="Arial"/>
          <w:bCs/>
          <w:lang w:val="en-GB"/>
        </w:rPr>
        <w:t xml:space="preserve"> Fondazione “Giglio”, Cefalù, Italy</w:t>
      </w:r>
    </w:p>
    <w:p w14:paraId="27F7B920" w14:textId="77777777" w:rsidR="009077F4" w:rsidRPr="00D34160" w:rsidRDefault="009077F4" w:rsidP="009077F4">
      <w:pPr>
        <w:jc w:val="center"/>
        <w:rPr>
          <w:rFonts w:ascii="Arial" w:hAnsi="Arial" w:cs="Arial"/>
          <w:bCs/>
          <w:lang w:val="en-GB"/>
        </w:rPr>
      </w:pPr>
    </w:p>
    <w:p w14:paraId="6585D597" w14:textId="77777777" w:rsidR="009077F4" w:rsidRPr="00D34160" w:rsidRDefault="009077F4" w:rsidP="009077F4">
      <w:pPr>
        <w:jc w:val="center"/>
        <w:rPr>
          <w:rFonts w:ascii="Arial" w:hAnsi="Arial" w:cs="Arial"/>
          <w:bCs/>
          <w:lang w:val="en-GB"/>
        </w:rPr>
      </w:pPr>
      <w:r>
        <w:rPr>
          <w:rFonts w:ascii="Arial" w:hAnsi="Arial" w:cs="Arial"/>
          <w:bCs/>
          <w:vertAlign w:val="superscript"/>
          <w:lang w:val="en-US"/>
        </w:rPr>
        <w:t>c</w:t>
      </w:r>
      <w:r w:rsidRPr="00E03D2A">
        <w:rPr>
          <w:rFonts w:ascii="Arial" w:hAnsi="Arial" w:cs="Arial"/>
          <w:bCs/>
          <w:lang w:val="en-US"/>
        </w:rPr>
        <w:t xml:space="preserve"> Department of Surgical, Oncological and Oral Science (Di.Chir.On.S.). </w:t>
      </w:r>
      <w:r w:rsidRPr="00D34160">
        <w:rPr>
          <w:rFonts w:ascii="Arial" w:hAnsi="Arial" w:cs="Arial"/>
          <w:bCs/>
          <w:lang w:val="en-GB"/>
        </w:rPr>
        <w:t>University of Palermo, Italy</w:t>
      </w:r>
    </w:p>
    <w:p w14:paraId="5A60014F" w14:textId="77777777" w:rsidR="009077F4" w:rsidRPr="00D34160" w:rsidRDefault="009077F4" w:rsidP="009077F4">
      <w:pPr>
        <w:jc w:val="center"/>
        <w:rPr>
          <w:rFonts w:ascii="Arial" w:hAnsi="Arial" w:cs="Arial"/>
          <w:bCs/>
          <w:lang w:val="en-GB"/>
        </w:rPr>
      </w:pPr>
    </w:p>
    <w:p w14:paraId="301F0C6A" w14:textId="77777777" w:rsidR="009077F4" w:rsidRPr="00C91104" w:rsidRDefault="009077F4" w:rsidP="009077F4">
      <w:pPr>
        <w:jc w:val="center"/>
        <w:rPr>
          <w:rFonts w:ascii="Arial" w:hAnsi="Arial" w:cs="Arial"/>
          <w:bCs/>
          <w:lang w:val="en-US"/>
        </w:rPr>
      </w:pPr>
      <w:r>
        <w:rPr>
          <w:rFonts w:ascii="Arial" w:hAnsi="Arial" w:cs="Arial"/>
          <w:bCs/>
          <w:vertAlign w:val="superscript"/>
          <w:lang w:val="en-US"/>
        </w:rPr>
        <w:t>d</w:t>
      </w:r>
      <w:r w:rsidRPr="00C91104">
        <w:rPr>
          <w:vertAlign w:val="superscript"/>
          <w:lang w:val="en-US"/>
        </w:rPr>
        <w:t xml:space="preserve"> </w:t>
      </w:r>
      <w:r w:rsidRPr="00C91104">
        <w:rPr>
          <w:rFonts w:ascii="Arial" w:hAnsi="Arial" w:cs="Arial"/>
          <w:bCs/>
          <w:lang w:val="en-US"/>
        </w:rPr>
        <w:t>University of Turin, School of Medicine, Department of Medical Sciences</w:t>
      </w:r>
    </w:p>
    <w:p w14:paraId="322C1ABF" w14:textId="77777777" w:rsidR="009077F4" w:rsidRPr="006E542B" w:rsidRDefault="009077F4" w:rsidP="009077F4">
      <w:pPr>
        <w:jc w:val="center"/>
        <w:rPr>
          <w:rFonts w:ascii="Arial" w:hAnsi="Arial" w:cs="Arial"/>
          <w:b/>
          <w:lang w:val="en-US"/>
        </w:rPr>
      </w:pPr>
    </w:p>
    <w:p w14:paraId="610ADBDD" w14:textId="77777777" w:rsidR="009077F4" w:rsidRPr="006E542B" w:rsidRDefault="009077F4" w:rsidP="009077F4">
      <w:pPr>
        <w:jc w:val="center"/>
        <w:rPr>
          <w:rFonts w:ascii="Arial" w:hAnsi="Arial" w:cs="Arial"/>
          <w:bCs/>
          <w:lang w:val="en-US"/>
        </w:rPr>
      </w:pPr>
      <w:r>
        <w:rPr>
          <w:rFonts w:ascii="Arial" w:hAnsi="Arial" w:cs="Arial"/>
          <w:bCs/>
          <w:vertAlign w:val="superscript"/>
          <w:lang w:val="en-US"/>
        </w:rPr>
        <w:t>e</w:t>
      </w:r>
      <w:r w:rsidRPr="006E542B">
        <w:rPr>
          <w:lang w:val="en-US"/>
        </w:rPr>
        <w:t xml:space="preserve"> </w:t>
      </w:r>
      <w:r w:rsidRPr="006E542B">
        <w:rPr>
          <w:rFonts w:ascii="Arial" w:hAnsi="Arial" w:cs="Arial"/>
          <w:bCs/>
          <w:lang w:val="en-US"/>
        </w:rPr>
        <w:t>Division of Emergency Medicine and High Dependency Unit, Department of General and Specialized Medicine, AOU Città della Salute e della Scienza di Torino - Molinette hospital, Turin, Italy</w:t>
      </w:r>
    </w:p>
    <w:p w14:paraId="78A19C40" w14:textId="77777777" w:rsidR="009077F4" w:rsidRPr="006E542B" w:rsidRDefault="009077F4" w:rsidP="009077F4">
      <w:pPr>
        <w:jc w:val="center"/>
        <w:rPr>
          <w:rFonts w:ascii="Arial" w:hAnsi="Arial" w:cs="Arial"/>
          <w:b/>
          <w:lang w:val="en-US"/>
        </w:rPr>
      </w:pPr>
    </w:p>
    <w:p w14:paraId="6AF443D3" w14:textId="77777777" w:rsidR="009077F4" w:rsidRPr="00D34160" w:rsidRDefault="009077F4" w:rsidP="009077F4">
      <w:pPr>
        <w:jc w:val="center"/>
        <w:rPr>
          <w:rFonts w:ascii="Arial" w:hAnsi="Arial" w:cs="Arial"/>
          <w:bCs/>
          <w:lang w:val="en-GB"/>
        </w:rPr>
      </w:pPr>
      <w:r>
        <w:rPr>
          <w:rFonts w:ascii="Arial" w:hAnsi="Arial" w:cs="Arial"/>
          <w:bCs/>
          <w:vertAlign w:val="superscript"/>
          <w:lang w:val="en-GB"/>
        </w:rPr>
        <w:t>f</w:t>
      </w:r>
      <w:r w:rsidRPr="00D34160">
        <w:rPr>
          <w:rFonts w:ascii="Arial" w:hAnsi="Arial" w:cs="Arial"/>
          <w:bCs/>
          <w:lang w:val="en-GB"/>
        </w:rPr>
        <w:t xml:space="preserve"> Department of Anaesthesia, Intensive Care and Emergency, Policlinico Paolo Giaccone, Palermo, Italy</w:t>
      </w:r>
    </w:p>
    <w:p w14:paraId="37DAEA2B" w14:textId="77777777" w:rsidR="009077F4" w:rsidRPr="00D34160" w:rsidRDefault="009077F4" w:rsidP="009077F4">
      <w:pPr>
        <w:rPr>
          <w:rFonts w:ascii="Arial" w:hAnsi="Arial" w:cs="Arial"/>
          <w:b/>
          <w:lang w:val="en-GB"/>
        </w:rPr>
      </w:pPr>
    </w:p>
    <w:p w14:paraId="6456387A" w14:textId="77777777" w:rsidR="009077F4" w:rsidRPr="00D34160" w:rsidRDefault="009077F4" w:rsidP="009077F4">
      <w:pPr>
        <w:rPr>
          <w:rFonts w:ascii="Arial" w:hAnsi="Arial" w:cs="Arial"/>
          <w:b/>
          <w:lang w:val="en-GB"/>
        </w:rPr>
      </w:pPr>
    </w:p>
    <w:p w14:paraId="5AC19DC0" w14:textId="77777777" w:rsidR="009077F4" w:rsidRPr="00D34160" w:rsidRDefault="009077F4" w:rsidP="009077F4">
      <w:pPr>
        <w:rPr>
          <w:rFonts w:ascii="Arial" w:hAnsi="Arial" w:cs="Arial"/>
          <w:b/>
          <w:lang w:val="en-GB"/>
        </w:rPr>
      </w:pPr>
    </w:p>
    <w:p w14:paraId="50CDAB23" w14:textId="77777777" w:rsidR="009077F4" w:rsidRPr="00D34160" w:rsidRDefault="009077F4" w:rsidP="009077F4">
      <w:pPr>
        <w:rPr>
          <w:rFonts w:ascii="Arial" w:hAnsi="Arial" w:cs="Arial"/>
          <w:b/>
          <w:lang w:val="en-GB"/>
        </w:rPr>
      </w:pPr>
    </w:p>
    <w:p w14:paraId="7D2B3620" w14:textId="77777777" w:rsidR="009077F4" w:rsidRPr="00D34160" w:rsidRDefault="009077F4" w:rsidP="009077F4">
      <w:pPr>
        <w:rPr>
          <w:rFonts w:ascii="Arial" w:hAnsi="Arial" w:cs="Arial"/>
          <w:b/>
          <w:lang w:val="en-GB"/>
        </w:rPr>
      </w:pPr>
    </w:p>
    <w:p w14:paraId="7DC876B6" w14:textId="77777777" w:rsidR="009077F4" w:rsidRPr="00D34160" w:rsidRDefault="009077F4" w:rsidP="009077F4">
      <w:pPr>
        <w:rPr>
          <w:rFonts w:ascii="Arial" w:hAnsi="Arial" w:cs="Arial"/>
          <w:b/>
          <w:lang w:val="en-GB"/>
        </w:rPr>
      </w:pPr>
    </w:p>
    <w:p w14:paraId="0E7F2586" w14:textId="77777777" w:rsidR="009077F4" w:rsidRDefault="009077F4" w:rsidP="009077F4">
      <w:pPr>
        <w:rPr>
          <w:rFonts w:ascii="Arial" w:hAnsi="Arial" w:cs="Arial"/>
          <w:b/>
          <w:lang w:val="en-GB"/>
        </w:rPr>
      </w:pPr>
    </w:p>
    <w:p w14:paraId="3ECF2D78" w14:textId="77777777" w:rsidR="009077F4" w:rsidRPr="00D34160" w:rsidRDefault="009077F4" w:rsidP="009077F4">
      <w:pPr>
        <w:rPr>
          <w:rFonts w:ascii="Arial" w:hAnsi="Arial" w:cs="Arial"/>
          <w:b/>
          <w:lang w:val="en-GB"/>
        </w:rPr>
      </w:pPr>
    </w:p>
    <w:p w14:paraId="2D101961" w14:textId="77777777" w:rsidR="009077F4" w:rsidRDefault="009077F4" w:rsidP="009077F4">
      <w:pPr>
        <w:spacing w:line="480" w:lineRule="auto"/>
        <w:ind w:right="702"/>
        <w:jc w:val="both"/>
        <w:outlineLvl w:val="0"/>
        <w:rPr>
          <w:rFonts w:ascii="Arial" w:eastAsia="Arial" w:hAnsi="Arial" w:cs="Arial"/>
          <w:b/>
          <w:bCs/>
        </w:rPr>
      </w:pPr>
      <w:r>
        <w:rPr>
          <w:rFonts w:ascii="Arial" w:hAnsi="Arial"/>
          <w:b/>
          <w:bCs/>
          <w:lang w:val="en-US"/>
        </w:rPr>
        <w:t>Corresponding author:</w:t>
      </w:r>
      <w:r>
        <w:rPr>
          <w:rFonts w:ascii="Arial" w:eastAsia="Arial" w:hAnsi="Arial" w:cs="Arial"/>
          <w:b/>
          <w:bCs/>
          <w:lang w:val="en-US"/>
        </w:rPr>
        <w:t xml:space="preserve"> </w:t>
      </w:r>
      <w:r>
        <w:rPr>
          <w:rFonts w:ascii="Arial" w:hAnsi="Arial"/>
          <w:lang w:val="en-US"/>
        </w:rPr>
        <w:t>Andrea Cortegiani, MD</w:t>
      </w:r>
      <w:r>
        <w:rPr>
          <w:rFonts w:ascii="Arial" w:eastAsia="Arial" w:hAnsi="Arial" w:cs="Arial"/>
          <w:lang w:val="en-US"/>
        </w:rPr>
        <w:t xml:space="preserve">, </w:t>
      </w:r>
      <w:r>
        <w:rPr>
          <w:rFonts w:ascii="Arial" w:hAnsi="Arial"/>
          <w:lang w:val="en-US"/>
        </w:rPr>
        <w:t>Department of Surgical, Oncological and Oral Science (</w:t>
      </w:r>
      <w:proofErr w:type="gramStart"/>
      <w:r>
        <w:rPr>
          <w:rFonts w:ascii="Arial" w:hAnsi="Arial"/>
          <w:lang w:val="en-US"/>
        </w:rPr>
        <w:t>Di.Chir.On</w:t>
      </w:r>
      <w:proofErr w:type="gramEnd"/>
      <w:r>
        <w:rPr>
          <w:rFonts w:ascii="Arial" w:hAnsi="Arial"/>
          <w:lang w:val="en-US"/>
        </w:rPr>
        <w:t>.S)</w:t>
      </w:r>
      <w:r>
        <w:rPr>
          <w:rFonts w:ascii="Arial" w:eastAsia="Arial" w:hAnsi="Arial" w:cs="Arial"/>
          <w:b/>
          <w:bCs/>
          <w:lang w:val="en-US"/>
        </w:rPr>
        <w:t xml:space="preserve">, </w:t>
      </w:r>
      <w:r w:rsidRPr="00EF5303">
        <w:rPr>
          <w:rFonts w:ascii="Arial" w:hAnsi="Arial"/>
          <w:lang w:val="en-US"/>
        </w:rPr>
        <w:t>University of Palermo</w:t>
      </w:r>
      <w:r>
        <w:rPr>
          <w:rFonts w:ascii="Arial" w:hAnsi="Arial"/>
          <w:lang w:val="en-US"/>
        </w:rPr>
        <w:t xml:space="preserve">. </w:t>
      </w:r>
      <w:r w:rsidRPr="004478D5">
        <w:rPr>
          <w:rFonts w:ascii="Arial" w:hAnsi="Arial"/>
        </w:rPr>
        <w:t>Department of An</w:t>
      </w:r>
      <w:r>
        <w:rPr>
          <w:rFonts w:ascii="Arial" w:hAnsi="Arial"/>
        </w:rPr>
        <w:t>a</w:t>
      </w:r>
      <w:r w:rsidRPr="004478D5">
        <w:rPr>
          <w:rFonts w:ascii="Arial" w:hAnsi="Arial"/>
        </w:rPr>
        <w:t>esthesia, Intensive Care and Emergency, Policlinico Paolo Giaccone, Palermo, Italy</w:t>
      </w:r>
      <w:r>
        <w:rPr>
          <w:rFonts w:ascii="Arial" w:hAnsi="Arial"/>
        </w:rPr>
        <w:t>.</w:t>
      </w:r>
      <w:r w:rsidRPr="004478D5">
        <w:rPr>
          <w:rFonts w:ascii="Arial" w:eastAsia="Arial" w:hAnsi="Arial" w:cs="Arial"/>
          <w:b/>
          <w:bCs/>
        </w:rPr>
        <w:t xml:space="preserve"> </w:t>
      </w:r>
      <w:r w:rsidRPr="004478D5">
        <w:rPr>
          <w:rFonts w:ascii="Arial" w:hAnsi="Arial"/>
        </w:rPr>
        <w:t>Via del Vespro 129</w:t>
      </w:r>
      <w:r w:rsidRPr="004478D5">
        <w:rPr>
          <w:rFonts w:ascii="Arial" w:eastAsia="Arial" w:hAnsi="Arial" w:cs="Arial"/>
          <w:b/>
          <w:bCs/>
        </w:rPr>
        <w:t xml:space="preserve">, </w:t>
      </w:r>
      <w:r w:rsidRPr="004478D5">
        <w:rPr>
          <w:rFonts w:ascii="Arial" w:hAnsi="Arial"/>
        </w:rPr>
        <w:t>90127 Palermo, Italy</w:t>
      </w:r>
      <w:r w:rsidRPr="004478D5">
        <w:rPr>
          <w:rFonts w:ascii="Arial" w:eastAsia="Arial" w:hAnsi="Arial" w:cs="Arial"/>
          <w:b/>
          <w:bCs/>
        </w:rPr>
        <w:t xml:space="preserve">. </w:t>
      </w:r>
    </w:p>
    <w:p w14:paraId="5DAA6E56" w14:textId="77777777" w:rsidR="009077F4" w:rsidRPr="00301A9D" w:rsidRDefault="009077F4" w:rsidP="009077F4">
      <w:pPr>
        <w:spacing w:line="480" w:lineRule="auto"/>
        <w:ind w:right="702"/>
        <w:jc w:val="both"/>
        <w:outlineLvl w:val="0"/>
        <w:rPr>
          <w:rFonts w:ascii="Arial" w:eastAsia="Arial" w:hAnsi="Arial" w:cs="Arial"/>
          <w:b/>
          <w:bCs/>
          <w:lang w:val="en-US"/>
        </w:rPr>
      </w:pPr>
      <w:r w:rsidRPr="00C842E5">
        <w:rPr>
          <w:rFonts w:ascii="Arial" w:hAnsi="Arial"/>
          <w:lang w:val="en-US"/>
        </w:rPr>
        <w:t>Email: andrea.cortegiani@unipa.it; Phone: +390916552730</w:t>
      </w:r>
    </w:p>
    <w:p w14:paraId="6E57B9BF" w14:textId="77777777" w:rsidR="009077F4" w:rsidRPr="008B6E5A" w:rsidRDefault="009077F4" w:rsidP="009077F4">
      <w:pPr>
        <w:rPr>
          <w:color w:val="000000" w:themeColor="text1"/>
          <w:lang w:val="en-US"/>
        </w:rPr>
      </w:pPr>
    </w:p>
    <w:p w14:paraId="66DB880F" w14:textId="77777777" w:rsidR="009077F4" w:rsidRDefault="009077F4" w:rsidP="00126D4F">
      <w:pPr>
        <w:spacing w:line="480" w:lineRule="auto"/>
        <w:jc w:val="both"/>
        <w:rPr>
          <w:rFonts w:ascii="Arial" w:hAnsi="Arial" w:cs="Arial"/>
          <w:b/>
          <w:color w:val="000000" w:themeColor="text1"/>
          <w:sz w:val="28"/>
          <w:szCs w:val="28"/>
          <w:lang w:val="en-US"/>
        </w:rPr>
      </w:pPr>
    </w:p>
    <w:p w14:paraId="2E88630E" w14:textId="53F1306C" w:rsidR="00126D4F" w:rsidRPr="00126D4F" w:rsidRDefault="00126D4F" w:rsidP="00126D4F">
      <w:pPr>
        <w:spacing w:line="480" w:lineRule="auto"/>
        <w:jc w:val="both"/>
        <w:rPr>
          <w:rFonts w:ascii="Arial" w:hAnsi="Arial" w:cs="Arial"/>
          <w:b/>
          <w:bCs/>
          <w:i/>
          <w:iCs/>
          <w:lang w:val="en-GB"/>
        </w:rPr>
      </w:pPr>
      <w:r w:rsidRPr="00126D4F">
        <w:rPr>
          <w:rFonts w:ascii="Arial" w:hAnsi="Arial" w:cs="Arial"/>
          <w:b/>
          <w:bCs/>
          <w:lang w:val="en-GB"/>
        </w:rPr>
        <w:lastRenderedPageBreak/>
        <w:t>Healthcare workers protection policy in our centre</w:t>
      </w:r>
    </w:p>
    <w:p w14:paraId="414CD133" w14:textId="77777777" w:rsidR="00126D4F" w:rsidRDefault="00126D4F" w:rsidP="00126D4F">
      <w:pPr>
        <w:spacing w:line="480" w:lineRule="auto"/>
        <w:ind w:firstLine="708"/>
        <w:jc w:val="both"/>
        <w:rPr>
          <w:rFonts w:ascii="Arial" w:hAnsi="Arial" w:cs="Arial"/>
          <w:lang w:val="en-GB"/>
        </w:rPr>
      </w:pPr>
      <w:r w:rsidRPr="00454DA7">
        <w:rPr>
          <w:rFonts w:ascii="Arial" w:hAnsi="Arial" w:cs="Arial"/>
          <w:lang w:val="en-GB"/>
        </w:rPr>
        <w:t>In our institution, all the healthcare workers caring for COVID-19 patients wore masks filtering facepiece class 2 (FFP2, according to the European classification system) or N95 (according to the American classification system)</w:t>
      </w:r>
      <w:r>
        <w:rPr>
          <w:rFonts w:ascii="Arial" w:hAnsi="Arial" w:cs="Arial"/>
          <w:lang w:val="en-GB"/>
        </w:rPr>
        <w:t xml:space="preserve"> </w:t>
      </w:r>
      <w:r w:rsidRPr="00A12544">
        <w:rPr>
          <w:rFonts w:ascii="Arial" w:hAnsi="Arial" w:cs="Arial"/>
          <w:color w:val="000000" w:themeColor="text1"/>
          <w:lang w:val="en-GB"/>
        </w:rPr>
        <w:fldChar w:fldCharType="begin" w:fldLock="1"/>
      </w:r>
      <w:r>
        <w:rPr>
          <w:rFonts w:ascii="Arial" w:hAnsi="Arial" w:cs="Arial"/>
          <w:color w:val="000000" w:themeColor="text1"/>
          <w:lang w:val="en-GB"/>
        </w:rPr>
        <w:instrText>ADDIN CSL_CITATION {"citationItems":[{"id":"ITEM-1","itemData":{"DOI":"10.1016/j.pulmoe.2020.04.009","ISSN":"25310437","PMID":"32362505","abstract":"The use of medical masks and respirators as personal protective equipment is pivotal to reducing the level of biological hazard to which healthcare workers are exposed during the outbreak of highly diffusible pathogens, such as the recent novel coronavirus SARS-CoV-2. Unfortunately, during this pandemic, supplies are rapidly running out worldwide, with potential consequences for the rate of occupational infections. Also, knowledge about specific characteristics of respirators is of utmost importance to select the proper type according to the clinical setting. A wide variety of literature is available on the topic, but mostly based on Influenza viruses infection models. Clinical evidence on the use of respirators is poor and interest in the topic has not been constant over time. A better understanding of SARS-CoV-2 transmission is needed, together with high-quality clinical data on the use of respirators or alternative devices. Moreover, healthcare workers, regardless of their level of experience, should receive specific training. This review aims to summarize the available evidence on the use of medical masks and respirators in the context of viral infections, especially the current coronavirus disease 2019 (COVID-19).","author":[{"dropping-particle":"","family":"Ippolito","given":"Mariachiara","non-dropping-particle":"","parse-names":false,"suffix":""},{"dropping-particle":"","family":"Vitale","given":"Filippo","non-dropping-particle":"","parse-names":false,"suffix":""},{"dropping-particle":"","family":"Accurso","given":"Giuseppe","non-dropping-particle":"","parse-names":false,"suffix":""},{"dropping-particle":"","family":"Iozzo","given":"Pasquale","non-dropping-particle":"","parse-names":false,"suffix":""},{"dropping-particle":"","family":"Gregoretti","given":"Cesare","non-dropping-particle":"","parse-names":false,"suffix":""},{"dropping-particle":"","family":"Giarratano","given":"Antonino","non-dropping-particle":"","parse-names":false,"suffix":""},{"dropping-particle":"","family":"Cortegiani","given":"Andrea","non-dropping-particle":"","parse-names":false,"suffix":""}],"container-title":"Pulmonology","id":"ITEM-1","issue":"4","issued":{"date-parts":[["2020"]]},"page":"204-212","title":"Medical masks and Respirators for the Protection of Healthcare Workers from SARS-CoV-2 and other viruses","type":"article-journal","volume":"26"},"uris":["http://www.mendeley.com/documents/?uuid=df28aea6-55bd-4348-8a55-2f1aa6133893"]}],"mendeley":{"formattedCitation":"[24]","plainTextFormattedCitation":"[24]","previouslyFormattedCitation":"[23]"},"properties":{"noteIndex":0},"schema":"https://github.com/citation-style-language/schema/raw/master/csl-citation.json"}</w:instrText>
      </w:r>
      <w:r w:rsidRPr="00A12544">
        <w:rPr>
          <w:rFonts w:ascii="Arial" w:hAnsi="Arial" w:cs="Arial"/>
          <w:color w:val="000000" w:themeColor="text1"/>
          <w:lang w:val="en-GB"/>
        </w:rPr>
        <w:fldChar w:fldCharType="separate"/>
      </w:r>
      <w:r w:rsidRPr="001816F4">
        <w:rPr>
          <w:rFonts w:ascii="Arial" w:hAnsi="Arial" w:cs="Arial"/>
          <w:noProof/>
          <w:color w:val="000000" w:themeColor="text1"/>
          <w:lang w:val="en-GB"/>
        </w:rPr>
        <w:t>[24]</w:t>
      </w:r>
      <w:r w:rsidRPr="00A12544">
        <w:rPr>
          <w:rFonts w:ascii="Arial" w:hAnsi="Arial" w:cs="Arial"/>
          <w:color w:val="000000" w:themeColor="text1"/>
          <w:lang w:val="en-GB"/>
        </w:rPr>
        <w:fldChar w:fldCharType="end"/>
      </w:r>
      <w:r w:rsidRPr="00A12544">
        <w:rPr>
          <w:rFonts w:ascii="Arial" w:hAnsi="Arial" w:cs="Arial"/>
          <w:color w:val="000000" w:themeColor="text1"/>
          <w:lang w:val="en-GB"/>
        </w:rPr>
        <w:t xml:space="preserve">, </w:t>
      </w:r>
      <w:r w:rsidRPr="00454DA7">
        <w:rPr>
          <w:rFonts w:ascii="Arial" w:hAnsi="Arial" w:cs="Arial"/>
          <w:lang w:val="en-GB"/>
        </w:rPr>
        <w:t>double non-sterile gloves, long-sleeved water-resistant gown and goggles or face shield. In our unit all the healthcare professionals were placed internally to the facility without any possibility to see the patients when staying outside from the unit</w:t>
      </w:r>
      <w:r>
        <w:rPr>
          <w:rFonts w:ascii="Arial" w:hAnsi="Arial" w:cs="Arial"/>
          <w:lang w:val="en-GB"/>
        </w:rPr>
        <w:t xml:space="preserve"> (</w:t>
      </w:r>
      <w:proofErr w:type="gramStart"/>
      <w:r>
        <w:rPr>
          <w:rFonts w:ascii="Arial" w:hAnsi="Arial" w:cs="Arial"/>
          <w:lang w:val="en-GB"/>
        </w:rPr>
        <w:t>e.g.</w:t>
      </w:r>
      <w:proofErr w:type="gramEnd"/>
      <w:r>
        <w:rPr>
          <w:rFonts w:ascii="Arial" w:hAnsi="Arial" w:cs="Arial"/>
          <w:lang w:val="en-GB"/>
        </w:rPr>
        <w:t xml:space="preserve"> no video cameras or glass windows/doors)</w:t>
      </w:r>
      <w:r w:rsidRPr="00454DA7">
        <w:rPr>
          <w:rFonts w:ascii="Arial" w:hAnsi="Arial" w:cs="Arial"/>
          <w:lang w:val="en-GB"/>
        </w:rPr>
        <w:t xml:space="preserve">. </w:t>
      </w:r>
      <w:r>
        <w:rPr>
          <w:rFonts w:ascii="Arial" w:hAnsi="Arial" w:cs="Arial"/>
          <w:lang w:val="en-GB"/>
        </w:rPr>
        <w:t>O</w:t>
      </w:r>
      <w:r w:rsidRPr="00454DA7">
        <w:rPr>
          <w:rFonts w:ascii="Arial" w:hAnsi="Arial" w:cs="Arial"/>
          <w:lang w:val="en-GB"/>
        </w:rPr>
        <w:t>nce inside the facility</w:t>
      </w:r>
      <w:r>
        <w:rPr>
          <w:rFonts w:ascii="Arial" w:hAnsi="Arial" w:cs="Arial"/>
          <w:lang w:val="en-GB"/>
        </w:rPr>
        <w:t>,</w:t>
      </w:r>
      <w:r w:rsidRPr="00454DA7">
        <w:rPr>
          <w:rFonts w:ascii="Arial" w:hAnsi="Arial" w:cs="Arial"/>
          <w:lang w:val="en-GB"/>
        </w:rPr>
        <w:t xml:space="preserve"> </w:t>
      </w:r>
      <w:r>
        <w:rPr>
          <w:rFonts w:ascii="Arial" w:hAnsi="Arial" w:cs="Arial"/>
          <w:lang w:val="en-GB"/>
        </w:rPr>
        <w:t>they had to</w:t>
      </w:r>
      <w:r w:rsidRPr="00454DA7">
        <w:rPr>
          <w:rFonts w:ascii="Arial" w:hAnsi="Arial" w:cs="Arial"/>
          <w:lang w:val="en-GB"/>
        </w:rPr>
        <w:t xml:space="preserve"> consider </w:t>
      </w:r>
      <w:r>
        <w:rPr>
          <w:rFonts w:ascii="Arial" w:hAnsi="Arial" w:cs="Arial"/>
          <w:lang w:val="en-GB"/>
        </w:rPr>
        <w:t>the area as entirely contaminated</w:t>
      </w:r>
      <w:r w:rsidRPr="00454DA7">
        <w:rPr>
          <w:rFonts w:ascii="Arial" w:hAnsi="Arial" w:cs="Arial"/>
          <w:lang w:val="en-GB"/>
        </w:rPr>
        <w:t>. For this reason</w:t>
      </w:r>
      <w:r>
        <w:rPr>
          <w:rFonts w:ascii="Arial" w:hAnsi="Arial" w:cs="Arial"/>
          <w:lang w:val="en-GB"/>
        </w:rPr>
        <w:t>,</w:t>
      </w:r>
      <w:r w:rsidRPr="00454DA7">
        <w:rPr>
          <w:rFonts w:ascii="Arial" w:hAnsi="Arial" w:cs="Arial"/>
          <w:lang w:val="en-GB"/>
        </w:rPr>
        <w:t xml:space="preserve"> </w:t>
      </w:r>
      <w:r>
        <w:rPr>
          <w:rFonts w:ascii="Arial" w:hAnsi="Arial" w:cs="Arial"/>
          <w:lang w:val="en-GB"/>
        </w:rPr>
        <w:t>t</w:t>
      </w:r>
      <w:r w:rsidRPr="00454DA7">
        <w:rPr>
          <w:rFonts w:ascii="Arial" w:hAnsi="Arial" w:cs="Arial"/>
          <w:lang w:val="en-GB"/>
        </w:rPr>
        <w:t xml:space="preserve">he number of healthcare professionals </w:t>
      </w:r>
      <w:r>
        <w:rPr>
          <w:rFonts w:ascii="Arial" w:hAnsi="Arial" w:cs="Arial"/>
          <w:lang w:val="en-GB"/>
        </w:rPr>
        <w:t xml:space="preserve">entering the area and put </w:t>
      </w:r>
      <w:r w:rsidRPr="00454DA7">
        <w:rPr>
          <w:rFonts w:ascii="Arial" w:hAnsi="Arial" w:cs="Arial"/>
          <w:lang w:val="en-GB"/>
        </w:rPr>
        <w:t>in direct contact with confirmed case of COVID-19 was limited to the minimum per shift (1 nurse out of 5 patients) to guarantee safety for</w:t>
      </w:r>
      <w:r w:rsidRPr="00DD1E9F">
        <w:rPr>
          <w:rFonts w:ascii="Arial" w:hAnsi="Arial" w:cs="Arial"/>
          <w:lang w:val="en-GB"/>
        </w:rPr>
        <w:t xml:space="preserve"> </w:t>
      </w:r>
      <w:r w:rsidRPr="00454DA7">
        <w:rPr>
          <w:rFonts w:ascii="Arial" w:hAnsi="Arial" w:cs="Arial"/>
          <w:lang w:val="en-GB"/>
        </w:rPr>
        <w:t>both the patients and the healthcare workers.</w:t>
      </w:r>
      <w:r>
        <w:rPr>
          <w:rFonts w:ascii="Arial" w:hAnsi="Arial" w:cs="Arial"/>
          <w:lang w:val="en-GB"/>
        </w:rPr>
        <w:t xml:space="preserve"> </w:t>
      </w:r>
      <w:r w:rsidRPr="00454DA7">
        <w:rPr>
          <w:rFonts w:ascii="Arial" w:hAnsi="Arial" w:cs="Arial"/>
          <w:lang w:val="en-GB"/>
        </w:rPr>
        <w:t>The personal protective equipment (PPE) was</w:t>
      </w:r>
      <w:r>
        <w:rPr>
          <w:rFonts w:ascii="Arial" w:hAnsi="Arial" w:cs="Arial"/>
          <w:lang w:val="en-GB"/>
        </w:rPr>
        <w:t xml:space="preserve"> also</w:t>
      </w:r>
      <w:r w:rsidRPr="00454DA7">
        <w:rPr>
          <w:rFonts w:ascii="Arial" w:hAnsi="Arial" w:cs="Arial"/>
          <w:lang w:val="en-GB"/>
        </w:rPr>
        <w:t xml:space="preserve"> rationalised to avoid depletion of stocks</w:t>
      </w:r>
      <w:r>
        <w:rPr>
          <w:rFonts w:ascii="Arial" w:hAnsi="Arial" w:cs="Arial"/>
          <w:lang w:val="en-GB"/>
        </w:rPr>
        <w:t>,</w:t>
      </w:r>
      <w:r w:rsidRPr="00454DA7">
        <w:rPr>
          <w:rFonts w:ascii="Arial" w:hAnsi="Arial" w:cs="Arial"/>
          <w:lang w:val="en-GB"/>
        </w:rPr>
        <w:t xml:space="preserve"> </w:t>
      </w:r>
      <w:proofErr w:type="gramStart"/>
      <w:r>
        <w:rPr>
          <w:rFonts w:ascii="Arial" w:hAnsi="Arial" w:cs="Arial"/>
          <w:lang w:val="en-GB"/>
        </w:rPr>
        <w:t>i.e.</w:t>
      </w:r>
      <w:proofErr w:type="gramEnd"/>
      <w:r>
        <w:rPr>
          <w:rFonts w:ascii="Arial" w:hAnsi="Arial" w:cs="Arial"/>
          <w:lang w:val="en-GB"/>
        </w:rPr>
        <w:t xml:space="preserve"> </w:t>
      </w:r>
      <w:r w:rsidRPr="00454DA7">
        <w:rPr>
          <w:rFonts w:ascii="Arial" w:hAnsi="Arial" w:cs="Arial"/>
          <w:lang w:val="en-GB"/>
        </w:rPr>
        <w:t>using the same mask FFP2 for the entire shift of 8 hours.</w:t>
      </w:r>
      <w:r>
        <w:rPr>
          <w:rFonts w:ascii="Arial" w:hAnsi="Arial" w:cs="Arial"/>
          <w:lang w:val="en-GB"/>
        </w:rPr>
        <w:t xml:space="preserve"> </w:t>
      </w:r>
      <w:r w:rsidRPr="00454DA7">
        <w:rPr>
          <w:rFonts w:ascii="Arial" w:hAnsi="Arial" w:cs="Arial"/>
          <w:lang w:val="en-GB"/>
        </w:rPr>
        <w:t>No systematic molecular test</w:t>
      </w:r>
      <w:r>
        <w:rPr>
          <w:rFonts w:ascii="Arial" w:hAnsi="Arial" w:cs="Arial"/>
          <w:lang w:val="en-GB"/>
        </w:rPr>
        <w:t>s for SARS-COV-2 infection</w:t>
      </w:r>
      <w:r w:rsidRPr="00454DA7">
        <w:rPr>
          <w:rFonts w:ascii="Arial" w:hAnsi="Arial" w:cs="Arial"/>
          <w:lang w:val="en-GB"/>
        </w:rPr>
        <w:t xml:space="preserve"> were planned for the healthcare workers. </w:t>
      </w:r>
      <w:r>
        <w:rPr>
          <w:rFonts w:ascii="Arial" w:hAnsi="Arial" w:cs="Arial"/>
          <w:lang w:val="en-GB"/>
        </w:rPr>
        <w:t>On a</w:t>
      </w:r>
      <w:r w:rsidRPr="00454DA7">
        <w:rPr>
          <w:rFonts w:ascii="Arial" w:hAnsi="Arial" w:cs="Arial"/>
          <w:lang w:val="en-GB"/>
        </w:rPr>
        <w:t xml:space="preserve"> daily</w:t>
      </w:r>
      <w:r>
        <w:rPr>
          <w:rFonts w:ascii="Arial" w:hAnsi="Arial" w:cs="Arial"/>
          <w:lang w:val="en-GB"/>
        </w:rPr>
        <w:t xml:space="preserve"> basis, the</w:t>
      </w:r>
      <w:r w:rsidRPr="00454DA7">
        <w:rPr>
          <w:rFonts w:ascii="Arial" w:hAnsi="Arial" w:cs="Arial"/>
          <w:lang w:val="en-GB"/>
        </w:rPr>
        <w:t xml:space="preserve"> </w:t>
      </w:r>
      <w:r>
        <w:rPr>
          <w:rFonts w:ascii="Arial" w:hAnsi="Arial" w:cs="Arial"/>
          <w:lang w:val="en-GB"/>
        </w:rPr>
        <w:t>measurement of temperature</w:t>
      </w:r>
      <w:r w:rsidRPr="00454DA7">
        <w:rPr>
          <w:rFonts w:ascii="Arial" w:hAnsi="Arial" w:cs="Arial"/>
          <w:lang w:val="en-GB"/>
        </w:rPr>
        <w:t xml:space="preserve"> </w:t>
      </w:r>
      <w:r>
        <w:rPr>
          <w:rFonts w:ascii="Arial" w:hAnsi="Arial" w:cs="Arial"/>
          <w:lang w:val="en-GB"/>
        </w:rPr>
        <w:t>and an evaluation of</w:t>
      </w:r>
      <w:r w:rsidRPr="00454DA7">
        <w:rPr>
          <w:rFonts w:ascii="Arial" w:hAnsi="Arial" w:cs="Arial"/>
          <w:lang w:val="en-GB"/>
        </w:rPr>
        <w:t xml:space="preserve"> presence </w:t>
      </w:r>
      <w:r>
        <w:rPr>
          <w:rFonts w:ascii="Arial" w:hAnsi="Arial" w:cs="Arial"/>
          <w:lang w:val="en-GB"/>
        </w:rPr>
        <w:t xml:space="preserve">of </w:t>
      </w:r>
      <w:r w:rsidRPr="00454DA7">
        <w:rPr>
          <w:rFonts w:ascii="Arial" w:hAnsi="Arial" w:cs="Arial"/>
          <w:lang w:val="en-GB"/>
        </w:rPr>
        <w:t xml:space="preserve">clinical symptoms were </w:t>
      </w:r>
      <w:r>
        <w:rPr>
          <w:rFonts w:ascii="Arial" w:hAnsi="Arial" w:cs="Arial"/>
          <w:lang w:val="en-GB"/>
        </w:rPr>
        <w:t>performed.</w:t>
      </w:r>
    </w:p>
    <w:p w14:paraId="4CA6F11E" w14:textId="10901CCD" w:rsidR="00CA0B4D" w:rsidRDefault="00CA0B4D">
      <w:pPr>
        <w:rPr>
          <w:lang w:val="en-GB"/>
        </w:rPr>
      </w:pPr>
    </w:p>
    <w:p w14:paraId="7EBB5461" w14:textId="04AA3882" w:rsidR="00126D4F" w:rsidRPr="00126D4F" w:rsidRDefault="00126D4F" w:rsidP="00126D4F">
      <w:pPr>
        <w:autoSpaceDE w:val="0"/>
        <w:autoSpaceDN w:val="0"/>
        <w:adjustRightInd w:val="0"/>
        <w:spacing w:before="240" w:line="480" w:lineRule="auto"/>
        <w:contextualSpacing/>
        <w:jc w:val="both"/>
        <w:rPr>
          <w:rFonts w:ascii="Arial" w:hAnsi="Arial" w:cs="Arial"/>
          <w:b/>
          <w:bCs/>
          <w:color w:val="000000" w:themeColor="text1"/>
          <w:lang w:val="en-GB"/>
        </w:rPr>
      </w:pPr>
      <w:r w:rsidRPr="00126D4F">
        <w:rPr>
          <w:rFonts w:ascii="Arial" w:hAnsi="Arial" w:cs="Arial"/>
          <w:b/>
          <w:bCs/>
          <w:color w:val="000000" w:themeColor="text1"/>
          <w:lang w:val="en-GB"/>
        </w:rPr>
        <w:t xml:space="preserve">Criteria for intubation </w:t>
      </w:r>
    </w:p>
    <w:p w14:paraId="38099BAA" w14:textId="5A175B6E" w:rsidR="00126D4F" w:rsidRDefault="00126D4F" w:rsidP="00126D4F">
      <w:pPr>
        <w:autoSpaceDE w:val="0"/>
        <w:autoSpaceDN w:val="0"/>
        <w:adjustRightInd w:val="0"/>
        <w:spacing w:before="240" w:line="480" w:lineRule="auto"/>
        <w:ind w:firstLine="708"/>
        <w:contextualSpacing/>
        <w:jc w:val="both"/>
        <w:rPr>
          <w:rFonts w:ascii="Arial" w:hAnsi="Arial" w:cs="Arial"/>
          <w:color w:val="000000" w:themeColor="text1"/>
          <w:lang w:val="en-GB"/>
        </w:rPr>
      </w:pPr>
      <w:r>
        <w:rPr>
          <w:rFonts w:ascii="Arial" w:hAnsi="Arial" w:cs="Arial"/>
          <w:color w:val="000000" w:themeColor="text1"/>
          <w:lang w:val="en-GB"/>
        </w:rPr>
        <w:t>Decision to intubate was b</w:t>
      </w:r>
      <w:r w:rsidRPr="00DA1D2C">
        <w:rPr>
          <w:rFonts w:ascii="Arial" w:hAnsi="Arial" w:cs="Arial"/>
          <w:color w:val="000000" w:themeColor="text1"/>
          <w:lang w:val="en-GB"/>
        </w:rPr>
        <w:t>ased on a multidisciplinary discussion among the attending physician and the critical care physician taking into account one the following parameters: a) risk of respiratory arrest; b) PaO</w:t>
      </w:r>
      <w:r w:rsidRPr="009522B6">
        <w:rPr>
          <w:rFonts w:ascii="Arial" w:hAnsi="Arial" w:cs="Arial"/>
          <w:color w:val="000000" w:themeColor="text1"/>
          <w:vertAlign w:val="subscript"/>
          <w:lang w:val="en-GB"/>
        </w:rPr>
        <w:t>2</w:t>
      </w:r>
      <w:r>
        <w:rPr>
          <w:rFonts w:ascii="Arial" w:hAnsi="Arial" w:cs="Arial"/>
          <w:color w:val="000000" w:themeColor="text1"/>
          <w:lang w:val="en-GB"/>
        </w:rPr>
        <w:t>:</w:t>
      </w:r>
      <w:r w:rsidRPr="00DA1D2C">
        <w:rPr>
          <w:rFonts w:ascii="Arial" w:hAnsi="Arial" w:cs="Arial"/>
          <w:color w:val="000000" w:themeColor="text1"/>
          <w:lang w:val="en-GB"/>
        </w:rPr>
        <w:t>FiO</w:t>
      </w:r>
      <w:r w:rsidRPr="009522B6">
        <w:rPr>
          <w:rFonts w:ascii="Arial" w:hAnsi="Arial" w:cs="Arial"/>
          <w:color w:val="000000" w:themeColor="text1"/>
          <w:vertAlign w:val="subscript"/>
          <w:lang w:val="en-GB"/>
        </w:rPr>
        <w:t>2</w:t>
      </w:r>
      <w:r w:rsidRPr="00DA1D2C">
        <w:rPr>
          <w:rFonts w:ascii="Arial" w:hAnsi="Arial" w:cs="Arial"/>
          <w:color w:val="000000" w:themeColor="text1"/>
          <w:lang w:val="en-GB"/>
        </w:rPr>
        <w:t xml:space="preserve"> ratio &lt;150 or reduction of ≥30% of basal PaO</w:t>
      </w:r>
      <w:r w:rsidRPr="009522B6">
        <w:rPr>
          <w:rFonts w:ascii="Arial" w:hAnsi="Arial" w:cs="Arial"/>
          <w:color w:val="000000" w:themeColor="text1"/>
          <w:vertAlign w:val="subscript"/>
          <w:lang w:val="en-GB"/>
        </w:rPr>
        <w:t>2</w:t>
      </w:r>
      <w:r>
        <w:rPr>
          <w:rFonts w:ascii="Arial" w:hAnsi="Arial" w:cs="Arial"/>
          <w:color w:val="000000" w:themeColor="text1"/>
          <w:lang w:val="en-GB"/>
        </w:rPr>
        <w:t>:</w:t>
      </w:r>
      <w:r w:rsidRPr="00DA1D2C">
        <w:rPr>
          <w:rFonts w:ascii="Arial" w:hAnsi="Arial" w:cs="Arial"/>
          <w:color w:val="000000" w:themeColor="text1"/>
          <w:lang w:val="en-GB"/>
        </w:rPr>
        <w:t>FiO</w:t>
      </w:r>
      <w:r w:rsidRPr="009522B6">
        <w:rPr>
          <w:rFonts w:ascii="Arial" w:hAnsi="Arial" w:cs="Arial"/>
          <w:color w:val="000000" w:themeColor="text1"/>
          <w:vertAlign w:val="subscript"/>
          <w:lang w:val="en-GB"/>
        </w:rPr>
        <w:t>2</w:t>
      </w:r>
      <w:r w:rsidRPr="00DA1D2C">
        <w:rPr>
          <w:rFonts w:ascii="Arial" w:hAnsi="Arial" w:cs="Arial"/>
          <w:color w:val="000000" w:themeColor="text1"/>
          <w:lang w:val="en-GB"/>
        </w:rPr>
        <w:t xml:space="preserve"> ratio with RR &gt;30 breaths/minute and/or V</w:t>
      </w:r>
      <w:r w:rsidRPr="009522B6">
        <w:rPr>
          <w:rFonts w:ascii="Arial" w:hAnsi="Arial" w:cs="Arial"/>
          <w:color w:val="000000" w:themeColor="text1"/>
          <w:vertAlign w:val="subscript"/>
          <w:lang w:val="en-GB"/>
        </w:rPr>
        <w:t>t</w:t>
      </w:r>
      <w:r w:rsidRPr="00DA1D2C">
        <w:rPr>
          <w:rFonts w:ascii="Arial" w:hAnsi="Arial" w:cs="Arial"/>
          <w:color w:val="000000" w:themeColor="text1"/>
          <w:lang w:val="en-GB"/>
        </w:rPr>
        <w:t xml:space="preserve"> &gt;10 ml/kg ideal bodyweight (IBW) or persistent respiratory distress as use of accessory muscles (palpation of the sternomastoid muscle)</w:t>
      </w:r>
      <w:r>
        <w:rPr>
          <w:rFonts w:ascii="Arial" w:hAnsi="Arial" w:cs="Arial"/>
          <w:color w:val="000000" w:themeColor="text1"/>
          <w:lang w:val="en-GB"/>
        </w:rPr>
        <w:t xml:space="preserve"> </w:t>
      </w:r>
      <w:r>
        <w:rPr>
          <w:rFonts w:ascii="Arial" w:hAnsi="Arial" w:cs="Arial"/>
          <w:color w:val="000000" w:themeColor="text1"/>
          <w:lang w:val="en-GB"/>
        </w:rPr>
        <w:fldChar w:fldCharType="begin" w:fldLock="1"/>
      </w:r>
      <w:r>
        <w:rPr>
          <w:rFonts w:ascii="Arial" w:hAnsi="Arial" w:cs="Arial"/>
          <w:color w:val="000000" w:themeColor="text1"/>
          <w:lang w:val="en-GB"/>
        </w:rPr>
        <w:instrText>ADDIN CSL_CITATION {"citationItems":[{"id":"ITEM-1","itemData":{"DOI":"10.1016/j.ccm.2019.02.012","ISSN":"15578216","abstract":"Accuracy in diagnosis trumps all other elements in clinical decision making. If diagnosis is inaccurate, management is likely to prove futile if not dangerous. Knowledge of physiology provides a periscope for identifying abnormalities beneath the skin responsible for clinical manifestations on the surface. Expert diagnosticians suspect disorders based on pattern recognition and automatic retrieval of knowledge stored in memory. A superior diagnostician looks at the same findings other clinicians see but thinks of causes that others have not imagined. Solving clinical mysteries depends on a clinician's power of imagination, not the capacity to recite an algorithm or apply a protocol.","author":[{"dropping-particle":"","family":"Tobin","given":"Martin J.","non-dropping-particle":"","parse-names":false,"suffix":""}],"container-title":"Clinics in Chest Medicine","id":"ITEM-1","issue":"2","issued":{"date-parts":[["2019"]]},"page":"243-257","publisher":"Elsevier Inc","title":"Why Physiology Is Critical to the Practice of Medicine: A 40-year Personal Perspective","type":"article-journal","volume":"40"},"uris":["http://www.mendeley.com/documents/?uuid=3e600b45-18ee-4121-8452-ec408c49d4fa"]},{"id":"ITEM-2","itemData":{"DOI":"10.1164/rccm.202006-2157CP","ISSN":"15354970","PMID":"32539537","abstract":"Patients with coronavirus disease (COVID-19) are described as exhibiting oxygen levels incompatible with life without dyspnea. The pairing - dubbed happy hypoxia but more precisely termed silent hypoxemia - is especially bewildering to physicians and is considered as defying basic biology. This combination has attracted extensive coverage in media but has not been discussed in medical journals. It is possible that coronavirus has an idiosyncratic action on receptors involved in chemosensitivity to oxygen, but well-established pathophysiological mechanisms can account for most, if not all, cases of silent hypoxemia. These mechanisms include the way dyspnea and the respiratory centers respond to low levels of oxygen, the way the prevailing carbon dioxide tension (PaCO2) blunts the brain's response to hypoxia, effects of disease and age on control of breathing, inaccuracy of pulse oximetry at low oxygen saturations, and temperature-induced shifts in the oxygen dissociation curve. Without knowledge of these mechanisms, physicians caring for patients with hypoxemia free of dyspnea are operating in the dark, placing vulnerable patients with COVID-19 at considerable risk. In conclusion, features of COVID-19 that physicians find baffling become less strange when viewed in light of long-established principles of respiratory physiology; an understanding of these mechanisms will enhance patient care if the much-anticipated second wave emerges.","author":[{"dropping-particle":"","family":"Tobin","given":"Martin J.","non-dropping-particle":"","parse-names":false,"suffix":""},{"dropping-particle":"","family":"Laghi","given":"Franco","non-dropping-particle":"","parse-names":false,"suffix":""},{"dropping-particle":"","family":"Jubran","given":"Amal","non-dropping-particle":"","parse-names":false,"suffix":""}],"container-title":"American Journal of Respiratory and Critical Care Medicine","id":"ITEM-2","issue":"3","issued":{"date-parts":[["2020"]]},"page":"356-360","title":"Why COVID-19 silent hypoxemia is baffling to physicians","type":"article-journal","volume":"202"},"uris":["http://www.mendeley.com/documents/?uuid=d9bb952a-368f-4b47-a0aa-ace847528e70"]}],"mendeley":{"formattedCitation":"[30,31]","plainTextFormattedCitation":"[30,31]","previouslyFormattedCitation":"[29,30]"},"properties":{"noteIndex":0},"schema":"https://github.com/citation-style-language/schema/raw/master/csl-citation.json"}</w:instrText>
      </w:r>
      <w:r>
        <w:rPr>
          <w:rFonts w:ascii="Arial" w:hAnsi="Arial" w:cs="Arial"/>
          <w:color w:val="000000" w:themeColor="text1"/>
          <w:lang w:val="en-GB"/>
        </w:rPr>
        <w:fldChar w:fldCharType="separate"/>
      </w:r>
      <w:r w:rsidRPr="001816F4">
        <w:rPr>
          <w:rFonts w:ascii="Arial" w:hAnsi="Arial" w:cs="Arial"/>
          <w:noProof/>
          <w:color w:val="000000" w:themeColor="text1"/>
          <w:lang w:val="en-GB"/>
        </w:rPr>
        <w:t>[30,31]</w:t>
      </w:r>
      <w:r>
        <w:rPr>
          <w:rFonts w:ascii="Arial" w:hAnsi="Arial" w:cs="Arial"/>
          <w:color w:val="000000" w:themeColor="text1"/>
          <w:lang w:val="en-GB"/>
        </w:rPr>
        <w:fldChar w:fldCharType="end"/>
      </w:r>
      <w:r>
        <w:rPr>
          <w:rFonts w:ascii="Arial" w:hAnsi="Arial" w:cs="Arial"/>
          <w:color w:val="000000" w:themeColor="text1"/>
          <w:lang w:val="en-GB"/>
        </w:rPr>
        <w:t xml:space="preserve">; </w:t>
      </w:r>
      <w:r w:rsidRPr="00DA1D2C">
        <w:rPr>
          <w:rFonts w:ascii="Arial" w:hAnsi="Arial" w:cs="Arial"/>
          <w:color w:val="000000" w:themeColor="text1"/>
          <w:lang w:val="en-GB"/>
        </w:rPr>
        <w:t>c) worsening of alertness with Glasgow Coma Scale (GCS) less than 13</w:t>
      </w:r>
      <w:r>
        <w:rPr>
          <w:rFonts w:ascii="Arial" w:hAnsi="Arial" w:cs="Arial"/>
          <w:color w:val="000000" w:themeColor="text1"/>
          <w:lang w:val="en-GB"/>
        </w:rPr>
        <w:t xml:space="preserve"> </w:t>
      </w:r>
      <w:r w:rsidRPr="0037279E">
        <w:rPr>
          <w:rFonts w:ascii="Arial" w:hAnsi="Arial" w:cs="Arial"/>
          <w:color w:val="000000" w:themeColor="text1"/>
          <w:lang w:val="en-GB"/>
        </w:rPr>
        <w:fldChar w:fldCharType="begin" w:fldLock="1"/>
      </w:r>
      <w:r>
        <w:rPr>
          <w:rFonts w:ascii="Arial" w:hAnsi="Arial" w:cs="Arial"/>
          <w:color w:val="000000" w:themeColor="text1"/>
          <w:lang w:val="en-GB"/>
        </w:rPr>
        <w:instrText>ADDIN CSL_CITATION {"citationItems":[{"id":"ITEM-1","itemData":{"DOI":"10.1007/s00134-015-4124-3","ISSN":"14321238","PMID":"26564211","abstract":"Introduction: The Glasgow Coma Scale (GCS) provides a structured method for assessment of the level of consciousness. Its derived sum score is applied in research and adopted in intensive care unit scoring systems. Controversy exists on the reliability of the GCS. The aim of this systematic review was to summarize evidence on the reliability of the GCS. Methods: A literature search was undertaken in MEDLINE, EMBASE and CINAHL. Observational studies that assessed the reliability of the GCS, expressed by a statistical measure, were included. Methodological quality was evaluated with the consensus-based standards for the selection of health measurement instruments checklist and its influence on results considered. Reliability estimates were synthesized narratively. Results: We identified 52 relevant studies that showed significant heterogeneity in the type of reliability estimates used, patients studied, setting and characteristics of observers. Methodological quality was good (n = 7), fair (n = 18) or poor (n = 27). In good quality studies, kappa values were ≥0.6 in 85 %, and all intraclass correlation coefficients indicated excellent reliability. Poor quality studies showed lower reliability estimates. Reliability for the GCS components was higher than for the sum score. Factors that may influence reliability include education and training, the level of consciousness and type of stimuli used. Conclusions: Only 13 % of studies were of good quality and inconsistency in reported reliability estimates was found. Although the reliability was adequate in good quality studies, further improvement is desirable. From a methodological perspective, the quality of reliability studies needs to be improved. From a clinical perspective, a renewed focus on training/education and standardization of assessment is required.","author":[{"dropping-particle":"","family":"Reith","given":"Florence C.M.","non-dropping-particle":"","parse-names":false,"suffix":""},{"dropping-particle":"","family":"Brande","given":"Ruben","non-dropping-particle":"Van den","parse-names":false,"suffix":""},{"dropping-particle":"","family":"Synnot","given":"Anneliese","non-dropping-particle":"","parse-names":false,"suffix":""},{"dropping-particle":"","family":"Gruen","given":"Russell","non-dropping-particle":"","parse-names":false,"suffix":""},{"dropping-particle":"","family":"Maas","given":"Andrew I.R.","non-dropping-particle":"","parse-names":false,"suffix":""}],"container-title":"Intensive Care Medicine","id":"ITEM-1","issue":"1","issued":{"date-parts":[["2016"]]},"page":"3-15","title":"The reliability of the Glasgow Coma Scale: a systematic review","type":"article-journal","volume":"42"},"uris":["http://www.mendeley.com/documents/?uuid=9e8b4a43-8518-4a37-9522-8ed9b93e5a1d"]}],"mendeley":{"formattedCitation":"[32]","plainTextFormattedCitation":"[32]","previouslyFormattedCitation":"[31]"},"properties":{"noteIndex":0},"schema":"https://github.com/citation-style-language/schema/raw/master/csl-citation.json"}</w:instrText>
      </w:r>
      <w:r w:rsidRPr="0037279E">
        <w:rPr>
          <w:rFonts w:ascii="Arial" w:hAnsi="Arial" w:cs="Arial"/>
          <w:color w:val="000000" w:themeColor="text1"/>
          <w:lang w:val="en-GB"/>
        </w:rPr>
        <w:fldChar w:fldCharType="separate"/>
      </w:r>
      <w:r w:rsidRPr="001816F4">
        <w:rPr>
          <w:rFonts w:ascii="Arial" w:hAnsi="Arial" w:cs="Arial"/>
          <w:noProof/>
          <w:color w:val="000000" w:themeColor="text1"/>
          <w:lang w:val="en-GB"/>
        </w:rPr>
        <w:t>[32]</w:t>
      </w:r>
      <w:r w:rsidRPr="0037279E">
        <w:rPr>
          <w:rFonts w:ascii="Arial" w:hAnsi="Arial" w:cs="Arial"/>
          <w:color w:val="000000" w:themeColor="text1"/>
          <w:lang w:val="en-GB"/>
        </w:rPr>
        <w:fldChar w:fldCharType="end"/>
      </w:r>
      <w:r w:rsidRPr="0037279E">
        <w:rPr>
          <w:rFonts w:ascii="Arial" w:hAnsi="Arial" w:cs="Arial"/>
          <w:color w:val="000000" w:themeColor="text1"/>
          <w:lang w:val="en-GB"/>
        </w:rPr>
        <w:t xml:space="preserve"> </w:t>
      </w:r>
      <w:r w:rsidRPr="00DA1D2C">
        <w:rPr>
          <w:rFonts w:ascii="Arial" w:hAnsi="Arial" w:cs="Arial"/>
          <w:color w:val="000000" w:themeColor="text1"/>
          <w:lang w:val="en-GB"/>
        </w:rPr>
        <w:t xml:space="preserve">and/or inadequate protection of the airways; d) severe hemodynamic instability (SBP &lt;90mmHg instead of adequate </w:t>
      </w:r>
      <w:r w:rsidRPr="00DA1D2C">
        <w:rPr>
          <w:rFonts w:ascii="Arial" w:hAnsi="Arial" w:cs="Arial"/>
          <w:color w:val="000000" w:themeColor="text1"/>
          <w:lang w:val="en-GB"/>
        </w:rPr>
        <w:lastRenderedPageBreak/>
        <w:t>volume resuscitation); e) intolerance to helmet CPAP leading to discontinuation of therapy</w:t>
      </w:r>
      <w:r>
        <w:rPr>
          <w:rFonts w:ascii="Arial" w:hAnsi="Arial" w:cs="Arial"/>
          <w:color w:val="000000" w:themeColor="text1"/>
          <w:lang w:val="en-GB"/>
        </w:rPr>
        <w:t>.</w:t>
      </w:r>
    </w:p>
    <w:p w14:paraId="03ADA7C3" w14:textId="77777777" w:rsidR="00126D4F" w:rsidRPr="00126D4F" w:rsidRDefault="00126D4F">
      <w:pPr>
        <w:rPr>
          <w:lang w:val="en-GB"/>
        </w:rPr>
      </w:pPr>
    </w:p>
    <w:sectPr w:rsidR="00126D4F" w:rsidRPr="00126D4F" w:rsidSect="00126D4F">
      <w:pgSz w:w="11906" w:h="16838"/>
      <w:pgMar w:top="1418" w:right="1418" w:bottom="1418" w:left="1418"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F"/>
    <w:rsid w:val="00126D4F"/>
    <w:rsid w:val="00171881"/>
    <w:rsid w:val="00530E46"/>
    <w:rsid w:val="007D35B0"/>
    <w:rsid w:val="008934F9"/>
    <w:rsid w:val="009077F4"/>
    <w:rsid w:val="00A443F5"/>
    <w:rsid w:val="00B61D87"/>
    <w:rsid w:val="00CA0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FC3E"/>
  <w15:chartTrackingRefBased/>
  <w15:docId w15:val="{817DB8F1-0C17-E74C-A36E-DAAE6498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6D4F"/>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uiPriority w:val="99"/>
    <w:semiHidden/>
    <w:unhideWhenUsed/>
    <w:rsid w:val="0012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1974</Words>
  <Characters>11255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Mariachiara Ippolito</dc:creator>
  <cp:keywords/>
  <dc:description/>
  <cp:lastModifiedBy>Mariachiara Ippolito</cp:lastModifiedBy>
  <cp:revision>3</cp:revision>
  <dcterms:created xsi:type="dcterms:W3CDTF">2021-03-30T13:39:00Z</dcterms:created>
  <dcterms:modified xsi:type="dcterms:W3CDTF">2021-03-30T23:00:00Z</dcterms:modified>
</cp:coreProperties>
</file>