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E1" w:rsidRPr="00874D9E" w:rsidRDefault="003314E1" w:rsidP="003314E1">
      <w:pPr>
        <w:spacing w:line="480" w:lineRule="auto"/>
        <w:rPr>
          <w:rFonts w:asciiTheme="majorHAnsi" w:hAnsiTheme="majorHAnsi" w:cstheme="majorHAnsi"/>
          <w:b/>
          <w:sz w:val="32"/>
          <w:szCs w:val="32"/>
          <w:lang w:val="en-GB"/>
        </w:rPr>
      </w:pPr>
      <w:r w:rsidRPr="00874D9E">
        <w:rPr>
          <w:rFonts w:asciiTheme="majorHAnsi" w:hAnsiTheme="majorHAnsi" w:cstheme="majorHAnsi"/>
          <w:b/>
          <w:sz w:val="32"/>
          <w:szCs w:val="32"/>
          <w:lang w:val="en-GB"/>
        </w:rPr>
        <w:t xml:space="preserve">Effect of 5 weeks of oral acetazolamide on patients with pulmonary vascular disease: a randomized, </w:t>
      </w:r>
      <w:proofErr w:type="gramStart"/>
      <w:r w:rsidRPr="00874D9E">
        <w:rPr>
          <w:rFonts w:asciiTheme="majorHAnsi" w:hAnsiTheme="majorHAnsi" w:cstheme="majorHAnsi"/>
          <w:b/>
          <w:sz w:val="32"/>
          <w:szCs w:val="32"/>
          <w:lang w:val="en-GB"/>
        </w:rPr>
        <w:t>double-blind</w:t>
      </w:r>
      <w:proofErr w:type="gramEnd"/>
      <w:r w:rsidRPr="00874D9E">
        <w:rPr>
          <w:rFonts w:asciiTheme="majorHAnsi" w:hAnsiTheme="majorHAnsi" w:cstheme="majorHAnsi"/>
          <w:b/>
          <w:sz w:val="32"/>
          <w:szCs w:val="32"/>
          <w:lang w:val="en-GB"/>
        </w:rPr>
        <w:t>, cross-over trial</w:t>
      </w: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vertAlign w:val="superscript"/>
          <w:lang w:val="en-GB"/>
        </w:rPr>
      </w:pPr>
      <w:r w:rsidRPr="00874D9E">
        <w:rPr>
          <w:rFonts w:asciiTheme="majorHAnsi" w:hAnsiTheme="majorHAnsi" w:cstheme="majorHAnsi"/>
          <w:sz w:val="22"/>
          <w:lang w:val="en-GB"/>
        </w:rPr>
        <w:t>Mona Lichtblau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1*</w:t>
      </w:r>
      <w:r w:rsidRPr="00874D9E">
        <w:rPr>
          <w:rFonts w:asciiTheme="majorHAnsi" w:hAnsiTheme="majorHAnsi" w:cstheme="majorHAnsi"/>
          <w:sz w:val="22"/>
          <w:lang w:val="en-GB"/>
        </w:rPr>
        <w:t>, Stéphanie Saxer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1*</w:t>
      </w:r>
      <w:r w:rsidRPr="00874D9E">
        <w:rPr>
          <w:rFonts w:asciiTheme="majorHAnsi" w:hAnsiTheme="majorHAnsi" w:cstheme="majorHAnsi"/>
          <w:sz w:val="22"/>
          <w:lang w:val="en-GB"/>
        </w:rPr>
        <w:t>, Julian Müller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Paula Appenzeller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Charlotte Berlier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Simon R. Schneider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Laura Mayer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Michael Furian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Esther I. Schwarz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t>, Erik R. Swenson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2</w:t>
      </w:r>
      <w:r w:rsidRPr="00874D9E">
        <w:rPr>
          <w:rFonts w:asciiTheme="majorHAnsi" w:hAnsiTheme="majorHAnsi" w:cstheme="majorHAnsi"/>
          <w:sz w:val="22"/>
          <w:lang w:val="en-GB"/>
        </w:rPr>
        <w:t>, Konrad E. Bloch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1,3</w:t>
      </w:r>
      <w:r w:rsidRPr="00874D9E">
        <w:rPr>
          <w:rFonts w:asciiTheme="majorHAnsi" w:hAnsiTheme="majorHAnsi" w:cstheme="majorHAnsi"/>
          <w:sz w:val="22"/>
          <w:lang w:val="en-GB"/>
        </w:rPr>
        <w:t>, Silvia Ulrich</w:t>
      </w: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1,3</w:t>
      </w: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lang w:val="en-GB"/>
        </w:rPr>
      </w:pP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lang w:val="en-GB"/>
        </w:rPr>
      </w:pPr>
      <w:r w:rsidRPr="00874D9E">
        <w:rPr>
          <w:rFonts w:asciiTheme="majorHAnsi" w:hAnsiTheme="majorHAnsi" w:cstheme="majorHAnsi"/>
          <w:sz w:val="22"/>
          <w:lang w:val="en-GB"/>
        </w:rPr>
        <w:t>Institutional affiliation(s):</w:t>
      </w: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lang w:val="en-GB"/>
        </w:rPr>
      </w:pPr>
      <w:proofErr w:type="gramStart"/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1</w:t>
      </w:r>
      <w:proofErr w:type="gramEnd"/>
      <w:r w:rsidRPr="00874D9E">
        <w:rPr>
          <w:rFonts w:asciiTheme="majorHAnsi" w:hAnsiTheme="majorHAnsi" w:cstheme="majorHAnsi"/>
          <w:sz w:val="22"/>
          <w:lang w:val="en-GB"/>
        </w:rPr>
        <w:t xml:space="preserve"> Department of Pulmonology, University Hospital Zurich, Zurich, Switzerland</w:t>
      </w: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lang w:val="en-GB"/>
        </w:rPr>
      </w:pPr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2</w:t>
      </w:r>
      <w:r w:rsidRPr="00874D9E">
        <w:rPr>
          <w:rFonts w:asciiTheme="majorHAnsi" w:hAnsiTheme="majorHAnsi" w:cstheme="majorHAnsi"/>
          <w:sz w:val="22"/>
          <w:lang w:val="en-GB"/>
        </w:rPr>
        <w:t xml:space="preserve"> Division of Pulmonary, Critical Care and Sleep Medicine, VA Puget Sound Health Care System, University of Washington, Seattle, Washington, USA</w:t>
      </w:r>
    </w:p>
    <w:p w:rsidR="003314E1" w:rsidRPr="00874D9E" w:rsidRDefault="003314E1" w:rsidP="003314E1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2"/>
          <w:lang w:val="en-GB"/>
        </w:rPr>
      </w:pPr>
      <w:proofErr w:type="gramStart"/>
      <w:r w:rsidRPr="00874D9E">
        <w:rPr>
          <w:rFonts w:asciiTheme="majorHAnsi" w:hAnsiTheme="majorHAnsi" w:cstheme="majorHAnsi"/>
          <w:sz w:val="22"/>
          <w:vertAlign w:val="superscript"/>
          <w:lang w:val="en-GB"/>
        </w:rPr>
        <w:t>3</w:t>
      </w:r>
      <w:proofErr w:type="gramEnd"/>
      <w:r w:rsidRPr="00874D9E">
        <w:rPr>
          <w:rFonts w:asciiTheme="majorHAnsi" w:hAnsiTheme="majorHAnsi" w:cstheme="majorHAnsi"/>
          <w:sz w:val="22"/>
          <w:lang w:val="en-GB"/>
        </w:rPr>
        <w:t xml:space="preserve"> </w:t>
      </w:r>
      <w:proofErr w:type="spellStart"/>
      <w:r w:rsidRPr="00874D9E">
        <w:rPr>
          <w:rFonts w:asciiTheme="majorHAnsi" w:hAnsiTheme="majorHAnsi" w:cstheme="majorHAnsi"/>
          <w:sz w:val="22"/>
          <w:lang w:val="en-GB"/>
        </w:rPr>
        <w:t>Center</w:t>
      </w:r>
      <w:proofErr w:type="spellEnd"/>
      <w:r w:rsidRPr="00874D9E">
        <w:rPr>
          <w:rFonts w:asciiTheme="majorHAnsi" w:hAnsiTheme="majorHAnsi" w:cstheme="majorHAnsi"/>
          <w:sz w:val="22"/>
          <w:lang w:val="en-GB"/>
        </w:rPr>
        <w:t xml:space="preserve"> for Human Integrative Physiology, and Zurich </w:t>
      </w:r>
      <w:proofErr w:type="spellStart"/>
      <w:r w:rsidRPr="00874D9E">
        <w:rPr>
          <w:rFonts w:asciiTheme="majorHAnsi" w:hAnsiTheme="majorHAnsi" w:cstheme="majorHAnsi"/>
          <w:sz w:val="22"/>
          <w:lang w:val="en-GB"/>
        </w:rPr>
        <w:t>Center</w:t>
      </w:r>
      <w:proofErr w:type="spellEnd"/>
      <w:r w:rsidRPr="00874D9E">
        <w:rPr>
          <w:rFonts w:asciiTheme="majorHAnsi" w:hAnsiTheme="majorHAnsi" w:cstheme="majorHAnsi"/>
          <w:sz w:val="22"/>
          <w:lang w:val="en-GB"/>
        </w:rPr>
        <w:t xml:space="preserve"> for Interdisciplinary Sleep Research, University of Zurich, Switzerland</w:t>
      </w:r>
    </w:p>
    <w:p w:rsidR="003314E1" w:rsidRPr="00874D9E" w:rsidRDefault="003314E1" w:rsidP="003314E1">
      <w:pPr>
        <w:spacing w:line="480" w:lineRule="auto"/>
        <w:rPr>
          <w:rFonts w:asciiTheme="majorHAnsi" w:hAnsiTheme="majorHAnsi" w:cstheme="majorHAnsi"/>
          <w:sz w:val="22"/>
          <w:lang w:val="en-GB"/>
        </w:rPr>
      </w:pPr>
      <w:r w:rsidRPr="00874D9E">
        <w:rPr>
          <w:rFonts w:asciiTheme="majorHAnsi" w:hAnsiTheme="majorHAnsi" w:cstheme="majorHAnsi"/>
          <w:sz w:val="22"/>
          <w:lang w:val="en-GB"/>
        </w:rPr>
        <w:t>*these authors contributed equally</w:t>
      </w:r>
    </w:p>
    <w:p w:rsidR="00A3705E" w:rsidRPr="00874D9E" w:rsidRDefault="00A3705E" w:rsidP="00673FCB">
      <w:pPr>
        <w:rPr>
          <w:rFonts w:asciiTheme="majorHAnsi" w:hAnsiTheme="majorHAnsi" w:cstheme="majorHAnsi"/>
          <w:lang w:val="en-US"/>
        </w:rPr>
      </w:pPr>
    </w:p>
    <w:p w:rsidR="00C03333" w:rsidRPr="00874D9E" w:rsidRDefault="00C03333">
      <w:pPr>
        <w:spacing w:after="160"/>
        <w:rPr>
          <w:rFonts w:asciiTheme="majorHAnsi" w:hAnsiTheme="majorHAnsi" w:cstheme="majorHAnsi"/>
          <w:lang w:val="en-US"/>
        </w:rPr>
      </w:pPr>
      <w:r w:rsidRPr="00874D9E">
        <w:rPr>
          <w:rFonts w:asciiTheme="majorHAnsi" w:hAnsiTheme="majorHAnsi" w:cstheme="majorHAnsi"/>
          <w:lang w:val="en-US"/>
        </w:rPr>
        <w:br w:type="page"/>
      </w:r>
    </w:p>
    <w:p w:rsidR="00C03333" w:rsidRPr="00874D9E" w:rsidRDefault="00C03333" w:rsidP="00C03333">
      <w:pPr>
        <w:spacing w:line="480" w:lineRule="auto"/>
        <w:rPr>
          <w:rFonts w:asciiTheme="majorHAnsi" w:hAnsiTheme="majorHAnsi" w:cstheme="majorHAnsi"/>
          <w:b/>
          <w:sz w:val="22"/>
          <w:lang w:val="en-GB"/>
        </w:rPr>
      </w:pPr>
      <w:r w:rsidRPr="00874D9E">
        <w:rPr>
          <w:rFonts w:asciiTheme="majorHAnsi" w:hAnsiTheme="majorHAnsi" w:cstheme="majorHAnsi"/>
          <w:b/>
          <w:sz w:val="22"/>
          <w:lang w:val="en-GB"/>
        </w:rPr>
        <w:lastRenderedPageBreak/>
        <w:t>Assessments</w:t>
      </w:r>
    </w:p>
    <w:p w:rsidR="00C03333" w:rsidRPr="00874D9E" w:rsidRDefault="00C03333" w:rsidP="00C03333">
      <w:pPr>
        <w:spacing w:line="480" w:lineRule="auto"/>
        <w:rPr>
          <w:rFonts w:asciiTheme="majorHAnsi" w:hAnsiTheme="majorHAnsi" w:cstheme="majorHAnsi"/>
          <w:sz w:val="22"/>
          <w:lang w:val="en-GB"/>
        </w:rPr>
      </w:pPr>
      <w:r w:rsidRPr="00874D9E">
        <w:rPr>
          <w:rFonts w:asciiTheme="majorHAnsi" w:hAnsiTheme="majorHAnsi" w:cstheme="majorHAnsi"/>
          <w:sz w:val="22"/>
          <w:lang w:val="en-GB"/>
        </w:rPr>
        <w:t xml:space="preserve">All assessments </w:t>
      </w:r>
      <w:proofErr w:type="gramStart"/>
      <w:r w:rsidRPr="00874D9E">
        <w:rPr>
          <w:rFonts w:asciiTheme="majorHAnsi" w:hAnsiTheme="majorHAnsi" w:cstheme="majorHAnsi"/>
          <w:sz w:val="22"/>
          <w:lang w:val="en-GB"/>
        </w:rPr>
        <w:t>were performed</w:t>
      </w:r>
      <w:proofErr w:type="gramEnd"/>
      <w:r w:rsidRPr="00874D9E">
        <w:rPr>
          <w:rFonts w:asciiTheme="majorHAnsi" w:hAnsiTheme="majorHAnsi" w:cstheme="majorHAnsi"/>
          <w:sz w:val="22"/>
          <w:lang w:val="en-GB"/>
        </w:rPr>
        <w:t xml:space="preserve"> during baseline examination and at the end of each 5-week treatment period. The 6- minute walk test (6MWT) and questionnaires for </w:t>
      </w:r>
      <w:proofErr w:type="spellStart"/>
      <w:r w:rsidRPr="00874D9E">
        <w:rPr>
          <w:rFonts w:asciiTheme="majorHAnsi" w:hAnsiTheme="majorHAnsi" w:cstheme="majorHAnsi"/>
          <w:sz w:val="22"/>
          <w:lang w:val="en-GB"/>
        </w:rPr>
        <w:t>QoL</w:t>
      </w:r>
      <w:proofErr w:type="spellEnd"/>
      <w:r w:rsidRPr="00874D9E">
        <w:rPr>
          <w:rFonts w:asciiTheme="majorHAnsi" w:hAnsiTheme="majorHAnsi" w:cstheme="majorHAnsi"/>
          <w:sz w:val="22"/>
          <w:lang w:val="en-GB"/>
        </w:rPr>
        <w:t xml:space="preserve"> and cognitive performance tests </w:t>
      </w:r>
      <w:proofErr w:type="gramStart"/>
      <w:r w:rsidRPr="00874D9E">
        <w:rPr>
          <w:rFonts w:asciiTheme="majorHAnsi" w:hAnsiTheme="majorHAnsi" w:cstheme="majorHAnsi"/>
          <w:sz w:val="22"/>
          <w:lang w:val="en-GB"/>
        </w:rPr>
        <w:t>were additionally performed</w:t>
      </w:r>
      <w:proofErr w:type="gramEnd"/>
      <w:r w:rsidRPr="00874D9E">
        <w:rPr>
          <w:rFonts w:asciiTheme="majorHAnsi" w:hAnsiTheme="majorHAnsi" w:cstheme="majorHAnsi"/>
          <w:sz w:val="22"/>
          <w:lang w:val="en-GB"/>
        </w:rPr>
        <w:t xml:space="preserve"> after the washout before the start of treatment phase 2. </w:t>
      </w:r>
    </w:p>
    <w:p w:rsidR="00C03333" w:rsidRPr="00874D9E" w:rsidRDefault="00C03333" w:rsidP="00C03333">
      <w:pPr>
        <w:spacing w:line="480" w:lineRule="auto"/>
        <w:rPr>
          <w:rFonts w:asciiTheme="majorHAnsi" w:hAnsiTheme="majorHAnsi" w:cstheme="majorHAnsi"/>
          <w:sz w:val="22"/>
          <w:lang w:val="en-US"/>
        </w:rPr>
      </w:pPr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A complete medical history and physical examination </w:t>
      </w:r>
      <w:proofErr w:type="gramStart"/>
      <w:r w:rsidRPr="00874D9E">
        <w:rPr>
          <w:rFonts w:asciiTheme="majorHAnsi" w:hAnsiTheme="majorHAnsi" w:cstheme="majorHAnsi"/>
          <w:color w:val="211E1E"/>
          <w:sz w:val="22"/>
          <w:lang w:val="en-US"/>
        </w:rPr>
        <w:t>was obtained</w:t>
      </w:r>
      <w:proofErr w:type="gramEnd"/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 at the beginning of the study. </w:t>
      </w:r>
      <w:r w:rsidRPr="00874D9E">
        <w:rPr>
          <w:rFonts w:asciiTheme="majorHAnsi" w:hAnsiTheme="majorHAnsi" w:cstheme="majorHAnsi"/>
          <w:sz w:val="22"/>
          <w:lang w:val="en-GB"/>
        </w:rPr>
        <w:t>The 6MWT was performed according to standard procedures.</w:t>
      </w:r>
      <w:r w:rsidRPr="00874D9E">
        <w:rPr>
          <w:rFonts w:asciiTheme="majorHAnsi" w:hAnsiTheme="majorHAnsi" w:cstheme="majorHAnsi"/>
          <w:sz w:val="22"/>
          <w:lang w:val="en-GB"/>
        </w:rPr>
        <w:fldChar w:fldCharType="begin"/>
      </w:r>
      <w:r w:rsidR="00874D9E" w:rsidRPr="00874D9E">
        <w:rPr>
          <w:rFonts w:asciiTheme="majorHAnsi" w:hAnsiTheme="majorHAnsi" w:cstheme="majorHAnsi"/>
          <w:sz w:val="22"/>
          <w:lang w:val="en-GB"/>
        </w:rPr>
        <w:instrText xml:space="preserve"> ADDIN EN.CITE &lt;EndNote&gt;&lt;Cite&gt;&lt;Author&gt;Laboratories&lt;/Author&gt;&lt;Year&gt;2002&lt;/Year&gt;&lt;RecNum&gt;899&lt;/RecNum&gt;&lt;DisplayText&gt;&lt;style face="superscript"&gt;1&lt;/style&gt;&lt;/DisplayText&gt;&lt;record&gt;&lt;rec-number&gt;899&lt;/rec-number&gt;&lt;foreign-keys&gt;&lt;key app="EN" db-id="5pttradst02wdqev2vyvzr0zx5zewvv2dz09" timestamp="1470749664"&gt;899&lt;/key&gt;&lt;/foreign-keys&gt;&lt;ref-type name="Journal Article"&gt;17&lt;/ref-type&gt;&lt;contributors&gt;&lt;authors&gt;&lt;author&gt;A. T. S. Committee on Proficiency Standards for Clinical Pulmonary Function Laboratories&lt;/author&gt;&lt;/authors&gt;&lt;/contributors&gt;&lt;titles&gt;&lt;title&gt;ATS statement: guidelines for the six-minute walk test&lt;/title&gt;&lt;secondary-title&gt;Am J Respir Crit Care Med&lt;/secondary-title&gt;&lt;/titles&gt;&lt;periodical&gt;&lt;full-title&gt;Am J Respir Crit Care Med&lt;/full-title&gt;&lt;abbr-1&gt;American journal of respiratory and critical care medicine&lt;/abbr-1&gt;&lt;/periodical&gt;&lt;pages&gt;111-7&lt;/pages&gt;&lt;volume&gt;166&lt;/volume&gt;&lt;number&gt;1&lt;/number&gt;&lt;keywords&gt;&lt;keyword&gt;Data Collection&lt;/keyword&gt;&lt;keyword&gt;Data Interpretation, Statistical&lt;/keyword&gt;&lt;keyword&gt;Exercise Test/contraindications/instrumentation/*methods&lt;/keyword&gt;&lt;keyword&gt;Humans&lt;/keyword&gt;&lt;keyword&gt;Quality Assurance, Health Care&lt;/keyword&gt;&lt;keyword&gt;Safety&lt;/keyword&gt;&lt;keyword&gt;Walking&lt;/keyword&gt;&lt;/keywords&gt;&lt;dates&gt;&lt;year&gt;2002&lt;/year&gt;&lt;pub-dates&gt;&lt;date&gt;Jul 1&lt;/date&gt;&lt;/pub-dates&gt;&lt;/dates&gt;&lt;isbn&gt;1073-449X (Print)&amp;#xD;1073-449X (Linking)&lt;/isbn&gt;&lt;accession-num&gt;12091180&lt;/accession-num&gt;&lt;urls&gt;&lt;related-urls&gt;&lt;url&gt;http://www.ncbi.nlm.nih.gov/pubmed/12091180&lt;/url&gt;&lt;/related-urls&gt;&lt;/urls&gt;&lt;electronic-resource-num&gt;10.1164/ajrccm.166.1.at1102&lt;/electronic-resource-num&gt;&lt;/record&gt;&lt;/Cite&gt;&lt;/EndNote&gt;</w:instrText>
      </w:r>
      <w:r w:rsidRPr="00874D9E">
        <w:rPr>
          <w:rFonts w:asciiTheme="majorHAnsi" w:hAnsiTheme="majorHAnsi" w:cstheme="majorHAnsi"/>
          <w:sz w:val="22"/>
          <w:lang w:val="en-GB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sz w:val="22"/>
          <w:vertAlign w:val="superscript"/>
          <w:lang w:val="en-GB"/>
        </w:rPr>
        <w:t>1</w:t>
      </w:r>
      <w:r w:rsidRPr="00874D9E">
        <w:rPr>
          <w:rFonts w:asciiTheme="majorHAnsi" w:hAnsiTheme="majorHAnsi" w:cstheme="majorHAnsi"/>
          <w:sz w:val="22"/>
          <w:lang w:val="en-GB"/>
        </w:rPr>
        <w:fldChar w:fldCharType="end"/>
      </w:r>
      <w:r w:rsidRPr="00874D9E">
        <w:rPr>
          <w:rFonts w:asciiTheme="majorHAnsi" w:hAnsiTheme="majorHAnsi" w:cstheme="majorHAnsi"/>
          <w:sz w:val="22"/>
          <w:lang w:val="en-GB"/>
        </w:rPr>
        <w:t xml:space="preserve"> </w:t>
      </w:r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WHO functional class (WHO-FC) </w:t>
      </w:r>
      <w:proofErr w:type="gramStart"/>
      <w:r w:rsidRPr="00874D9E">
        <w:rPr>
          <w:rFonts w:asciiTheme="majorHAnsi" w:hAnsiTheme="majorHAnsi" w:cstheme="majorHAnsi"/>
          <w:color w:val="211E1E"/>
          <w:sz w:val="22"/>
          <w:lang w:val="en-US"/>
        </w:rPr>
        <w:t>was assessed</w:t>
      </w:r>
      <w:proofErr w:type="gramEnd"/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. </w:t>
      </w:r>
      <w:proofErr w:type="spellStart"/>
      <w:r w:rsidRPr="00874D9E">
        <w:rPr>
          <w:rFonts w:asciiTheme="majorHAnsi" w:hAnsiTheme="majorHAnsi" w:cstheme="majorHAnsi"/>
          <w:color w:val="211E1E"/>
          <w:sz w:val="22"/>
          <w:lang w:val="en-US"/>
        </w:rPr>
        <w:t>QoL</w:t>
      </w:r>
      <w:proofErr w:type="spellEnd"/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 was measured by the Minnesota living with heart failure questionnaire (MLHF=living with PH).</w:t>
      </w:r>
      <w:r w:rsidRPr="00874D9E">
        <w:rPr>
          <w:rFonts w:asciiTheme="majorHAnsi" w:hAnsiTheme="majorHAnsi" w:cstheme="majorHAnsi"/>
          <w:color w:val="211E1E"/>
          <w:sz w:val="22"/>
        </w:rPr>
        <w:fldChar w:fldCharType="begin">
          <w:fldData xml:space="preserve">PEVuZE5vdGU+PENpdGU+PEF1dGhvcj5DZW5lZGVzZTwvQXV0aG9yPjxZZWFyPjIwMDY8L1llYXI+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</w:fldData>
        </w:fldChar>
      </w:r>
      <w:r w:rsidR="00874D9E" w:rsidRPr="00874D9E">
        <w:rPr>
          <w:rFonts w:asciiTheme="majorHAnsi" w:hAnsiTheme="majorHAnsi" w:cstheme="majorHAnsi"/>
          <w:color w:val="211E1E"/>
          <w:sz w:val="22"/>
          <w:lang w:val="en-US"/>
        </w:rPr>
        <w:instrText xml:space="preserve"> ADDIN EN.CITE </w:instrText>
      </w:r>
      <w:r w:rsidR="00874D9E" w:rsidRPr="00874D9E">
        <w:rPr>
          <w:rFonts w:asciiTheme="majorHAnsi" w:hAnsiTheme="majorHAnsi" w:cstheme="majorHAnsi"/>
          <w:color w:val="211E1E"/>
          <w:sz w:val="22"/>
        </w:rPr>
        <w:fldChar w:fldCharType="begin">
          <w:fldData xml:space="preserve">PEVuZE5vdGU+PENpdGU+PEF1dGhvcj5DZW5lZGVzZTwvQXV0aG9yPjxZZWFyPjIwMDY8L1llYXI+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</w:fldData>
        </w:fldChar>
      </w:r>
      <w:r w:rsidR="00874D9E" w:rsidRPr="00874D9E">
        <w:rPr>
          <w:rFonts w:asciiTheme="majorHAnsi" w:hAnsiTheme="majorHAnsi" w:cstheme="majorHAnsi"/>
          <w:color w:val="211E1E"/>
          <w:sz w:val="22"/>
          <w:lang w:val="en-US"/>
        </w:rPr>
        <w:instrText xml:space="preserve"> ADDIN EN.CITE.DATA </w:instrText>
      </w:r>
      <w:r w:rsidR="00874D9E" w:rsidRPr="00874D9E">
        <w:rPr>
          <w:rFonts w:asciiTheme="majorHAnsi" w:hAnsiTheme="majorHAnsi" w:cstheme="majorHAnsi"/>
          <w:color w:val="211E1E"/>
          <w:sz w:val="22"/>
        </w:rPr>
      </w:r>
      <w:r w:rsidR="00874D9E" w:rsidRPr="00874D9E">
        <w:rPr>
          <w:rFonts w:asciiTheme="majorHAnsi" w:hAnsiTheme="majorHAnsi" w:cstheme="majorHAnsi"/>
          <w:color w:val="211E1E"/>
          <w:sz w:val="22"/>
        </w:rPr>
        <w:fldChar w:fldCharType="end"/>
      </w:r>
      <w:r w:rsidRPr="00874D9E">
        <w:rPr>
          <w:rFonts w:asciiTheme="majorHAnsi" w:hAnsiTheme="majorHAnsi" w:cstheme="majorHAnsi"/>
          <w:color w:val="211E1E"/>
          <w:sz w:val="22"/>
        </w:rPr>
      </w:r>
      <w:r w:rsidRPr="00874D9E">
        <w:rPr>
          <w:rFonts w:asciiTheme="majorHAnsi" w:hAnsiTheme="majorHAnsi" w:cstheme="majorHAnsi"/>
          <w:color w:val="211E1E"/>
          <w:sz w:val="22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color w:val="211E1E"/>
          <w:sz w:val="22"/>
          <w:vertAlign w:val="superscript"/>
          <w:lang w:val="en-US"/>
        </w:rPr>
        <w:t>2</w:t>
      </w:r>
      <w:r w:rsidRPr="00874D9E">
        <w:rPr>
          <w:rFonts w:asciiTheme="majorHAnsi" w:hAnsiTheme="majorHAnsi" w:cstheme="majorHAnsi"/>
          <w:color w:val="211E1E"/>
          <w:sz w:val="22"/>
        </w:rPr>
        <w:fldChar w:fldCharType="end"/>
      </w:r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 Cognitive performance </w:t>
      </w:r>
      <w:proofErr w:type="gramStart"/>
      <w:r w:rsidRPr="00874D9E">
        <w:rPr>
          <w:rFonts w:asciiTheme="majorHAnsi" w:hAnsiTheme="majorHAnsi" w:cstheme="majorHAnsi"/>
          <w:color w:val="211E1E"/>
          <w:sz w:val="22"/>
          <w:lang w:val="en-US"/>
        </w:rPr>
        <w:t>was tested</w:t>
      </w:r>
      <w:proofErr w:type="gramEnd"/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 by the TRAIL MAKING-Test and the 5PT-Test.</w:t>
      </w:r>
      <w:r w:rsidRPr="00874D9E">
        <w:rPr>
          <w:rFonts w:asciiTheme="majorHAnsi" w:hAnsiTheme="majorHAnsi" w:cstheme="majorHAnsi"/>
          <w:color w:val="211E1E"/>
          <w:sz w:val="22"/>
        </w:rPr>
        <w:fldChar w:fldCharType="begin">
          <w:fldData xml:space="preserve">PEVuZE5vdGU+PENpdGU+PEF1dGhvcj5NYXJ0aW48L0F1dGhvcj48WWVhcj4yMDExPC9ZZWFyPjxS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</w:fldData>
        </w:fldChar>
      </w:r>
      <w:r w:rsidR="00874D9E" w:rsidRPr="00874D9E">
        <w:rPr>
          <w:rFonts w:asciiTheme="majorHAnsi" w:hAnsiTheme="majorHAnsi" w:cstheme="majorHAnsi"/>
          <w:color w:val="211E1E"/>
          <w:sz w:val="22"/>
          <w:lang w:val="en-US"/>
        </w:rPr>
        <w:instrText xml:space="preserve"> ADDIN EN.CITE </w:instrText>
      </w:r>
      <w:r w:rsidR="00874D9E" w:rsidRPr="00874D9E">
        <w:rPr>
          <w:rFonts w:asciiTheme="majorHAnsi" w:hAnsiTheme="majorHAnsi" w:cstheme="majorHAnsi"/>
          <w:color w:val="211E1E"/>
          <w:sz w:val="22"/>
        </w:rPr>
        <w:fldChar w:fldCharType="begin">
          <w:fldData xml:space="preserve">PEVuZE5vdGU+PENpdGU+PEF1dGhvcj5NYXJ0aW48L0F1dGhvcj48WWVhcj4yMDExPC9ZZWFyPjxS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</w:fldData>
        </w:fldChar>
      </w:r>
      <w:r w:rsidR="00874D9E" w:rsidRPr="00874D9E">
        <w:rPr>
          <w:rFonts w:asciiTheme="majorHAnsi" w:hAnsiTheme="majorHAnsi" w:cstheme="majorHAnsi"/>
          <w:color w:val="211E1E"/>
          <w:sz w:val="22"/>
          <w:lang w:val="en-US"/>
        </w:rPr>
        <w:instrText xml:space="preserve"> ADDIN EN.CITE.DATA </w:instrText>
      </w:r>
      <w:r w:rsidR="00874D9E" w:rsidRPr="00874D9E">
        <w:rPr>
          <w:rFonts w:asciiTheme="majorHAnsi" w:hAnsiTheme="majorHAnsi" w:cstheme="majorHAnsi"/>
          <w:color w:val="211E1E"/>
          <w:sz w:val="22"/>
        </w:rPr>
      </w:r>
      <w:r w:rsidR="00874D9E" w:rsidRPr="00874D9E">
        <w:rPr>
          <w:rFonts w:asciiTheme="majorHAnsi" w:hAnsiTheme="majorHAnsi" w:cstheme="majorHAnsi"/>
          <w:color w:val="211E1E"/>
          <w:sz w:val="22"/>
        </w:rPr>
        <w:fldChar w:fldCharType="end"/>
      </w:r>
      <w:r w:rsidRPr="00874D9E">
        <w:rPr>
          <w:rFonts w:asciiTheme="majorHAnsi" w:hAnsiTheme="majorHAnsi" w:cstheme="majorHAnsi"/>
          <w:color w:val="211E1E"/>
          <w:sz w:val="22"/>
        </w:rPr>
      </w:r>
      <w:r w:rsidRPr="00874D9E">
        <w:rPr>
          <w:rFonts w:asciiTheme="majorHAnsi" w:hAnsiTheme="majorHAnsi" w:cstheme="majorHAnsi"/>
          <w:color w:val="211E1E"/>
          <w:sz w:val="22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color w:val="211E1E"/>
          <w:sz w:val="22"/>
          <w:vertAlign w:val="superscript"/>
          <w:lang w:val="en-US"/>
        </w:rPr>
        <w:t>3-5</w:t>
      </w:r>
      <w:r w:rsidRPr="00874D9E">
        <w:rPr>
          <w:rFonts w:asciiTheme="majorHAnsi" w:hAnsiTheme="majorHAnsi" w:cstheme="majorHAnsi"/>
          <w:color w:val="211E1E"/>
          <w:sz w:val="22"/>
        </w:rPr>
        <w:fldChar w:fldCharType="end"/>
      </w:r>
      <w:r w:rsidRPr="00874D9E">
        <w:rPr>
          <w:rFonts w:asciiTheme="majorHAnsi" w:hAnsiTheme="majorHAnsi" w:cstheme="majorHAnsi"/>
          <w:color w:val="211E1E"/>
          <w:sz w:val="22"/>
          <w:lang w:val="en-US"/>
        </w:rPr>
        <w:t xml:space="preserve"> </w:t>
      </w:r>
      <w:r w:rsidRPr="00874D9E">
        <w:rPr>
          <w:rFonts w:asciiTheme="majorHAnsi" w:hAnsiTheme="majorHAnsi" w:cstheme="majorHAnsi"/>
          <w:sz w:val="22"/>
          <w:lang w:val="en-GB"/>
        </w:rPr>
        <w:t>A</w:t>
      </w:r>
      <w:proofErr w:type="spellStart"/>
      <w:r w:rsidRPr="00874D9E">
        <w:rPr>
          <w:rFonts w:asciiTheme="majorHAnsi" w:hAnsiTheme="majorHAnsi" w:cstheme="majorHAnsi"/>
          <w:sz w:val="22"/>
          <w:lang w:val="en-US"/>
        </w:rPr>
        <w:t>rterial</w:t>
      </w:r>
      <w:proofErr w:type="spellEnd"/>
      <w:r w:rsidRPr="00874D9E">
        <w:rPr>
          <w:rFonts w:asciiTheme="majorHAnsi" w:hAnsiTheme="majorHAnsi" w:cstheme="majorHAnsi"/>
          <w:sz w:val="22"/>
          <w:lang w:val="en-US"/>
        </w:rPr>
        <w:t xml:space="preserve"> blood gases </w:t>
      </w:r>
      <w:proofErr w:type="gramStart"/>
      <w:r w:rsidRPr="00874D9E">
        <w:rPr>
          <w:rFonts w:asciiTheme="majorHAnsi" w:hAnsiTheme="majorHAnsi" w:cstheme="majorHAnsi"/>
          <w:sz w:val="22"/>
          <w:lang w:val="en-US"/>
        </w:rPr>
        <w:t>were drawn</w:t>
      </w:r>
      <w:proofErr w:type="gramEnd"/>
      <w:r w:rsidRPr="00874D9E">
        <w:rPr>
          <w:rFonts w:asciiTheme="majorHAnsi" w:hAnsiTheme="majorHAnsi" w:cstheme="majorHAnsi"/>
          <w:sz w:val="22"/>
          <w:lang w:val="en-US"/>
        </w:rPr>
        <w:t xml:space="preserve"> from a radial artery and immediately </w:t>
      </w:r>
      <w:proofErr w:type="spellStart"/>
      <w:r w:rsidRPr="00874D9E">
        <w:rPr>
          <w:rFonts w:asciiTheme="majorHAnsi" w:hAnsiTheme="majorHAnsi" w:cstheme="majorHAnsi"/>
          <w:sz w:val="22"/>
          <w:lang w:val="en-US"/>
        </w:rPr>
        <w:t>analysed</w:t>
      </w:r>
      <w:proofErr w:type="spellEnd"/>
      <w:r w:rsidRPr="00874D9E">
        <w:rPr>
          <w:rFonts w:asciiTheme="majorHAnsi" w:hAnsiTheme="majorHAnsi" w:cstheme="majorHAnsi"/>
          <w:sz w:val="22"/>
          <w:lang w:val="en-US"/>
        </w:rPr>
        <w:t xml:space="preserve"> (ABL 90 Flex-blood </w:t>
      </w:r>
      <w:proofErr w:type="spellStart"/>
      <w:r w:rsidRPr="00874D9E">
        <w:rPr>
          <w:rFonts w:asciiTheme="majorHAnsi" w:hAnsiTheme="majorHAnsi" w:cstheme="majorHAnsi"/>
          <w:sz w:val="22"/>
          <w:lang w:val="en-US"/>
        </w:rPr>
        <w:t>analyser</w:t>
      </w:r>
      <w:proofErr w:type="spellEnd"/>
      <w:r w:rsidRPr="00874D9E">
        <w:rPr>
          <w:rFonts w:asciiTheme="majorHAnsi" w:hAnsiTheme="majorHAnsi" w:cstheme="majorHAnsi"/>
          <w:sz w:val="22"/>
          <w:lang w:val="en-US"/>
        </w:rPr>
        <w:t xml:space="preserve">, Radiometer GmbH). </w:t>
      </w:r>
    </w:p>
    <w:p w:rsidR="00C03333" w:rsidRPr="00874D9E" w:rsidRDefault="00C03333" w:rsidP="00C03333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874D9E">
        <w:rPr>
          <w:rFonts w:asciiTheme="majorHAnsi" w:hAnsiTheme="majorHAnsi" w:cstheme="majorHAnsi"/>
          <w:sz w:val="22"/>
          <w:szCs w:val="22"/>
        </w:rPr>
        <w:t xml:space="preserve">Echocardiographic recordings were obtained with a real-time, phased array sector scanner (CX 50, Philips, Philips 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Respironics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Zofingen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>, Switzerland) with an integrated color Doppler system and a transducer containing crystal sets for imaging (1-5 MHz) and for continuous wave (CW) and pulsed-wave (PW) Doppler as described previously.</w:t>
      </w:r>
      <w:r w:rsidRPr="00874D9E">
        <w:rPr>
          <w:rFonts w:asciiTheme="majorHAnsi" w:hAnsiTheme="majorHAnsi" w:cstheme="majorHAnsi"/>
          <w:sz w:val="22"/>
          <w:szCs w:val="22"/>
        </w:rPr>
        <w:fldChar w:fldCharType="begin"/>
      </w:r>
      <w:r w:rsidR="00874D9E" w:rsidRPr="00874D9E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&lt;EndNote&gt;&lt;Cite&gt;&lt;Author&gt;Lichtblau&lt;/Author&gt;&lt;Year&gt;2020&lt;/Year&gt;&lt;RecNum&gt;1667&lt;/RecNum&gt;&lt;DisplayText&gt;&lt;style face="superscript"&gt;6&lt;/style&gt;&lt;/DisplayText&gt;&lt;record&gt;&lt;rec-number&gt;1667&lt;/rec-number&gt;&lt;foreign-keys&gt;&lt;key app="EN" db-id="5pttradst02wdqev2vyvzr0zx5zewvv2dz09" timestamp="1596112131"&gt;1667&lt;/key&gt;&lt;/foreign-keys&gt;&lt;ref-type name="Journal Article"&gt;17&lt;/ref-type&gt;&lt;contributors&gt;&lt;authors&gt;&lt;author&gt;Lichtblau, M.&lt;/author&gt;&lt;author&gt;Saxer, S.&lt;/author&gt;&lt;author&gt;Furian, M.&lt;/author&gt;&lt;author&gt;Mayer, L.&lt;/author&gt;&lt;author&gt;Bader, P. R.&lt;/author&gt;&lt;author&gt;Scheiwiller, P.&lt;/author&gt;&lt;author&gt;Mademilov, M.&lt;/author&gt;&lt;author&gt;Sheraliev, U.&lt;/author&gt;&lt;author&gt;Tanner, F. C.&lt;/author&gt;&lt;author&gt;Sooronbaev, T. M.&lt;/author&gt;&lt;author&gt;Bloch, K. E.&lt;/author&gt;&lt;author&gt;Ulrich, S.&lt;/author&gt;&lt;/authors&gt;&lt;/contributors&gt;&lt;auth-address&gt;Department of Pulmonology, University Hospital Zurich, Switzerland.&amp;#xD;National Center for Cardiology and Internal Medicine, Bishkek, Kyrgyzstan.&amp;#xD;Department of Cardiology, University Hospital Zurich, Switzerland.&amp;#xD;Department of Pulmonology, University Hospital Zurich, Switzerland silvia.ulrich@usz.ch.&lt;/auth-address&gt;&lt;titles&gt;&lt;title&gt;Cardiac function and pulmonary hypertension in Central Asian highlanders at 3250 m&lt;/title&gt;&lt;secondary-title&gt;Eur Respir J&lt;/secondary-title&gt;&lt;/titles&gt;&lt;periodical&gt;&lt;full-title&gt;Eur Respir J&lt;/full-title&gt;&lt;abbr-1&gt;The European respiratory journal&lt;/abbr-1&gt;&lt;/periodical&gt;&lt;edition&gt;2020/05/21&lt;/edition&gt;&lt;dates&gt;&lt;year&gt;2020&lt;/year&gt;&lt;pub-dates&gt;&lt;date&gt;May 19&lt;/date&gt;&lt;/pub-dates&gt;&lt;/dates&gt;&lt;isbn&gt;1399-3003 (Electronic)&amp;#xD;0903-1936 (Linking)&lt;/isbn&gt;&lt;accession-num&gt;32430419&lt;/accession-num&gt;&lt;urls&gt;&lt;related-urls&gt;&lt;url&gt;https://www.ncbi.nlm.nih.gov/pubmed/32430419&lt;/url&gt;&lt;/related-urls&gt;&lt;/urls&gt;&lt;electronic-resource-num&gt;10.1183/13993003.02474-2019&lt;/electronic-resource-num&gt;&lt;/record&gt;&lt;/Cite&gt;&lt;/EndNote&gt;</w:instrText>
      </w:r>
      <w:r w:rsidRPr="00874D9E">
        <w:rPr>
          <w:rFonts w:asciiTheme="majorHAnsi" w:hAnsiTheme="majorHAnsi" w:cstheme="majorHAnsi"/>
          <w:sz w:val="22"/>
          <w:szCs w:val="22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sz w:val="22"/>
          <w:szCs w:val="22"/>
          <w:vertAlign w:val="superscript"/>
        </w:rPr>
        <w:t>6</w:t>
      </w:r>
      <w:r w:rsidRPr="00874D9E">
        <w:rPr>
          <w:rFonts w:asciiTheme="majorHAnsi" w:hAnsiTheme="majorHAnsi" w:cstheme="majorHAnsi"/>
          <w:sz w:val="22"/>
          <w:szCs w:val="22"/>
        </w:rPr>
        <w:fldChar w:fldCharType="end"/>
      </w:r>
      <w:r w:rsidRPr="00874D9E">
        <w:rPr>
          <w:rFonts w:asciiTheme="majorHAnsi" w:hAnsiTheme="majorHAnsi" w:cstheme="majorHAnsi"/>
          <w:sz w:val="22"/>
          <w:szCs w:val="22"/>
        </w:rPr>
        <w:t xml:space="preserve"> Recording and analysis were performed according to guidelines of the European Society of Echocardiography.</w:t>
      </w:r>
      <w:r w:rsidRPr="00874D9E">
        <w:rPr>
          <w:rFonts w:asciiTheme="majorHAnsi" w:hAnsiTheme="majorHAnsi" w:cstheme="majorHAnsi"/>
          <w:sz w:val="22"/>
          <w:szCs w:val="22"/>
        </w:rPr>
        <w:fldChar w:fldCharType="begin"/>
      </w:r>
      <w:r w:rsidR="00874D9E" w:rsidRPr="00874D9E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&lt;EndNote&gt;&lt;Cite&gt;&lt;Author&gt;Evangelista&lt;/Author&gt;&lt;Year&gt;2008&lt;/Year&gt;&lt;RecNum&gt;1139&lt;/RecNum&gt;&lt;DisplayText&gt;&lt;style face="superscript"&gt;7&lt;/style&gt;&lt;/DisplayText&gt;&lt;record&gt;&lt;rec-number&gt;1139&lt;/rec-number&gt;&lt;foreign-keys&gt;&lt;key app="EN" db-id="5pttradst02wdqev2vyvzr0zx5zewvv2dz09" timestamp="1518537219"&gt;1139&lt;/key&gt;&lt;/foreign-keys&gt;&lt;ref-type name="Journal Article"&gt;17&lt;/ref-type&gt;&lt;contributors&gt;&lt;authors&gt;&lt;author&gt;Evangelista, A.&lt;/author&gt;&lt;author&gt;Flachskampf, F.&lt;/author&gt;&lt;author&gt;Lancellotti, P.&lt;/author&gt;&lt;author&gt;Badano, L.&lt;/author&gt;&lt;author&gt;Aguilar, R.&lt;/author&gt;&lt;author&gt;Monaghan, M.&lt;/author&gt;&lt;author&gt;Zamorano, J.&lt;/author&gt;&lt;author&gt;Nihoyannopoulos, P.&lt;/author&gt;&lt;author&gt;European Association of, Echocardiography&lt;/author&gt;&lt;/authors&gt;&lt;/contributors&gt;&lt;auth-address&gt;Servei de Cardiologia, Hospital Vall d&amp;apos;Hebron, Barcelona, Spain. aevangel@vhebron.net&lt;/auth-address&gt;&lt;titles&gt;&lt;title&gt;European Association of Echocardiography recommendations for standardization of performance, digital storage and reporting of echocardiographic studies&lt;/title&gt;&lt;secondary-title&gt;Eur J Echocardiogr&lt;/secondary-title&gt;&lt;/titles&gt;&lt;periodical&gt;&lt;full-title&gt;Eur J Echocardiogr&lt;/full-title&gt;&lt;/periodical&gt;&lt;pages&gt;438-48&lt;/pages&gt;&lt;volume&gt;9&lt;/volume&gt;&lt;number&gt;4&lt;/number&gt;&lt;keywords&gt;&lt;keyword&gt;Disclosure&lt;/keyword&gt;&lt;keyword&gt;Echocardiography/methods/*standards&lt;/keyword&gt;&lt;keyword&gt;Europe&lt;/keyword&gt;&lt;keyword&gt;Humans&lt;/keyword&gt;&lt;keyword&gt;Information Storage and Retrieval&lt;/keyword&gt;&lt;keyword&gt;Medical Records Systems, Computerized/*standards&lt;/keyword&gt;&lt;/keywords&gt;&lt;dates&gt;&lt;year&gt;2008&lt;/year&gt;&lt;pub-dates&gt;&lt;date&gt;Jul&lt;/date&gt;&lt;/pub-dates&gt;&lt;/dates&gt;&lt;isbn&gt;1532-2114 (Electronic)&amp;#xD;1532-2114 (Linking)&lt;/isbn&gt;&lt;accession-num&gt;18579482&lt;/accession-num&gt;&lt;urls&gt;&lt;related-urls&gt;&lt;url&gt;https://www.ncbi.nlm.nih.gov/pubmed/18579482&lt;/url&gt;&lt;/related-urls&gt;&lt;/urls&gt;&lt;electronic-resource-num&gt;10.1093/ejechocard/jen174&lt;/electronic-resource-num&gt;&lt;/record&gt;&lt;/Cite&gt;&lt;/EndNote&gt;</w:instrText>
      </w:r>
      <w:r w:rsidRPr="00874D9E">
        <w:rPr>
          <w:rFonts w:asciiTheme="majorHAnsi" w:hAnsiTheme="majorHAnsi" w:cstheme="majorHAnsi"/>
          <w:sz w:val="22"/>
          <w:szCs w:val="22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sz w:val="22"/>
          <w:szCs w:val="22"/>
          <w:vertAlign w:val="superscript"/>
        </w:rPr>
        <w:t>7</w:t>
      </w:r>
      <w:r w:rsidRPr="00874D9E">
        <w:rPr>
          <w:rFonts w:asciiTheme="majorHAnsi" w:hAnsiTheme="majorHAnsi" w:cstheme="majorHAnsi"/>
          <w:sz w:val="22"/>
          <w:szCs w:val="22"/>
        </w:rPr>
        <w:fldChar w:fldCharType="end"/>
      </w:r>
      <w:r w:rsidRPr="00874D9E">
        <w:rPr>
          <w:rFonts w:asciiTheme="majorHAnsi" w:hAnsiTheme="majorHAnsi" w:cstheme="majorHAnsi"/>
          <w:sz w:val="22"/>
          <w:szCs w:val="22"/>
        </w:rPr>
        <w:t xml:space="preserve"> Maximal tricuspid regurgitation pressure gradient (TRPG) was calculated from maximal tricuspid regurgitation velocity (TRV) obtained with CW-Doppler using the modified Bernoulli equation: 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Δpressure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= </w:t>
      </w:r>
      <w:proofErr w:type="gramStart"/>
      <w:r w:rsidRPr="00874D9E">
        <w:rPr>
          <w:rFonts w:asciiTheme="majorHAnsi" w:hAnsiTheme="majorHAnsi" w:cstheme="majorHAnsi"/>
          <w:sz w:val="22"/>
          <w:szCs w:val="22"/>
        </w:rPr>
        <w:t>4</w:t>
      </w:r>
      <w:proofErr w:type="gramEnd"/>
      <w:r w:rsidRPr="00874D9E">
        <w:rPr>
          <w:rFonts w:asciiTheme="majorHAnsi" w:hAnsiTheme="majorHAnsi" w:cstheme="majorHAnsi"/>
          <w:sz w:val="22"/>
          <w:szCs w:val="22"/>
        </w:rPr>
        <w:t xml:space="preserve"> × TRVmax</w:t>
      </w:r>
      <w:r w:rsidRPr="00874D9E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Pr="00874D9E">
        <w:rPr>
          <w:rFonts w:asciiTheme="majorHAnsi" w:hAnsiTheme="majorHAnsi" w:cstheme="majorHAnsi"/>
          <w:sz w:val="22"/>
          <w:szCs w:val="22"/>
        </w:rPr>
        <w:t xml:space="preserve">. Right atrial pressure (RAP) </w:t>
      </w:r>
      <w:proofErr w:type="gramStart"/>
      <w:r w:rsidRPr="00874D9E">
        <w:rPr>
          <w:rFonts w:asciiTheme="majorHAnsi" w:hAnsiTheme="majorHAnsi" w:cstheme="majorHAnsi"/>
          <w:sz w:val="22"/>
          <w:szCs w:val="22"/>
        </w:rPr>
        <w:t>was estimated</w:t>
      </w:r>
      <w:proofErr w:type="gramEnd"/>
      <w:r w:rsidRPr="00874D9E">
        <w:rPr>
          <w:rFonts w:asciiTheme="majorHAnsi" w:hAnsiTheme="majorHAnsi" w:cstheme="majorHAnsi"/>
          <w:sz w:val="22"/>
          <w:szCs w:val="22"/>
        </w:rPr>
        <w:t xml:space="preserve"> by the diameter of the inferior vena cava and its variation during inspiration. Systolic PAP (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sPAP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) </w:t>
      </w:r>
      <w:proofErr w:type="gramStart"/>
      <w:r w:rsidRPr="00874D9E">
        <w:rPr>
          <w:rFonts w:asciiTheme="majorHAnsi" w:hAnsiTheme="majorHAnsi" w:cstheme="majorHAnsi"/>
          <w:sz w:val="22"/>
          <w:szCs w:val="22"/>
        </w:rPr>
        <w:t>was calculated</w:t>
      </w:r>
      <w:proofErr w:type="gramEnd"/>
      <w:r w:rsidRPr="00874D9E">
        <w:rPr>
          <w:rFonts w:asciiTheme="majorHAnsi" w:hAnsiTheme="majorHAnsi" w:cstheme="majorHAnsi"/>
          <w:sz w:val="22"/>
          <w:szCs w:val="22"/>
        </w:rPr>
        <w:t xml:space="preserve"> as TRPG + RAP. Mean PAP (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mPAP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) was calculated as 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mPAP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 = 0.61× </w:t>
      </w:r>
      <w:proofErr w:type="spellStart"/>
      <w:r w:rsidRPr="00874D9E">
        <w:rPr>
          <w:rFonts w:asciiTheme="majorHAnsi" w:hAnsiTheme="majorHAnsi" w:cstheme="majorHAnsi"/>
          <w:sz w:val="22"/>
          <w:szCs w:val="22"/>
        </w:rPr>
        <w:t>sPAP</w:t>
      </w:r>
      <w:proofErr w:type="spellEnd"/>
      <w:r w:rsidRPr="00874D9E">
        <w:rPr>
          <w:rFonts w:asciiTheme="majorHAnsi" w:hAnsiTheme="majorHAnsi" w:cstheme="majorHAnsi"/>
          <w:sz w:val="22"/>
          <w:szCs w:val="22"/>
        </w:rPr>
        <w:t xml:space="preserve"> + </w:t>
      </w:r>
      <w:proofErr w:type="gramStart"/>
      <w:r w:rsidRPr="00874D9E">
        <w:rPr>
          <w:rFonts w:asciiTheme="majorHAnsi" w:hAnsiTheme="majorHAnsi" w:cstheme="majorHAnsi"/>
          <w:sz w:val="22"/>
          <w:szCs w:val="22"/>
        </w:rPr>
        <w:t>2</w:t>
      </w:r>
      <w:proofErr w:type="gramEnd"/>
      <w:r w:rsidRPr="00874D9E">
        <w:rPr>
          <w:rFonts w:asciiTheme="majorHAnsi" w:hAnsiTheme="majorHAnsi" w:cstheme="majorHAnsi"/>
          <w:sz w:val="22"/>
          <w:szCs w:val="22"/>
        </w:rPr>
        <w:t xml:space="preserve"> mmHg.</w:t>
      </w:r>
      <w:r w:rsidRPr="00874D9E">
        <w:rPr>
          <w:rFonts w:asciiTheme="majorHAnsi" w:hAnsiTheme="majorHAnsi" w:cstheme="majorHAnsi"/>
          <w:sz w:val="22"/>
          <w:szCs w:val="22"/>
          <w:vertAlign w:val="superscript"/>
        </w:rPr>
        <w:t>28</w:t>
      </w:r>
      <w:r w:rsidRPr="00874D9E">
        <w:rPr>
          <w:rFonts w:asciiTheme="majorHAnsi" w:hAnsiTheme="majorHAnsi" w:cstheme="majorHAnsi"/>
          <w:sz w:val="22"/>
          <w:szCs w:val="22"/>
        </w:rPr>
        <w:t xml:space="preserve"> Right ventricle (RV) area was manually traced, fractional area change (FAC) of the RV was calculated as (end-diastolic RV area ‒ end-systolic RV area) / end-diastolic RV area. Tricuspid annular plane systolic excursion (TAPSE) </w:t>
      </w:r>
      <w:proofErr w:type="gramStart"/>
      <w:r w:rsidRPr="00874D9E">
        <w:rPr>
          <w:rFonts w:asciiTheme="majorHAnsi" w:hAnsiTheme="majorHAnsi" w:cstheme="majorHAnsi"/>
          <w:sz w:val="22"/>
          <w:szCs w:val="22"/>
        </w:rPr>
        <w:t>was measured</w:t>
      </w:r>
      <w:proofErr w:type="gramEnd"/>
      <w:r w:rsidRPr="00874D9E">
        <w:rPr>
          <w:rFonts w:asciiTheme="majorHAnsi" w:hAnsiTheme="majorHAnsi" w:cstheme="majorHAnsi"/>
          <w:sz w:val="22"/>
          <w:szCs w:val="22"/>
        </w:rPr>
        <w:t xml:space="preserve"> in M-mode. Cardiac output (Q) was estimated by the Doppler velocity time integral method from the left ventricular outflow tract </w:t>
      </w:r>
      <w:r w:rsidRPr="00874D9E">
        <w:rPr>
          <w:rFonts w:asciiTheme="majorHAnsi" w:hAnsiTheme="majorHAnsi" w:cstheme="majorHAnsi"/>
          <w:sz w:val="22"/>
          <w:szCs w:val="22"/>
        </w:rPr>
        <w:fldChar w:fldCharType="begin"/>
      </w:r>
      <w:r w:rsidR="00874D9E" w:rsidRPr="00874D9E">
        <w:rPr>
          <w:rFonts w:asciiTheme="majorHAnsi" w:hAnsiTheme="majorHAnsi" w:cstheme="majorHAnsi"/>
          <w:sz w:val="22"/>
          <w:szCs w:val="22"/>
        </w:rPr>
        <w:instrText xml:space="preserve"> ADDIN EN.CITE &lt;EndNote&gt;&lt;Cite&gt;&lt;Author&gt;Huntsman&lt;/Author&gt;&lt;Year&gt;1983&lt;/Year&gt;&lt;RecNum&gt;1143&lt;/RecNum&gt;&lt;DisplayText&gt;&lt;style face="superscript"&gt;8&lt;/style&gt;&lt;/DisplayText&gt;&lt;record&gt;&lt;rec-number&gt;1143&lt;/rec-number&gt;&lt;foreign-keys&gt;&lt;key app="EN" db-id="5pttradst02wdqev2vyvzr0zx5zewvv2dz09" timestamp="1518537365"&gt;1143&lt;/key&gt;&lt;/foreign-keys&gt;&lt;ref-type name="Journal Article"&gt;17&lt;/ref-type&gt;&lt;contributors&gt;&lt;authors&gt;&lt;author&gt;Huntsman, L. L.&lt;/author&gt;&lt;author&gt;Stewart, D. K.&lt;/author&gt;&lt;author&gt;Barnes, S. R.&lt;/author&gt;&lt;author&gt;Franklin, S. B.&lt;/author&gt;&lt;author&gt;Colocousis, J. S.&lt;/author&gt;&lt;author&gt;Hessel, E. A.&lt;/author&gt;&lt;/authors&gt;&lt;/contributors&gt;&lt;titles&gt;&lt;title&gt;Noninvasive Doppler determination of cardiac output in man. Clinical validation&lt;/title&gt;&lt;secondary-title&gt;Circulation&lt;/secondary-title&gt;&lt;/titles&gt;&lt;periodical&gt;&lt;full-title&gt;Circulation&lt;/full-title&gt;&lt;abbr-1&gt;Circulation&lt;/abbr-1&gt;&lt;/periodical&gt;&lt;pages&gt;593-602&lt;/pages&gt;&lt;volume&gt;67&lt;/volume&gt;&lt;number&gt;3&lt;/number&gt;&lt;keywords&gt;&lt;keyword&gt;Aorta/pathology/physiology&lt;/keyword&gt;&lt;keyword&gt;*Cardiac Output&lt;/keyword&gt;&lt;keyword&gt;Critical Care&lt;/keyword&gt;&lt;keyword&gt;Humans&lt;/keyword&gt;&lt;keyword&gt;Regional Blood Flow&lt;/keyword&gt;&lt;keyword&gt;Thermodilution&lt;/keyword&gt;&lt;keyword&gt;Ultrasonics/instrumentation/*methods&lt;/keyword&gt;&lt;/keywords&gt;&lt;dates&gt;&lt;year&gt;1983&lt;/year&gt;&lt;pub-dates&gt;&lt;date&gt;Mar&lt;/date&gt;&lt;/pub-dates&gt;&lt;/dates&gt;&lt;isbn&gt;0009-7322 (Print)&amp;#xD;0009-7322 (Linking)&lt;/isbn&gt;&lt;accession-num&gt;6821902&lt;/accession-num&gt;&lt;urls&gt;&lt;related-urls&gt;&lt;url&gt;https://www.ncbi.nlm.nih.gov/pubmed/6821902&lt;/url&gt;&lt;/related-urls&gt;&lt;/urls&gt;&lt;/record&gt;&lt;/Cite&gt;&lt;/EndNote&gt;</w:instrText>
      </w:r>
      <w:r w:rsidRPr="00874D9E">
        <w:rPr>
          <w:rFonts w:asciiTheme="majorHAnsi" w:hAnsiTheme="majorHAnsi" w:cstheme="majorHAnsi"/>
          <w:sz w:val="22"/>
          <w:szCs w:val="22"/>
        </w:rPr>
        <w:fldChar w:fldCharType="separate"/>
      </w:r>
      <w:r w:rsidR="00874D9E" w:rsidRPr="00874D9E">
        <w:rPr>
          <w:rFonts w:asciiTheme="majorHAnsi" w:hAnsiTheme="majorHAnsi" w:cstheme="majorHAnsi"/>
          <w:noProof/>
          <w:sz w:val="22"/>
          <w:szCs w:val="22"/>
          <w:vertAlign w:val="superscript"/>
        </w:rPr>
        <w:t>8</w:t>
      </w:r>
      <w:r w:rsidRPr="00874D9E">
        <w:rPr>
          <w:rFonts w:asciiTheme="majorHAnsi" w:hAnsiTheme="majorHAnsi" w:cstheme="majorHAnsi"/>
          <w:sz w:val="22"/>
          <w:szCs w:val="22"/>
        </w:rPr>
        <w:fldChar w:fldCharType="end"/>
      </w:r>
      <w:r w:rsidRPr="00874D9E">
        <w:rPr>
          <w:rFonts w:asciiTheme="majorHAnsi" w:hAnsiTheme="majorHAnsi" w:cstheme="majorHAnsi"/>
          <w:sz w:val="22"/>
          <w:szCs w:val="22"/>
        </w:rPr>
        <w:t xml:space="preserve"> and stroke volume (SV) as SV = Q/HR.</w:t>
      </w:r>
    </w:p>
    <w:p w:rsidR="00874D9E" w:rsidRPr="00874D9E" w:rsidRDefault="003314E1">
      <w:pPr>
        <w:spacing w:after="160"/>
        <w:rPr>
          <w:rFonts w:asciiTheme="majorHAnsi" w:hAnsiTheme="majorHAnsi" w:cstheme="majorHAnsi"/>
          <w:b/>
          <w:sz w:val="22"/>
          <w:lang w:val="en-US"/>
        </w:rPr>
      </w:pPr>
      <w:r w:rsidRPr="00874D9E">
        <w:rPr>
          <w:rFonts w:asciiTheme="majorHAnsi" w:hAnsiTheme="majorHAnsi" w:cstheme="majorHAnsi"/>
          <w:lang w:val="en-US"/>
        </w:rPr>
        <w:br w:type="page"/>
      </w:r>
      <w:r w:rsidR="00874D9E" w:rsidRPr="00874D9E">
        <w:rPr>
          <w:rFonts w:asciiTheme="majorHAnsi" w:hAnsiTheme="majorHAnsi" w:cstheme="majorHAnsi"/>
          <w:b/>
          <w:sz w:val="22"/>
          <w:lang w:val="en-US"/>
        </w:rPr>
        <w:lastRenderedPageBreak/>
        <w:t>References</w:t>
      </w:r>
    </w:p>
    <w:p w:rsidR="00874D9E" w:rsidRPr="00874D9E" w:rsidRDefault="00874D9E" w:rsidP="00874D9E">
      <w:pPr>
        <w:rPr>
          <w:rFonts w:asciiTheme="majorHAnsi" w:hAnsiTheme="majorHAnsi" w:cstheme="majorHAnsi"/>
          <w:szCs w:val="20"/>
          <w:lang w:val="en-US"/>
        </w:rPr>
      </w:pPr>
    </w:p>
    <w:p w:rsidR="00874D9E" w:rsidRPr="00874D9E" w:rsidRDefault="00874D9E" w:rsidP="00874D9E">
      <w:pPr>
        <w:rPr>
          <w:rFonts w:asciiTheme="majorHAnsi" w:hAnsiTheme="majorHAnsi" w:cstheme="majorHAnsi"/>
          <w:szCs w:val="20"/>
          <w:lang w:val="en-US"/>
        </w:rPr>
      </w:pP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  <w:szCs w:val="20"/>
        </w:rPr>
        <w:fldChar w:fldCharType="begin"/>
      </w:r>
      <w:r w:rsidRPr="00874D9E">
        <w:rPr>
          <w:rFonts w:asciiTheme="majorHAnsi" w:hAnsiTheme="majorHAnsi" w:cstheme="majorHAnsi"/>
          <w:szCs w:val="20"/>
        </w:rPr>
        <w:instrText xml:space="preserve"> ADDIN EN.REFLIST </w:instrText>
      </w:r>
      <w:r w:rsidRPr="00874D9E">
        <w:rPr>
          <w:rFonts w:asciiTheme="majorHAnsi" w:hAnsiTheme="majorHAnsi" w:cstheme="majorHAnsi"/>
          <w:szCs w:val="20"/>
        </w:rPr>
        <w:fldChar w:fldCharType="separate"/>
      </w:r>
      <w:r w:rsidRPr="00874D9E">
        <w:rPr>
          <w:rFonts w:asciiTheme="majorHAnsi" w:hAnsiTheme="majorHAnsi" w:cstheme="majorHAnsi"/>
        </w:rPr>
        <w:t>1.</w:t>
      </w:r>
      <w:r w:rsidRPr="00874D9E">
        <w:rPr>
          <w:rFonts w:asciiTheme="majorHAnsi" w:hAnsiTheme="majorHAnsi" w:cstheme="majorHAnsi"/>
        </w:rPr>
        <w:tab/>
        <w:t xml:space="preserve">Laboratories ATSCoPSfCPF. ATS statement: guidelines for the six-minute walk test. </w:t>
      </w:r>
      <w:r w:rsidRPr="00874D9E">
        <w:rPr>
          <w:rFonts w:asciiTheme="majorHAnsi" w:hAnsiTheme="majorHAnsi" w:cstheme="majorHAnsi"/>
          <w:i/>
        </w:rPr>
        <w:t xml:space="preserve">Am J Respir Crit Care Med </w:t>
      </w:r>
      <w:r w:rsidRPr="00874D9E">
        <w:rPr>
          <w:rFonts w:asciiTheme="majorHAnsi" w:hAnsiTheme="majorHAnsi" w:cstheme="majorHAnsi"/>
        </w:rPr>
        <w:t>2002;</w:t>
      </w:r>
      <w:r w:rsidRPr="00874D9E">
        <w:rPr>
          <w:rFonts w:asciiTheme="majorHAnsi" w:hAnsiTheme="majorHAnsi" w:cstheme="majorHAnsi"/>
          <w:b/>
        </w:rPr>
        <w:t>166</w:t>
      </w:r>
      <w:r w:rsidRPr="00874D9E">
        <w:rPr>
          <w:rFonts w:asciiTheme="majorHAnsi" w:hAnsiTheme="majorHAnsi" w:cstheme="majorHAnsi"/>
        </w:rPr>
        <w:t>:111-117. doi: 10.1164/ajrccm.166.1.at1102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2.</w:t>
      </w:r>
      <w:r w:rsidRPr="00874D9E">
        <w:rPr>
          <w:rFonts w:asciiTheme="majorHAnsi" w:hAnsiTheme="majorHAnsi" w:cstheme="majorHAnsi"/>
        </w:rPr>
        <w:tab/>
        <w:t>Cenedese E, Speich R, Dorschner L</w:t>
      </w:r>
      <w:r w:rsidRPr="00874D9E">
        <w:rPr>
          <w:rFonts w:asciiTheme="majorHAnsi" w:hAnsiTheme="majorHAnsi" w:cstheme="majorHAnsi"/>
          <w:i/>
        </w:rPr>
        <w:t>, et al.</w:t>
      </w:r>
      <w:r w:rsidRPr="00874D9E">
        <w:rPr>
          <w:rFonts w:asciiTheme="majorHAnsi" w:hAnsiTheme="majorHAnsi" w:cstheme="majorHAnsi"/>
        </w:rPr>
        <w:t xml:space="preserve"> Measurement of quality of life in pulmonary hypertension and its significance. </w:t>
      </w:r>
      <w:r w:rsidRPr="00874D9E">
        <w:rPr>
          <w:rFonts w:asciiTheme="majorHAnsi" w:hAnsiTheme="majorHAnsi" w:cstheme="majorHAnsi"/>
          <w:i/>
        </w:rPr>
        <w:t xml:space="preserve">Eur Respir J </w:t>
      </w:r>
      <w:r w:rsidRPr="00874D9E">
        <w:rPr>
          <w:rFonts w:asciiTheme="majorHAnsi" w:hAnsiTheme="majorHAnsi" w:cstheme="majorHAnsi"/>
        </w:rPr>
        <w:t>2006;</w:t>
      </w:r>
      <w:r w:rsidRPr="00874D9E">
        <w:rPr>
          <w:rFonts w:asciiTheme="majorHAnsi" w:hAnsiTheme="majorHAnsi" w:cstheme="majorHAnsi"/>
          <w:b/>
        </w:rPr>
        <w:t>28</w:t>
      </w:r>
      <w:r w:rsidRPr="00874D9E">
        <w:rPr>
          <w:rFonts w:asciiTheme="majorHAnsi" w:hAnsiTheme="majorHAnsi" w:cstheme="majorHAnsi"/>
        </w:rPr>
        <w:t xml:space="preserve">:808-815. doi: 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3.</w:t>
      </w:r>
      <w:r w:rsidRPr="00874D9E">
        <w:rPr>
          <w:rFonts w:asciiTheme="majorHAnsi" w:hAnsiTheme="majorHAnsi" w:cstheme="majorHAnsi"/>
        </w:rPr>
        <w:tab/>
        <w:t xml:space="preserve">Martin SE, Bradley JM, Buick JB, Crossan A, Elborn JS. The effect of hypoxia on cognitive performance in patients with chronic obstructive pulmonary disease. </w:t>
      </w:r>
      <w:r w:rsidRPr="00874D9E">
        <w:rPr>
          <w:rFonts w:asciiTheme="majorHAnsi" w:hAnsiTheme="majorHAnsi" w:cstheme="majorHAnsi"/>
          <w:i/>
        </w:rPr>
        <w:t xml:space="preserve">Respir Physiol Neurobiol </w:t>
      </w:r>
      <w:r w:rsidRPr="00874D9E">
        <w:rPr>
          <w:rFonts w:asciiTheme="majorHAnsi" w:hAnsiTheme="majorHAnsi" w:cstheme="majorHAnsi"/>
        </w:rPr>
        <w:t>2011;</w:t>
      </w:r>
      <w:r w:rsidRPr="00874D9E">
        <w:rPr>
          <w:rFonts w:asciiTheme="majorHAnsi" w:hAnsiTheme="majorHAnsi" w:cstheme="majorHAnsi"/>
          <w:b/>
        </w:rPr>
        <w:t>177</w:t>
      </w:r>
      <w:r w:rsidRPr="00874D9E">
        <w:rPr>
          <w:rFonts w:asciiTheme="majorHAnsi" w:hAnsiTheme="majorHAnsi" w:cstheme="majorHAnsi"/>
        </w:rPr>
        <w:t>:36-40. doi: S1569-9048(11)00089-9 [pii]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10.1016/j.resp.2011.03.007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4.</w:t>
      </w:r>
      <w:r w:rsidRPr="00874D9E">
        <w:rPr>
          <w:rFonts w:asciiTheme="majorHAnsi" w:hAnsiTheme="majorHAnsi" w:cstheme="majorHAnsi"/>
        </w:rPr>
        <w:tab/>
        <w:t xml:space="preserve">Jensen AR, Rohwer WD, Jr. The Stroop color-word test: a review. </w:t>
      </w:r>
      <w:r w:rsidRPr="00874D9E">
        <w:rPr>
          <w:rFonts w:asciiTheme="majorHAnsi" w:hAnsiTheme="majorHAnsi" w:cstheme="majorHAnsi"/>
          <w:i/>
        </w:rPr>
        <w:t xml:space="preserve">Acta Psychol (Amst) </w:t>
      </w:r>
      <w:r w:rsidRPr="00874D9E">
        <w:rPr>
          <w:rFonts w:asciiTheme="majorHAnsi" w:hAnsiTheme="majorHAnsi" w:cstheme="majorHAnsi"/>
        </w:rPr>
        <w:t>1966;</w:t>
      </w:r>
      <w:r w:rsidRPr="00874D9E">
        <w:rPr>
          <w:rFonts w:asciiTheme="majorHAnsi" w:hAnsiTheme="majorHAnsi" w:cstheme="majorHAnsi"/>
          <w:b/>
        </w:rPr>
        <w:t>25</w:t>
      </w:r>
      <w:r w:rsidRPr="00874D9E">
        <w:rPr>
          <w:rFonts w:asciiTheme="majorHAnsi" w:hAnsiTheme="majorHAnsi" w:cstheme="majorHAnsi"/>
        </w:rPr>
        <w:t xml:space="preserve">:36-93. doi: 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5.</w:t>
      </w:r>
      <w:r w:rsidRPr="00874D9E">
        <w:rPr>
          <w:rFonts w:asciiTheme="majorHAnsi" w:hAnsiTheme="majorHAnsi" w:cstheme="majorHAnsi"/>
        </w:rPr>
        <w:tab/>
        <w:t xml:space="preserve">Tombaugh TN. Trail Making Test A and B: normative data stratified by age and education. </w:t>
      </w:r>
      <w:r w:rsidRPr="00874D9E">
        <w:rPr>
          <w:rFonts w:asciiTheme="majorHAnsi" w:hAnsiTheme="majorHAnsi" w:cstheme="majorHAnsi"/>
          <w:i/>
        </w:rPr>
        <w:t xml:space="preserve">Arch Clin Neuropsychol </w:t>
      </w:r>
      <w:r w:rsidRPr="00874D9E">
        <w:rPr>
          <w:rFonts w:asciiTheme="majorHAnsi" w:hAnsiTheme="majorHAnsi" w:cstheme="majorHAnsi"/>
        </w:rPr>
        <w:t>2004;</w:t>
      </w:r>
      <w:r w:rsidRPr="00874D9E">
        <w:rPr>
          <w:rFonts w:asciiTheme="majorHAnsi" w:hAnsiTheme="majorHAnsi" w:cstheme="majorHAnsi"/>
          <w:b/>
        </w:rPr>
        <w:t>19</w:t>
      </w:r>
      <w:r w:rsidRPr="00874D9E">
        <w:rPr>
          <w:rFonts w:asciiTheme="majorHAnsi" w:hAnsiTheme="majorHAnsi" w:cstheme="majorHAnsi"/>
        </w:rPr>
        <w:t>:203-214. doi: 10.1016/S0887-6177(03)00039-8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S0887617703000398 [pii]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6.</w:t>
      </w:r>
      <w:r w:rsidRPr="00874D9E">
        <w:rPr>
          <w:rFonts w:asciiTheme="majorHAnsi" w:hAnsiTheme="majorHAnsi" w:cstheme="majorHAnsi"/>
        </w:rPr>
        <w:tab/>
        <w:t>Lichtblau M, Saxer S, Furian M</w:t>
      </w:r>
      <w:r w:rsidRPr="00874D9E">
        <w:rPr>
          <w:rFonts w:asciiTheme="majorHAnsi" w:hAnsiTheme="majorHAnsi" w:cstheme="majorHAnsi"/>
          <w:i/>
        </w:rPr>
        <w:t>, et al.</w:t>
      </w:r>
      <w:r w:rsidRPr="00874D9E">
        <w:rPr>
          <w:rFonts w:asciiTheme="majorHAnsi" w:hAnsiTheme="majorHAnsi" w:cstheme="majorHAnsi"/>
        </w:rPr>
        <w:t xml:space="preserve"> Cardiac function and pulmonary hypertension in Central Asian highlanders at 3250 m. </w:t>
      </w:r>
      <w:r w:rsidRPr="00874D9E">
        <w:rPr>
          <w:rFonts w:asciiTheme="majorHAnsi" w:hAnsiTheme="majorHAnsi" w:cstheme="majorHAnsi"/>
          <w:i/>
        </w:rPr>
        <w:t xml:space="preserve">Eur Respir J </w:t>
      </w:r>
      <w:r w:rsidRPr="00874D9E">
        <w:rPr>
          <w:rFonts w:asciiTheme="majorHAnsi" w:hAnsiTheme="majorHAnsi" w:cstheme="majorHAnsi"/>
        </w:rPr>
        <w:t>2020. doi: 10.1183/13993003.02474-2019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  <w:lang w:val="it-CH"/>
        </w:rPr>
        <w:t>7.</w:t>
      </w:r>
      <w:r w:rsidRPr="00874D9E">
        <w:rPr>
          <w:rFonts w:asciiTheme="majorHAnsi" w:hAnsiTheme="majorHAnsi" w:cstheme="majorHAnsi"/>
          <w:lang w:val="it-CH"/>
        </w:rPr>
        <w:tab/>
        <w:t>Evangelista A, Flachskampf F, Lancellotti P</w:t>
      </w:r>
      <w:r w:rsidRPr="00874D9E">
        <w:rPr>
          <w:rFonts w:asciiTheme="majorHAnsi" w:hAnsiTheme="majorHAnsi" w:cstheme="majorHAnsi"/>
          <w:i/>
          <w:lang w:val="it-CH"/>
        </w:rPr>
        <w:t>, et al.</w:t>
      </w:r>
      <w:r w:rsidRPr="00874D9E">
        <w:rPr>
          <w:rFonts w:asciiTheme="majorHAnsi" w:hAnsiTheme="majorHAnsi" w:cstheme="majorHAnsi"/>
          <w:lang w:val="it-CH"/>
        </w:rPr>
        <w:t xml:space="preserve"> </w:t>
      </w:r>
      <w:r w:rsidRPr="00874D9E">
        <w:rPr>
          <w:rFonts w:asciiTheme="majorHAnsi" w:hAnsiTheme="majorHAnsi" w:cstheme="majorHAnsi"/>
        </w:rPr>
        <w:t xml:space="preserve">European Association of Echocardiography recommendations for standardization of performance, digital storage and reporting of echocardiographic studies. </w:t>
      </w:r>
      <w:r w:rsidRPr="00874D9E">
        <w:rPr>
          <w:rFonts w:asciiTheme="majorHAnsi" w:hAnsiTheme="majorHAnsi" w:cstheme="majorHAnsi"/>
          <w:i/>
        </w:rPr>
        <w:t xml:space="preserve">Eur J Echocardiogr </w:t>
      </w:r>
      <w:r w:rsidRPr="00874D9E">
        <w:rPr>
          <w:rFonts w:asciiTheme="majorHAnsi" w:hAnsiTheme="majorHAnsi" w:cstheme="majorHAnsi"/>
        </w:rPr>
        <w:t>2008;</w:t>
      </w:r>
      <w:r w:rsidRPr="00874D9E">
        <w:rPr>
          <w:rFonts w:asciiTheme="majorHAnsi" w:hAnsiTheme="majorHAnsi" w:cstheme="majorHAnsi"/>
          <w:b/>
        </w:rPr>
        <w:t>9</w:t>
      </w:r>
      <w:r w:rsidRPr="00874D9E">
        <w:rPr>
          <w:rFonts w:asciiTheme="majorHAnsi" w:hAnsiTheme="majorHAnsi" w:cstheme="majorHAnsi"/>
        </w:rPr>
        <w:t>:438-448. doi: 10.1093/ejechocard/jen174</w:t>
      </w:r>
    </w:p>
    <w:p w:rsidR="00874D9E" w:rsidRPr="00874D9E" w:rsidRDefault="00874D9E" w:rsidP="00874D9E">
      <w:pPr>
        <w:pStyle w:val="EndNoteBibliography"/>
        <w:rPr>
          <w:rFonts w:asciiTheme="majorHAnsi" w:hAnsiTheme="majorHAnsi" w:cstheme="majorHAnsi"/>
        </w:rPr>
      </w:pPr>
      <w:r w:rsidRPr="00874D9E">
        <w:rPr>
          <w:rFonts w:asciiTheme="majorHAnsi" w:hAnsiTheme="majorHAnsi" w:cstheme="majorHAnsi"/>
        </w:rPr>
        <w:t>8.</w:t>
      </w:r>
      <w:r w:rsidRPr="00874D9E">
        <w:rPr>
          <w:rFonts w:asciiTheme="majorHAnsi" w:hAnsiTheme="majorHAnsi" w:cstheme="majorHAnsi"/>
        </w:rPr>
        <w:tab/>
        <w:t>Huntsman LL, Stewart DK, Barnes SR</w:t>
      </w:r>
      <w:r w:rsidRPr="00874D9E">
        <w:rPr>
          <w:rFonts w:asciiTheme="majorHAnsi" w:hAnsiTheme="majorHAnsi" w:cstheme="majorHAnsi"/>
          <w:i/>
        </w:rPr>
        <w:t>, et al.</w:t>
      </w:r>
      <w:r w:rsidRPr="00874D9E">
        <w:rPr>
          <w:rFonts w:asciiTheme="majorHAnsi" w:hAnsiTheme="majorHAnsi" w:cstheme="majorHAnsi"/>
        </w:rPr>
        <w:t xml:space="preserve"> Noninvasive Doppler determination of cardiac output in man. Clinical validation. </w:t>
      </w:r>
      <w:r w:rsidRPr="00874D9E">
        <w:rPr>
          <w:rFonts w:asciiTheme="majorHAnsi" w:hAnsiTheme="majorHAnsi" w:cstheme="majorHAnsi"/>
          <w:i/>
        </w:rPr>
        <w:t xml:space="preserve">Circulation </w:t>
      </w:r>
      <w:r w:rsidRPr="00874D9E">
        <w:rPr>
          <w:rFonts w:asciiTheme="majorHAnsi" w:hAnsiTheme="majorHAnsi" w:cstheme="majorHAnsi"/>
        </w:rPr>
        <w:t>1983;</w:t>
      </w:r>
      <w:r w:rsidRPr="00874D9E">
        <w:rPr>
          <w:rFonts w:asciiTheme="majorHAnsi" w:hAnsiTheme="majorHAnsi" w:cstheme="majorHAnsi"/>
          <w:b/>
        </w:rPr>
        <w:t>67</w:t>
      </w:r>
      <w:r w:rsidRPr="00874D9E">
        <w:rPr>
          <w:rFonts w:asciiTheme="majorHAnsi" w:hAnsiTheme="majorHAnsi" w:cstheme="majorHAnsi"/>
        </w:rPr>
        <w:t xml:space="preserve">:593-602. doi: </w:t>
      </w:r>
    </w:p>
    <w:p w:rsidR="00874D9E" w:rsidRPr="00874D9E" w:rsidRDefault="00874D9E" w:rsidP="00874D9E">
      <w:pPr>
        <w:spacing w:after="160"/>
        <w:rPr>
          <w:rFonts w:asciiTheme="majorHAnsi" w:hAnsiTheme="majorHAnsi" w:cstheme="majorHAnsi"/>
          <w:lang w:val="en-US"/>
        </w:rPr>
      </w:pPr>
      <w:r w:rsidRPr="00874D9E">
        <w:rPr>
          <w:rFonts w:asciiTheme="majorHAnsi" w:hAnsiTheme="majorHAnsi" w:cstheme="majorHAnsi"/>
          <w:szCs w:val="20"/>
          <w:lang w:val="en-US"/>
        </w:rPr>
        <w:fldChar w:fldCharType="end"/>
      </w:r>
    </w:p>
    <w:p w:rsidR="00874D9E" w:rsidRPr="00874D9E" w:rsidRDefault="00874D9E">
      <w:pPr>
        <w:spacing w:after="160"/>
        <w:rPr>
          <w:rFonts w:asciiTheme="majorHAnsi" w:hAnsiTheme="majorHAnsi" w:cstheme="majorHAnsi"/>
          <w:lang w:val="en-US"/>
        </w:rPr>
      </w:pPr>
      <w:r w:rsidRPr="00874D9E">
        <w:rPr>
          <w:rFonts w:asciiTheme="majorHAnsi" w:hAnsiTheme="majorHAnsi" w:cstheme="majorHAnsi"/>
          <w:lang w:val="en-US"/>
        </w:rPr>
        <w:br w:type="page"/>
      </w:r>
    </w:p>
    <w:p w:rsidR="003314E1" w:rsidRPr="00874D9E" w:rsidRDefault="003314E1">
      <w:pPr>
        <w:spacing w:after="160"/>
        <w:rPr>
          <w:rFonts w:asciiTheme="majorHAnsi" w:hAnsiTheme="majorHAnsi" w:cstheme="majorHAnsi"/>
          <w:lang w:val="en-US"/>
        </w:rPr>
        <w:sectPr w:rsidR="003314E1" w:rsidRPr="00874D9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  <w:bookmarkStart w:id="0" w:name="_GoBack"/>
      <w:bookmarkEnd w:id="0"/>
      <w:r w:rsidRPr="00874D9E">
        <w:rPr>
          <w:rFonts w:asciiTheme="majorHAnsi" w:hAnsiTheme="majorHAnsi" w:cstheme="majorHAnsi"/>
          <w:b/>
          <w:szCs w:val="20"/>
          <w:lang w:val="en-US"/>
        </w:rPr>
        <w:lastRenderedPageBreak/>
        <w:t>Supplementary table</w:t>
      </w:r>
      <w:r w:rsidRPr="00874D9E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AF1F3C">
        <w:rPr>
          <w:rFonts w:asciiTheme="majorHAnsi" w:hAnsiTheme="majorHAnsi" w:cstheme="majorHAnsi"/>
          <w:b/>
          <w:bCs/>
          <w:lang w:val="en-GB"/>
        </w:rPr>
        <w:t>1</w:t>
      </w:r>
      <w:r w:rsidRPr="00874D9E">
        <w:rPr>
          <w:rFonts w:asciiTheme="majorHAnsi" w:hAnsiTheme="majorHAnsi" w:cstheme="majorHAnsi"/>
          <w:b/>
          <w:bCs/>
          <w:lang w:val="en-GB"/>
        </w:rPr>
        <w:t>: Quality of life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3"/>
        <w:gridCol w:w="771"/>
        <w:gridCol w:w="771"/>
        <w:gridCol w:w="1751"/>
        <w:gridCol w:w="872"/>
        <w:gridCol w:w="771"/>
        <w:gridCol w:w="771"/>
        <w:gridCol w:w="1751"/>
        <w:gridCol w:w="872"/>
        <w:gridCol w:w="1806"/>
        <w:gridCol w:w="872"/>
      </w:tblGrid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0" w:type="auto"/>
            <w:gridSpan w:val="4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Acetazolamide</w:t>
            </w:r>
          </w:p>
        </w:tc>
        <w:tc>
          <w:tcPr>
            <w:tcW w:w="0" w:type="auto"/>
            <w:gridSpan w:val="4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Placebo</w:t>
            </w:r>
          </w:p>
        </w:tc>
        <w:tc>
          <w:tcPr>
            <w:tcW w:w="0" w:type="auto"/>
            <w:gridSpan w:val="2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Treatment effect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Per protocol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Start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End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Mean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diff.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95%CI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p-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value</w:t>
            </w:r>
            <w:proofErr w:type="spellEnd"/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Start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End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Mean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diff.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95%CI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p-value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Mean diff. 95%CI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p-value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LHFQ general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22± 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27 ± 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4.8 (0.5 to 9.1)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0.029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21 ± 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23 ± 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2.2 (-2.1 to 6.5)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0.317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2.6 (-3.5 to 8.7)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0.402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LHFQ physical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13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14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 (-0.9 to 2.6)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0.323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12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12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0.8 (-0.9 to 2.5)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0.370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(-2.4 to 2.5)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0.950</w:t>
            </w:r>
          </w:p>
        </w:tc>
      </w:tr>
      <w:tr w:rsidR="0007185B" w:rsidRPr="00874D9E" w:rsidTr="000F32DC">
        <w:tc>
          <w:tcPr>
            <w:tcW w:w="0" w:type="auto"/>
            <w:vAlign w:val="bottom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LHFQ emotional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7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2.5 (1.0 to 4.0)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0.001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5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0.5 (-1.0 to 2.1)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>0.491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2.0 (-0.2 to 4.1)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>0.076</w:t>
            </w:r>
          </w:p>
        </w:tc>
      </w:tr>
      <w:tr w:rsidR="0007185B" w:rsidRPr="00F11073" w:rsidTr="000F32DC">
        <w:tc>
          <w:tcPr>
            <w:tcW w:w="0" w:type="auto"/>
            <w:gridSpan w:val="11"/>
            <w:vAlign w:val="bottom"/>
          </w:tcPr>
          <w:p w:rsidR="0007185B" w:rsidRPr="00874D9E" w:rsidRDefault="0007185B" w:rsidP="000F32DC">
            <w:pPr>
              <w:spacing w:line="259" w:lineRule="auto"/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</w:pPr>
            <w:r w:rsidRPr="00874D9E"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  <w:t xml:space="preserve">Data </w:t>
            </w:r>
            <w:proofErr w:type="gramStart"/>
            <w:r w:rsidRPr="00874D9E"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  <w:t>are presented</w:t>
            </w:r>
            <w:proofErr w:type="gramEnd"/>
            <w:r w:rsidRPr="00874D9E"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  <w:t xml:space="preserve"> as mean ± standard deviation or mean difference with 95%-Confidence interval. </w:t>
            </w:r>
          </w:p>
          <w:p w:rsidR="0007185B" w:rsidRPr="00874D9E" w:rsidRDefault="0007185B" w:rsidP="000F32DC">
            <w:pPr>
              <w:spacing w:line="259" w:lineRule="auto"/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</w:pPr>
            <w:r w:rsidRPr="00874D9E">
              <w:rPr>
                <w:rFonts w:asciiTheme="majorHAnsi" w:hAnsiTheme="majorHAnsi" w:cstheme="majorHAnsi"/>
                <w:color w:val="000000"/>
                <w:szCs w:val="20"/>
                <w:lang w:val="en-US"/>
              </w:rPr>
              <w:t xml:space="preserve">LHFQ: the Minnesota living with heart failure questionnaire </w:t>
            </w:r>
          </w:p>
        </w:tc>
      </w:tr>
    </w:tbl>
    <w:p w:rsidR="0007185B" w:rsidRPr="00874D9E" w:rsidRDefault="0007185B" w:rsidP="0007185B">
      <w:pPr>
        <w:rPr>
          <w:rFonts w:asciiTheme="majorHAnsi" w:hAnsiTheme="majorHAnsi" w:cstheme="majorHAnsi"/>
          <w:lang w:val="en-US"/>
        </w:rPr>
      </w:pP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  <w:sectPr w:rsidR="0007185B" w:rsidRPr="00874D9E" w:rsidSect="00920D8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874D9E">
        <w:rPr>
          <w:rFonts w:asciiTheme="majorHAnsi" w:hAnsiTheme="majorHAnsi" w:cstheme="majorHAnsi"/>
          <w:b/>
          <w:bCs/>
          <w:lang w:val="en-GB"/>
        </w:rPr>
        <w:br w:type="page"/>
      </w: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  <w:r w:rsidRPr="00874D9E">
        <w:rPr>
          <w:rFonts w:asciiTheme="majorHAnsi" w:hAnsiTheme="majorHAnsi" w:cstheme="majorHAnsi"/>
          <w:b/>
          <w:szCs w:val="20"/>
          <w:lang w:val="en-US"/>
        </w:rPr>
        <w:lastRenderedPageBreak/>
        <w:t xml:space="preserve">Supplementary table </w:t>
      </w:r>
      <w:r w:rsidR="00AF1F3C">
        <w:rPr>
          <w:rFonts w:asciiTheme="majorHAnsi" w:hAnsiTheme="majorHAnsi" w:cstheme="majorHAnsi"/>
          <w:b/>
          <w:szCs w:val="20"/>
          <w:lang w:val="en-US"/>
        </w:rPr>
        <w:t>2</w:t>
      </w:r>
      <w:r w:rsidRPr="00874D9E">
        <w:rPr>
          <w:rFonts w:asciiTheme="majorHAnsi" w:hAnsiTheme="majorHAnsi" w:cstheme="majorHAnsi"/>
          <w:b/>
          <w:szCs w:val="20"/>
          <w:lang w:val="en-US"/>
        </w:rPr>
        <w:t xml:space="preserve">: </w:t>
      </w:r>
      <w:r w:rsidRPr="00874D9E">
        <w:rPr>
          <w:rFonts w:asciiTheme="majorHAnsi" w:hAnsiTheme="majorHAnsi" w:cstheme="majorHAnsi"/>
          <w:b/>
          <w:bCs/>
          <w:lang w:val="en-GB"/>
        </w:rPr>
        <w:t>Side effects with acetazolamide and placebo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4"/>
        <w:gridCol w:w="2190"/>
        <w:gridCol w:w="1556"/>
        <w:gridCol w:w="917"/>
      </w:tblGrid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szCs w:val="20"/>
                <w:lang w:val="en-GB"/>
              </w:rPr>
              <w:t>Side effect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szCs w:val="20"/>
                <w:lang w:val="en-GB"/>
              </w:rPr>
              <w:t>Acetazolamide, n=27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szCs w:val="20"/>
                <w:lang w:val="en-GB"/>
              </w:rPr>
              <w:t>Placebo, n=26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szCs w:val="20"/>
                <w:lang w:val="en-GB"/>
              </w:rPr>
              <w:t xml:space="preserve">p-value 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Change of taste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tabs>
                <w:tab w:val="center" w:pos="2271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6 (22%)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&lt;0.001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Paraesthesia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tabs>
                <w:tab w:val="left" w:pos="3295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10 (37%)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&lt;0.001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Gastrointestinal distress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 (15%)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0.008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Nausea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0.174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Headache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 (15%)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0.008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Dizziness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 (11%)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 (8%)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0.469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Chest pain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1.000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Dyspnoea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7 (26%)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&lt;0.001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Fatigue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 (15%)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&lt;0.001</w:t>
            </w:r>
          </w:p>
        </w:tc>
      </w:tr>
      <w:tr w:rsidR="0007185B" w:rsidRPr="00874D9E" w:rsidTr="000F32DC">
        <w:trPr>
          <w:trHeight w:val="20"/>
        </w:trPr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Respiratory tract infection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 (0%)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 (4%)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0.174</w:t>
            </w:r>
          </w:p>
        </w:tc>
      </w:tr>
      <w:tr w:rsidR="0007185B" w:rsidRPr="00F11073" w:rsidTr="000F32DC">
        <w:trPr>
          <w:trHeight w:val="20"/>
        </w:trPr>
        <w:tc>
          <w:tcPr>
            <w:tcW w:w="0" w:type="auto"/>
            <w:gridSpan w:val="4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Data </w:t>
            </w:r>
            <w:proofErr w:type="gramStart"/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are shown</w:t>
            </w:r>
            <w:proofErr w:type="gramEnd"/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as numbers (%) for acetazolamide and placebo respectfully. </w:t>
            </w:r>
          </w:p>
        </w:tc>
      </w:tr>
    </w:tbl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  <w:r w:rsidRPr="00874D9E">
        <w:rPr>
          <w:rFonts w:asciiTheme="majorHAnsi" w:hAnsiTheme="majorHAnsi" w:cstheme="majorHAnsi"/>
          <w:b/>
          <w:bCs/>
          <w:lang w:val="en-GB"/>
        </w:rPr>
        <w:br w:type="page"/>
      </w:r>
    </w:p>
    <w:p w:rsidR="0007185B" w:rsidRPr="00874D9E" w:rsidRDefault="0007185B" w:rsidP="0007185B">
      <w:pPr>
        <w:spacing w:after="160"/>
        <w:rPr>
          <w:rFonts w:asciiTheme="majorHAnsi" w:hAnsiTheme="majorHAnsi" w:cstheme="majorHAnsi"/>
          <w:b/>
          <w:bCs/>
          <w:lang w:val="en-GB"/>
        </w:rPr>
      </w:pPr>
      <w:r w:rsidRPr="00874D9E">
        <w:rPr>
          <w:rFonts w:asciiTheme="majorHAnsi" w:hAnsiTheme="majorHAnsi" w:cstheme="majorHAnsi"/>
          <w:b/>
          <w:szCs w:val="20"/>
          <w:lang w:val="en-US"/>
        </w:rPr>
        <w:lastRenderedPageBreak/>
        <w:t xml:space="preserve">Supplementary table </w:t>
      </w:r>
      <w:r w:rsidR="00AF1F3C">
        <w:rPr>
          <w:rFonts w:asciiTheme="majorHAnsi" w:hAnsiTheme="majorHAnsi" w:cstheme="majorHAnsi"/>
          <w:b/>
          <w:szCs w:val="20"/>
          <w:lang w:val="en-US"/>
        </w:rPr>
        <w:t>3</w:t>
      </w:r>
      <w:r w:rsidRPr="00874D9E">
        <w:rPr>
          <w:rFonts w:asciiTheme="majorHAnsi" w:hAnsiTheme="majorHAnsi" w:cstheme="majorHAnsi"/>
          <w:b/>
          <w:bCs/>
          <w:lang w:val="en-GB"/>
        </w:rPr>
        <w:t>: Echocardiography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1617"/>
        <w:gridCol w:w="1057"/>
        <w:gridCol w:w="2023"/>
        <w:gridCol w:w="842"/>
      </w:tblGrid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Characteristic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Acetazolamide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Placebo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Mean difference (95% CI)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p-value</w:t>
            </w:r>
          </w:p>
        </w:tc>
      </w:tr>
      <w:tr w:rsidR="0007185B" w:rsidRPr="00F11073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Right ventricular and atrial indices and function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fr-CH"/>
              </w:rPr>
            </w:pPr>
            <w:proofErr w:type="spellStart"/>
            <w:r w:rsidRPr="00874D9E">
              <w:rPr>
                <w:rFonts w:asciiTheme="majorHAnsi" w:hAnsiTheme="majorHAnsi" w:cstheme="majorHAnsi"/>
                <w:szCs w:val="20"/>
                <w:lang w:val="fr-CH"/>
              </w:rPr>
              <w:t>Tricuspid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  <w:lang w:val="fr-CH"/>
              </w:rPr>
              <w:t xml:space="preserve">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  <w:lang w:val="fr-CH"/>
              </w:rPr>
              <w:t>regurgitation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  <w:lang w:val="fr-CH"/>
              </w:rPr>
              <w:t xml:space="preserve"> pressure gradient,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  <w:lang w:val="fr-CH"/>
              </w:rPr>
              <w:t>mmHg</w:t>
            </w:r>
            <w:proofErr w:type="spellEnd"/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39 ± 16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41 ± 18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-0.3 (-4.5 to 4.0)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Tricuspid regurgitation velocity, m/sec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 ± 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-0.0 (-0.2 to 0.1)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0.770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Systolic pulmonary artery pressure, mmHg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43 ± 17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44 ± 18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 (-3.9 to 5.1)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0.800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Mean pulmonary artery pressure, mmHg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27 ± 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30 ± 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-2.8 (-6.2 to 0.6)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Stroke volume, ml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66 ± 20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66 ± 24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-1.3 (-7.7 to 5.1)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Stroke volume index, ml/m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34 ± 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34 ± 10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- 0.5 (-3.9 to 2.8)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0.740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Cardiac output, l/min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4.9 ± 1.1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4.9 ± 1.7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(-0.9 to 0.5)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Cardiac index, l/min/m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2.6 ± 0.6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2.4 ± 0.9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(-0.4 to 0.8)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0.590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arterial pressure, mmHg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3.4 ± 1.1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3.0 ± 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0.4 (-0.1 to 0.9)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0.120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atrial area,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17 ± 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18 ± 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(-1.9 to 2.3)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0.850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ventricle end-diastolic area A4C,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26 ± 8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24 ± 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1.9 (-0.6 to 4.4)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0.120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ventricle end-systolic area A4C,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17 ± 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16 ± 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-0.3 (-1.5 to 2.0)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0.760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ventricle fractional area change, %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36 ± 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34 ± 10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2.0 (-3.2 to 0.7)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0.430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Eccentricity Index end-diastolic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1.2 ± 0.3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1.2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 (-0.1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0.500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Eccentricity Index end-systolic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1.4 ± 0.5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1.3 ± 0.3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(-0.0 to 0.4)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0.090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ventricle anterior wall diameter,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0.5 ±0.1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 (-0.1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0.920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Right ventricle diameter end-diastolic,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3.5 ± 0.7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3.3 ± 0.9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0.4 (-0.0 to 0.8)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0.046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Tricuspid annular plane systolic excursion,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1.7 ± 0.4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2.3 ± 2.6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-0.5 (-1.7 to 0.6)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0.360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RV systolic excursion velocity s′, cm/s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12.1 ± 3.6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12.1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3.1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-0.4 (-1.7 to 1.0)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0.590</w:t>
            </w:r>
          </w:p>
        </w:tc>
      </w:tr>
      <w:tr w:rsidR="0007185B" w:rsidRPr="00F11073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szCs w:val="20"/>
                <w:lang w:val="en-GB"/>
              </w:rPr>
              <w:t>Left ventricle and left atrium indices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Left ventricle end-diastolic area A4C,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4.6 ± 0.7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4.4 ± 0.6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 (-0.3 to 0.4)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0.750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lastRenderedPageBreak/>
              <w:t xml:space="preserve">Septal wall thickness, cm 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-0.0 (-0.1 to 0.1)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0.750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LV end-diastolic dimension,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4.8 ± 0.6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4.8 ± 0.6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 (-0.2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0.640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LV end-diastolic posterior wall,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0.8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0.8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-0.0 (-0.2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0.930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LV end-systolic dimension,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3.2 ± 0.7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3.0</w:t>
            </w: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(-0.1 to 0.5)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Left ventricular outflow tract diameter, cm 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2.0 ± 0.2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2.0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 (-0.1 to 0.1)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0.740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Left atrium area A2C,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17 ± 6.6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16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4.8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 (-2.7 to 2.9)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0.930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Left atrium area A4C,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17 ± 6.6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16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7.0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1.1 (-0.9 to 3.1)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Left atrium length, cm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4.8 ± 0.9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4.8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-0.1 (-0.5 to 0.3)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Left atrial volume index, cm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/m</w:t>
            </w:r>
            <w:r w:rsidRPr="00874D9E">
              <w:rPr>
                <w:rFonts w:asciiTheme="majorHAnsi" w:hAnsiTheme="majorHAnsi" w:cstheme="majorHAnsi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24 ± 13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23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1.5 (-4.8 to 7.8)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0.620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Ejection Fraction biplane, %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64 ± 8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62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1.8 (-2.0 to 5.7)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0.340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Left ventricular outflow tract velocity time integral 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20 ± 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20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 (-0.5 to 2.0)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0.240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Mitral A wave, 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62 ± 20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66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21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-3.2 (-12.0 to 6.1)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0.480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Mitral E wave, 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59 ± 16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63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20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-3.9 (-11.0 to 3.4)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Mitral E/A ratio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1.1 ± 0.5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1.1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0.0 (-0.1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Lateral mitral annulus e′ wave, cm/s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13 ± 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13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 (-1.0 to 1.4)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0.760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Lateral mitral annulus a′ wave, cm/s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11 ± 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11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-0.2 (-1.5 to 1.1)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0.760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Septal mitral annulus e′ wave, cm/s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7.7 ± 2.1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8.3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1.9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- 0.5 (-1.4 to 0.5)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0.290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Septal mitral annulus a′ wave, cm/s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9.1 ± 2.0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8.7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2.5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 (-0.9 to 1.1)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Lateral E/e′ ratio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5.3 ± 2.6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5.9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2.7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- 0.7 (-1.6 to 0.2)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0.100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Septal E/e′ ratio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8.0 ± 2.2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7.8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2.4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0.1 (-0.8 to 0.9)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0.880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Lateral e′/a′ ratio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1.4 ± 0.6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1.5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0.9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- 0.1 (-0.5 to 0.3)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0.610</w:t>
            </w:r>
          </w:p>
        </w:tc>
      </w:tr>
      <w:tr w:rsidR="0007185B" w:rsidRPr="00874D9E" w:rsidTr="000F32DC"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Septal e′/a′ ratio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0.9 ± 0.3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1.1 </w:t>
            </w: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± 0.5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- 0.1 (-0.3 to 0.1)</w:t>
            </w:r>
          </w:p>
        </w:tc>
        <w:tc>
          <w:tcPr>
            <w:tcW w:w="0" w:type="auto"/>
          </w:tcPr>
          <w:p w:rsidR="0007185B" w:rsidRPr="00874D9E" w:rsidRDefault="0007185B" w:rsidP="000F3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0.330</w:t>
            </w:r>
          </w:p>
        </w:tc>
      </w:tr>
      <w:tr w:rsidR="0007185B" w:rsidRPr="00F11073" w:rsidTr="000F32DC">
        <w:tc>
          <w:tcPr>
            <w:tcW w:w="0" w:type="auto"/>
            <w:gridSpan w:val="5"/>
          </w:tcPr>
          <w:p w:rsidR="0007185B" w:rsidRPr="00874D9E" w:rsidRDefault="0007185B" w:rsidP="000F32DC">
            <w:pPr>
              <w:spacing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Data </w:t>
            </w:r>
            <w:proofErr w:type="gramStart"/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are shown</w:t>
            </w:r>
            <w:proofErr w:type="gramEnd"/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 as mean ± standard deviation or as mean difference (95% confidence interval). </w:t>
            </w:r>
          </w:p>
          <w:p w:rsidR="0007185B" w:rsidRPr="00874D9E" w:rsidRDefault="0007185B" w:rsidP="000F32DC">
            <w:pPr>
              <w:spacing w:line="259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A4C: apical </w:t>
            </w:r>
            <w:proofErr w:type="gramStart"/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>four chamber</w:t>
            </w:r>
            <w:proofErr w:type="gramEnd"/>
            <w:r w:rsidRPr="00874D9E">
              <w:rPr>
                <w:rFonts w:asciiTheme="majorHAnsi" w:hAnsiTheme="majorHAnsi" w:cstheme="majorHAnsi"/>
                <w:szCs w:val="20"/>
                <w:lang w:val="en-GB"/>
              </w:rPr>
              <w:t xml:space="preserve"> view, A2C: apical two chamber view, RV: right ventricle, LV: left ventricle.</w:t>
            </w:r>
          </w:p>
        </w:tc>
      </w:tr>
    </w:tbl>
    <w:p w:rsidR="0007185B" w:rsidRPr="00874D9E" w:rsidRDefault="0007185B" w:rsidP="003314E1">
      <w:pPr>
        <w:rPr>
          <w:rFonts w:asciiTheme="majorHAnsi" w:hAnsiTheme="majorHAnsi" w:cstheme="majorHAnsi"/>
          <w:b/>
          <w:szCs w:val="20"/>
          <w:lang w:val="en-US"/>
        </w:rPr>
      </w:pPr>
    </w:p>
    <w:p w:rsidR="0007185B" w:rsidRPr="00874D9E" w:rsidRDefault="0007185B">
      <w:pPr>
        <w:spacing w:after="160"/>
        <w:rPr>
          <w:rFonts w:asciiTheme="majorHAnsi" w:hAnsiTheme="majorHAnsi" w:cstheme="majorHAnsi"/>
          <w:b/>
          <w:szCs w:val="20"/>
          <w:lang w:val="en-US"/>
        </w:rPr>
        <w:sectPr w:rsidR="0007185B" w:rsidRPr="00874D9E" w:rsidSect="000718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74D9E">
        <w:rPr>
          <w:rFonts w:asciiTheme="majorHAnsi" w:hAnsiTheme="majorHAnsi" w:cstheme="majorHAnsi"/>
          <w:b/>
          <w:szCs w:val="20"/>
          <w:lang w:val="en-US"/>
        </w:rPr>
        <w:br w:type="page"/>
      </w:r>
    </w:p>
    <w:p w:rsidR="003314E1" w:rsidRPr="00874D9E" w:rsidRDefault="003314E1" w:rsidP="003314E1">
      <w:pPr>
        <w:rPr>
          <w:rFonts w:asciiTheme="majorHAnsi" w:hAnsiTheme="majorHAnsi" w:cstheme="majorHAnsi"/>
          <w:b/>
          <w:szCs w:val="20"/>
          <w:lang w:val="en-US"/>
        </w:rPr>
      </w:pPr>
      <w:r w:rsidRPr="00874D9E">
        <w:rPr>
          <w:rFonts w:asciiTheme="majorHAnsi" w:hAnsiTheme="majorHAnsi" w:cstheme="majorHAnsi"/>
          <w:b/>
          <w:szCs w:val="20"/>
          <w:lang w:val="en-US"/>
        </w:rPr>
        <w:lastRenderedPageBreak/>
        <w:t xml:space="preserve">Supplementary table </w:t>
      </w:r>
      <w:r w:rsidR="00AF1F3C">
        <w:rPr>
          <w:rFonts w:asciiTheme="majorHAnsi" w:hAnsiTheme="majorHAnsi" w:cstheme="majorHAnsi"/>
          <w:b/>
          <w:szCs w:val="20"/>
          <w:lang w:val="en-US"/>
        </w:rPr>
        <w:t>4</w:t>
      </w:r>
      <w:r w:rsidRPr="00874D9E">
        <w:rPr>
          <w:rFonts w:asciiTheme="majorHAnsi" w:hAnsiTheme="majorHAnsi" w:cstheme="majorHAnsi"/>
          <w:b/>
          <w:szCs w:val="20"/>
          <w:lang w:val="en-US"/>
        </w:rPr>
        <w:t>: Cognitive function tests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94"/>
        <w:gridCol w:w="1259"/>
        <w:gridCol w:w="1259"/>
        <w:gridCol w:w="1742"/>
        <w:gridCol w:w="862"/>
        <w:gridCol w:w="1155"/>
        <w:gridCol w:w="1155"/>
        <w:gridCol w:w="1701"/>
        <w:gridCol w:w="862"/>
        <w:gridCol w:w="1742"/>
        <w:gridCol w:w="717"/>
      </w:tblGrid>
      <w:tr w:rsidR="003314E1" w:rsidRPr="00874D9E" w:rsidTr="00350C8E"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0" w:type="auto"/>
            <w:gridSpan w:val="4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Acetazolamide</w:t>
            </w:r>
          </w:p>
        </w:tc>
        <w:tc>
          <w:tcPr>
            <w:tcW w:w="0" w:type="auto"/>
            <w:gridSpan w:val="4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Placebo</w:t>
            </w:r>
          </w:p>
        </w:tc>
        <w:tc>
          <w:tcPr>
            <w:tcW w:w="0" w:type="auto"/>
            <w:gridSpan w:val="2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Treatment effect</w:t>
            </w:r>
          </w:p>
        </w:tc>
      </w:tr>
      <w:tr w:rsidR="003314E1" w:rsidRPr="00874D9E" w:rsidTr="00350C8E"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Per protocol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Start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End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Mean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diff.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95%CI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szCs w:val="20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p-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value</w:t>
            </w:r>
            <w:proofErr w:type="spellEnd"/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Start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szCs w:val="20"/>
              </w:rPr>
              <w:t>End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Mean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</w:t>
            </w:r>
            <w:proofErr w:type="spellStart"/>
            <w:r w:rsidRPr="00874D9E">
              <w:rPr>
                <w:rFonts w:asciiTheme="majorHAnsi" w:hAnsiTheme="majorHAnsi" w:cstheme="majorHAnsi"/>
                <w:szCs w:val="20"/>
              </w:rPr>
              <w:t>diff.</w:t>
            </w:r>
            <w:proofErr w:type="spellEnd"/>
            <w:r w:rsidRPr="00874D9E">
              <w:rPr>
                <w:rFonts w:asciiTheme="majorHAnsi" w:hAnsiTheme="majorHAnsi" w:cstheme="majorHAnsi"/>
                <w:szCs w:val="20"/>
              </w:rPr>
              <w:t xml:space="preserve"> 95%CI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p-value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Mean diff. 95%CI</w:t>
            </w:r>
          </w:p>
        </w:tc>
        <w:tc>
          <w:tcPr>
            <w:tcW w:w="0" w:type="auto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  <w:proofErr w:type="spellStart"/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>Fig</w:t>
            </w:r>
            <w:proofErr w:type="spellEnd"/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 xml:space="preserve"> 5Pt, total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36.7 (3.0)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37.3 (3.0)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0.6 (-4.5 to 5.8)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0.806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39.2 (3.0)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42.0 (3.0)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2.8 (-2.2 to 7.8)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0.279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-2.1 (-9.3 to 5.1)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0.562</w:t>
            </w: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  <w:proofErr w:type="spellStart"/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>Fig</w:t>
            </w:r>
            <w:proofErr w:type="spellEnd"/>
            <w:r w:rsidRPr="00874D9E">
              <w:rPr>
                <w:rFonts w:asciiTheme="majorHAnsi" w:hAnsiTheme="majorHAnsi" w:cstheme="majorHAnsi"/>
                <w:color w:val="000000"/>
                <w:szCs w:val="20"/>
              </w:rPr>
              <w:t xml:space="preserve"> 5Pt, invalid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2.4 (0.6)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2.1 (0.6)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-0.3 (-1.6 to 1.0)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0.653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3.7 (0.6)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3.5 (0.6)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-0.3 (-1.6 to 1.0)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0.691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-0.1 (-1.9 to 1.8)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0.951</w:t>
            </w: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TMT A, time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35.1 (3.4)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36.8 (3.4)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1.7 (-3.4 o 6.7)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0.518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35.3 (3.4)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38.1 (3.4)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2.8 (-2.2 to 7.7)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0.273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-1.1 (8.2 to 5.9)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0.759</w:t>
            </w: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TMT A, errors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 (-0.1 to 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0.983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-0.0 (-0.2 to 0.1)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0.517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0.0 (-0.1 to 0.2)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0.638</w:t>
            </w: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TMT B, time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100.5 (13.9)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101.2 (13.9)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0.8 (-13.2 to 14.7)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0.916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95.9 (13.9)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87.7 (13.9)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-8.2 (-21.9 to 5.4)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0.238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9.0 (10.6 to -28.6)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0.367</w:t>
            </w:r>
          </w:p>
        </w:tc>
      </w:tr>
      <w:tr w:rsidR="003314E1" w:rsidRPr="00874D9E" w:rsidTr="00350C8E"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TMT B, errors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0.9 (0.2)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0.8 (0.2)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-0.0 (-0.6 to 0.5)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0.880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(0.2)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0.3 (0.2)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0.1 (-0.4 to 0.7)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0.580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-0.2 (-0.9 to 0.6)</w:t>
            </w:r>
          </w:p>
        </w:tc>
        <w:tc>
          <w:tcPr>
            <w:tcW w:w="0" w:type="auto"/>
            <w:vAlign w:val="center"/>
          </w:tcPr>
          <w:p w:rsidR="003314E1" w:rsidRPr="00874D9E" w:rsidRDefault="003314E1" w:rsidP="00350C8E">
            <w:pPr>
              <w:spacing w:after="160" w:line="259" w:lineRule="auto"/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0.620</w:t>
            </w:r>
          </w:p>
        </w:tc>
      </w:tr>
      <w:tr w:rsidR="003314E1" w:rsidRPr="00F11073" w:rsidTr="00350C8E">
        <w:tc>
          <w:tcPr>
            <w:tcW w:w="0" w:type="auto"/>
            <w:gridSpan w:val="11"/>
          </w:tcPr>
          <w:p w:rsidR="003314E1" w:rsidRPr="00874D9E" w:rsidRDefault="003314E1" w:rsidP="00350C8E">
            <w:pPr>
              <w:spacing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Data are presented as mean (Standard deviation) or mean difference with 95% Confidence interval. Significant p-values are shown in </w:t>
            </w:r>
            <w:r w:rsidRPr="00874D9E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bold</w:t>
            </w: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(p&lt;0.05).</w:t>
            </w:r>
          </w:p>
          <w:p w:rsidR="003314E1" w:rsidRPr="00874D9E" w:rsidRDefault="003314E1" w:rsidP="00350C8E">
            <w:pPr>
              <w:spacing w:line="259" w:lineRule="auto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74D9E">
              <w:rPr>
                <w:rFonts w:asciiTheme="majorHAnsi" w:hAnsiTheme="majorHAnsi" w:cstheme="majorHAnsi"/>
                <w:bCs/>
                <w:szCs w:val="20"/>
                <w:lang w:val="en-GB"/>
              </w:rPr>
              <w:t>Fig 5pt: Figure of 5, TMT A and B: Trail making test A and B</w:t>
            </w:r>
          </w:p>
        </w:tc>
      </w:tr>
    </w:tbl>
    <w:p w:rsidR="003314E1" w:rsidRPr="00874D9E" w:rsidRDefault="003314E1" w:rsidP="00673FCB">
      <w:pPr>
        <w:rPr>
          <w:rFonts w:asciiTheme="majorHAnsi" w:hAnsiTheme="majorHAnsi" w:cstheme="majorHAnsi"/>
          <w:szCs w:val="20"/>
          <w:lang w:val="en-US"/>
        </w:rPr>
      </w:pPr>
    </w:p>
    <w:sectPr w:rsidR="003314E1" w:rsidRPr="00874D9E" w:rsidSect="00071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796F"/>
    <w:multiLevelType w:val="hybridMultilevel"/>
    <w:tmpl w:val="FC5282AC"/>
    <w:lvl w:ilvl="0" w:tplc="659A53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Euro Heart J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ttradst02wdqev2vyvzr0zx5zewvv2dz09&quot;&gt;My EndNote Library_new2&lt;record-ids&gt;&lt;item&gt;230&lt;/item&gt;&lt;item&gt;255&lt;/item&gt;&lt;item&gt;292&lt;/item&gt;&lt;item&gt;293&lt;/item&gt;&lt;item&gt;899&lt;/item&gt;&lt;item&gt;1139&lt;/item&gt;&lt;item&gt;1143&lt;/item&gt;&lt;item&gt;1667&lt;/item&gt;&lt;/record-ids&gt;&lt;/item&gt;&lt;/Libraries&gt;"/>
  </w:docVars>
  <w:rsids>
    <w:rsidRoot w:val="003314E1"/>
    <w:rsid w:val="0007185B"/>
    <w:rsid w:val="000B57C2"/>
    <w:rsid w:val="003314E1"/>
    <w:rsid w:val="00673FCB"/>
    <w:rsid w:val="008553EB"/>
    <w:rsid w:val="00874D9E"/>
    <w:rsid w:val="00A3705E"/>
    <w:rsid w:val="00AF039B"/>
    <w:rsid w:val="00AF1F3C"/>
    <w:rsid w:val="00B266FE"/>
    <w:rsid w:val="00BA3177"/>
    <w:rsid w:val="00C03333"/>
    <w:rsid w:val="00C25E76"/>
    <w:rsid w:val="00E45B40"/>
    <w:rsid w:val="00E52CA8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6091F4-91D0-4F9E-AFD6-7B3B2C0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FCB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5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E7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E7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FC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FCB"/>
    <w:rPr>
      <w:rFonts w:asciiTheme="majorHAnsi" w:eastAsiaTheme="majorEastAsia" w:hAnsiTheme="majorHAnsi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25E76"/>
    <w:pPr>
      <w:numPr>
        <w:numId w:val="1"/>
      </w:numPr>
      <w:ind w:left="357" w:hanging="357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73FC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FC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table" w:styleId="Tabellenraster">
    <w:name w:val="Table Grid"/>
    <w:basedOn w:val="NormaleTabelle"/>
    <w:uiPriority w:val="39"/>
    <w:rsid w:val="0033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C03333"/>
    <w:rPr>
      <w:color w:val="0563C1" w:themeColor="hyperlink"/>
      <w:u w:val="single"/>
    </w:rPr>
  </w:style>
  <w:style w:type="paragraph" w:customStyle="1" w:styleId="Default">
    <w:name w:val="Default"/>
    <w:rsid w:val="00C03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rsid w:val="00874D9E"/>
    <w:pPr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874D9E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874D9E"/>
    <w:pPr>
      <w:spacing w:line="24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874D9E"/>
    <w:rPr>
      <w:rFonts w:ascii="Arial" w:hAnsi="Arial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2346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Saxer Stéphanie</dc:creator>
  <cp:keywords/>
  <dc:description/>
  <cp:lastModifiedBy>Saxer Stéphanie</cp:lastModifiedBy>
  <cp:revision>2</cp:revision>
  <dcterms:created xsi:type="dcterms:W3CDTF">2022-10-17T09:23:00Z</dcterms:created>
  <dcterms:modified xsi:type="dcterms:W3CDTF">2022-10-17T09:23:00Z</dcterms:modified>
</cp:coreProperties>
</file>