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263DA0" w14:textId="77777777" w:rsidR="001A3B1F" w:rsidRDefault="001A3B1F" w:rsidP="001A3B1F">
      <w:pPr>
        <w:autoSpaceDE w:val="0"/>
        <w:autoSpaceDN w:val="0"/>
        <w:adjustRightInd w:val="0"/>
        <w:spacing w:line="360" w:lineRule="auto"/>
        <w:ind w:left="-142" w:right="-574"/>
        <w:jc w:val="both"/>
        <w:rPr>
          <w:b/>
          <w:bCs/>
          <w:lang w:val="en-US" w:eastAsia="en-US"/>
        </w:rPr>
      </w:pPr>
      <w:r>
        <w:rPr>
          <w:b/>
          <w:bCs/>
          <w:lang w:val="en-US" w:eastAsia="en-US"/>
        </w:rPr>
        <w:t xml:space="preserve">Figure 1S. </w:t>
      </w:r>
      <w:r w:rsidRPr="00EA5756">
        <w:rPr>
          <w:lang w:val="en-US" w:eastAsia="en-US"/>
        </w:rPr>
        <w:t>BCP-ALL sample using the proposed panel. Screening tubes (A-E); mandatory tube 1 (F); mandatory tube 2 (G-H); mandatory tube 3 (I-J); mandatory tube 4 (L-M), mandatory tube 5 (K); optional tube 6</w:t>
      </w:r>
      <w:r>
        <w:rPr>
          <w:lang w:val="en-US" w:eastAsia="en-US"/>
        </w:rPr>
        <w:t>(</w:t>
      </w:r>
      <w:r w:rsidRPr="00EA5756">
        <w:rPr>
          <w:lang w:val="en-US" w:eastAsia="en-US"/>
        </w:rPr>
        <w:t>N-O)</w:t>
      </w:r>
      <w:r>
        <w:rPr>
          <w:lang w:val="en-US" w:eastAsia="en-US"/>
        </w:rPr>
        <w:t>, and</w:t>
      </w:r>
      <w:r w:rsidRPr="00EA5756">
        <w:rPr>
          <w:lang w:val="en-US" w:eastAsia="en-US"/>
        </w:rPr>
        <w:t>; optional tube 7(P). Legends: blast cells (red); mature b lymphocytes (dark green)</w:t>
      </w:r>
      <w:r>
        <w:rPr>
          <w:lang w:val="en-US" w:eastAsia="en-US"/>
        </w:rPr>
        <w:t xml:space="preserve">, </w:t>
      </w:r>
      <w:proofErr w:type="gramStart"/>
      <w:r>
        <w:rPr>
          <w:lang w:val="en-US" w:eastAsia="en-US"/>
        </w:rPr>
        <w:t>and</w:t>
      </w:r>
      <w:r w:rsidRPr="00EA5756">
        <w:rPr>
          <w:lang w:val="en-US" w:eastAsia="en-US"/>
        </w:rPr>
        <w:t>;</w:t>
      </w:r>
      <w:proofErr w:type="gramEnd"/>
      <w:r w:rsidRPr="00EA5756">
        <w:rPr>
          <w:lang w:val="en-US" w:eastAsia="en-US"/>
        </w:rPr>
        <w:t xml:space="preserve"> events from other cell lineages (gray)</w:t>
      </w:r>
      <w:r>
        <w:rPr>
          <w:b/>
          <w:bCs/>
          <w:lang w:val="en-US" w:eastAsia="en-US"/>
        </w:rPr>
        <w:t>.</w:t>
      </w:r>
    </w:p>
    <w:p w14:paraId="584B7CF8" w14:textId="44617AD7" w:rsidR="00013A03" w:rsidRDefault="001A3B1F">
      <w:pPr>
        <w:rPr>
          <w:lang w:val="en-US"/>
        </w:rPr>
      </w:pPr>
      <w:r>
        <w:rPr>
          <w:noProof/>
        </w:rPr>
        <w:drawing>
          <wp:inline distT="0" distB="0" distL="0" distR="0" wp14:anchorId="153E667E" wp14:editId="5223D9A5">
            <wp:extent cx="8534400" cy="4362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16" b="20679"/>
                    <a:stretch/>
                  </pic:blipFill>
                  <pic:spPr bwMode="auto">
                    <a:xfrm>
                      <a:off x="0" y="0"/>
                      <a:ext cx="85344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25329" w14:textId="562D298E" w:rsidR="001A3B1F" w:rsidRDefault="001A3B1F">
      <w:pPr>
        <w:rPr>
          <w:lang w:val="en-US"/>
        </w:rPr>
      </w:pPr>
    </w:p>
    <w:p w14:paraId="1DA00860" w14:textId="1F6E11E9" w:rsidR="001A3B1F" w:rsidRDefault="001A3B1F">
      <w:pPr>
        <w:rPr>
          <w:lang w:val="en-US"/>
        </w:rPr>
      </w:pPr>
    </w:p>
    <w:p w14:paraId="5CB1D29D" w14:textId="2CE9A901" w:rsidR="001A3B1F" w:rsidRDefault="001A3B1F">
      <w:pPr>
        <w:rPr>
          <w:lang w:val="en-US"/>
        </w:rPr>
      </w:pPr>
    </w:p>
    <w:p w14:paraId="1B054848" w14:textId="34B2BF7C" w:rsidR="001A3B1F" w:rsidRDefault="001A3B1F">
      <w:pPr>
        <w:rPr>
          <w:lang w:val="en-US"/>
        </w:rPr>
      </w:pPr>
    </w:p>
    <w:p w14:paraId="4868BCE8" w14:textId="7523E758" w:rsidR="001A3B1F" w:rsidRDefault="001A3B1F">
      <w:pPr>
        <w:rPr>
          <w:lang w:val="en-US"/>
        </w:rPr>
      </w:pPr>
    </w:p>
    <w:p w14:paraId="7D6F1DB7" w14:textId="2AD3F456" w:rsidR="001A3B1F" w:rsidRDefault="001A3B1F">
      <w:pPr>
        <w:rPr>
          <w:lang w:val="en-US"/>
        </w:rPr>
      </w:pPr>
    </w:p>
    <w:p w14:paraId="20514EA7" w14:textId="6A43141D" w:rsidR="001A3B1F" w:rsidRDefault="001A3B1F">
      <w:pPr>
        <w:rPr>
          <w:lang w:val="en-US"/>
        </w:rPr>
      </w:pPr>
    </w:p>
    <w:p w14:paraId="2A678643" w14:textId="60967721" w:rsidR="001A3B1F" w:rsidRDefault="001A3B1F">
      <w:pPr>
        <w:rPr>
          <w:lang w:val="en-US"/>
        </w:rPr>
      </w:pPr>
    </w:p>
    <w:p w14:paraId="6402740B" w14:textId="77777777" w:rsidR="001A3B1F" w:rsidRDefault="001A3B1F" w:rsidP="001A3B1F">
      <w:pPr>
        <w:autoSpaceDE w:val="0"/>
        <w:autoSpaceDN w:val="0"/>
        <w:adjustRightInd w:val="0"/>
        <w:spacing w:line="360" w:lineRule="auto"/>
        <w:ind w:left="-142" w:right="-574"/>
        <w:jc w:val="both"/>
        <w:rPr>
          <w:lang w:val="en-US" w:eastAsia="en-US"/>
        </w:rPr>
      </w:pPr>
      <w:r w:rsidRPr="00EA5756">
        <w:rPr>
          <w:b/>
          <w:bCs/>
          <w:lang w:val="en-US" w:eastAsia="en-US"/>
        </w:rPr>
        <w:lastRenderedPageBreak/>
        <w:t>Figure 2</w:t>
      </w:r>
      <w:r>
        <w:rPr>
          <w:b/>
          <w:bCs/>
          <w:lang w:val="en-US" w:eastAsia="en-US"/>
        </w:rPr>
        <w:t>S.</w:t>
      </w:r>
      <w:r w:rsidRPr="00EA5756">
        <w:rPr>
          <w:lang w:val="en-US" w:eastAsia="en-US"/>
        </w:rPr>
        <w:t xml:space="preserve"> T-ALL sample using the proposed panel. Screening tubes (A-D); mandatory tube 1 (E-F); mandatory tube 2 (G-H); mandatory tube 3 (I-J); mandatory tube 4 (K), mandatory tube 5 (L); recommended tube 6(M); recommended tube 7(N)</w:t>
      </w:r>
      <w:r>
        <w:rPr>
          <w:lang w:val="en-US" w:eastAsia="en-US"/>
        </w:rPr>
        <w:t>, and</w:t>
      </w:r>
      <w:r w:rsidRPr="00EA5756">
        <w:rPr>
          <w:lang w:val="en-US" w:eastAsia="en-US"/>
        </w:rPr>
        <w:t>; recommended tube 8(O).</w:t>
      </w:r>
      <w:r>
        <w:rPr>
          <w:lang w:val="en-US" w:eastAsia="en-US"/>
        </w:rPr>
        <w:t xml:space="preserve"> </w:t>
      </w:r>
      <w:r w:rsidRPr="00EA5756">
        <w:rPr>
          <w:lang w:val="en-US" w:eastAsia="en-US"/>
        </w:rPr>
        <w:t>Legends: blast cells (red); mature T lymphocytes (light green); NK cells (dark blue)</w:t>
      </w:r>
      <w:r>
        <w:rPr>
          <w:lang w:val="en-US" w:eastAsia="en-US"/>
        </w:rPr>
        <w:t xml:space="preserve">, </w:t>
      </w:r>
      <w:proofErr w:type="gramStart"/>
      <w:r>
        <w:rPr>
          <w:lang w:val="en-US" w:eastAsia="en-US"/>
        </w:rPr>
        <w:t>and</w:t>
      </w:r>
      <w:r w:rsidRPr="00EA5756">
        <w:rPr>
          <w:lang w:val="en-US" w:eastAsia="en-US"/>
        </w:rPr>
        <w:t>;</w:t>
      </w:r>
      <w:proofErr w:type="gramEnd"/>
      <w:r w:rsidRPr="00EA5756">
        <w:rPr>
          <w:lang w:val="en-US" w:eastAsia="en-US"/>
        </w:rPr>
        <w:t xml:space="preserve"> events from other cell lineages (gray)</w:t>
      </w:r>
      <w:r>
        <w:rPr>
          <w:lang w:val="en-US" w:eastAsia="en-US"/>
        </w:rPr>
        <w:t>.</w:t>
      </w:r>
    </w:p>
    <w:p w14:paraId="07650F13" w14:textId="5FAB4987" w:rsidR="001A3B1F" w:rsidRDefault="001A3B1F">
      <w:pPr>
        <w:rPr>
          <w:lang w:val="en-US"/>
        </w:rPr>
      </w:pPr>
      <w:r>
        <w:rPr>
          <w:noProof/>
        </w:rPr>
        <w:drawing>
          <wp:inline distT="0" distB="0" distL="0" distR="0" wp14:anchorId="594B83F0" wp14:editId="4E88582B">
            <wp:extent cx="8620125" cy="4410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40" b="19813"/>
                    <a:stretch/>
                  </pic:blipFill>
                  <pic:spPr bwMode="auto">
                    <a:xfrm>
                      <a:off x="0" y="0"/>
                      <a:ext cx="86201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0AD10" w14:textId="6D061C89" w:rsidR="001A3B1F" w:rsidRDefault="001A3B1F">
      <w:pPr>
        <w:rPr>
          <w:lang w:val="en-US"/>
        </w:rPr>
      </w:pPr>
    </w:p>
    <w:p w14:paraId="1E81B52C" w14:textId="71102722" w:rsidR="001A3B1F" w:rsidRDefault="001A3B1F">
      <w:pPr>
        <w:rPr>
          <w:lang w:val="en-US"/>
        </w:rPr>
      </w:pPr>
    </w:p>
    <w:p w14:paraId="13BA2E81" w14:textId="6896B4BF" w:rsidR="001A3B1F" w:rsidRDefault="001A3B1F">
      <w:pPr>
        <w:rPr>
          <w:lang w:val="en-US"/>
        </w:rPr>
      </w:pPr>
    </w:p>
    <w:p w14:paraId="78A0F1D4" w14:textId="516A482D" w:rsidR="001A3B1F" w:rsidRDefault="001A3B1F">
      <w:pPr>
        <w:rPr>
          <w:lang w:val="en-US"/>
        </w:rPr>
      </w:pPr>
    </w:p>
    <w:p w14:paraId="755FD16B" w14:textId="77F1E55C" w:rsidR="001A3B1F" w:rsidRDefault="001A3B1F">
      <w:pPr>
        <w:rPr>
          <w:lang w:val="en-US"/>
        </w:rPr>
      </w:pPr>
    </w:p>
    <w:p w14:paraId="15F9056B" w14:textId="0D518B41" w:rsidR="001A3B1F" w:rsidRDefault="001A3B1F">
      <w:pPr>
        <w:rPr>
          <w:lang w:val="en-US"/>
        </w:rPr>
      </w:pPr>
    </w:p>
    <w:p w14:paraId="0C57E4A1" w14:textId="22EAA7D1" w:rsidR="001A3B1F" w:rsidRDefault="001A3B1F">
      <w:pPr>
        <w:rPr>
          <w:lang w:val="en-US"/>
        </w:rPr>
      </w:pPr>
    </w:p>
    <w:p w14:paraId="1F34C0AA" w14:textId="45CFF507" w:rsidR="001A3B1F" w:rsidRDefault="001A3B1F">
      <w:pPr>
        <w:rPr>
          <w:lang w:val="en-US"/>
        </w:rPr>
      </w:pPr>
    </w:p>
    <w:p w14:paraId="540852DC" w14:textId="6992F221" w:rsidR="001A3B1F" w:rsidRDefault="001A3B1F">
      <w:pPr>
        <w:rPr>
          <w:lang w:val="en-US" w:eastAsia="en-US"/>
        </w:rPr>
      </w:pPr>
      <w:r w:rsidRPr="004E4F6D">
        <w:rPr>
          <w:b/>
          <w:bCs/>
          <w:lang w:val="en-US" w:eastAsia="en-US"/>
        </w:rPr>
        <w:lastRenderedPageBreak/>
        <w:t>Figure 3</w:t>
      </w:r>
      <w:r>
        <w:rPr>
          <w:b/>
          <w:bCs/>
          <w:lang w:val="en-US" w:eastAsia="en-US"/>
        </w:rPr>
        <w:t>S.</w:t>
      </w:r>
      <w:r w:rsidRPr="004E4F6D">
        <w:rPr>
          <w:lang w:val="en-US" w:eastAsia="en-US"/>
        </w:rPr>
        <w:t xml:space="preserve"> AML sample using the proposed panel, including tubes </w:t>
      </w:r>
      <w:r>
        <w:rPr>
          <w:lang w:val="en-US" w:eastAsia="en-US"/>
        </w:rPr>
        <w:t>for</w:t>
      </w:r>
      <w:r w:rsidRPr="004E4F6D">
        <w:rPr>
          <w:lang w:val="en-US" w:eastAsia="en-US"/>
        </w:rPr>
        <w:t>: screening (A-E); stem cell markers (F-H); granulo</w:t>
      </w:r>
      <w:r>
        <w:rPr>
          <w:lang w:val="en-US" w:eastAsia="en-US"/>
        </w:rPr>
        <w:t>ma</w:t>
      </w:r>
      <w:r w:rsidRPr="004E4F6D">
        <w:rPr>
          <w:lang w:val="en-US" w:eastAsia="en-US"/>
        </w:rPr>
        <w:t xml:space="preserve"> and monocyte differentiations (I-L); erythroid differentiation (M-N); plasmacytoid dendritic cells and basophil lineages (O-P); megakaryocytic lineage</w:t>
      </w:r>
      <w:r>
        <w:rPr>
          <w:lang w:val="en-US" w:eastAsia="en-US"/>
        </w:rPr>
        <w:t xml:space="preserve"> </w:t>
      </w:r>
      <w:r w:rsidRPr="004E4F6D">
        <w:rPr>
          <w:lang w:val="en-US" w:eastAsia="en-US"/>
        </w:rPr>
        <w:t>(Q-R)</w:t>
      </w:r>
      <w:r>
        <w:rPr>
          <w:lang w:val="en-US" w:eastAsia="en-US"/>
        </w:rPr>
        <w:t>, and</w:t>
      </w:r>
      <w:r w:rsidRPr="004E4F6D">
        <w:rPr>
          <w:lang w:val="en-US" w:eastAsia="en-US"/>
        </w:rPr>
        <w:t>; cross lineage markers (D,</w:t>
      </w:r>
      <w:r>
        <w:rPr>
          <w:lang w:val="en-US" w:eastAsia="en-US"/>
        </w:rPr>
        <w:t xml:space="preserve"> </w:t>
      </w:r>
      <w:r w:rsidRPr="004E4F6D">
        <w:rPr>
          <w:lang w:val="en-US" w:eastAsia="en-US"/>
        </w:rPr>
        <w:t>F,</w:t>
      </w:r>
      <w:r>
        <w:rPr>
          <w:lang w:val="en-US" w:eastAsia="en-US"/>
        </w:rPr>
        <w:t xml:space="preserve"> </w:t>
      </w:r>
      <w:r w:rsidRPr="004E4F6D">
        <w:rPr>
          <w:lang w:val="en-US" w:eastAsia="en-US"/>
        </w:rPr>
        <w:t>R-T).</w:t>
      </w:r>
      <w:r>
        <w:rPr>
          <w:lang w:val="en-US" w:eastAsia="en-US"/>
        </w:rPr>
        <w:t xml:space="preserve"> </w:t>
      </w:r>
      <w:r w:rsidRPr="004E4F6D">
        <w:rPr>
          <w:lang w:val="en-US" w:eastAsia="en-US"/>
        </w:rPr>
        <w:t>Legends: blast cells (red); mature B lymphocytes (dark green); mature T lymphocytes (light green); NK cells (purple); granulocytes (yellowish green); monocytes (orange); erythroblasts (dark blue); basophils (pink); plasmacytoid dendritic cells (light blue)</w:t>
      </w:r>
      <w:r>
        <w:rPr>
          <w:lang w:val="en-US" w:eastAsia="en-US"/>
        </w:rPr>
        <w:t>, and</w:t>
      </w:r>
      <w:r w:rsidRPr="004E4F6D">
        <w:rPr>
          <w:lang w:val="en-US" w:eastAsia="en-US"/>
        </w:rPr>
        <w:t>; events from other cell lineages</w:t>
      </w:r>
      <w:r>
        <w:rPr>
          <w:lang w:val="en-US" w:eastAsia="en-US"/>
        </w:rPr>
        <w:t xml:space="preserve"> (gray)</w:t>
      </w:r>
      <w:r w:rsidRPr="004E4F6D">
        <w:rPr>
          <w:lang w:val="en-US" w:eastAsia="en-US"/>
        </w:rPr>
        <w:t>.</w:t>
      </w:r>
    </w:p>
    <w:p w14:paraId="455FDC7E" w14:textId="0BF42282" w:rsidR="001A3B1F" w:rsidRPr="001A3B1F" w:rsidRDefault="001A3B1F">
      <w:pPr>
        <w:rPr>
          <w:lang w:val="en-US"/>
        </w:rPr>
      </w:pPr>
      <w:r>
        <w:rPr>
          <w:noProof/>
        </w:rPr>
        <w:drawing>
          <wp:inline distT="0" distB="0" distL="0" distR="0" wp14:anchorId="6AA7115E" wp14:editId="17D09451">
            <wp:extent cx="8181975" cy="57950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881" b="15483"/>
                    <a:stretch/>
                  </pic:blipFill>
                  <pic:spPr bwMode="auto">
                    <a:xfrm>
                      <a:off x="0" y="0"/>
                      <a:ext cx="8182061" cy="579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3B1F" w:rsidRPr="001A3B1F" w:rsidSect="001A3B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3A8F04" w14:textId="77777777" w:rsidR="001A3B1F" w:rsidRDefault="001A3B1F" w:rsidP="001A3B1F">
      <w:r>
        <w:separator/>
      </w:r>
    </w:p>
  </w:endnote>
  <w:endnote w:type="continuationSeparator" w:id="0">
    <w:p w14:paraId="4742E41E" w14:textId="77777777" w:rsidR="001A3B1F" w:rsidRDefault="001A3B1F" w:rsidP="001A3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040037" w14:textId="77777777" w:rsidR="001A3B1F" w:rsidRDefault="001A3B1F" w:rsidP="001A3B1F">
      <w:r>
        <w:separator/>
      </w:r>
    </w:p>
  </w:footnote>
  <w:footnote w:type="continuationSeparator" w:id="0">
    <w:p w14:paraId="6A0F31B0" w14:textId="77777777" w:rsidR="001A3B1F" w:rsidRDefault="001A3B1F" w:rsidP="001A3B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B1F"/>
    <w:rsid w:val="00013A03"/>
    <w:rsid w:val="001A3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6777F3"/>
  <w15:chartTrackingRefBased/>
  <w15:docId w15:val="{7ACD021F-4A8C-4DE6-BD17-D7013204A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B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216</Words>
  <Characters>1168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Ramos Ribeiro, Ana (ELS-BCL)</dc:creator>
  <cp:keywords/>
  <dc:description/>
  <cp:lastModifiedBy>Ramos Ribeiro, Ana (ELS-BCL)</cp:lastModifiedBy>
  <cp:revision>1</cp:revision>
  <dcterms:created xsi:type="dcterms:W3CDTF">2021-04-30T08:27:00Z</dcterms:created>
  <dcterms:modified xsi:type="dcterms:W3CDTF">2021-04-30T08:31:00Z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2021-04-30T08:27:59Z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e9902ca9-17b7-4928-ad07-079494a54c55</vt:lpwstr>
  </property>
  <property fmtid="{D5CDD505-2E9C-101B-9397-08002B2CF9AE}" pid="8" name="MSIP_Label_549ac42a-3eb4-4074-b885-aea26bd6241e_ContentBits">
    <vt:lpwstr>0</vt:lpwstr>
  </property>
</Properties>
</file>