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E8" w:rsidRPr="00FB233F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Cs w:val="24"/>
        </w:rPr>
        <w:t xml:space="preserve">A. </w:t>
      </w:r>
      <w:r>
        <w:rPr>
          <w:b/>
          <w:bCs/>
          <w:sz w:val="24"/>
          <w:szCs w:val="24"/>
        </w:rPr>
        <w:t>APÉNDICE</w:t>
      </w:r>
      <w:r w:rsidRPr="00FB233F">
        <w:rPr>
          <w:b/>
          <w:bCs/>
          <w:sz w:val="24"/>
          <w:szCs w:val="24"/>
        </w:rPr>
        <w:t xml:space="preserve"> 1: CRITERIOS PARA ACTIVAR EL CÓDIGO SEPSIS</w:t>
      </w:r>
    </w:p>
    <w:p w:rsidR="00DA57E8" w:rsidRDefault="00DA57E8" w:rsidP="00DA57E8">
      <w:pPr>
        <w:spacing w:after="140" w:line="312" w:lineRule="auto"/>
        <w:jc w:val="both"/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4322"/>
        <w:gridCol w:w="4322"/>
      </w:tblGrid>
      <w:tr w:rsidR="00DA57E8" w:rsidRPr="0041697D" w:rsidTr="00C03707">
        <w:trPr>
          <w:trHeight w:val="406"/>
        </w:trPr>
        <w:tc>
          <w:tcPr>
            <w:tcW w:w="4322" w:type="dxa"/>
            <w:tcBorders>
              <w:bottom w:val="single" w:sz="18" w:space="0" w:color="4BACC6"/>
            </w:tcBorders>
            <w:shd w:val="clear" w:color="auto" w:fill="B6DDE8"/>
            <w:vAlign w:val="center"/>
          </w:tcPr>
          <w:p w:rsidR="00DA57E8" w:rsidRPr="0041697D" w:rsidRDefault="00DA57E8" w:rsidP="00C03707">
            <w:pPr>
              <w:spacing w:after="140" w:line="312" w:lineRule="auto"/>
              <w:jc w:val="center"/>
              <w:rPr>
                <w:b/>
                <w:bCs/>
              </w:rPr>
            </w:pPr>
            <w:r w:rsidRPr="0041697D">
              <w:rPr>
                <w:b/>
                <w:bCs/>
              </w:rPr>
              <w:t>CRITERIOS SIRS</w:t>
            </w:r>
          </w:p>
        </w:tc>
        <w:tc>
          <w:tcPr>
            <w:tcW w:w="4322" w:type="dxa"/>
            <w:tcBorders>
              <w:bottom w:val="single" w:sz="18" w:space="0" w:color="4BACC6"/>
            </w:tcBorders>
            <w:shd w:val="clear" w:color="auto" w:fill="B6DDE8"/>
            <w:vAlign w:val="center"/>
          </w:tcPr>
          <w:p w:rsidR="00DA57E8" w:rsidRPr="0041697D" w:rsidRDefault="00DA57E8" w:rsidP="00C03707">
            <w:pPr>
              <w:spacing w:after="140" w:line="312" w:lineRule="auto"/>
              <w:jc w:val="center"/>
              <w:rPr>
                <w:b/>
                <w:bCs/>
              </w:rPr>
            </w:pPr>
            <w:r w:rsidRPr="0041697D">
              <w:rPr>
                <w:b/>
                <w:bCs/>
              </w:rPr>
              <w:t xml:space="preserve">CRITERIOS </w:t>
            </w:r>
            <w:proofErr w:type="spellStart"/>
            <w:r w:rsidRPr="0041697D">
              <w:rPr>
                <w:b/>
                <w:bCs/>
              </w:rPr>
              <w:t>Qsofa</w:t>
            </w:r>
            <w:proofErr w:type="spellEnd"/>
          </w:p>
        </w:tc>
      </w:tr>
      <w:tr w:rsidR="00DA57E8" w:rsidRPr="0041697D" w:rsidTr="00C03707">
        <w:tc>
          <w:tcPr>
            <w:tcW w:w="4322" w:type="dxa"/>
            <w:tcBorders>
              <w:top w:val="single" w:sz="18" w:space="0" w:color="4BACC6"/>
            </w:tcBorders>
          </w:tcPr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b/>
                <w:bCs/>
              </w:rPr>
            </w:pPr>
            <w:r w:rsidRPr="0041697D">
              <w:t>Temperatura &gt;38ºC o &lt; 36ºC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b/>
                <w:bCs/>
              </w:rPr>
            </w:pPr>
            <w:r w:rsidRPr="0041697D">
              <w:t>Frecuencia cardiaca &gt;90/min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b/>
                <w:bCs/>
              </w:rPr>
            </w:pPr>
            <w:r w:rsidRPr="0041697D">
              <w:t>Frecuencia respiratoria &gt;20/min o PaCO</w:t>
            </w:r>
            <w:r w:rsidRPr="0041697D">
              <w:rPr>
                <w:vertAlign w:val="subscript"/>
              </w:rPr>
              <w:t>2</w:t>
            </w:r>
            <w:r w:rsidRPr="0041697D">
              <w:t xml:space="preserve"> &lt; 32 </w:t>
            </w:r>
            <w:proofErr w:type="spellStart"/>
            <w:r w:rsidRPr="0041697D">
              <w:t>mmHg</w:t>
            </w:r>
            <w:proofErr w:type="spellEnd"/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>Leucocitos &gt;12.000/mm</w:t>
            </w:r>
            <w:r w:rsidRPr="0041697D">
              <w:rPr>
                <w:vertAlign w:val="superscript"/>
              </w:rPr>
              <w:t>3</w:t>
            </w:r>
            <w:r w:rsidRPr="0041697D">
              <w:t xml:space="preserve"> o &lt;4.000/mm</w:t>
            </w:r>
            <w:r w:rsidRPr="0041697D">
              <w:rPr>
                <w:vertAlign w:val="superscript"/>
              </w:rPr>
              <w:t>3</w:t>
            </w:r>
            <w:r w:rsidRPr="0041697D">
              <w:t xml:space="preserve"> o &gt; 10% de formas inmaduras</w:t>
            </w:r>
          </w:p>
        </w:tc>
        <w:tc>
          <w:tcPr>
            <w:tcW w:w="4322" w:type="dxa"/>
            <w:tcBorders>
              <w:top w:val="single" w:sz="18" w:space="0" w:color="4BACC6"/>
            </w:tcBorders>
          </w:tcPr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140" w:line="312" w:lineRule="auto"/>
              <w:ind w:left="356" w:hanging="283"/>
              <w:jc w:val="both"/>
            </w:pPr>
            <w:r w:rsidRPr="0041697D">
              <w:t>Frecuencia respiratoria &gt;22/min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140" w:line="312" w:lineRule="auto"/>
              <w:ind w:left="356" w:hanging="283"/>
              <w:jc w:val="both"/>
            </w:pPr>
            <w:r w:rsidRPr="0041697D">
              <w:t>Alteración del nivel de conciencia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140" w:line="312" w:lineRule="auto"/>
              <w:ind w:left="356" w:hanging="283"/>
              <w:jc w:val="both"/>
            </w:pPr>
            <w:r w:rsidRPr="0041697D">
              <w:t xml:space="preserve">TAS ≤ 100 </w:t>
            </w:r>
            <w:proofErr w:type="spellStart"/>
            <w:r w:rsidRPr="0041697D">
              <w:t>mmHg</w:t>
            </w:r>
            <w:proofErr w:type="spellEnd"/>
          </w:p>
        </w:tc>
      </w:tr>
    </w:tbl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4322"/>
        <w:gridCol w:w="4322"/>
      </w:tblGrid>
      <w:tr w:rsidR="00DA57E8" w:rsidRPr="0041697D" w:rsidTr="00C03707">
        <w:trPr>
          <w:trHeight w:val="406"/>
        </w:trPr>
        <w:tc>
          <w:tcPr>
            <w:tcW w:w="4322" w:type="dxa"/>
            <w:tcBorders>
              <w:bottom w:val="single" w:sz="18" w:space="0" w:color="4BACC6"/>
            </w:tcBorders>
            <w:shd w:val="clear" w:color="auto" w:fill="B6DDE8"/>
            <w:vAlign w:val="center"/>
          </w:tcPr>
          <w:p w:rsidR="00DA57E8" w:rsidRPr="0041697D" w:rsidRDefault="00DA57E8" w:rsidP="00C03707">
            <w:pPr>
              <w:spacing w:after="140"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CRITERIOS MAYORES</w:t>
            </w:r>
          </w:p>
        </w:tc>
        <w:tc>
          <w:tcPr>
            <w:tcW w:w="4322" w:type="dxa"/>
            <w:tcBorders>
              <w:bottom w:val="single" w:sz="18" w:space="0" w:color="4BACC6"/>
            </w:tcBorders>
            <w:shd w:val="clear" w:color="auto" w:fill="B6DDE8"/>
            <w:vAlign w:val="center"/>
          </w:tcPr>
          <w:p w:rsidR="00DA57E8" w:rsidRPr="0041697D" w:rsidRDefault="00DA57E8" w:rsidP="00C03707">
            <w:pPr>
              <w:spacing w:after="140"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CRITERIOS MENORES</w:t>
            </w:r>
          </w:p>
        </w:tc>
      </w:tr>
      <w:tr w:rsidR="00DA57E8" w:rsidRPr="0041697D" w:rsidTr="00C03707">
        <w:tc>
          <w:tcPr>
            <w:tcW w:w="4322" w:type="dxa"/>
            <w:tcBorders>
              <w:top w:val="single" w:sz="18" w:space="0" w:color="4BACC6"/>
            </w:tcBorders>
          </w:tcPr>
          <w:p w:rsidR="00DA57E8" w:rsidRPr="001C5335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>
              <w:t>Hipotensión</w:t>
            </w:r>
          </w:p>
          <w:p w:rsidR="00DA57E8" w:rsidRPr="001C5335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>
              <w:t xml:space="preserve">PAS &lt; 90 </w:t>
            </w:r>
            <w:proofErr w:type="spellStart"/>
            <w:r>
              <w:t>mmHg</w:t>
            </w:r>
            <w:proofErr w:type="spellEnd"/>
            <w:r>
              <w:t xml:space="preserve"> o PAM &lt; 65 </w:t>
            </w:r>
            <w:proofErr w:type="spellStart"/>
            <w:r>
              <w:t>mmHg</w:t>
            </w:r>
            <w:proofErr w:type="spellEnd"/>
          </w:p>
          <w:p w:rsidR="00DA57E8" w:rsidRPr="001C5335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proofErr w:type="spellStart"/>
            <w:r>
              <w:t>Desaturación</w:t>
            </w:r>
            <w:proofErr w:type="spellEnd"/>
            <w:r>
              <w:t xml:space="preserve"> (SatO2&lt;90%)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426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>
              <w:t>Alteración del nivel de conciencia</w:t>
            </w:r>
          </w:p>
        </w:tc>
        <w:tc>
          <w:tcPr>
            <w:tcW w:w="4322" w:type="dxa"/>
            <w:tcBorders>
              <w:top w:val="single" w:sz="18" w:space="0" w:color="4BACC6"/>
            </w:tcBorders>
          </w:tcPr>
          <w:p w:rsidR="00DA57E8" w:rsidRDefault="00DA57E8" w:rsidP="00C03707">
            <w:pPr>
              <w:pStyle w:val="Prrafodelista"/>
              <w:numPr>
                <w:ilvl w:val="0"/>
                <w:numId w:val="1"/>
              </w:numPr>
              <w:spacing w:after="140" w:line="312" w:lineRule="auto"/>
              <w:ind w:left="356" w:hanging="283"/>
              <w:jc w:val="both"/>
            </w:pPr>
            <w:r>
              <w:t>Fiebre &gt; 38ºC o hipotermia &lt; 36ºC</w:t>
            </w:r>
          </w:p>
          <w:p w:rsidR="00DA57E8" w:rsidRDefault="00DA57E8" w:rsidP="00C03707">
            <w:pPr>
              <w:pStyle w:val="Prrafodelista"/>
              <w:numPr>
                <w:ilvl w:val="0"/>
                <w:numId w:val="1"/>
              </w:numPr>
              <w:spacing w:after="140" w:line="312" w:lineRule="auto"/>
              <w:ind w:left="356" w:hanging="283"/>
              <w:jc w:val="both"/>
            </w:pPr>
            <w:r>
              <w:t xml:space="preserve">Taquicardia &gt; 90 </w:t>
            </w:r>
            <w:proofErr w:type="spellStart"/>
            <w:r>
              <w:t>lpm</w:t>
            </w:r>
            <w:proofErr w:type="spellEnd"/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140" w:line="312" w:lineRule="auto"/>
              <w:ind w:left="356" w:hanging="283"/>
              <w:jc w:val="both"/>
            </w:pPr>
            <w:r>
              <w:t>Taquipnea &gt; 22 rpm</w:t>
            </w:r>
          </w:p>
        </w:tc>
      </w:tr>
    </w:tbl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p w:rsidR="00DA57E8" w:rsidRPr="007867D7" w:rsidRDefault="00821BF6" w:rsidP="00DA57E8">
      <w:pPr>
        <w:spacing w:after="140" w:line="360" w:lineRule="auto"/>
        <w:ind w:firstLine="284"/>
        <w:jc w:val="both"/>
      </w:pPr>
      <w:r>
        <w:rPr>
          <w:sz w:val="24"/>
          <w:szCs w:val="24"/>
        </w:rPr>
        <w:t xml:space="preserve">Las alarmas/alertas automáticas de sospecha de </w:t>
      </w:r>
      <w:proofErr w:type="spellStart"/>
      <w:r>
        <w:rPr>
          <w:sz w:val="24"/>
          <w:szCs w:val="24"/>
        </w:rPr>
        <w:t>sepsis</w:t>
      </w:r>
      <w:proofErr w:type="spellEnd"/>
      <w:r>
        <w:rPr>
          <w:sz w:val="24"/>
          <w:szCs w:val="24"/>
        </w:rPr>
        <w:t xml:space="preserve"> que activaban el CS fueron</w:t>
      </w:r>
      <w:r w:rsidR="00DA57E8" w:rsidRPr="007867D7">
        <w:t>:</w:t>
      </w:r>
    </w:p>
    <w:p w:rsidR="00DA57E8" w:rsidRDefault="00DA57E8" w:rsidP="00DA57E8">
      <w:pPr>
        <w:numPr>
          <w:ilvl w:val="0"/>
          <w:numId w:val="2"/>
        </w:numPr>
        <w:spacing w:after="100" w:line="360" w:lineRule="auto"/>
        <w:jc w:val="both"/>
      </w:pPr>
      <w:r>
        <w:t xml:space="preserve">2 o más criterios </w:t>
      </w:r>
      <w:proofErr w:type="spellStart"/>
      <w:r>
        <w:t>Qsofa</w:t>
      </w:r>
      <w:proofErr w:type="spellEnd"/>
    </w:p>
    <w:p w:rsidR="00DA57E8" w:rsidRDefault="00DA57E8" w:rsidP="00DA57E8">
      <w:pPr>
        <w:numPr>
          <w:ilvl w:val="0"/>
          <w:numId w:val="2"/>
        </w:numPr>
        <w:spacing w:after="100" w:line="360" w:lineRule="auto"/>
        <w:jc w:val="both"/>
      </w:pPr>
      <w:r>
        <w:t>2 o más criterios SIRS</w:t>
      </w:r>
    </w:p>
    <w:p w:rsidR="00DA57E8" w:rsidRPr="007867D7" w:rsidRDefault="00DA57E8" w:rsidP="00DA57E8">
      <w:pPr>
        <w:numPr>
          <w:ilvl w:val="0"/>
          <w:numId w:val="2"/>
        </w:numPr>
        <w:spacing w:after="100" w:line="360" w:lineRule="auto"/>
        <w:jc w:val="both"/>
      </w:pPr>
      <w:r w:rsidRPr="007867D7">
        <w:t>1 criterio mayor + 2 criterios menores</w:t>
      </w:r>
    </w:p>
    <w:p w:rsidR="00DA57E8" w:rsidRPr="007867D7" w:rsidRDefault="00DA57E8" w:rsidP="00DA57E8">
      <w:pPr>
        <w:numPr>
          <w:ilvl w:val="0"/>
          <w:numId w:val="2"/>
        </w:numPr>
        <w:spacing w:after="100" w:line="360" w:lineRule="auto"/>
        <w:jc w:val="both"/>
      </w:pPr>
      <w:r w:rsidRPr="007867D7">
        <w:t>2 o más criterios mayores</w:t>
      </w:r>
    </w:p>
    <w:p w:rsidR="00DA57E8" w:rsidRPr="007867D7" w:rsidRDefault="00DA57E8" w:rsidP="00DA57E8">
      <w:pPr>
        <w:numPr>
          <w:ilvl w:val="0"/>
          <w:numId w:val="2"/>
        </w:numPr>
        <w:spacing w:after="100" w:line="360" w:lineRule="auto"/>
        <w:jc w:val="both"/>
      </w:pPr>
      <w:r w:rsidRPr="007867D7">
        <w:t>1 criterio mayor + 1 criterio menor + 1 sospecha de infección</w:t>
      </w:r>
    </w:p>
    <w:p w:rsidR="00DA57E8" w:rsidRPr="007867D7" w:rsidRDefault="00DA57E8" w:rsidP="00DA57E8">
      <w:pPr>
        <w:numPr>
          <w:ilvl w:val="0"/>
          <w:numId w:val="2"/>
        </w:numPr>
        <w:spacing w:after="100" w:line="360" w:lineRule="auto"/>
        <w:jc w:val="both"/>
      </w:pPr>
      <w:r w:rsidRPr="007867D7">
        <w:t>2 criterios menores + sospecha de infección</w:t>
      </w:r>
    </w:p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p w:rsidR="00DA57E8" w:rsidRDefault="00DA57E8" w:rsidP="00DA57E8">
      <w:pPr>
        <w:spacing w:after="140" w:line="312" w:lineRule="auto"/>
        <w:jc w:val="both"/>
        <w:rPr>
          <w:b/>
          <w:bCs/>
          <w:sz w:val="24"/>
          <w:szCs w:val="24"/>
          <w:u w:val="single"/>
        </w:rPr>
      </w:pPr>
    </w:p>
    <w:p w:rsidR="00DA57E8" w:rsidRPr="00FB233F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B. APÉNDICE</w:t>
      </w:r>
      <w:r w:rsidRPr="00FB233F">
        <w:rPr>
          <w:b/>
          <w:bCs/>
          <w:sz w:val="24"/>
          <w:szCs w:val="24"/>
        </w:rPr>
        <w:t xml:space="preserve"> 2: PROTOCOLO DE ACTUACIÓN INICIAL ANTE SOSPECHA DE SEPSIS O SHOCK SÉPTICO</w:t>
      </w:r>
    </w:p>
    <w:p w:rsidR="00DA57E8" w:rsidRDefault="00DA57E8" w:rsidP="00DA57E8">
      <w:pPr>
        <w:spacing w:after="140" w:line="312" w:lineRule="auto"/>
        <w:jc w:val="both"/>
        <w:rPr>
          <w:sz w:val="6"/>
          <w:szCs w:val="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8613"/>
      </w:tblGrid>
      <w:tr w:rsidR="00DA57E8" w:rsidRPr="0041697D" w:rsidTr="00C03707">
        <w:trPr>
          <w:trHeight w:val="406"/>
        </w:trPr>
        <w:tc>
          <w:tcPr>
            <w:tcW w:w="8613" w:type="dxa"/>
            <w:tcBorders>
              <w:bottom w:val="single" w:sz="18" w:space="0" w:color="4BACC6"/>
            </w:tcBorders>
            <w:shd w:val="clear" w:color="auto" w:fill="B6DDE8"/>
            <w:vAlign w:val="center"/>
          </w:tcPr>
          <w:p w:rsidR="00DA57E8" w:rsidRPr="0041697D" w:rsidRDefault="00DA57E8" w:rsidP="00C03707">
            <w:pPr>
              <w:spacing w:after="140" w:line="312" w:lineRule="auto"/>
              <w:jc w:val="center"/>
              <w:rPr>
                <w:b/>
                <w:bCs/>
              </w:rPr>
            </w:pPr>
            <w:r w:rsidRPr="0041697D">
              <w:rPr>
                <w:b/>
                <w:bCs/>
              </w:rPr>
              <w:t>ACTUACIÓN INICIAL ANTE SOSPECHA DE SEPSIS O SHOCK SÉPTICO</w:t>
            </w:r>
          </w:p>
        </w:tc>
      </w:tr>
      <w:tr w:rsidR="00DA57E8" w:rsidRPr="0041697D" w:rsidTr="00C03707">
        <w:tc>
          <w:tcPr>
            <w:tcW w:w="8613" w:type="dxa"/>
            <w:tcBorders>
              <w:top w:val="single" w:sz="18" w:space="0" w:color="4BACC6"/>
            </w:tcBorders>
          </w:tcPr>
          <w:p w:rsidR="00DA57E8" w:rsidRPr="0041697D" w:rsidRDefault="00DA57E8" w:rsidP="00DA57E8">
            <w:pPr>
              <w:pStyle w:val="Prrafodelista"/>
              <w:numPr>
                <w:ilvl w:val="0"/>
                <w:numId w:val="2"/>
              </w:numPr>
              <w:spacing w:after="120" w:line="312" w:lineRule="auto"/>
              <w:ind w:left="568" w:hanging="284"/>
              <w:contextualSpacing w:val="0"/>
              <w:jc w:val="both"/>
              <w:rPr>
                <w:b/>
                <w:bCs/>
              </w:rPr>
            </w:pPr>
            <w:r w:rsidRPr="0041697D">
              <w:t>Oxigenoterapia y/o ventilación mecánica, si precisa</w:t>
            </w:r>
          </w:p>
          <w:p w:rsidR="00DA57E8" w:rsidRPr="0041697D" w:rsidRDefault="00DA57E8" w:rsidP="00DA57E8">
            <w:pPr>
              <w:pStyle w:val="Prrafodelista"/>
              <w:numPr>
                <w:ilvl w:val="0"/>
                <w:numId w:val="2"/>
              </w:numPr>
              <w:spacing w:after="120" w:line="312" w:lineRule="auto"/>
              <w:ind w:left="568" w:hanging="284"/>
              <w:contextualSpacing w:val="0"/>
              <w:jc w:val="both"/>
              <w:rPr>
                <w:b/>
                <w:bCs/>
              </w:rPr>
            </w:pPr>
            <w:r w:rsidRPr="0041697D">
              <w:t>Dos vías periféricas de grueso calibre (14-18G)</w:t>
            </w:r>
          </w:p>
          <w:p w:rsidR="00DA57E8" w:rsidRPr="00073010" w:rsidRDefault="00DA57E8" w:rsidP="00DA57E8">
            <w:pPr>
              <w:pStyle w:val="Prrafodelista"/>
              <w:numPr>
                <w:ilvl w:val="0"/>
                <w:numId w:val="2"/>
              </w:numPr>
              <w:spacing w:after="120" w:line="312" w:lineRule="auto"/>
              <w:ind w:left="568" w:hanging="284"/>
              <w:contextualSpacing w:val="0"/>
              <w:jc w:val="both"/>
              <w:rPr>
                <w:b/>
                <w:bCs/>
              </w:rPr>
            </w:pPr>
            <w:r w:rsidRPr="0041697D">
              <w:t xml:space="preserve">Si hipotensión o lactato ≥ 4 </w:t>
            </w:r>
            <w:proofErr w:type="spellStart"/>
            <w:r w:rsidRPr="0041697D">
              <w:t>mmol</w:t>
            </w:r>
            <w:proofErr w:type="spellEnd"/>
            <w:r w:rsidRPr="0041697D">
              <w:t xml:space="preserve">/L, infusión de 30 ml/kg de cristaloides (Suero </w:t>
            </w:r>
            <w:r w:rsidRPr="00073010">
              <w:t xml:space="preserve">Fisiológico o </w:t>
            </w:r>
            <w:proofErr w:type="spellStart"/>
            <w:r w:rsidRPr="00073010">
              <w:t>Ringer</w:t>
            </w:r>
            <w:proofErr w:type="spellEnd"/>
            <w:r w:rsidRPr="00073010">
              <w:t xml:space="preserve"> Lactato) </w:t>
            </w:r>
          </w:p>
          <w:p w:rsidR="00DA57E8" w:rsidRPr="00073010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567" w:hanging="283"/>
              <w:contextualSpacing w:val="0"/>
              <w:jc w:val="both"/>
              <w:rPr>
                <w:b/>
                <w:bCs/>
              </w:rPr>
            </w:pPr>
            <w:r w:rsidRPr="00073010">
              <w:t>Analíti</w:t>
            </w:r>
            <w:r w:rsidRPr="00793644">
              <w:t xml:space="preserve">ca: Bioquímica, equilibrio ácido-base venoso, hemograma, coagulación, gasometría 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567" w:hanging="283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proofErr w:type="spellStart"/>
            <w:r w:rsidRPr="0041697D">
              <w:t>Hemocultivos</w:t>
            </w:r>
            <w:proofErr w:type="spellEnd"/>
            <w:r w:rsidRPr="0041697D">
              <w:t xml:space="preserve"> seriados previo al tratamiento antibiótico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567" w:hanging="283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>Antibiótico empírico según foco y factores de riesgo en la 1ª hora desde el diagnóstico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567" w:hanging="283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>Control de diuresis, valorar sondaje vesical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567" w:hanging="283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 xml:space="preserve">Búsqueda de foco según sospecha clínica: 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993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>Toma de muestras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993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>Pruebas de imagen</w:t>
            </w:r>
          </w:p>
          <w:p w:rsidR="00DA57E8" w:rsidRPr="0041697D" w:rsidRDefault="00DA57E8" w:rsidP="00C03707">
            <w:pPr>
              <w:pStyle w:val="Prrafodelista"/>
              <w:numPr>
                <w:ilvl w:val="0"/>
                <w:numId w:val="1"/>
              </w:numPr>
              <w:spacing w:after="80" w:line="312" w:lineRule="auto"/>
              <w:ind w:left="993" w:hanging="284"/>
              <w:contextualSpacing w:val="0"/>
              <w:jc w:val="both"/>
              <w:rPr>
                <w:rFonts w:ascii="Cambria" w:hAnsi="Cambria" w:cs="Cambria"/>
                <w:b/>
                <w:bCs/>
              </w:rPr>
            </w:pPr>
            <w:r w:rsidRPr="0041697D">
              <w:t>Drenaje si precisa en &lt;12 horas</w:t>
            </w:r>
          </w:p>
        </w:tc>
      </w:tr>
    </w:tbl>
    <w:p w:rsidR="00DA57E8" w:rsidRPr="009C2385" w:rsidRDefault="00DA57E8" w:rsidP="00DA57E8">
      <w:pPr>
        <w:spacing w:after="140" w:line="312" w:lineRule="auto"/>
        <w:jc w:val="both"/>
        <w:rPr>
          <w:sz w:val="6"/>
          <w:szCs w:val="6"/>
        </w:rPr>
      </w:pPr>
    </w:p>
    <w:p w:rsidR="00DA57E8" w:rsidRDefault="00DA57E8" w:rsidP="00DA57E8">
      <w:pPr>
        <w:spacing w:after="140" w:line="312" w:lineRule="auto"/>
        <w:ind w:firstLine="284"/>
        <w:jc w:val="both"/>
        <w:rPr>
          <w:sz w:val="18"/>
          <w:szCs w:val="18"/>
        </w:rPr>
      </w:pPr>
      <w:r>
        <w:rPr>
          <w:vertAlign w:val="superscript"/>
        </w:rPr>
        <w:t xml:space="preserve">1. </w:t>
      </w:r>
      <w:r>
        <w:rPr>
          <w:sz w:val="18"/>
          <w:szCs w:val="18"/>
        </w:rPr>
        <w:t xml:space="preserve">Sangre venosa: Hematimetría y coagulación básica. Glucosa, </w:t>
      </w:r>
      <w:proofErr w:type="spellStart"/>
      <w:r>
        <w:rPr>
          <w:sz w:val="18"/>
          <w:szCs w:val="18"/>
        </w:rPr>
        <w:t>creatinina</w:t>
      </w:r>
      <w:proofErr w:type="spellEnd"/>
      <w:r>
        <w:rPr>
          <w:sz w:val="18"/>
          <w:szCs w:val="18"/>
        </w:rPr>
        <w:t xml:space="preserve">, urea, iones, bilirrubina total, GPT (ALT), PCR, </w:t>
      </w:r>
      <w:proofErr w:type="spellStart"/>
      <w:r>
        <w:rPr>
          <w:sz w:val="18"/>
          <w:szCs w:val="18"/>
        </w:rPr>
        <w:t>Procalcitonina</w:t>
      </w:r>
      <w:proofErr w:type="spellEnd"/>
      <w:r>
        <w:rPr>
          <w:sz w:val="18"/>
          <w:szCs w:val="18"/>
        </w:rPr>
        <w:t xml:space="preserve"> y ácido láctico. Gasometría venosa, GRF.</w:t>
      </w:r>
    </w:p>
    <w:p w:rsidR="00DA57E8" w:rsidRDefault="00DA57E8" w:rsidP="00DA57E8">
      <w:pPr>
        <w:spacing w:after="140" w:line="312" w:lineRule="auto"/>
        <w:ind w:firstLine="284"/>
        <w:jc w:val="both"/>
        <w:rPr>
          <w:sz w:val="18"/>
          <w:szCs w:val="18"/>
        </w:rPr>
      </w:pPr>
      <w:r w:rsidRPr="00E426A2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Como el 1 pero con Gasometría arterial.</w:t>
      </w: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tabs>
          <w:tab w:val="left" w:pos="6780"/>
        </w:tabs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tabs>
          <w:tab w:val="left" w:pos="6780"/>
        </w:tabs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12" w:lineRule="auto"/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C. APÉNDICE 3</w:t>
      </w:r>
      <w:r w:rsidRPr="00FB233F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RECOMENDACIONES DEL PROA PARA EL TRATAMIENTO EMPÍRICO EN SHOCK SÉPTICO</w:t>
      </w:r>
    </w:p>
    <w:p w:rsidR="00DA57E8" w:rsidRDefault="00436198" w:rsidP="00DA57E8">
      <w:pPr>
        <w:spacing w:after="140" w:line="312" w:lineRule="auto"/>
        <w:ind w:firstLine="284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310.2pt;margin-top:12.25pt;width:257.15pt;height:2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KTrgIAAKo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30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/>
                  </w:tblPr>
                  <w:tblGrid>
                    <w:gridCol w:w="2605"/>
                    <w:gridCol w:w="2470"/>
                  </w:tblGrid>
                  <w:tr w:rsidR="00DA57E8">
                    <w:trPr>
                      <w:trHeight w:val="318"/>
                    </w:trPr>
                    <w:tc>
                      <w:tcPr>
                        <w:tcW w:w="5075" w:type="dxa"/>
                        <w:gridSpan w:val="2"/>
                        <w:tcBorders>
                          <w:bottom w:val="single" w:sz="12" w:space="0" w:color="000000"/>
                        </w:tcBorders>
                        <w:shd w:val="clear" w:color="auto" w:fill="33CCCC"/>
                      </w:tcPr>
                      <w:p w:rsidR="00DA57E8" w:rsidRDefault="00DA57E8">
                        <w:pPr>
                          <w:pStyle w:val="TableParagraph"/>
                          <w:spacing w:before="48"/>
                          <w:ind w:left="12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SEPSIS ORIGEN ABDOMINAL</w:t>
                        </w:r>
                      </w:p>
                    </w:tc>
                  </w:tr>
                  <w:tr w:rsidR="00DA57E8">
                    <w:trPr>
                      <w:trHeight w:val="262"/>
                    </w:trPr>
                    <w:tc>
                      <w:tcPr>
                        <w:tcW w:w="5075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CCFFFF"/>
                      </w:tcPr>
                      <w:p w:rsidR="00DA57E8" w:rsidRDefault="00DA57E8">
                        <w:pPr>
                          <w:pStyle w:val="TableParagraph"/>
                          <w:spacing w:before="66"/>
                          <w:ind w:left="2082" w:right="2038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COMUNITARIA</w:t>
                        </w:r>
                      </w:p>
                    </w:tc>
                  </w:tr>
                  <w:tr w:rsidR="00DA57E8">
                    <w:trPr>
                      <w:trHeight w:val="357"/>
                    </w:trPr>
                    <w:tc>
                      <w:tcPr>
                        <w:tcW w:w="5075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EAEAEA"/>
                      </w:tcPr>
                      <w:p w:rsidR="00DA57E8" w:rsidRDefault="00DA57E8">
                        <w:pPr>
                          <w:pStyle w:val="TableParagraph"/>
                          <w:spacing w:before="9"/>
                          <w:ind w:left="0"/>
                          <w:rPr>
                            <w:i/>
                            <w:sz w:val="10"/>
                          </w:rPr>
                        </w:pPr>
                      </w:p>
                      <w:p w:rsidR="00DA57E8" w:rsidRDefault="00DA57E8" w:rsidP="00462A12">
                        <w:pPr>
                          <w:pStyle w:val="TableParagraph"/>
                          <w:spacing w:before="1"/>
                          <w:ind w:left="1134"/>
                          <w:rPr>
                            <w:b/>
                            <w:sz w:val="10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Colecistitis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, diverticulitis, peritonitis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primaria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60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248" w:right="217"/>
                          <w:jc w:val="center"/>
                          <w:rPr>
                            <w:b/>
                            <w:sz w:val="12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De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elección</w:t>
                        </w:r>
                        <w:proofErr w:type="spellEnd"/>
                      </w:p>
                    </w:tc>
                    <w:tc>
                      <w:tcPr>
                        <w:tcW w:w="247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195" w:right="135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Alergia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382"/>
                    </w:trPr>
                    <w:tc>
                      <w:tcPr>
                        <w:tcW w:w="260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65" w:line="292" w:lineRule="auto"/>
                          <w:ind w:left="443" w:firstLine="171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ERTAPENEM o PIPE/TAZO o [CEFTRIAXONA + METRONIDAZOL]</w:t>
                        </w:r>
                      </w:p>
                    </w:tc>
                    <w:tc>
                      <w:tcPr>
                        <w:tcW w:w="247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65"/>
                          <w:ind w:left="194" w:right="135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AZTREONAM O GENTAMICINA</w:t>
                        </w:r>
                      </w:p>
                      <w:p w:rsidR="00DA57E8" w:rsidRDefault="00DA57E8">
                        <w:pPr>
                          <w:pStyle w:val="TableParagraph"/>
                          <w:spacing w:before="25"/>
                          <w:ind w:left="195" w:right="135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+ METRONIDAZOL</w:t>
                        </w:r>
                      </w:p>
                    </w:tc>
                  </w:tr>
                  <w:tr w:rsidR="00DA57E8">
                    <w:trPr>
                      <w:trHeight w:val="381"/>
                    </w:trPr>
                    <w:tc>
                      <w:tcPr>
                        <w:tcW w:w="5075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EAEAEA"/>
                      </w:tcPr>
                      <w:p w:rsidR="00DA57E8" w:rsidRPr="00462A12" w:rsidRDefault="00DA57E8" w:rsidP="00462A12">
                        <w:pPr>
                          <w:pStyle w:val="TableParagraph"/>
                          <w:spacing w:before="65" w:line="276" w:lineRule="auto"/>
                          <w:ind w:left="134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2"/>
                            <w:lang w:val="es-ES"/>
                          </w:rPr>
                          <w:t>Con factores de riesgo de mala evolución (Shock séptico, disfunción orgánica, inmunodepresión,&gt; 65 a., asociada a cuidados sanitarios o peritonitis secundaria)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60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248" w:right="217"/>
                          <w:jc w:val="center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2"/>
                            <w:lang w:val="es-ES"/>
                          </w:rPr>
                          <w:t>De elección</w:t>
                        </w:r>
                      </w:p>
                    </w:tc>
                    <w:tc>
                      <w:tcPr>
                        <w:tcW w:w="247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195" w:right="135"/>
                          <w:jc w:val="center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2"/>
                            <w:lang w:val="es-ES"/>
                          </w:rPr>
                          <w:t xml:space="preserve">Alergia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  <w:lang w:val="es-ES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525"/>
                    </w:trPr>
                    <w:tc>
                      <w:tcPr>
                        <w:tcW w:w="260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Pr="00462A12" w:rsidRDefault="00DA57E8">
                        <w:pPr>
                          <w:pStyle w:val="TableParagraph"/>
                          <w:spacing w:before="65"/>
                          <w:ind w:left="248" w:right="217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0"/>
                            <w:lang w:val="es-ES"/>
                          </w:rPr>
                          <w:t>PIPE/TAZO O MEROPENEM</w:t>
                        </w:r>
                      </w:p>
                      <w:p w:rsidR="00DA57E8" w:rsidRPr="00462A12" w:rsidRDefault="00DA57E8">
                        <w:pPr>
                          <w:pStyle w:val="TableParagraph"/>
                          <w:spacing w:before="25"/>
                          <w:ind w:left="246" w:right="218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0"/>
                            <w:lang w:val="es-ES"/>
                          </w:rPr>
                          <w:t>+ AMIKACINA**</w:t>
                        </w:r>
                      </w:p>
                      <w:p w:rsidR="00DA57E8" w:rsidRPr="00462A12" w:rsidRDefault="00DA57E8">
                        <w:pPr>
                          <w:pStyle w:val="TableParagraph"/>
                          <w:spacing w:before="31"/>
                          <w:ind w:left="248" w:right="218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0"/>
                            <w:lang w:val="es-ES"/>
                          </w:rPr>
                          <w:t>+ FLUCONAZOL (</w:t>
                        </w:r>
                        <w:proofErr w:type="spellStart"/>
                        <w:r w:rsidRPr="00462A12">
                          <w:rPr>
                            <w:b/>
                            <w:sz w:val="10"/>
                            <w:lang w:val="es-ES"/>
                          </w:rPr>
                          <w:t>candina</w:t>
                        </w:r>
                        <w:proofErr w:type="spellEnd"/>
                        <w:r w:rsidRPr="00462A12">
                          <w:rPr>
                            <w:b/>
                            <w:sz w:val="10"/>
                            <w:lang w:val="es-ES"/>
                          </w:rPr>
                          <w:t xml:space="preserve"> si shock séptico)</w:t>
                        </w:r>
                      </w:p>
                    </w:tc>
                    <w:tc>
                      <w:tcPr>
                        <w:tcW w:w="247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F9966"/>
                      </w:tcPr>
                      <w:p w:rsidR="00DA57E8" w:rsidRPr="00462A12" w:rsidRDefault="00DA57E8">
                        <w:pPr>
                          <w:pStyle w:val="TableParagraph"/>
                          <w:spacing w:before="10"/>
                          <w:ind w:left="0"/>
                          <w:rPr>
                            <w:i/>
                            <w:sz w:val="11"/>
                            <w:lang w:val="es-ES"/>
                          </w:rPr>
                        </w:pPr>
                      </w:p>
                      <w:p w:rsidR="00DA57E8" w:rsidRPr="00842BC7" w:rsidRDefault="00DA57E8">
                        <w:pPr>
                          <w:pStyle w:val="TableParagraph"/>
                          <w:ind w:left="193" w:right="135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0"/>
                            <w:lang w:val="es-ES"/>
                          </w:rPr>
                          <w:t xml:space="preserve">TIGECICLINA + </w:t>
                        </w: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AMIKACINA**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5"/>
                          <w:ind w:left="195" w:right="135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FLUCONAZOL (</w:t>
                        </w:r>
                        <w:proofErr w:type="spellStart"/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candina</w:t>
                        </w:r>
                        <w:proofErr w:type="spellEnd"/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 xml:space="preserve"> si shock séptico)</w:t>
                        </w:r>
                      </w:p>
                    </w:tc>
                  </w:tr>
                  <w:tr w:rsidR="00DA57E8">
                    <w:trPr>
                      <w:trHeight w:val="262"/>
                    </w:trPr>
                    <w:tc>
                      <w:tcPr>
                        <w:tcW w:w="5075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CCFFFF"/>
                      </w:tcPr>
                      <w:p w:rsidR="00DA57E8" w:rsidRPr="00842BC7" w:rsidRDefault="00DA57E8">
                        <w:pPr>
                          <w:pStyle w:val="TableParagraph"/>
                          <w:spacing w:before="66"/>
                          <w:ind w:left="1035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2"/>
                            <w:lang w:val="es-ES"/>
                          </w:rPr>
                          <w:t>NOSOCOMIAL (peritonitis postoperatoria y terciaria)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60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248" w:right="217"/>
                          <w:jc w:val="center"/>
                          <w:rPr>
                            <w:b/>
                            <w:sz w:val="12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De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elección</w:t>
                        </w:r>
                        <w:proofErr w:type="spellEnd"/>
                      </w:p>
                    </w:tc>
                    <w:tc>
                      <w:tcPr>
                        <w:tcW w:w="247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195" w:right="135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Alergia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655"/>
                    </w:trPr>
                    <w:tc>
                      <w:tcPr>
                        <w:tcW w:w="260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77"/>
                          <w:ind w:left="246" w:right="218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MEROPENEM + AMIKACINA**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5" w:line="249" w:lineRule="auto"/>
                          <w:ind w:left="248" w:right="216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VANCOMICINA* O LINEZOLID O DAPTOMICINA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7"/>
                          <w:ind w:left="248" w:right="218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FLUCONAZOL (</w:t>
                        </w:r>
                        <w:proofErr w:type="spellStart"/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candina</w:t>
                        </w:r>
                        <w:proofErr w:type="spellEnd"/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 xml:space="preserve"> si shock séptico)</w:t>
                        </w:r>
                      </w:p>
                    </w:tc>
                    <w:tc>
                      <w:tcPr>
                        <w:tcW w:w="2470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77"/>
                          <w:ind w:left="193" w:right="135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AZTREONAM + AMIKACINA**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5" w:line="249" w:lineRule="auto"/>
                          <w:ind w:left="195" w:right="133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VANCOMICINA* o LINEZOLID O DAPTOMICINA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7"/>
                          <w:ind w:left="195" w:right="135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FLUCONAZOL (</w:t>
                        </w:r>
                        <w:proofErr w:type="spellStart"/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candina</w:t>
                        </w:r>
                        <w:proofErr w:type="spellEnd"/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 xml:space="preserve"> si shock séptico)</w:t>
                        </w:r>
                      </w:p>
                    </w:tc>
                  </w:tr>
                </w:tbl>
                <w:p w:rsidR="00DA57E8" w:rsidRDefault="00DA57E8" w:rsidP="00DA57E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Cs/>
          <w:noProof/>
          <w:sz w:val="24"/>
          <w:szCs w:val="24"/>
        </w:rPr>
        <w:pict>
          <v:shape id="Text Box 2" o:spid="_x0000_s1026" type="#_x0000_t202" style="position:absolute;left:0;text-align:left;margin-left:23.1pt;margin-top:12.25pt;width:278.15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ceswIAALE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30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/>
                  </w:tblPr>
                  <w:tblGrid>
                    <w:gridCol w:w="2970"/>
                    <w:gridCol w:w="2525"/>
                  </w:tblGrid>
                  <w:tr w:rsidR="00DA57E8">
                    <w:trPr>
                      <w:trHeight w:val="318"/>
                    </w:trPr>
                    <w:tc>
                      <w:tcPr>
                        <w:tcW w:w="5495" w:type="dxa"/>
                        <w:gridSpan w:val="2"/>
                        <w:tcBorders>
                          <w:bottom w:val="single" w:sz="12" w:space="0" w:color="000000"/>
                        </w:tcBorders>
                        <w:shd w:val="clear" w:color="auto" w:fill="33CCCC"/>
                      </w:tcPr>
                      <w:p w:rsidR="00DA57E8" w:rsidRDefault="00DA57E8">
                        <w:pPr>
                          <w:pStyle w:val="TableParagraph"/>
                          <w:spacing w:before="48"/>
                          <w:ind w:left="1934" w:right="188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SEPSIS SIN FOCO</w:t>
                        </w:r>
                      </w:p>
                    </w:tc>
                  </w:tr>
                  <w:tr w:rsidR="00DA57E8">
                    <w:trPr>
                      <w:trHeight w:val="262"/>
                    </w:trPr>
                    <w:tc>
                      <w:tcPr>
                        <w:tcW w:w="5495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CCFFFF"/>
                      </w:tcPr>
                      <w:p w:rsidR="00DA57E8" w:rsidRPr="00842BC7" w:rsidRDefault="00DA57E8">
                        <w:pPr>
                          <w:pStyle w:val="TableParagraph"/>
                          <w:spacing w:before="66"/>
                          <w:ind w:left="1791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2"/>
                            <w:lang w:val="es-ES"/>
                          </w:rPr>
                          <w:t>SIN FACTORES DE RIESGO BMR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97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807" w:right="776"/>
                          <w:jc w:val="center"/>
                          <w:rPr>
                            <w:b/>
                            <w:sz w:val="12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De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elección</w:t>
                        </w:r>
                        <w:proofErr w:type="spellEnd"/>
                      </w:p>
                    </w:tc>
                    <w:tc>
                      <w:tcPr>
                        <w:tcW w:w="25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419" w:right="359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Alergia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382"/>
                    </w:trPr>
                    <w:tc>
                      <w:tcPr>
                        <w:tcW w:w="297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65"/>
                          <w:ind w:left="805" w:right="77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CEFALOSPORINA 3ª</w:t>
                        </w:r>
                      </w:p>
                      <w:p w:rsidR="00DA57E8" w:rsidRDefault="00DA57E8">
                        <w:pPr>
                          <w:pStyle w:val="TableParagraph"/>
                          <w:spacing w:before="25"/>
                          <w:ind w:left="807" w:right="751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+ AMIKACINA**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10"/>
                          <w:ind w:left="0"/>
                          <w:rPr>
                            <w:i/>
                            <w:sz w:val="11"/>
                          </w:rPr>
                        </w:pPr>
                      </w:p>
                      <w:p w:rsidR="00DA57E8" w:rsidRDefault="00DA57E8">
                        <w:pPr>
                          <w:pStyle w:val="TableParagraph"/>
                          <w:spacing w:before="1"/>
                          <w:ind w:left="418" w:right="35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AZTREONAM + TIGECICLINA</w:t>
                        </w:r>
                      </w:p>
                    </w:tc>
                  </w:tr>
                  <w:tr w:rsidR="00DA57E8">
                    <w:trPr>
                      <w:trHeight w:val="262"/>
                    </w:trPr>
                    <w:tc>
                      <w:tcPr>
                        <w:tcW w:w="5495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CCFFFF"/>
                      </w:tcPr>
                      <w:p w:rsidR="00DA57E8" w:rsidRPr="00842BC7" w:rsidRDefault="00DA57E8">
                        <w:pPr>
                          <w:pStyle w:val="TableParagraph"/>
                          <w:spacing w:before="66"/>
                          <w:ind w:left="1741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2"/>
                            <w:lang w:val="es-ES"/>
                          </w:rPr>
                          <w:t>CON FACTORES DE RIESGO BMR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97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807" w:right="776"/>
                          <w:jc w:val="center"/>
                          <w:rPr>
                            <w:b/>
                            <w:sz w:val="12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De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elección</w:t>
                        </w:r>
                        <w:proofErr w:type="spellEnd"/>
                      </w:p>
                    </w:tc>
                    <w:tc>
                      <w:tcPr>
                        <w:tcW w:w="25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419" w:right="359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Alergia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200"/>
                    </w:trPr>
                    <w:tc>
                      <w:tcPr>
                        <w:tcW w:w="2970" w:type="dxa"/>
                        <w:tcBorders>
                          <w:top w:val="single" w:sz="12" w:space="0" w:color="000000"/>
                          <w:bottom w:val="nil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65"/>
                          <w:ind w:left="807" w:right="77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PIPE/TAZO o MEROPENEM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77" w:line="103" w:lineRule="exact"/>
                          <w:ind w:left="419" w:right="35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AZTREONAM o CIPROFLOXACINO</w:t>
                        </w:r>
                      </w:p>
                    </w:tc>
                  </w:tr>
                  <w:tr w:rsidR="00DA57E8">
                    <w:trPr>
                      <w:trHeight w:val="143"/>
                    </w:trPr>
                    <w:tc>
                      <w:tcPr>
                        <w:tcW w:w="2970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5"/>
                          <w:ind w:left="804" w:right="77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+ AMIKACINA**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17" w:line="106" w:lineRule="exact"/>
                          <w:ind w:left="417" w:right="35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+ AMIKACINA**</w:t>
                        </w:r>
                      </w:p>
                    </w:tc>
                  </w:tr>
                  <w:tr w:rsidR="00DA57E8">
                    <w:trPr>
                      <w:trHeight w:val="311"/>
                    </w:trPr>
                    <w:tc>
                      <w:tcPr>
                        <w:tcW w:w="2970" w:type="dxa"/>
                        <w:tcBorders>
                          <w:top w:val="nil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8" w:line="292" w:lineRule="auto"/>
                          <w:ind w:left="1138" w:hanging="444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VANCOMICINA O LINEZOLID O DAPTOMICINA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20" w:line="249" w:lineRule="auto"/>
                          <w:ind w:left="917" w:hanging="444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VANCOMICINA O LINEZOLID O DAPTOMICINA</w:t>
                        </w:r>
                      </w:p>
                    </w:tc>
                  </w:tr>
                </w:tbl>
                <w:p w:rsidR="00DA57E8" w:rsidRDefault="00DA57E8" w:rsidP="00DA57E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DA57E8" w:rsidRPr="00EF5103" w:rsidRDefault="00DA57E8" w:rsidP="00DA57E8">
      <w:pPr>
        <w:spacing w:after="140" w:line="312" w:lineRule="auto"/>
        <w:ind w:firstLine="284"/>
        <w:jc w:val="both"/>
        <w:rPr>
          <w:bCs/>
          <w:sz w:val="24"/>
          <w:szCs w:val="24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43619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  <w:r>
        <w:rPr>
          <w:b/>
          <w:bCs/>
          <w:noProof/>
          <w:szCs w:val="24"/>
          <w:u w:val="single"/>
        </w:rPr>
        <w:pict>
          <v:shape id="Text Box 3" o:spid="_x0000_s1027" type="#_x0000_t202" style="position:absolute;left:0;text-align:left;margin-left:23.1pt;margin-top:3.85pt;width:277.9pt;height:16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ZsrwIAALE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30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/>
                  </w:tblPr>
                  <w:tblGrid>
                    <w:gridCol w:w="2802"/>
                    <w:gridCol w:w="2687"/>
                  </w:tblGrid>
                  <w:tr w:rsidR="00DA57E8">
                    <w:trPr>
                      <w:trHeight w:val="318"/>
                    </w:trPr>
                    <w:tc>
                      <w:tcPr>
                        <w:tcW w:w="5489" w:type="dxa"/>
                        <w:gridSpan w:val="2"/>
                        <w:tcBorders>
                          <w:bottom w:val="single" w:sz="12" w:space="0" w:color="000000"/>
                        </w:tcBorders>
                        <w:shd w:val="clear" w:color="auto" w:fill="33CCCC"/>
                      </w:tcPr>
                      <w:p w:rsidR="00DA57E8" w:rsidRDefault="00DA57E8">
                        <w:pPr>
                          <w:pStyle w:val="TableParagraph"/>
                          <w:spacing w:before="48"/>
                          <w:ind w:left="132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SEPSIS ORIGEN RESPIRATORIO</w:t>
                        </w:r>
                      </w:p>
                    </w:tc>
                  </w:tr>
                  <w:tr w:rsidR="00DA57E8">
                    <w:trPr>
                      <w:trHeight w:val="262"/>
                    </w:trPr>
                    <w:tc>
                      <w:tcPr>
                        <w:tcW w:w="548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D5FFFF"/>
                      </w:tcPr>
                      <w:p w:rsidR="00DA57E8" w:rsidRDefault="00DA57E8">
                        <w:pPr>
                          <w:pStyle w:val="TableParagraph"/>
                          <w:spacing w:before="66"/>
                          <w:ind w:left="143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NEUMONIA ADQUIRIDA COMUNIDAD GRAVE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548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EAEAEA"/>
                      </w:tcPr>
                      <w:p w:rsidR="00DA57E8" w:rsidRDefault="00DA57E8">
                        <w:pPr>
                          <w:pStyle w:val="TableParagraph"/>
                          <w:spacing w:before="71"/>
                          <w:ind w:left="553" w:right="507"/>
                          <w:jc w:val="center"/>
                          <w:rPr>
                            <w:b/>
                            <w:sz w:val="10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NO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riesgo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de </w:t>
                        </w:r>
                        <w:r w:rsidRPr="00462A12">
                          <w:rPr>
                            <w:b/>
                            <w:i/>
                            <w:sz w:val="12"/>
                          </w:rPr>
                          <w:t>Pseudomonas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802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299" w:right="268"/>
                          <w:jc w:val="center"/>
                          <w:rPr>
                            <w:b/>
                            <w:sz w:val="12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De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elección</w:t>
                        </w:r>
                        <w:proofErr w:type="spellEnd"/>
                      </w:p>
                    </w:tc>
                    <w:tc>
                      <w:tcPr>
                        <w:tcW w:w="268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133" w:right="71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Alergia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382"/>
                    </w:trPr>
                    <w:tc>
                      <w:tcPr>
                        <w:tcW w:w="2802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65"/>
                          <w:ind w:left="299" w:right="26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CEFTRIAXONA</w:t>
                        </w:r>
                      </w:p>
                      <w:p w:rsidR="00DA57E8" w:rsidRDefault="00DA57E8">
                        <w:pPr>
                          <w:pStyle w:val="TableParagraph"/>
                          <w:spacing w:before="25"/>
                          <w:ind w:left="299" w:right="26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+ AZITROMICINA O LEVOFLOXACINO</w:t>
                        </w:r>
                      </w:p>
                    </w:tc>
                    <w:tc>
                      <w:tcPr>
                        <w:tcW w:w="268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F9966"/>
                      </w:tcPr>
                      <w:p w:rsidR="00DA57E8" w:rsidRDefault="00DA57E8">
                        <w:pPr>
                          <w:pStyle w:val="TableParagraph"/>
                          <w:spacing w:before="65" w:line="292" w:lineRule="auto"/>
                          <w:ind w:left="921" w:right="839" w:firstLine="6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AZTREONAM + LEVOFLOXACINO</w:t>
                        </w:r>
                      </w:p>
                    </w:tc>
                  </w:tr>
                  <w:tr w:rsidR="00DA57E8">
                    <w:trPr>
                      <w:trHeight w:val="871"/>
                    </w:trPr>
                    <w:tc>
                      <w:tcPr>
                        <w:tcW w:w="548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D5FFFF"/>
                      </w:tcPr>
                      <w:p w:rsidR="00DA57E8" w:rsidRPr="00842BC7" w:rsidRDefault="00DA57E8">
                        <w:pPr>
                          <w:pStyle w:val="TableParagraph"/>
                          <w:spacing w:before="66"/>
                          <w:ind w:left="553" w:right="508"/>
                          <w:jc w:val="center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2"/>
                            <w:lang w:val="es-ES"/>
                          </w:rPr>
                          <w:t>NEUMONIA ADQUIRIDA COMUNIDAD GRAVE, RIESGO DE</w:t>
                        </w:r>
                        <w:r w:rsidRPr="00842BC7">
                          <w:rPr>
                            <w:b/>
                            <w:i/>
                            <w:sz w:val="12"/>
                            <w:lang w:val="es-ES"/>
                          </w:rPr>
                          <w:t xml:space="preserve"> PSEUDOMONAS</w:t>
                        </w:r>
                      </w:p>
                      <w:p w:rsidR="00DA57E8" w:rsidRPr="00462A12" w:rsidRDefault="00DA57E8">
                        <w:pPr>
                          <w:pStyle w:val="TableParagraph"/>
                          <w:spacing w:before="27" w:line="249" w:lineRule="auto"/>
                          <w:ind w:left="134"/>
                          <w:rPr>
                            <w:b/>
                            <w:sz w:val="12"/>
                            <w:lang w:val="es-ES"/>
                          </w:rPr>
                        </w:pPr>
                        <w:r w:rsidRPr="00462A12">
                          <w:rPr>
                            <w:b/>
                            <w:sz w:val="12"/>
                            <w:lang w:val="es-ES"/>
                          </w:rPr>
                          <w:t>Uso esteroides, FQ, EPOC grave, neo maligna, neutropenia, tratamiento Ab. 7 días,                último mes, rápida progresión infiltrados.</w:t>
                        </w:r>
                      </w:p>
                      <w:p w:rsidR="00DA57E8" w:rsidRDefault="00DA57E8">
                        <w:pPr>
                          <w:pStyle w:val="TableParagraph"/>
                          <w:spacing w:before="29"/>
                          <w:ind w:left="45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O</w:t>
                        </w:r>
                      </w:p>
                      <w:p w:rsidR="00DA57E8" w:rsidRDefault="00DA57E8">
                        <w:pPr>
                          <w:pStyle w:val="TableParagraph"/>
                          <w:spacing w:before="35"/>
                          <w:ind w:left="553" w:right="5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NEUMONIA NOSOCOMIAL</w:t>
                        </w:r>
                      </w:p>
                    </w:tc>
                  </w:tr>
                  <w:tr w:rsidR="00DA57E8">
                    <w:trPr>
                      <w:trHeight w:val="250"/>
                    </w:trPr>
                    <w:tc>
                      <w:tcPr>
                        <w:tcW w:w="2802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299" w:right="268"/>
                          <w:jc w:val="center"/>
                          <w:rPr>
                            <w:b/>
                            <w:sz w:val="12"/>
                          </w:rPr>
                        </w:pPr>
                        <w:r w:rsidRPr="00462A12">
                          <w:rPr>
                            <w:b/>
                            <w:sz w:val="12"/>
                          </w:rPr>
                          <w:t xml:space="preserve">De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elección</w:t>
                        </w:r>
                        <w:proofErr w:type="spellEnd"/>
                      </w:p>
                    </w:tc>
                    <w:tc>
                      <w:tcPr>
                        <w:tcW w:w="268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BBE0E3"/>
                      </w:tcPr>
                      <w:p w:rsidR="00DA57E8" w:rsidRPr="00462A12" w:rsidRDefault="00DA57E8">
                        <w:pPr>
                          <w:pStyle w:val="TableParagraph"/>
                          <w:spacing w:before="71"/>
                          <w:ind w:left="133" w:right="71"/>
                          <w:jc w:val="center"/>
                          <w:rPr>
                            <w:b/>
                            <w:sz w:val="12"/>
                          </w:rPr>
                        </w:pP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Alergia</w:t>
                        </w:r>
                        <w:proofErr w:type="spellEnd"/>
                        <w:r w:rsidRPr="00462A12"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 w:rsidRPr="00462A12">
                          <w:rPr>
                            <w:b/>
                            <w:sz w:val="12"/>
                          </w:rPr>
                          <w:t>betalactámicos</w:t>
                        </w:r>
                        <w:proofErr w:type="spellEnd"/>
                      </w:p>
                    </w:tc>
                  </w:tr>
                  <w:tr w:rsidR="00DA57E8">
                    <w:trPr>
                      <w:trHeight w:val="525"/>
                    </w:trPr>
                    <w:tc>
                      <w:tcPr>
                        <w:tcW w:w="2802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65"/>
                          <w:ind w:left="299" w:right="268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CEFEPIME O PIPE/TAZO O MEROPENEM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5"/>
                          <w:ind w:left="299" w:right="270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 CIPROFLOXACINO o LEVO o AMIKACINA**</w:t>
                        </w:r>
                      </w:p>
                      <w:p w:rsidR="00DA57E8" w:rsidRDefault="00DA57E8">
                        <w:pPr>
                          <w:pStyle w:val="TableParagraph"/>
                          <w:spacing w:before="31"/>
                          <w:ind w:left="299" w:right="26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+/- LINEZOLID (</w:t>
                        </w:r>
                        <w:proofErr w:type="spellStart"/>
                        <w:r>
                          <w:rPr>
                            <w:b/>
                            <w:sz w:val="10"/>
                          </w:rPr>
                          <w:t>riesgo</w:t>
                        </w:r>
                        <w:proofErr w:type="spellEnd"/>
                        <w:r>
                          <w:rPr>
                            <w:b/>
                            <w:sz w:val="10"/>
                          </w:rPr>
                          <w:t xml:space="preserve"> SARM)</w:t>
                        </w:r>
                      </w:p>
                    </w:tc>
                    <w:tc>
                      <w:tcPr>
                        <w:tcW w:w="268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F9966"/>
                      </w:tcPr>
                      <w:p w:rsidR="00DA57E8" w:rsidRPr="00842BC7" w:rsidRDefault="00DA57E8">
                        <w:pPr>
                          <w:pStyle w:val="TableParagraph"/>
                          <w:spacing w:before="10"/>
                          <w:ind w:left="0"/>
                          <w:rPr>
                            <w:i/>
                            <w:sz w:val="11"/>
                            <w:lang w:val="es-ES"/>
                          </w:rPr>
                        </w:pPr>
                      </w:p>
                      <w:p w:rsidR="00DA57E8" w:rsidRPr="00842BC7" w:rsidRDefault="00DA57E8">
                        <w:pPr>
                          <w:pStyle w:val="TableParagraph"/>
                          <w:ind w:left="133" w:right="73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AZTREONAM +CIPROFLOXACINO + AMIKACINA**</w:t>
                        </w:r>
                      </w:p>
                      <w:p w:rsidR="00DA57E8" w:rsidRPr="00842BC7" w:rsidRDefault="00DA57E8">
                        <w:pPr>
                          <w:pStyle w:val="TableParagraph"/>
                          <w:spacing w:before="25"/>
                          <w:ind w:left="133" w:right="71"/>
                          <w:jc w:val="center"/>
                          <w:rPr>
                            <w:b/>
                            <w:sz w:val="10"/>
                            <w:lang w:val="es-ES"/>
                          </w:rPr>
                        </w:pPr>
                        <w:r w:rsidRPr="00842BC7">
                          <w:rPr>
                            <w:b/>
                            <w:sz w:val="10"/>
                            <w:lang w:val="es-ES"/>
                          </w:rPr>
                          <w:t>+/- LINEZOLID (riesgo SARM)</w:t>
                        </w:r>
                      </w:p>
                    </w:tc>
                  </w:tr>
                </w:tbl>
                <w:p w:rsidR="00DA57E8" w:rsidRDefault="00DA57E8" w:rsidP="00DA57E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tbl>
      <w:tblPr>
        <w:tblStyle w:val="TableNormal"/>
        <w:tblpPr w:leftFromText="141" w:rightFromText="141" w:vertAnchor="text" w:horzAnchor="page" w:tblpX="6211" w:tblpY="70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2605"/>
        <w:gridCol w:w="2470"/>
      </w:tblGrid>
      <w:tr w:rsidR="00DA57E8" w:rsidTr="00C03707">
        <w:trPr>
          <w:trHeight w:val="317"/>
        </w:trPr>
        <w:tc>
          <w:tcPr>
            <w:tcW w:w="5075" w:type="dxa"/>
            <w:gridSpan w:val="2"/>
            <w:tcBorders>
              <w:bottom w:val="single" w:sz="12" w:space="0" w:color="000000"/>
            </w:tcBorders>
            <w:shd w:val="clear" w:color="auto" w:fill="33CCCC"/>
          </w:tcPr>
          <w:p w:rsidR="00DA57E8" w:rsidRDefault="00DA57E8" w:rsidP="00C03707">
            <w:pPr>
              <w:pStyle w:val="TableParagraph"/>
              <w:spacing w:before="48"/>
              <w:ind w:left="1245"/>
              <w:rPr>
                <w:b/>
                <w:sz w:val="18"/>
              </w:rPr>
            </w:pPr>
            <w:r>
              <w:rPr>
                <w:b/>
                <w:sz w:val="18"/>
              </w:rPr>
              <w:t>SEPSIS ORIGEN UROLOGICO</w:t>
            </w:r>
          </w:p>
        </w:tc>
      </w:tr>
      <w:tr w:rsidR="00DA57E8" w:rsidTr="00C03707">
        <w:trPr>
          <w:trHeight w:val="357"/>
        </w:trPr>
        <w:tc>
          <w:tcPr>
            <w:tcW w:w="507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EAEA"/>
          </w:tcPr>
          <w:p w:rsidR="00DA57E8" w:rsidRPr="00462A12" w:rsidRDefault="00DA57E8" w:rsidP="00C03707">
            <w:pPr>
              <w:pStyle w:val="TableParagraph"/>
              <w:spacing w:before="2"/>
              <w:ind w:left="0"/>
              <w:rPr>
                <w:rFonts w:ascii="Calibri"/>
                <w:sz w:val="10"/>
                <w:lang w:val="es-ES"/>
              </w:rPr>
            </w:pPr>
          </w:p>
          <w:p w:rsidR="00DA57E8" w:rsidRPr="00462A12" w:rsidRDefault="00DA57E8" w:rsidP="00C03707">
            <w:pPr>
              <w:pStyle w:val="TableParagraph"/>
              <w:spacing w:before="1"/>
              <w:ind w:left="172"/>
              <w:rPr>
                <w:b/>
                <w:sz w:val="12"/>
                <w:szCs w:val="12"/>
                <w:lang w:val="es-ES"/>
              </w:rPr>
            </w:pPr>
            <w:r w:rsidRPr="00462A12">
              <w:rPr>
                <w:b/>
                <w:sz w:val="12"/>
                <w:szCs w:val="12"/>
                <w:lang w:val="es-ES"/>
              </w:rPr>
              <w:t xml:space="preserve">Con FR (sondaje vesical, manipulación urológica, </w:t>
            </w:r>
            <w:proofErr w:type="spellStart"/>
            <w:r w:rsidRPr="00462A12">
              <w:rPr>
                <w:b/>
                <w:sz w:val="12"/>
                <w:szCs w:val="12"/>
                <w:lang w:val="es-ES"/>
              </w:rPr>
              <w:t>nosocomial</w:t>
            </w:r>
            <w:proofErr w:type="spellEnd"/>
            <w:r w:rsidRPr="00462A12">
              <w:rPr>
                <w:b/>
                <w:sz w:val="12"/>
                <w:szCs w:val="12"/>
                <w:lang w:val="es-ES"/>
              </w:rPr>
              <w:t>, antibioterapia previa)</w:t>
            </w:r>
          </w:p>
        </w:tc>
      </w:tr>
      <w:tr w:rsidR="00DA57E8" w:rsidTr="00C03707">
        <w:trPr>
          <w:trHeight w:val="250"/>
        </w:trPr>
        <w:tc>
          <w:tcPr>
            <w:tcW w:w="2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E0E3"/>
          </w:tcPr>
          <w:p w:rsidR="00DA57E8" w:rsidRPr="00462A12" w:rsidRDefault="00DA57E8" w:rsidP="00C03707">
            <w:pPr>
              <w:pStyle w:val="TableParagraph"/>
              <w:spacing w:before="71"/>
              <w:ind w:left="248" w:right="217"/>
              <w:jc w:val="center"/>
              <w:rPr>
                <w:b/>
                <w:sz w:val="12"/>
              </w:rPr>
            </w:pPr>
            <w:r w:rsidRPr="00462A12">
              <w:rPr>
                <w:b/>
                <w:sz w:val="12"/>
              </w:rPr>
              <w:t xml:space="preserve">De </w:t>
            </w:r>
            <w:proofErr w:type="spellStart"/>
            <w:r w:rsidRPr="00462A12">
              <w:rPr>
                <w:b/>
                <w:sz w:val="12"/>
              </w:rPr>
              <w:t>elección</w:t>
            </w:r>
            <w:proofErr w:type="spellEnd"/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BE0E3"/>
          </w:tcPr>
          <w:p w:rsidR="00DA57E8" w:rsidRPr="00462A12" w:rsidRDefault="00DA57E8" w:rsidP="00C03707">
            <w:pPr>
              <w:pStyle w:val="TableParagraph"/>
              <w:spacing w:before="71"/>
              <w:ind w:left="702"/>
              <w:rPr>
                <w:b/>
                <w:sz w:val="12"/>
              </w:rPr>
            </w:pPr>
            <w:proofErr w:type="spellStart"/>
            <w:r w:rsidRPr="00462A12">
              <w:rPr>
                <w:b/>
                <w:sz w:val="12"/>
              </w:rPr>
              <w:t>Alergia</w:t>
            </w:r>
            <w:proofErr w:type="spellEnd"/>
            <w:r w:rsidRPr="00462A12">
              <w:rPr>
                <w:b/>
                <w:sz w:val="12"/>
              </w:rPr>
              <w:t xml:space="preserve"> </w:t>
            </w:r>
            <w:proofErr w:type="spellStart"/>
            <w:r w:rsidRPr="00462A12">
              <w:rPr>
                <w:b/>
                <w:sz w:val="12"/>
              </w:rPr>
              <w:t>betalactámicos</w:t>
            </w:r>
            <w:proofErr w:type="spellEnd"/>
          </w:p>
        </w:tc>
      </w:tr>
      <w:tr w:rsidR="00DA57E8" w:rsidTr="00C03707">
        <w:trPr>
          <w:trHeight w:val="367"/>
        </w:trPr>
        <w:tc>
          <w:tcPr>
            <w:tcW w:w="26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9966"/>
          </w:tcPr>
          <w:p w:rsidR="00DA57E8" w:rsidRDefault="00DA57E8" w:rsidP="00C03707">
            <w:pPr>
              <w:pStyle w:val="TableParagraph"/>
              <w:spacing w:before="3"/>
              <w:ind w:left="0"/>
              <w:rPr>
                <w:rFonts w:ascii="Calibri"/>
                <w:sz w:val="11"/>
              </w:rPr>
            </w:pPr>
          </w:p>
          <w:p w:rsidR="00DA57E8" w:rsidRDefault="00DA57E8" w:rsidP="00C03707">
            <w:pPr>
              <w:pStyle w:val="TableParagraph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CARBAPENEM + AMIKACINA**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9966"/>
          </w:tcPr>
          <w:p w:rsidR="00DA57E8" w:rsidRPr="00462A12" w:rsidRDefault="00DA57E8" w:rsidP="00C03707">
            <w:pPr>
              <w:pStyle w:val="TableParagraph"/>
              <w:spacing w:before="65"/>
              <w:ind w:left="541"/>
              <w:rPr>
                <w:b/>
                <w:sz w:val="10"/>
                <w:lang w:val="es-ES"/>
              </w:rPr>
            </w:pPr>
            <w:r w:rsidRPr="00462A12">
              <w:rPr>
                <w:b/>
                <w:sz w:val="10"/>
                <w:lang w:val="es-ES"/>
              </w:rPr>
              <w:t>AZTREONAM + AMIKACINA**</w:t>
            </w:r>
          </w:p>
          <w:p w:rsidR="00DA57E8" w:rsidRPr="00462A12" w:rsidRDefault="00DA57E8" w:rsidP="00C03707">
            <w:pPr>
              <w:pStyle w:val="TableParagraph"/>
              <w:spacing w:before="25"/>
              <w:ind w:left="506"/>
              <w:rPr>
                <w:b/>
                <w:sz w:val="10"/>
                <w:lang w:val="es-ES"/>
              </w:rPr>
            </w:pPr>
            <w:r w:rsidRPr="00462A12">
              <w:rPr>
                <w:b/>
                <w:sz w:val="10"/>
                <w:lang w:val="es-ES"/>
              </w:rPr>
              <w:t>+ VANCOMICINA* O LINEZOLID</w:t>
            </w:r>
          </w:p>
        </w:tc>
      </w:tr>
    </w:tbl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DA57E8" w:rsidRDefault="00DA57E8" w:rsidP="00DA57E8">
      <w:pPr>
        <w:spacing w:after="140" w:line="360" w:lineRule="auto"/>
        <w:jc w:val="both"/>
        <w:rPr>
          <w:b/>
          <w:bCs/>
          <w:szCs w:val="24"/>
          <w:u w:val="single"/>
        </w:rPr>
      </w:pPr>
    </w:p>
    <w:p w:rsidR="00452499" w:rsidRPr="00DA57E8" w:rsidRDefault="00452499"/>
    <w:sectPr w:rsidR="00452499" w:rsidRPr="00DA57E8" w:rsidSect="0045249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7D5" w:rsidRDefault="007907D5" w:rsidP="007907D5">
      <w:pPr>
        <w:spacing w:after="0" w:line="240" w:lineRule="auto"/>
      </w:pPr>
      <w:r>
        <w:separator/>
      </w:r>
    </w:p>
  </w:endnote>
  <w:endnote w:type="continuationSeparator" w:id="0">
    <w:p w:rsidR="007907D5" w:rsidRDefault="007907D5" w:rsidP="0079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5313011"/>
      <w:docPartObj>
        <w:docPartGallery w:val="Page Numbers (Bottom of Page)"/>
        <w:docPartUnique/>
      </w:docPartObj>
    </w:sdtPr>
    <w:sdtContent>
      <w:p w:rsidR="007907D5" w:rsidRDefault="007907D5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907D5" w:rsidRDefault="007907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7D5" w:rsidRDefault="007907D5" w:rsidP="007907D5">
      <w:pPr>
        <w:spacing w:after="0" w:line="240" w:lineRule="auto"/>
      </w:pPr>
      <w:r>
        <w:separator/>
      </w:r>
    </w:p>
  </w:footnote>
  <w:footnote w:type="continuationSeparator" w:id="0">
    <w:p w:rsidR="007907D5" w:rsidRDefault="007907D5" w:rsidP="00790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8D4"/>
    <w:multiLevelType w:val="hybridMultilevel"/>
    <w:tmpl w:val="4356B5AE"/>
    <w:lvl w:ilvl="0" w:tplc="DAC43406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7AF02D9C"/>
    <w:multiLevelType w:val="hybridMultilevel"/>
    <w:tmpl w:val="E1007E56"/>
    <w:lvl w:ilvl="0" w:tplc="9BC429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7E8"/>
    <w:rsid w:val="00436198"/>
    <w:rsid w:val="00452499"/>
    <w:rsid w:val="007907D5"/>
    <w:rsid w:val="00821BF6"/>
    <w:rsid w:val="00DA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E8"/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DA57E8"/>
  </w:style>
  <w:style w:type="paragraph" w:styleId="Prrafodelista">
    <w:name w:val="List Paragraph"/>
    <w:basedOn w:val="Normal"/>
    <w:uiPriority w:val="99"/>
    <w:qFormat/>
    <w:rsid w:val="00DA57E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5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A57E8"/>
    <w:pPr>
      <w:widowControl w:val="0"/>
      <w:autoSpaceDE w:val="0"/>
      <w:autoSpaceDN w:val="0"/>
      <w:spacing w:after="0" w:line="240" w:lineRule="auto"/>
    </w:pPr>
    <w:rPr>
      <w:rFonts w:eastAsia="Calibri"/>
      <w:sz w:val="10"/>
      <w:szCs w:val="10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E8"/>
    <w:rPr>
      <w:rFonts w:ascii="Calibri" w:eastAsia="Calibri" w:hAnsi="Calibri" w:cs="Calibri"/>
      <w:sz w:val="10"/>
      <w:szCs w:val="10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A57E8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lang w:bidi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90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07D5"/>
    <w:rPr>
      <w:rFonts w:ascii="Calibri" w:eastAsia="Times New Roman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0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7D5"/>
    <w:rPr>
      <w:rFonts w:ascii="Calibri" w:eastAsia="Times New Roman" w:hAnsi="Calibri" w:cs="Calibr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1842</Characters>
  <Application>Microsoft Office Word</Application>
  <DocSecurity>0</DocSecurity>
  <Lines>15</Lines>
  <Paragraphs>4</Paragraphs>
  <ScaleCrop>false</ScaleCrop>
  <Company>Unión Radio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alu.00000</dc:creator>
  <cp:lastModifiedBy>alu.00000</cp:lastModifiedBy>
  <cp:revision>3</cp:revision>
  <dcterms:created xsi:type="dcterms:W3CDTF">2020-05-14T16:23:00Z</dcterms:created>
  <dcterms:modified xsi:type="dcterms:W3CDTF">2020-05-14T16:51:00Z</dcterms:modified>
</cp:coreProperties>
</file>