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52" w:rsidRDefault="00660F52">
      <w:pPr>
        <w:spacing w:line="276" w:lineRule="auto"/>
        <w:ind w:firstLine="0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APPENDIX A. SUPPLEMENTARY TABLES</w:t>
      </w:r>
    </w:p>
    <w:p w:rsidR="00660F52" w:rsidRDefault="00660F52">
      <w:pPr>
        <w:spacing w:line="276" w:lineRule="au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Table A1</w:t>
      </w:r>
      <w:r>
        <w:rPr>
          <w:rFonts w:ascii="Arial" w:hAnsi="Arial" w:cs="Arial"/>
          <w:sz w:val="20"/>
          <w:szCs w:val="20"/>
          <w:lang w:val="en-US"/>
        </w:rPr>
        <w:t>.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 Grouping of chronic conditions. Modified Magnan criteria</w:t>
      </w:r>
    </w:p>
    <w:tbl>
      <w:tblPr>
        <w:tblW w:w="0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2537"/>
        <w:gridCol w:w="5364"/>
      </w:tblGrid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CCS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s-ES"/>
              </w:rPr>
              <w:t>Names of Chronic Condition Categories (Magnan modified)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Acute myocardial infarction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92;93;94;124;126;134;253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Allergy, ENT and other upper resp disorders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59;62;64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Anemia and other non-cancer heme disorders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Aneurysm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651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Anxiety disorders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Asthma 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Back problem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652;654;655;656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Behavior disorders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Benign neoplasm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Benign prostatic hypertrophy (BPH)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167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Breast non-cancer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97;104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Cardiomyopathy and Structural Heart Disease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109;110;111;112;113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Cerebrovascular Disease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Chronic Hepatitis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8;252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Chronic Infectious and Parasitic Diseases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Chronic Liver Disease (excluding chronic hepatitis)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Chronic obstructive pulmonary disease and bronchiectasis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Chronic pancreatitis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157;158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Chronic renal failure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198;199;200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Chronic skin ulcer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105;106;107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Conduction disorder or cardiac dysrhythmia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Congenital Heart Disease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Congestive heart failure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Coronary atherosclerosis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Cystic fibrosis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86;87;88;89;90;91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Degenerative eye problem (glauc/eye)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dental and mouth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49;50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Diabetes mellitus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144;146;149;154;155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Diverticulosis, diverticulitis, enterocolitis, intestinal malabsorption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83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Epilepsy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138;139;140;141;153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Esophageal disorder and GI ulcers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168;169;170;171;175;181;183;186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Female infertitlity and GU anatomic disorders (eg prolapse, endometriosis)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Gout or other crystal arthropathy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Heart valve disorder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Human immunodeficiency virus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Hyperlipidemia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98;99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Hypertension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57;63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Immunity disorder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156;159;161;162;163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Kidney and Vesicoureteral Disorders (excluding renal failure)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Lupus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165;166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Male GU excluding BPH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11 to 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Malignant neoplasm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52;58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Malnutrition-obesity-includes disorders of metabolism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Menopause and perimenoapuse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84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Migraines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670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Miscellaneous mental disorders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650;657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Mood disorders (bipolar an depressive disorders) and depression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Multiple sclerosis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214;215;216;217;224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Non-cardiac congenital disorder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117;121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Non-thrombotic, non-athlerosclerotic vascular disease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653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Organic brain problem (dementia)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203;204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Osteoarthritis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77;78;81;85;95;227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Other central and peripheral nervous system disorders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122;130;131;132;133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Other chronic lung disease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48;51;174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Other endocrine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201;206;208;209;211;212;225;236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Other musculoskeletal including osteoporosis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Paralysis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Parkinson's disease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114;247;248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Peripheral atherosclerosis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658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Personality disorder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Pulmonary heart disease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Residual codes; unclassified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Rheumatoid arthritis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659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Schizophrenia and Psychotic Disorders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663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Screening and history of mental health and substance abuse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Sickle cell anemia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7;9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STI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660;661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Substance-use Disorders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116;118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Thrombosis and Embolism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Tuberculosis</w:t>
            </w:r>
          </w:p>
        </w:tc>
      </w:tr>
    </w:tbl>
    <w:p w:rsidR="00660F52" w:rsidRDefault="00660F52">
      <w:pPr>
        <w:spacing w:line="276" w:lineRule="auto"/>
        <w:ind w:firstLine="0"/>
        <w:rPr>
          <w:rFonts w:cs="Times New Roman"/>
        </w:rPr>
      </w:pPr>
    </w:p>
    <w:p w:rsidR="00660F52" w:rsidRDefault="00660F52">
      <w:pPr>
        <w:spacing w:line="276" w:lineRule="auto"/>
        <w:ind w:firstLine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Table A2</w:t>
      </w:r>
      <w:r>
        <w:rPr>
          <w:rFonts w:ascii="Arial" w:hAnsi="Arial" w:cs="Arial"/>
          <w:sz w:val="20"/>
          <w:szCs w:val="20"/>
          <w:lang w:val="en-US"/>
        </w:rPr>
        <w:t>. The fifteen most prevalent chronic diseases at time of index discharge (N=15,109)</w:t>
      </w:r>
    </w:p>
    <w:tbl>
      <w:tblPr>
        <w:tblW w:w="7013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5839"/>
        <w:gridCol w:w="587"/>
        <w:gridCol w:w="587"/>
      </w:tblGrid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  <w:t>Chronic disease categories (Magnan; see Table A1)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N 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%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Hypertension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12355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81.8%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Conduction disorder or cardiac dysrhythmia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10333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68.4%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Hyperlipidemia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7199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47.6%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Heart valve disorder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5891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39.0%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Diabetes mellitus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5723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37.9%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Coronary atherosclerosis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4302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28.5%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Chronic renal failure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4235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28.0%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Degenerative eye problem (glauc/eye)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3955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26.2%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Cardiomyopathy and Structural Heart Disease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3434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22.7%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Osteoarthritis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3274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21.7%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 xml:space="preserve">Other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musculoskeletal 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including osteoporosis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3286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21.7%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Pulmonary heart disease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3265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21.6%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Chronic obstructive pulmonary disease and bronchiectasis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3231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21.4%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Malnutrition-obesity-includes disorders of metabolism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3092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20.5%</w:t>
            </w:r>
          </w:p>
        </w:tc>
      </w:tr>
      <w:tr w:rsidR="00660F52">
        <w:trPr>
          <w:trHeight w:val="17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Cerebrovascular Disease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2615</w:t>
            </w:r>
          </w:p>
        </w:tc>
        <w:tc>
          <w:tcPr>
            <w:tcW w:w="587" w:type="dxa"/>
            <w:tcBorders>
              <w:top w:val="single" w:sz="6" w:space="0" w:color="CCCCCC"/>
              <w:left w:val="single" w:sz="6" w:space="0" w:color="CCCCCC"/>
              <w:bottom w:val="single" w:sz="6" w:space="0" w:color="B7B7B7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17.3%</w:t>
            </w:r>
          </w:p>
        </w:tc>
      </w:tr>
    </w:tbl>
    <w:p w:rsidR="00660F52" w:rsidRDefault="00660F52">
      <w:pPr>
        <w:spacing w:line="276" w:lineRule="auto"/>
        <w:ind w:firstLine="0"/>
        <w:rPr>
          <w:rFonts w:ascii="Arial" w:hAnsi="Arial" w:cs="Arial"/>
          <w:sz w:val="20"/>
          <w:szCs w:val="20"/>
          <w:lang w:val="en-US"/>
        </w:rPr>
      </w:pPr>
    </w:p>
    <w:p w:rsidR="00660F52" w:rsidRDefault="00660F52">
      <w:pPr>
        <w:spacing w:line="276" w:lineRule="auto"/>
        <w:ind w:firstLine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 w:type="page"/>
      </w:r>
    </w:p>
    <w:p w:rsidR="00660F52" w:rsidRDefault="00660F52">
      <w:pPr>
        <w:spacing w:line="276" w:lineRule="auto"/>
        <w:ind w:firstLine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Table A3</w:t>
      </w:r>
      <w:r>
        <w:rPr>
          <w:rFonts w:ascii="Arial" w:hAnsi="Arial" w:cs="Arial"/>
          <w:sz w:val="20"/>
          <w:szCs w:val="20"/>
          <w:lang w:val="en-US"/>
        </w:rPr>
        <w:t>. Baseline characteristics (age and Charlson index) at time of first discharge after admission for heart failure by year</w:t>
      </w:r>
    </w:p>
    <w:tbl>
      <w:tblPr>
        <w:tblW w:w="9181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2313"/>
        <w:gridCol w:w="1144"/>
        <w:gridCol w:w="1145"/>
        <w:gridCol w:w="1145"/>
        <w:gridCol w:w="1144"/>
        <w:gridCol w:w="1145"/>
        <w:gridCol w:w="1145"/>
      </w:tblGrid>
      <w:tr w:rsidR="00660F52">
        <w:trPr>
          <w:trHeight w:val="321"/>
        </w:trPr>
        <w:tc>
          <w:tcPr>
            <w:tcW w:w="231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20"/>
                <w:szCs w:val="20"/>
                <w:lang w:val="en-US" w:eastAsia="es-ES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2011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2012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2013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2014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s-ES"/>
              </w:rPr>
              <w:t>2015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eastAsia="es-ES"/>
              </w:rPr>
            </w:pPr>
            <w:r>
              <w:rPr>
                <w:rFonts w:ascii="Arial" w:hAnsi="Arial" w:cs="Arial"/>
                <w:sz w:val="20"/>
                <w:szCs w:val="20"/>
                <w:lang w:eastAsia="es-ES"/>
              </w:rPr>
              <w:t>p-trend*</w:t>
            </w:r>
          </w:p>
        </w:tc>
      </w:tr>
      <w:tr w:rsidR="00660F52">
        <w:trPr>
          <w:trHeight w:val="321"/>
        </w:trPr>
        <w:tc>
          <w:tcPr>
            <w:tcW w:w="2313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  <w:t>Age at discharge</w:t>
            </w: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,</w:t>
            </w:r>
          </w:p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 xml:space="preserve"> mean ± SD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79.4 ± 10.4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80 ± 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80.1 ± 10.2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80.3 ± 10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80.8 ± 9.9</w:t>
            </w:r>
          </w:p>
        </w:tc>
        <w:tc>
          <w:tcPr>
            <w:tcW w:w="1145" w:type="dxa"/>
            <w:tcBorders>
              <w:top w:val="single" w:sz="6" w:space="0" w:color="auto"/>
              <w:left w:val="single" w:sz="6" w:space="0" w:color="CCCCCC"/>
              <w:bottom w:val="single" w:sz="6" w:space="0" w:color="000000"/>
              <w:right w:val="single" w:sz="6" w:space="0" w:color="auto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1.83E-07</w:t>
            </w:r>
          </w:p>
        </w:tc>
      </w:tr>
      <w:tr w:rsidR="00660F52">
        <w:trPr>
          <w:trHeight w:val="321"/>
        </w:trPr>
        <w:tc>
          <w:tcPr>
            <w:tcW w:w="231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Died during hospitalization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83.8 ± 9.3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85.1 ± 8.7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84.5 ± 8.4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84.5 ± 9.7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86.1 ± 7.9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0.0294</w:t>
            </w:r>
          </w:p>
        </w:tc>
      </w:tr>
      <w:tr w:rsidR="00660F52">
        <w:trPr>
          <w:trHeight w:val="321"/>
        </w:trPr>
        <w:tc>
          <w:tcPr>
            <w:tcW w:w="23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Alive at discharge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79.1 ± 10.4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79.6 ± 9.9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79.7 ± 10.3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80,0 ± 10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80.4 ± 9.9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6.56E-07</w:t>
            </w:r>
          </w:p>
        </w:tc>
      </w:tr>
      <w:tr w:rsidR="00660F52">
        <w:trPr>
          <w:trHeight w:val="321"/>
        </w:trPr>
        <w:tc>
          <w:tcPr>
            <w:tcW w:w="231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Men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76.7 ± 10.9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77.4 ± 10.5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77.4 ± 10.9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77.7 ± 10.3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78.2 ± 10.4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5.35E-05</w:t>
            </w:r>
          </w:p>
        </w:tc>
      </w:tr>
      <w:tr w:rsidR="00660F52">
        <w:trPr>
          <w:trHeight w:val="321"/>
        </w:trPr>
        <w:tc>
          <w:tcPr>
            <w:tcW w:w="23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Women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82.1 ± 9.2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82.4 ± 8.8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82.7 ± 8.8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82.7 ± 9,0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83.2 ± 8.7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5.42E-04</w:t>
            </w:r>
          </w:p>
        </w:tc>
      </w:tr>
      <w:tr w:rsidR="00660F52">
        <w:trPr>
          <w:trHeight w:val="321"/>
        </w:trPr>
        <w:tc>
          <w:tcPr>
            <w:tcW w:w="23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  <w:t xml:space="preserve">Overall Charlson Index, </w:t>
            </w: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mean ± SD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 ± 2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3.1 ± 1.9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3.1 ± 2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3.2 ± 2.1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3.3 ± 2.1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auto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2.89E-07</w:t>
            </w:r>
          </w:p>
        </w:tc>
      </w:tr>
      <w:tr w:rsidR="00660F52">
        <w:trPr>
          <w:trHeight w:val="321"/>
        </w:trPr>
        <w:tc>
          <w:tcPr>
            <w:tcW w:w="231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Died during hospitalization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3.7 ± 2.4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3.5 ± 2.2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4 ± 2.7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4 ± 2.6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3.9 ± 2.4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0.0377</w:t>
            </w:r>
          </w:p>
        </w:tc>
      </w:tr>
      <w:tr w:rsidR="00660F52">
        <w:trPr>
          <w:trHeight w:val="321"/>
        </w:trPr>
        <w:tc>
          <w:tcPr>
            <w:tcW w:w="23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Alive at discharge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3,0 ± 1.9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3.1 ± 1.9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3.1 ± 2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3.1 ± 2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3.2 ± 2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1.62E-06</w:t>
            </w:r>
          </w:p>
        </w:tc>
      </w:tr>
      <w:tr w:rsidR="00660F52">
        <w:trPr>
          <w:trHeight w:val="321"/>
        </w:trPr>
        <w:tc>
          <w:tcPr>
            <w:tcW w:w="2313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Men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3.3 ± 2.1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3.5 ± 2.1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3.5 ± 2.2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3.6 ± 2.2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3.7 ± 2.2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7.70E-05</w:t>
            </w:r>
          </w:p>
        </w:tc>
      </w:tr>
      <w:tr w:rsidR="00660F52">
        <w:trPr>
          <w:trHeight w:val="321"/>
        </w:trPr>
        <w:tc>
          <w:tcPr>
            <w:tcW w:w="231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Women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2.7 ± 1.8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2.7 ± 1.7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2.7 ± 1.7</w:t>
            </w:r>
          </w:p>
        </w:tc>
        <w:tc>
          <w:tcPr>
            <w:tcW w:w="114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2.8 ± 1.8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2.9 ± 1.8</w:t>
            </w:r>
          </w:p>
        </w:tc>
        <w:tc>
          <w:tcPr>
            <w:tcW w:w="11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4.87E-04</w:t>
            </w:r>
          </w:p>
        </w:tc>
      </w:tr>
    </w:tbl>
    <w:p w:rsidR="00660F52" w:rsidRDefault="00660F52">
      <w:pPr>
        <w:spacing w:line="240" w:lineRule="auto"/>
        <w:ind w:firstLine="0"/>
        <w:rPr>
          <w:rFonts w:ascii="Arial" w:hAnsi="Arial" w:cs="Arial"/>
          <w:sz w:val="16"/>
          <w:szCs w:val="16"/>
          <w:lang w:val="en-US" w:eastAsia="es-ES"/>
        </w:rPr>
      </w:pPr>
      <w:r>
        <w:rPr>
          <w:rFonts w:ascii="Arial" w:hAnsi="Arial" w:cs="Arial"/>
          <w:sz w:val="16"/>
          <w:szCs w:val="16"/>
          <w:lang w:val="en-US" w:eastAsia="es-ES"/>
        </w:rPr>
        <w:t>*Linear model with age as the dependant variable and year (numerical) as the independent variable. (N = 16272 patients).</w:t>
      </w:r>
    </w:p>
    <w:p w:rsidR="00660F52" w:rsidRDefault="00660F52">
      <w:pPr>
        <w:spacing w:after="0" w:line="240" w:lineRule="auto"/>
        <w:ind w:firstLine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p-trend: a summary statistic for trends over time. P-trend  was calculated including calendar year as a continuous variable in the models</w:t>
      </w:r>
    </w:p>
    <w:p w:rsidR="00660F52" w:rsidRDefault="00660F52">
      <w:pPr>
        <w:spacing w:line="276" w:lineRule="auto"/>
        <w:ind w:firstLine="0"/>
        <w:rPr>
          <w:rFonts w:cs="Times New Roman"/>
          <w:sz w:val="16"/>
          <w:szCs w:val="16"/>
          <w:lang w:val="en-US"/>
        </w:rPr>
      </w:pPr>
    </w:p>
    <w:p w:rsidR="00660F52" w:rsidRDefault="00660F52">
      <w:pPr>
        <w:spacing w:line="276" w:lineRule="auto"/>
        <w:ind w:firstLine="0"/>
        <w:rPr>
          <w:rFonts w:ascii="Arial" w:hAnsi="Arial" w:cs="Arial"/>
          <w:sz w:val="20"/>
          <w:szCs w:val="20"/>
          <w:lang w:val="en-US"/>
        </w:rPr>
      </w:pPr>
    </w:p>
    <w:p w:rsidR="00660F52" w:rsidRDefault="00660F52">
      <w:pPr>
        <w:spacing w:line="276" w:lineRule="auto"/>
        <w:ind w:firstLine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Table A4.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Incidence of </w:t>
      </w:r>
      <w:r>
        <w:rPr>
          <w:rFonts w:ascii="Arial" w:hAnsi="Arial" w:cs="Arial"/>
          <w:sz w:val="20"/>
          <w:szCs w:val="20"/>
          <w:lang w:val="en-US"/>
        </w:rPr>
        <w:t>heart failure</w:t>
      </w:r>
      <w:r>
        <w:rPr>
          <w:rFonts w:ascii="Arial" w:hAnsi="Arial" w:cs="Arial"/>
          <w:color w:val="000000"/>
          <w:sz w:val="20"/>
          <w:szCs w:val="20"/>
          <w:lang w:val="en-US"/>
        </w:rPr>
        <w:t>. Statistics of variation</w:t>
      </w:r>
    </w:p>
    <w:tbl>
      <w:tblPr>
        <w:tblW w:w="9084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1132"/>
        <w:gridCol w:w="1855"/>
        <w:gridCol w:w="609"/>
        <w:gridCol w:w="609"/>
        <w:gridCol w:w="609"/>
        <w:gridCol w:w="611"/>
        <w:gridCol w:w="610"/>
        <w:gridCol w:w="609"/>
        <w:gridCol w:w="611"/>
        <w:gridCol w:w="609"/>
        <w:gridCol w:w="609"/>
        <w:gridCol w:w="611"/>
      </w:tblGrid>
      <w:tr w:rsidR="00660F52">
        <w:trPr>
          <w:cantSplit/>
          <w:trHeight w:val="321"/>
        </w:trPr>
        <w:tc>
          <w:tcPr>
            <w:tcW w:w="2987" w:type="dxa"/>
            <w:gridSpan w:val="2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FF"/>
                <w:sz w:val="16"/>
                <w:szCs w:val="16"/>
                <w:lang w:val="en-US" w:eastAsia="es-ES"/>
              </w:rPr>
            </w:pPr>
          </w:p>
        </w:tc>
        <w:tc>
          <w:tcPr>
            <w:tcW w:w="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Women</w:t>
            </w:r>
          </w:p>
        </w:tc>
        <w:tc>
          <w:tcPr>
            <w:tcW w:w="30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Men</w:t>
            </w:r>
          </w:p>
        </w:tc>
      </w:tr>
      <w:tr w:rsidR="00660F52">
        <w:trPr>
          <w:cantSplit/>
          <w:trHeight w:val="321"/>
        </w:trPr>
        <w:tc>
          <w:tcPr>
            <w:tcW w:w="2987" w:type="dxa"/>
            <w:gridSpan w:val="2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2014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2015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2011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2012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2013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2014</w:t>
            </w:r>
          </w:p>
        </w:tc>
        <w:tc>
          <w:tcPr>
            <w:tcW w:w="611" w:type="dxa"/>
            <w:tcBorders>
              <w:top w:val="single" w:sz="6" w:space="0" w:color="auto"/>
              <w:left w:val="single" w:sz="6" w:space="0" w:color="CCCCCC"/>
              <w:bottom w:val="single" w:sz="6" w:space="0" w:color="000000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2015</w:t>
            </w:r>
          </w:p>
        </w:tc>
      </w:tr>
      <w:tr w:rsidR="00660F52">
        <w:trPr>
          <w:cantSplit/>
          <w:trHeight w:val="321"/>
        </w:trPr>
        <w:tc>
          <w:tcPr>
            <w:tcW w:w="113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Rates </w:t>
            </w:r>
          </w:p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(Overall)</w:t>
            </w:r>
          </w:p>
        </w:tc>
        <w:tc>
          <w:tcPr>
            <w:tcW w:w="1855" w:type="dxa"/>
            <w:tcBorders>
              <w:top w:val="single" w:sz="6" w:space="0" w:color="auto"/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Incidence, crude rate, per 1000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2.51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2.73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2.56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2.61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2.9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2.86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2.88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2.84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2.96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3.13</w:t>
            </w:r>
          </w:p>
        </w:tc>
      </w:tr>
      <w:tr w:rsidR="00660F52">
        <w:trPr>
          <w:cantSplit/>
          <w:trHeight w:val="321"/>
        </w:trPr>
        <w:tc>
          <w:tcPr>
            <w:tcW w:w="1132" w:type="dxa"/>
            <w:vMerge/>
            <w:tcBorders>
              <w:top w:val="nil"/>
              <w:left w:val="single" w:sz="6" w:space="0" w:color="auto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8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Incidence, standardized rate, per 1000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auto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2.26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2.42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2.23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2.23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2.45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3.64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3.66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3.54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3.63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3.8</w:t>
            </w:r>
          </w:p>
        </w:tc>
      </w:tr>
      <w:tr w:rsidR="00660F52">
        <w:trPr>
          <w:cantSplit/>
          <w:trHeight w:val="321"/>
        </w:trPr>
        <w:tc>
          <w:tcPr>
            <w:tcW w:w="1132" w:type="dxa"/>
            <w:vMerge w:val="restart"/>
            <w:tcBorders>
              <w:top w:val="single" w:sz="6" w:space="0" w:color="CCCCCC"/>
              <w:left w:val="single" w:sz="6" w:space="0" w:color="auto"/>
              <w:bottom w:val="nil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Statistics of variation</w:t>
            </w:r>
          </w:p>
        </w:tc>
        <w:tc>
          <w:tcPr>
            <w:tcW w:w="1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de-DE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es-ES"/>
              </w:rPr>
              <w:t>Max. standardized rate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auto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de-DE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es-ES"/>
              </w:rPr>
              <w:t>2.81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de-DE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es-ES"/>
              </w:rPr>
              <w:t>2.72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de-DE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es-ES"/>
              </w:rPr>
              <w:t>2.40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de-DE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es-ES"/>
              </w:rPr>
              <w:t>2.71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de-DE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es-ES"/>
              </w:rPr>
              <w:t>3.01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de-DE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es-ES"/>
              </w:rPr>
              <w:t>4.20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de-DE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es-ES"/>
              </w:rPr>
              <w:t>4.30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de-DE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es-ES"/>
              </w:rPr>
              <w:t>4.08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de-DE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es-ES"/>
              </w:rPr>
              <w:t>4.31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de-DE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es-ES"/>
              </w:rPr>
              <w:t>4.26</w:t>
            </w:r>
          </w:p>
        </w:tc>
      </w:tr>
      <w:tr w:rsidR="00660F52">
        <w:trPr>
          <w:cantSplit/>
          <w:trHeight w:val="321"/>
        </w:trPr>
        <w:tc>
          <w:tcPr>
            <w:tcW w:w="113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de-DE" w:eastAsia="es-ES"/>
              </w:rPr>
            </w:pPr>
          </w:p>
        </w:tc>
        <w:tc>
          <w:tcPr>
            <w:tcW w:w="1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de-DE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es-ES"/>
              </w:rPr>
              <w:t>Min. standardized rate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auto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de-DE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es-ES"/>
              </w:rPr>
              <w:t>1.77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de-DE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es-ES"/>
              </w:rPr>
              <w:t>2.04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de-DE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es-ES"/>
              </w:rPr>
              <w:t>1.20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de-DE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es-ES"/>
              </w:rPr>
              <w:t>1.39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de-DE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es-ES"/>
              </w:rPr>
              <w:t>1.88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de-DE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es-ES"/>
              </w:rPr>
              <w:t>3.00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de-DE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es-ES"/>
              </w:rPr>
              <w:t>2.39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de-DE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es-ES"/>
              </w:rPr>
              <w:t>1.96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de-DE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es-ES"/>
              </w:rPr>
              <w:t>2.17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de-DE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es-ES"/>
              </w:rPr>
              <w:t>2.86</w:t>
            </w:r>
          </w:p>
        </w:tc>
      </w:tr>
      <w:tr w:rsidR="00660F52">
        <w:trPr>
          <w:cantSplit/>
          <w:trHeight w:val="321"/>
        </w:trPr>
        <w:tc>
          <w:tcPr>
            <w:tcW w:w="113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de-DE" w:eastAsia="es-ES"/>
              </w:rPr>
            </w:pPr>
          </w:p>
        </w:tc>
        <w:tc>
          <w:tcPr>
            <w:tcW w:w="1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de-DE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de-DE" w:eastAsia="es-ES"/>
              </w:rPr>
              <w:t>Variation Ratio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auto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1.59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1.34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1.99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1.95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1.60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1.40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1.80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2.09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1.99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1.49</w:t>
            </w:r>
          </w:p>
        </w:tc>
      </w:tr>
      <w:tr w:rsidR="00660F52">
        <w:trPr>
          <w:cantSplit/>
          <w:trHeight w:val="321"/>
        </w:trPr>
        <w:tc>
          <w:tcPr>
            <w:tcW w:w="113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855" w:type="dxa"/>
            <w:tcBorders>
              <w:top w:val="single" w:sz="6" w:space="0" w:color="CCCCCC"/>
              <w:left w:val="single" w:sz="6" w:space="0" w:color="CCCCCC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Systematic component of variation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auto"/>
              <w:bottom w:val="single" w:sz="6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0.06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0.04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0.09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0.08</w:t>
            </w:r>
          </w:p>
        </w:tc>
        <w:tc>
          <w:tcPr>
            <w:tcW w:w="610" w:type="dxa"/>
            <w:tcBorders>
              <w:top w:val="single" w:sz="6" w:space="0" w:color="CCCCCC"/>
              <w:left w:val="single" w:sz="6" w:space="0" w:color="CCCCCC"/>
              <w:bottom w:val="single" w:sz="6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0.04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0.05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0.07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0.06</w:t>
            </w:r>
          </w:p>
        </w:tc>
        <w:tc>
          <w:tcPr>
            <w:tcW w:w="609" w:type="dxa"/>
            <w:tcBorders>
              <w:top w:val="single" w:sz="6" w:space="0" w:color="CCCCCC"/>
              <w:left w:val="single" w:sz="6" w:space="0" w:color="CCCCCC"/>
              <w:bottom w:val="single" w:sz="6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0.05</w:t>
            </w:r>
          </w:p>
        </w:tc>
        <w:tc>
          <w:tcPr>
            <w:tcW w:w="611" w:type="dxa"/>
            <w:tcBorders>
              <w:top w:val="single" w:sz="6" w:space="0" w:color="CCCCCC"/>
              <w:left w:val="single" w:sz="6" w:space="0" w:color="CCCCCC"/>
              <w:bottom w:val="single" w:sz="6" w:space="0" w:color="auto"/>
              <w:right w:val="single" w:sz="6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0.07</w:t>
            </w:r>
          </w:p>
        </w:tc>
      </w:tr>
    </w:tbl>
    <w:p w:rsidR="00660F52" w:rsidRDefault="00660F52">
      <w:pPr>
        <w:spacing w:line="276" w:lineRule="auto"/>
        <w:ind w:firstLine="0"/>
        <w:rPr>
          <w:rFonts w:ascii="Arial" w:hAnsi="Arial" w:cs="Arial"/>
          <w:sz w:val="18"/>
          <w:szCs w:val="18"/>
        </w:rPr>
        <w:sectPr w:rsidR="00660F52">
          <w:pgSz w:w="11906" w:h="16838"/>
          <w:pgMar w:top="1417" w:right="1701" w:bottom="1417" w:left="1701" w:header="0" w:footer="720" w:gutter="0"/>
          <w:pgNumType w:start="1"/>
          <w:cols w:space="720"/>
          <w:docGrid w:linePitch="326"/>
        </w:sectPr>
      </w:pPr>
    </w:p>
    <w:p w:rsidR="00660F52" w:rsidRDefault="00660F52">
      <w:pPr>
        <w:spacing w:line="276" w:lineRule="auto"/>
        <w:ind w:firstLine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b/>
          <w:bCs/>
          <w:sz w:val="18"/>
          <w:szCs w:val="18"/>
          <w:lang w:val="en-US"/>
        </w:rPr>
        <w:t>Table A5</w:t>
      </w:r>
      <w:r>
        <w:rPr>
          <w:rFonts w:ascii="Arial" w:hAnsi="Arial" w:cs="Arial"/>
          <w:sz w:val="18"/>
          <w:szCs w:val="18"/>
          <w:lang w:val="en-US"/>
        </w:rPr>
        <w:t>.  Classification of unplanned hospitalizations after index discharge by primary diagnosis</w:t>
      </w:r>
    </w:p>
    <w:tbl>
      <w:tblPr>
        <w:tblW w:w="14925" w:type="dxa"/>
        <w:tblInd w:w="-68" w:type="dxa"/>
        <w:tblCellMar>
          <w:left w:w="70" w:type="dxa"/>
          <w:right w:w="70" w:type="dxa"/>
        </w:tblCellMar>
        <w:tblLook w:val="0000"/>
      </w:tblPr>
      <w:tblGrid>
        <w:gridCol w:w="7590"/>
        <w:gridCol w:w="160"/>
        <w:gridCol w:w="1055"/>
        <w:gridCol w:w="185"/>
        <w:gridCol w:w="1030"/>
        <w:gridCol w:w="92"/>
        <w:gridCol w:w="1168"/>
        <w:gridCol w:w="1200"/>
        <w:gridCol w:w="15"/>
        <w:gridCol w:w="1185"/>
        <w:gridCol w:w="30"/>
        <w:gridCol w:w="1170"/>
        <w:gridCol w:w="45"/>
      </w:tblGrid>
      <w:tr w:rsidR="00660F52">
        <w:trPr>
          <w:gridAfter w:val="1"/>
          <w:wAfter w:w="45" w:type="dxa"/>
          <w:trHeight w:val="499"/>
        </w:trPr>
        <w:tc>
          <w:tcPr>
            <w:tcW w:w="1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Hospitalizations within 30 days after discharge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 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 </w:t>
            </w:r>
          </w:p>
        </w:tc>
      </w:tr>
      <w:tr w:rsidR="00660F52">
        <w:trPr>
          <w:gridAfter w:val="1"/>
          <w:wAfter w:w="45" w:type="dxa"/>
          <w:trHeight w:val="300"/>
        </w:trPr>
        <w:tc>
          <w:tcPr>
            <w:tcW w:w="1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Hospitalizations for heart failure</w:t>
            </w:r>
          </w:p>
        </w:tc>
        <w:tc>
          <w:tcPr>
            <w:tcW w:w="36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Potentially avoidable</w:t>
            </w:r>
          </w:p>
        </w:tc>
      </w:tr>
      <w:tr w:rsidR="00660F52">
        <w:trPr>
          <w:gridAfter w:val="1"/>
          <w:wAfter w:w="45" w:type="dxa"/>
          <w:trHeight w:val="300"/>
        </w:trPr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Primary diagnosis (CCS)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Men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Women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Men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Women</w:t>
            </w:r>
          </w:p>
        </w:tc>
      </w:tr>
      <w:tr w:rsidR="00660F52">
        <w:trPr>
          <w:gridAfter w:val="1"/>
          <w:wAfter w:w="45" w:type="dxa"/>
          <w:trHeight w:val="300"/>
        </w:trPr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Heart failure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936 (100%)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467 (100%)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469 (100%)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418 (45%)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163 (35%)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255 (54%)</w:t>
            </w:r>
          </w:p>
        </w:tc>
      </w:tr>
      <w:tr w:rsidR="00660F52">
        <w:trPr>
          <w:gridAfter w:val="1"/>
          <w:wAfter w:w="45" w:type="dxa"/>
          <w:trHeight w:val="799"/>
        </w:trPr>
        <w:tc>
          <w:tcPr>
            <w:tcW w:w="1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Hospitalizations for Cardiovascular reasons (other than heart failure)</w:t>
            </w:r>
          </w:p>
        </w:tc>
        <w:tc>
          <w:tcPr>
            <w:tcW w:w="36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Potentially avoidable</w:t>
            </w:r>
          </w:p>
        </w:tc>
      </w:tr>
      <w:tr w:rsidR="00660F52">
        <w:trPr>
          <w:gridAfter w:val="1"/>
          <w:wAfter w:w="45" w:type="dxa"/>
          <w:trHeight w:val="300"/>
        </w:trPr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Primary diagnosis (CCS)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Men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Women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Men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Women</w:t>
            </w:r>
          </w:p>
        </w:tc>
      </w:tr>
      <w:tr w:rsidR="00660F52">
        <w:trPr>
          <w:gridAfter w:val="1"/>
          <w:wAfter w:w="45" w:type="dxa"/>
          <w:trHeight w:val="300"/>
        </w:trPr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Cardiac dysrhythmias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110 (28.2%)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44 (22.1%)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66 (34.6%)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</w:tr>
      <w:tr w:rsidR="00660F52">
        <w:trPr>
          <w:gridAfter w:val="1"/>
          <w:wAfter w:w="45" w:type="dxa"/>
          <w:trHeight w:val="300"/>
        </w:trPr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Coronary atherosclerosis and other heart disease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52 (13.3%)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36 (18.1%)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16 (8.4%)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52 (100%)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36 (100%)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16 (100%)</w:t>
            </w:r>
          </w:p>
        </w:tc>
      </w:tr>
      <w:tr w:rsidR="00660F52">
        <w:trPr>
          <w:gridAfter w:val="1"/>
          <w:wAfter w:w="45" w:type="dxa"/>
          <w:trHeight w:val="300"/>
        </w:trPr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Acute cerebrovascular disease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51 (13.1%)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26 (13.1%)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25 (13.1%)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 (5.9%)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 (11.5%)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0 (0%)</w:t>
            </w:r>
          </w:p>
        </w:tc>
      </w:tr>
      <w:tr w:rsidR="00660F52">
        <w:trPr>
          <w:gridAfter w:val="1"/>
          <w:wAfter w:w="45" w:type="dxa"/>
          <w:trHeight w:val="300"/>
        </w:trPr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Acute myocardial infarction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30 (7.7%)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16 (8%)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14 (7.3%)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30 (100%)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16 (100%)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14 (100%)</w:t>
            </w:r>
          </w:p>
        </w:tc>
      </w:tr>
      <w:tr w:rsidR="00660F52">
        <w:trPr>
          <w:gridAfter w:val="1"/>
          <w:wAfter w:w="45" w:type="dxa"/>
          <w:trHeight w:val="300"/>
        </w:trPr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Heart valve disorders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28 (7.2%)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14 (7%)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14 (7.3%)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</w:tr>
      <w:tr w:rsidR="00660F52">
        <w:trPr>
          <w:gridAfter w:val="1"/>
          <w:wAfter w:w="45" w:type="dxa"/>
          <w:trHeight w:val="300"/>
        </w:trPr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Hypertension with complications and secondary hypertension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15 (3.8%)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6 (3%)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9 (4.7%)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9 (60%)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5 (83.3%)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4 (44.4%)</w:t>
            </w:r>
          </w:p>
        </w:tc>
      </w:tr>
      <w:tr w:rsidR="00660F52">
        <w:trPr>
          <w:gridAfter w:val="1"/>
          <w:wAfter w:w="45" w:type="dxa"/>
          <w:trHeight w:val="300"/>
        </w:trPr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Other diagnosis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104 (26.7%)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57 (28.6%)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47 (24.6%)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-</w:t>
            </w:r>
          </w:p>
        </w:tc>
      </w:tr>
      <w:tr w:rsidR="00660F52">
        <w:trPr>
          <w:gridAfter w:val="1"/>
          <w:wAfter w:w="45" w:type="dxa"/>
          <w:trHeight w:val="300"/>
        </w:trPr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660F52">
        <w:trPr>
          <w:gridAfter w:val="1"/>
          <w:wAfter w:w="45" w:type="dxa"/>
          <w:trHeight w:val="300"/>
        </w:trPr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390 (100%)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199 (100%)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191 (100%)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94 (24.1%)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60 (30.2%)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34 (17.8%)</w:t>
            </w:r>
          </w:p>
        </w:tc>
      </w:tr>
      <w:tr w:rsidR="00660F52">
        <w:trPr>
          <w:gridAfter w:val="1"/>
          <w:wAfter w:w="45" w:type="dxa"/>
          <w:trHeight w:val="799"/>
        </w:trPr>
        <w:tc>
          <w:tcPr>
            <w:tcW w:w="1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 xml:space="preserve">Hospitalizations for other reasons </w:t>
            </w:r>
          </w:p>
        </w:tc>
        <w:tc>
          <w:tcPr>
            <w:tcW w:w="360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Potentially avoidable</w:t>
            </w:r>
          </w:p>
        </w:tc>
      </w:tr>
      <w:tr w:rsidR="00660F52">
        <w:trPr>
          <w:gridAfter w:val="1"/>
          <w:wAfter w:w="45" w:type="dxa"/>
          <w:trHeight w:val="300"/>
        </w:trPr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Primary diagnosis (CCS)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Men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Women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Men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Women</w:t>
            </w:r>
          </w:p>
        </w:tc>
      </w:tr>
      <w:tr w:rsidR="00660F52">
        <w:trPr>
          <w:gridAfter w:val="1"/>
          <w:wAfter w:w="45" w:type="dxa"/>
          <w:trHeight w:val="300"/>
        </w:trPr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Chronic obstructive pulmonary disease and bronchiectasis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101 (7.9%)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80 (12.1%)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21 (3.4%)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101 (100%)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80 (100%)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21 (100%)</w:t>
            </w:r>
          </w:p>
        </w:tc>
      </w:tr>
      <w:tr w:rsidR="00660F52">
        <w:trPr>
          <w:gridAfter w:val="1"/>
          <w:wAfter w:w="45" w:type="dxa"/>
          <w:trHeight w:val="300"/>
        </w:trPr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Other lower respiratory disease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99 (7.8%)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55 (8.3%)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44 (7.2%)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9 (9.1%)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6 (10.9%)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 (6.8%)</w:t>
            </w:r>
          </w:p>
        </w:tc>
      </w:tr>
      <w:tr w:rsidR="00660F52">
        <w:trPr>
          <w:gridAfter w:val="1"/>
          <w:wAfter w:w="45" w:type="dxa"/>
          <w:trHeight w:val="300"/>
        </w:trPr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Respiratory failure; insufficiency; arrest (adult)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81 (6.4%)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37 (5.6%)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44 (7.2%)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</w:tr>
      <w:tr w:rsidR="00660F52">
        <w:trPr>
          <w:gridAfter w:val="1"/>
          <w:wAfter w:w="45" w:type="dxa"/>
          <w:trHeight w:val="300"/>
        </w:trPr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Pneumonia (except that caused by TB or STD)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73 (5.7%)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41 (6.2%)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32 (5.2%)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67 (91.8%)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36 (87.8%)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31 (96.9%)</w:t>
            </w:r>
          </w:p>
        </w:tc>
      </w:tr>
      <w:tr w:rsidR="00660F52">
        <w:trPr>
          <w:gridAfter w:val="1"/>
          <w:wAfter w:w="45" w:type="dxa"/>
          <w:trHeight w:val="300"/>
        </w:trPr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Acute and unspecified renal failure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68 (5.3%)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34 (5.1%)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34 (5.5%)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</w:tr>
      <w:tr w:rsidR="00660F52">
        <w:trPr>
          <w:gridAfter w:val="1"/>
          <w:wAfter w:w="45" w:type="dxa"/>
          <w:trHeight w:val="300"/>
        </w:trPr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Urinary tract infections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62 (4.9%)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18 (2.7%)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44 (7.2%)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62 (100%)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18 (100%)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44 (100%)</w:t>
            </w:r>
          </w:p>
        </w:tc>
      </w:tr>
      <w:tr w:rsidR="00660F52">
        <w:trPr>
          <w:gridAfter w:val="1"/>
          <w:wAfter w:w="45" w:type="dxa"/>
          <w:trHeight w:val="300"/>
        </w:trPr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Other diagnosis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798 (62.2%)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398 (60%)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400 (64.6%)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135 (16.9%)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42 (10.6%)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93 (23.3%)</w:t>
            </w:r>
          </w:p>
        </w:tc>
      </w:tr>
      <w:tr w:rsidR="00660F52">
        <w:trPr>
          <w:gridAfter w:val="1"/>
          <w:wAfter w:w="45" w:type="dxa"/>
          <w:trHeight w:val="300"/>
        </w:trPr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1282 (100%)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663 (100%)</w:t>
            </w: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619 (100%)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374 (29.2%)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182 (27.5%)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</w:tr>
      <w:tr w:rsidR="00660F52">
        <w:trPr>
          <w:gridAfter w:val="1"/>
          <w:wAfter w:w="45" w:type="dxa"/>
          <w:trHeight w:val="300"/>
        </w:trPr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</w:p>
        </w:tc>
      </w:tr>
      <w:tr w:rsidR="00660F52">
        <w:trPr>
          <w:trHeight w:val="499"/>
        </w:trPr>
        <w:tc>
          <w:tcPr>
            <w:tcW w:w="1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Hospitalizations within 365 days after discharge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6"/>
                <w:szCs w:val="16"/>
                <w:lang w:val="en-US" w:eastAsia="es-ES"/>
              </w:rPr>
              <w:t> </w:t>
            </w:r>
          </w:p>
        </w:tc>
      </w:tr>
      <w:tr w:rsidR="00660F52">
        <w:trPr>
          <w:trHeight w:val="300"/>
        </w:trPr>
        <w:tc>
          <w:tcPr>
            <w:tcW w:w="1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Hospitalizations for heart failure</w:t>
            </w:r>
          </w:p>
        </w:tc>
        <w:tc>
          <w:tcPr>
            <w:tcW w:w="364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Potentially avoidable</w:t>
            </w:r>
          </w:p>
        </w:tc>
      </w:tr>
      <w:tr w:rsidR="00660F52">
        <w:trPr>
          <w:trHeight w:val="30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Primary diagnosis (CCS)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Men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Women</w:t>
            </w: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Men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Women</w:t>
            </w:r>
          </w:p>
        </w:tc>
      </w:tr>
      <w:tr w:rsidR="00660F52">
        <w:trPr>
          <w:trHeight w:val="30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Heart failure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4700 (100%)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2369 (100%)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 xml:space="preserve"> 2331 (100%)</w:t>
            </w: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1992 (42.4%) 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741 (31.3%)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1251 (53.7)</w:t>
            </w:r>
          </w:p>
        </w:tc>
      </w:tr>
      <w:tr w:rsidR="00660F52">
        <w:trPr>
          <w:trHeight w:val="300"/>
        </w:trPr>
        <w:tc>
          <w:tcPr>
            <w:tcW w:w="1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Hospitalizations for Cardiovascular reasons (other than heart failure)</w:t>
            </w:r>
          </w:p>
        </w:tc>
        <w:tc>
          <w:tcPr>
            <w:tcW w:w="364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Potentially avoidable</w:t>
            </w:r>
          </w:p>
        </w:tc>
      </w:tr>
      <w:tr w:rsidR="00660F52">
        <w:trPr>
          <w:trHeight w:val="30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s-ES"/>
              </w:rPr>
              <w:t>Primary diagnosis (CCS)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s-ES"/>
              </w:rPr>
              <w:t>Total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s-ES"/>
              </w:rPr>
              <w:t>Men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 w:eastAsia="es-ES"/>
              </w:rPr>
              <w:t>Wome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Men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Women</w:t>
            </w:r>
          </w:p>
        </w:tc>
      </w:tr>
      <w:tr w:rsidR="00660F52">
        <w:trPr>
          <w:trHeight w:val="30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Cardiac dysrhythmias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512 (26.3%)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236 (23%)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276 (30.1%)</w:t>
            </w: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</w:tr>
      <w:tr w:rsidR="00660F52">
        <w:trPr>
          <w:trHeight w:val="30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Acute cerebrovascular disease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257 (13.2%)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131 (12.8%)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126 (13.7%)</w:t>
            </w: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24 (9.3%)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16 (12.2%)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8 (6.3%)</w:t>
            </w:r>
          </w:p>
        </w:tc>
      </w:tr>
      <w:tr w:rsidR="00660F52">
        <w:trPr>
          <w:trHeight w:val="30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Coronary atherosclerosis and other heart disease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247 (12.7%)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158 (15.4%)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89 (9.7%)</w:t>
            </w: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247 (100%)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158 (100%)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89 (100%)</w:t>
            </w:r>
          </w:p>
        </w:tc>
      </w:tr>
      <w:tr w:rsidR="00660F52">
        <w:trPr>
          <w:trHeight w:val="30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Acute myocardial infarction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166 (8.5%)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86 (8.4%)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80 (8.7%)</w:t>
            </w: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166 (100%)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86 (100%)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80 (100%)</w:t>
            </w:r>
          </w:p>
        </w:tc>
      </w:tr>
      <w:tr w:rsidR="00660F52">
        <w:trPr>
          <w:trHeight w:val="30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Heart valve disorders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108 (5.6%)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55 (5.4%)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53 (5.8%)</w:t>
            </w: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</w:tr>
      <w:tr w:rsidR="00660F52">
        <w:trPr>
          <w:trHeight w:val="30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Peri-; endo-; and myocarditis; cardiomyopathy (except that caused by TB or STD)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84 (4.3%)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55 (5.4%)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29 (3.2%)</w:t>
            </w: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</w:tr>
      <w:tr w:rsidR="00660F52">
        <w:trPr>
          <w:trHeight w:val="30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Peripheral and visceral atherosclerosis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82 (4.2%)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51 (5%)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31 (3.4%)</w:t>
            </w: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</w:tr>
      <w:tr w:rsidR="00660F52">
        <w:trPr>
          <w:trHeight w:val="30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Other diagnosis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489 (25.1%)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255 (24.8%)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234 (25.5%)</w:t>
            </w: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52 (10.6%)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28 (11%)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24 (10.3%)</w:t>
            </w:r>
          </w:p>
        </w:tc>
      </w:tr>
      <w:tr w:rsidR="00660F52">
        <w:trPr>
          <w:trHeight w:val="30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1945 (100%)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1027 (100%)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918 (100%)</w:t>
            </w: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489 (25.1%)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288 (28%)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201 (21.9%)</w:t>
            </w:r>
          </w:p>
        </w:tc>
      </w:tr>
      <w:tr w:rsidR="00660F52">
        <w:trPr>
          <w:trHeight w:val="300"/>
        </w:trPr>
        <w:tc>
          <w:tcPr>
            <w:tcW w:w="112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 xml:space="preserve">Hospitalizations for other reasons </w:t>
            </w:r>
          </w:p>
        </w:tc>
        <w:tc>
          <w:tcPr>
            <w:tcW w:w="364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BFBFBF"/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Potentially avoidable</w:t>
            </w:r>
          </w:p>
        </w:tc>
      </w:tr>
      <w:tr w:rsidR="00660F52">
        <w:trPr>
          <w:trHeight w:val="30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Primary diagnosis (CCS)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Men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Women</w:t>
            </w: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Men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ES"/>
              </w:rPr>
              <w:t>Women</w:t>
            </w:r>
          </w:p>
        </w:tc>
      </w:tr>
      <w:tr w:rsidR="00660F52">
        <w:trPr>
          <w:trHeight w:val="30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Chronic obstructive pulmonary disease and bronchiectasis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751 (9.5%)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619 (14.7%)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132 (3.6%)</w:t>
            </w: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751 (100%)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619 (100%)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132 (100%)</w:t>
            </w:r>
          </w:p>
        </w:tc>
      </w:tr>
      <w:tr w:rsidR="00660F52">
        <w:trPr>
          <w:trHeight w:val="30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Other lower respiratory disease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663 (8.4%)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311 (7.4%)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352 (9.6%)</w:t>
            </w: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60 (9%)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30 (9.6%)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30 (8.5%)</w:t>
            </w:r>
          </w:p>
        </w:tc>
      </w:tr>
      <w:tr w:rsidR="00660F52">
        <w:trPr>
          <w:trHeight w:val="30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Pneumonia (except that caused by TB or STD)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554 (7%)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306 (7.3%)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248 (6.8%)</w:t>
            </w: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535 (96.6%)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294 (96.1%)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241 (97.2%)</w:t>
            </w:r>
          </w:p>
        </w:tc>
      </w:tr>
      <w:tr w:rsidR="00660F52">
        <w:trPr>
          <w:trHeight w:val="30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Respiratory failure; insufficiency; arrest (adult)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496 (6.3%)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242 (5.8%)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254 (6.9%)</w:t>
            </w: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</w:tr>
      <w:tr w:rsidR="00660F52">
        <w:trPr>
          <w:trHeight w:val="30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Acute bronchitis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380 (4.8%)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124 (3%)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256 (7%)</w:t>
            </w: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380 (100%)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124 (100%)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256 (100%)</w:t>
            </w:r>
          </w:p>
        </w:tc>
      </w:tr>
      <w:tr w:rsidR="00660F52">
        <w:trPr>
          <w:trHeight w:val="30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Urinary tract infections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312 (4%)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117 (2.8%)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195 (5.3%)</w:t>
            </w: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308 (98.7%)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115 (98.3%)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193 (99%)</w:t>
            </w:r>
          </w:p>
        </w:tc>
      </w:tr>
      <w:tr w:rsidR="00660F52">
        <w:trPr>
          <w:trHeight w:val="30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 w:eastAsia="es-ES"/>
              </w:rPr>
              <w:t>Acute and unspecified renal failure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260 (3.3%)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139 (3.3%)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121 (3.3%)</w:t>
            </w: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s-ES"/>
              </w:rPr>
              <w:t>-</w:t>
            </w:r>
          </w:p>
        </w:tc>
      </w:tr>
      <w:tr w:rsidR="00660F52">
        <w:trPr>
          <w:trHeight w:val="30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bookmarkStart w:id="0" w:name="_GoBack"/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Other diagnosis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4498 (56.8%)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2367 (56%)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2131 (57.8%)</w:t>
            </w: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573 (12.7%)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220 (9.3%)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353 (16</w:t>
            </w:r>
          </w:p>
        </w:tc>
      </w:tr>
      <w:bookmarkEnd w:id="0"/>
      <w:tr w:rsidR="00660F52">
        <w:trPr>
          <w:trHeight w:val="300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Total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7914 (100%)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4225 (100%)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3689 (100%)</w:t>
            </w: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2607 (32.9%)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jc w:val="right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1402 (33.2%)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1205 (32.7%)</w:t>
            </w:r>
          </w:p>
        </w:tc>
      </w:tr>
    </w:tbl>
    <w:p w:rsidR="00660F52" w:rsidRDefault="00660F52">
      <w:pPr>
        <w:spacing w:line="276" w:lineRule="auto"/>
        <w:ind w:firstLine="0"/>
        <w:rPr>
          <w:rFonts w:cs="Times New Roman"/>
          <w:highlight w:val="yellow"/>
        </w:rPr>
        <w:sectPr w:rsidR="00660F52">
          <w:pgSz w:w="16838" w:h="11906" w:orient="landscape"/>
          <w:pgMar w:top="1701" w:right="1417" w:bottom="1701" w:left="1417" w:header="0" w:footer="720" w:gutter="0"/>
          <w:pgNumType w:start="1"/>
          <w:cols w:space="720"/>
          <w:docGrid w:linePitch="326"/>
        </w:sectPr>
      </w:pPr>
    </w:p>
    <w:p w:rsidR="00660F52" w:rsidRDefault="00660F52">
      <w:pPr>
        <w:spacing w:line="276" w:lineRule="auto"/>
        <w:ind w:firstLine="0"/>
        <w:rPr>
          <w:rFonts w:cs="Times New Roman"/>
        </w:rPr>
        <w:sectPr w:rsidR="00660F52">
          <w:pgSz w:w="16838" w:h="11906" w:orient="landscape"/>
          <w:pgMar w:top="1701" w:right="1417" w:bottom="1701" w:left="1417" w:header="0" w:footer="720" w:gutter="0"/>
          <w:pgNumType w:start="1"/>
          <w:cols w:space="720"/>
          <w:docGrid w:linePitch="326"/>
        </w:sectPr>
      </w:pPr>
    </w:p>
    <w:p w:rsidR="00660F52" w:rsidRDefault="00660F52">
      <w:pPr>
        <w:spacing w:line="276" w:lineRule="auto"/>
        <w:ind w:firstLine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Table A6.</w:t>
      </w:r>
      <w:r>
        <w:rPr>
          <w:rFonts w:ascii="Arial" w:hAnsi="Arial" w:cs="Arial"/>
          <w:sz w:val="20"/>
          <w:szCs w:val="20"/>
          <w:lang w:val="en-US"/>
        </w:rPr>
        <w:t xml:space="preserve"> Trends in event rates </w:t>
      </w:r>
      <w:r>
        <w:rPr>
          <w:rFonts w:ascii="Arial" w:hAnsi="Arial" w:cs="Arial"/>
          <w:sz w:val="18"/>
          <w:szCs w:val="18"/>
          <w:lang w:val="en-US"/>
        </w:rPr>
        <w:t>after index discharge</w:t>
      </w:r>
      <w:r>
        <w:rPr>
          <w:rFonts w:ascii="Arial" w:hAnsi="Arial" w:cs="Arial"/>
          <w:sz w:val="20"/>
          <w:szCs w:val="20"/>
          <w:lang w:val="en-US"/>
        </w:rPr>
        <w:t xml:space="preserve"> by year.</w:t>
      </w:r>
    </w:p>
    <w:tbl>
      <w:tblPr>
        <w:tblW w:w="10727" w:type="dxa"/>
        <w:tblInd w:w="2" w:type="dxa"/>
        <w:tblCellMar>
          <w:left w:w="0" w:type="dxa"/>
          <w:right w:w="0" w:type="dxa"/>
        </w:tblCellMar>
        <w:tblLook w:val="0000"/>
      </w:tblPr>
      <w:tblGrid>
        <w:gridCol w:w="1327"/>
        <w:gridCol w:w="894"/>
        <w:gridCol w:w="708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709"/>
        <w:gridCol w:w="709"/>
      </w:tblGrid>
      <w:tr w:rsidR="00660F52">
        <w:trPr>
          <w:trHeight w:val="323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  <w:t>Men</w:t>
            </w:r>
          </w:p>
        </w:tc>
        <w:tc>
          <w:tcPr>
            <w:tcW w:w="4253" w:type="dxa"/>
            <w:gridSpan w:val="6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  <w:t>Women</w:t>
            </w:r>
          </w:p>
        </w:tc>
      </w:tr>
      <w:tr w:rsidR="00660F52">
        <w:trPr>
          <w:trHeight w:val="323"/>
        </w:trPr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4253" w:type="dxa"/>
            <w:gridSpan w:val="6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OR (IC 95%)</w:t>
            </w:r>
          </w:p>
        </w:tc>
        <w:tc>
          <w:tcPr>
            <w:tcW w:w="4253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OR (IC 95%)</w:t>
            </w:r>
          </w:p>
        </w:tc>
      </w:tr>
      <w:tr w:rsidR="00660F52">
        <w:trPr>
          <w:trHeight w:val="323"/>
        </w:trPr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</w:pPr>
          </w:p>
        </w:tc>
        <w:tc>
          <w:tcPr>
            <w:tcW w:w="708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  <w:t>2011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  <w:t>2012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  <w:t>2013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  <w:t>2014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  <w:t>2015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  <w:t>p-trend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  <w:t>2011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  <w:t>2012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  <w:t>2013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  <w:t>2014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  <w:t>2015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  <w:t>p-trend</w:t>
            </w:r>
          </w:p>
        </w:tc>
      </w:tr>
      <w:tr w:rsidR="00660F52">
        <w:trPr>
          <w:cantSplit/>
          <w:trHeight w:val="323"/>
        </w:trPr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 w:eastAsia="es-ES"/>
              </w:rPr>
              <w:t>Mortality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≤</w:t>
            </w: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30 days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 (ref.)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0.75 (0.51, 1.09)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 xml:space="preserve">0.99 (0.7, </w:t>
            </w:r>
          </w:p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1.4)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1.06 (0.75, 1.49)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0.71 (0.49, 1.02)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0.396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 (ref.)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0.79 (0.57, 1.1)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0.82 (0.59, 1.14)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0.69 (0.49, 0.97)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0.92 (0.67, 1.25)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0.505</w:t>
            </w:r>
          </w:p>
        </w:tc>
      </w:tr>
      <w:tr w:rsidR="00660F52">
        <w:trPr>
          <w:cantSplit/>
          <w:trHeight w:val="323"/>
        </w:trPr>
        <w:tc>
          <w:tcPr>
            <w:tcW w:w="1327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9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line="276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≤</w:t>
            </w:r>
            <w:r>
              <w:rPr>
                <w:rFonts w:ascii="Arial" w:hAnsi="Arial" w:cs="Arial"/>
                <w:sz w:val="16"/>
                <w:szCs w:val="16"/>
                <w:lang w:eastAsia="es-ES"/>
              </w:rPr>
              <w:t>365 days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 (ref.)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0.79 (0.66, 0.95)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0.82 (0.68, 0.98)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0.9 (0.76, 1.07)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0.8 (0.67, 0.95)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0.106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 (ref.)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0.81 (0.68, 0.97)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0.93 (0.78, 1.1)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0.88 (0.74, 1.05)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0.84 (0.7, 0.99)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0.174</w:t>
            </w:r>
          </w:p>
        </w:tc>
      </w:tr>
      <w:tr w:rsidR="00660F52">
        <w:trPr>
          <w:cantSplit/>
          <w:trHeight w:val="323"/>
        </w:trPr>
        <w:tc>
          <w:tcPr>
            <w:tcW w:w="1327" w:type="dxa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Unplanned hospitalizations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≤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30 days</w:t>
            </w:r>
          </w:p>
        </w:tc>
        <w:tc>
          <w:tcPr>
            <w:tcW w:w="89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Any cause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 (ref.)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0.91 (0.76, 1.08)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0.92 (0.78, 1.1)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0.94 (0.79, 1.11)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0.88 (0.75, 1.05)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0.281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 (ref.)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1.08 (0.9, 1.28)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0.98 (0.81, 1.17)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1.01 (0.85, 1.21)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1.02 (0.86, 1.22)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0.898</w:t>
            </w:r>
          </w:p>
        </w:tc>
      </w:tr>
      <w:tr w:rsidR="00660F52">
        <w:trPr>
          <w:cantSplit/>
          <w:trHeight w:val="323"/>
        </w:trPr>
        <w:tc>
          <w:tcPr>
            <w:tcW w:w="1327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9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Main cause HF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 (ref.)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0.97 (0.72, 1.31)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0.98 (0.72, 1.33)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0.92 (0.68, 1.25)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0.91 (0.67, 1.22)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0.462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 (ref.)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1.16 (0.87, 1.56)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0.9 (0.66, 1.24)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1.16 (0.86, 1.56)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1.15 (0.86, 1.54)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0.408</w:t>
            </w:r>
          </w:p>
        </w:tc>
      </w:tr>
      <w:tr w:rsidR="00660F52">
        <w:trPr>
          <w:cantSplit/>
          <w:trHeight w:val="323"/>
        </w:trPr>
        <w:tc>
          <w:tcPr>
            <w:tcW w:w="1327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94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HF Potentially avoidable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 (ref.)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1.06 (0.66, 1.71)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0.99 (0.61, 1.61)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0.72 (0.42, 1.21)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0.87 (0.53, 1.43)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0.261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 (ref.)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1.01 (0.69, 1.47)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0.66 (0.43, 1)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0.85 (0.57, 1.27)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0.99 (0.69, 1.44)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0.745</w:t>
            </w:r>
          </w:p>
        </w:tc>
      </w:tr>
      <w:tr w:rsidR="00660F52">
        <w:trPr>
          <w:cantSplit/>
          <w:trHeight w:val="323"/>
        </w:trPr>
        <w:tc>
          <w:tcPr>
            <w:tcW w:w="1327" w:type="dxa"/>
            <w:vMerge w:val="restart"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Unplanned hospitalizations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≤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365 days</w:t>
            </w:r>
          </w:p>
        </w:tc>
        <w:tc>
          <w:tcPr>
            <w:tcW w:w="89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Any cause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 (ref.)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0.95 (0.85, 1.06)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0.93 (0.83, 1.04)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0.93 (0.84, 1.04)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 xml:space="preserve">0.9 (0.81, </w:t>
            </w:r>
          </w:p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0.058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 (ref.)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0.91 (0.82, 1.02)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0.96 (0.86, 1.07)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0.97 (0.87, 1.08)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0.88 (0.79, 0.98)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0.117</w:t>
            </w:r>
          </w:p>
        </w:tc>
      </w:tr>
      <w:tr w:rsidR="00660F52">
        <w:trPr>
          <w:cantSplit/>
          <w:trHeight w:val="323"/>
        </w:trPr>
        <w:tc>
          <w:tcPr>
            <w:tcW w:w="1327" w:type="dxa"/>
            <w:vMerge/>
            <w:tcBorders>
              <w:top w:val="single" w:sz="6" w:space="0" w:color="CCCCCC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94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Main cause HF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 (ref.)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 xml:space="preserve">1 </w:t>
            </w:r>
          </w:p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(0.83, 1.19)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 xml:space="preserve">1 </w:t>
            </w:r>
          </w:p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(0.83, 1.19)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0.88 (0.73, 1.05)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0.92 (0.77, 1.1)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0.124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 (ref.)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0.88 (0.73, 1.05)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0.93 (0.77, 1.11)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0.93 (0.78, 1.11)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0.83 (0.7, 0.99)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0.109</w:t>
            </w:r>
          </w:p>
        </w:tc>
      </w:tr>
      <w:tr w:rsidR="00660F52">
        <w:trPr>
          <w:cantSplit/>
          <w:trHeight w:val="323"/>
        </w:trPr>
        <w:tc>
          <w:tcPr>
            <w:tcW w:w="1327" w:type="dxa"/>
            <w:vMerge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F52" w:rsidRDefault="00660F52">
            <w:pPr>
              <w:spacing w:after="0" w:line="240" w:lineRule="auto"/>
              <w:ind w:firstLine="0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94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val="en-US" w:eastAsia="es-ES"/>
              </w:rPr>
            </w:pPr>
            <w:r>
              <w:rPr>
                <w:rFonts w:ascii="Arial" w:hAnsi="Arial" w:cs="Arial"/>
                <w:sz w:val="16"/>
                <w:szCs w:val="16"/>
                <w:lang w:val="en-US" w:eastAsia="es-ES"/>
              </w:rPr>
              <w:t>HF Potentially avoidable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4" w:space="0" w:color="auto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 (ref.)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1.01 (0.77, 1.33)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1.02 (0.78, 1.34)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0.76 (0.57, 1.01)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0.91 (0.7, 1.19)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0.132</w:t>
            </w:r>
          </w:p>
        </w:tc>
        <w:tc>
          <w:tcPr>
            <w:tcW w:w="7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1 (ref.)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0.85 (0.69, 1.06)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0.77 (0.61, 0.96)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0.84 (0.67, 1.04)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0.73 (0.59, 0.91)</w:t>
            </w:r>
          </w:p>
        </w:tc>
        <w:tc>
          <w:tcPr>
            <w:tcW w:w="709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660F52" w:rsidRDefault="00660F52">
            <w:pPr>
              <w:spacing w:after="0" w:line="240" w:lineRule="auto"/>
              <w:ind w:firstLine="0"/>
              <w:jc w:val="center"/>
              <w:rPr>
                <w:rFonts w:ascii="Arial" w:hAnsi="Arial" w:cs="Arial"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sz w:val="16"/>
                <w:szCs w:val="16"/>
                <w:lang w:eastAsia="es-ES"/>
              </w:rPr>
              <w:t>0.009</w:t>
            </w:r>
          </w:p>
        </w:tc>
      </w:tr>
    </w:tbl>
    <w:p w:rsidR="00660F52" w:rsidRDefault="00660F52">
      <w:pPr>
        <w:spacing w:after="0" w:line="276" w:lineRule="auto"/>
        <w:ind w:firstLine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HF: Heart failure</w:t>
      </w:r>
    </w:p>
    <w:p w:rsidR="00660F52" w:rsidRDefault="00660F52">
      <w:pPr>
        <w:spacing w:after="0" w:line="276" w:lineRule="auto"/>
        <w:ind w:firstLine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OR: Odds Ratios adjusted for age and level of comorbidity (Charlson  index)</w:t>
      </w:r>
    </w:p>
    <w:p w:rsidR="00660F52" w:rsidRDefault="00660F52">
      <w:pPr>
        <w:spacing w:after="0" w:line="276" w:lineRule="auto"/>
        <w:ind w:firstLine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Ref.: reference category</w:t>
      </w:r>
    </w:p>
    <w:p w:rsidR="00660F52" w:rsidRDefault="00660F52">
      <w:pPr>
        <w:spacing w:after="0" w:line="276" w:lineRule="auto"/>
        <w:ind w:firstLine="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p-trend: a summary statistic for trends over time. P-trend  was calculated including calendar year as a continuous variable in the models</w:t>
      </w:r>
    </w:p>
    <w:p w:rsidR="00660F52" w:rsidRDefault="00660F52">
      <w:pPr>
        <w:spacing w:line="276" w:lineRule="auto"/>
        <w:ind w:firstLine="0"/>
        <w:rPr>
          <w:rFonts w:cs="Times New Roman"/>
          <w:highlight w:val="yellow"/>
          <w:lang w:val="en-US"/>
        </w:rPr>
      </w:pPr>
      <w:r>
        <w:rPr>
          <w:rFonts w:cs="Times New Roman"/>
          <w:highlight w:val="yellow"/>
          <w:lang w:val="en-US"/>
        </w:rPr>
        <w:br w:type="page"/>
      </w:r>
    </w:p>
    <w:p w:rsidR="00660F52" w:rsidRDefault="00660F52">
      <w:pPr>
        <w:spacing w:line="276" w:lineRule="auto"/>
        <w:ind w:firstLine="0"/>
        <w:rPr>
          <w:rFonts w:cs="Times New Roman"/>
          <w:lang w:val="en-US"/>
        </w:rPr>
        <w:sectPr w:rsidR="00660F52">
          <w:pgSz w:w="11906" w:h="16838"/>
          <w:pgMar w:top="1417" w:right="1701" w:bottom="1417" w:left="1701" w:header="0" w:footer="720" w:gutter="0"/>
          <w:pgNumType w:start="1"/>
          <w:cols w:space="720"/>
        </w:sectPr>
      </w:pPr>
    </w:p>
    <w:p w:rsidR="00660F52" w:rsidRDefault="00660F52">
      <w:pPr>
        <w:spacing w:line="276" w:lineRule="auto"/>
        <w:ind w:firstLine="0"/>
        <w:jc w:val="center"/>
        <w:rPr>
          <w:rFonts w:cs="Times New Roman"/>
          <w:lang w:val="en-US"/>
        </w:rPr>
      </w:pPr>
    </w:p>
    <w:p w:rsidR="00660F52" w:rsidRDefault="00660F52">
      <w:pPr>
        <w:spacing w:line="276" w:lineRule="auto"/>
        <w:ind w:firstLine="0"/>
        <w:jc w:val="center"/>
        <w:rPr>
          <w:rFonts w:cs="Times New Roman"/>
          <w:lang w:val="en-US"/>
        </w:rPr>
      </w:pPr>
    </w:p>
    <w:p w:rsidR="00660F52" w:rsidRDefault="00660F52">
      <w:pPr>
        <w:spacing w:line="276" w:lineRule="auto"/>
        <w:ind w:firstLine="0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APPENDIX B. SUPLEMENTARY FIGURES</w:t>
      </w:r>
    </w:p>
    <w:p w:rsidR="00660F52" w:rsidRDefault="00660F52">
      <w:pPr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Figure B1. </w:t>
      </w:r>
      <w:r>
        <w:rPr>
          <w:rFonts w:ascii="Arial" w:hAnsi="Arial" w:cs="Arial"/>
          <w:color w:val="000000"/>
          <w:sz w:val="20"/>
          <w:szCs w:val="20"/>
          <w:lang w:val="en-US"/>
        </w:rPr>
        <w:t xml:space="preserve">Overall survival curve and hazard function following the first discharge after admission for </w:t>
      </w:r>
      <w:r>
        <w:rPr>
          <w:rFonts w:ascii="Arial" w:hAnsi="Arial" w:cs="Arial"/>
          <w:sz w:val="20"/>
          <w:szCs w:val="20"/>
          <w:lang w:val="en-US"/>
        </w:rPr>
        <w:t>heart failure</w:t>
      </w:r>
      <w:r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:rsidR="00660F52" w:rsidRDefault="00660F52">
      <w:pPr>
        <w:spacing w:line="276" w:lineRule="auto"/>
        <w:ind w:firstLine="0"/>
        <w:jc w:val="center"/>
        <w:rPr>
          <w:rFonts w:cs="Times New Roman"/>
          <w:lang w:val="en-US"/>
        </w:rPr>
      </w:pPr>
      <w:r>
        <w:rPr>
          <w:rFonts w:cs="Times New Roman"/>
          <w:noProof/>
          <w:lang w:val="en-IN" w:eastAsia="en-I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292" o:spid="_x0000_i1025" type="#_x0000_t75" style="width:438pt;height:336.75pt;visibility:visible">
            <v:imagedata r:id="rId7" o:title=""/>
          </v:shape>
        </w:pict>
      </w:r>
    </w:p>
    <w:p w:rsidR="00660F52" w:rsidRDefault="00660F52">
      <w:pPr>
        <w:spacing w:line="276" w:lineRule="auto"/>
        <w:ind w:firstLine="0"/>
        <w:jc w:val="center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 xml:space="preserve">(a) First 4 years </w:t>
      </w:r>
    </w:p>
    <w:p w:rsidR="00660F52" w:rsidRDefault="00660F52">
      <w:pPr>
        <w:rPr>
          <w:rFonts w:cs="Times New Roman"/>
          <w:lang w:val="en-US"/>
        </w:rPr>
      </w:pPr>
      <w:r>
        <w:rPr>
          <w:rFonts w:cs="Times New Roman"/>
          <w:noProof/>
          <w:lang w:val="en-IN" w:eastAsia="en-IN"/>
        </w:rPr>
        <w:pict>
          <v:shape id="Imagen 291" o:spid="_x0000_i1026" type="#_x0000_t75" style="width:421.5pt;height:332.25pt;visibility:visible">
            <v:imagedata r:id="rId8" o:title=""/>
          </v:shape>
        </w:pict>
      </w:r>
    </w:p>
    <w:p w:rsidR="00660F52" w:rsidRDefault="00660F52">
      <w:pPr>
        <w:spacing w:line="276" w:lineRule="auto"/>
        <w:ind w:firstLine="0"/>
        <w:jc w:val="center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>(b) First 30 days</w:t>
      </w:r>
    </w:p>
    <w:p w:rsidR="00660F52" w:rsidRDefault="00660F52">
      <w:pPr>
        <w:rPr>
          <w:rFonts w:cs="Times New Roman"/>
          <w:lang w:val="en-US"/>
        </w:rPr>
      </w:pPr>
    </w:p>
    <w:sectPr w:rsidR="00660F52" w:rsidSect="00660F52">
      <w:pgSz w:w="11906" w:h="16838"/>
      <w:pgMar w:top="1417" w:right="1701" w:bottom="1417" w:left="1701" w:header="0" w:footer="720" w:gutter="0"/>
      <w:pgNumType w:start="1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F52" w:rsidRDefault="00660F5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60F52" w:rsidRDefault="00660F5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F52" w:rsidRDefault="00660F5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60F52" w:rsidRDefault="00660F5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964A0"/>
    <w:multiLevelType w:val="multilevel"/>
    <w:tmpl w:val="2D127F9A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rFonts w:ascii="Times New Roman" w:hAnsi="Times New Roman" w:cs="Times New Roman"/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ascii="Times New Roman" w:hAnsi="Times New Roman" w:cs="Times New Roman"/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rFonts w:ascii="Times New Roman" w:hAnsi="Times New Roman" w:cs="Times New Roman"/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rFonts w:ascii="Times New Roman" w:hAnsi="Times New Roman" w:cs="Times New Roman"/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rFonts w:ascii="Times New Roman" w:hAnsi="Times New Roman" w:cs="Times New Roman"/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rFonts w:ascii="Times New Roman" w:hAnsi="Times New Roman" w:cs="Times New Roman"/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rFonts w:ascii="Times New Roman" w:hAnsi="Times New Roman" w:cs="Times New Roman"/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hAnsi="Times New Roman" w:cs="Times New Roman"/>
        <w:u w:val="none"/>
      </w:rPr>
    </w:lvl>
  </w:abstractNum>
  <w:abstractNum w:abstractNumId="1">
    <w:nsid w:val="74622EF8"/>
    <w:multiLevelType w:val="hybridMultilevel"/>
    <w:tmpl w:val="927409DC"/>
    <w:lvl w:ilvl="0" w:tplc="96B0462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0F52"/>
    <w:rsid w:val="00660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360" w:lineRule="auto"/>
      <w:ind w:firstLine="709"/>
    </w:pPr>
    <w:rPr>
      <w:rFonts w:ascii="Times New Roman" w:hAnsi="Times New Roman"/>
      <w:sz w:val="24"/>
      <w:szCs w:val="24"/>
      <w:lang w:val="es-E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0F52"/>
    <w:rPr>
      <w:rFonts w:asciiTheme="majorHAnsi" w:eastAsiaTheme="majorEastAsia" w:hAnsiTheme="majorHAnsi" w:cstheme="majorBidi"/>
      <w:b/>
      <w:bCs/>
      <w:kern w:val="32"/>
      <w:sz w:val="32"/>
      <w:szCs w:val="32"/>
      <w:lang w:val="es-E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0F52"/>
    <w:rPr>
      <w:rFonts w:asciiTheme="majorHAnsi" w:eastAsiaTheme="majorEastAsia" w:hAnsiTheme="majorHAnsi" w:cstheme="majorBidi"/>
      <w:b/>
      <w:bCs/>
      <w:i/>
      <w:iCs/>
      <w:sz w:val="28"/>
      <w:szCs w:val="28"/>
      <w:lang w:val="es-E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0F52"/>
    <w:rPr>
      <w:rFonts w:asciiTheme="majorHAnsi" w:eastAsiaTheme="majorEastAsia" w:hAnsiTheme="majorHAnsi" w:cstheme="majorBidi"/>
      <w:b/>
      <w:bCs/>
      <w:sz w:val="26"/>
      <w:szCs w:val="26"/>
      <w:lang w:val="es-E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0F52"/>
    <w:rPr>
      <w:b/>
      <w:bCs/>
      <w:sz w:val="28"/>
      <w:szCs w:val="28"/>
      <w:lang w:val="es-E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0F52"/>
    <w:rPr>
      <w:b/>
      <w:bCs/>
      <w:i/>
      <w:iCs/>
      <w:sz w:val="26"/>
      <w:szCs w:val="26"/>
      <w:lang w:val="es-E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0F52"/>
    <w:rPr>
      <w:b/>
      <w:bCs/>
      <w:lang w:val="es-ES" w:eastAsia="en-US"/>
    </w:rPr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60F52"/>
    <w:rPr>
      <w:rFonts w:asciiTheme="majorHAnsi" w:eastAsiaTheme="majorEastAsia" w:hAnsiTheme="majorHAnsi" w:cstheme="majorBidi"/>
      <w:b/>
      <w:bCs/>
      <w:kern w:val="28"/>
      <w:sz w:val="32"/>
      <w:szCs w:val="32"/>
      <w:lang w:val="es-ES" w:eastAsia="en-US"/>
    </w:r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before="360" w:after="80"/>
    </w:pPr>
    <w:rPr>
      <w:rFonts w:ascii="Georgia" w:hAnsi="Georgia" w:cs="Georgia"/>
      <w:i/>
      <w:iCs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60F52"/>
    <w:rPr>
      <w:rFonts w:asciiTheme="majorHAnsi" w:eastAsiaTheme="majorEastAsia" w:hAnsiTheme="majorHAnsi" w:cstheme="majorBidi"/>
      <w:sz w:val="24"/>
      <w:szCs w:val="24"/>
      <w:lang w:val="es-ES" w:eastAsia="en-US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NoSpacing">
    <w:name w:val="No Spacing"/>
    <w:uiPriority w:val="99"/>
    <w:qFormat/>
    <w:pPr>
      <w:ind w:firstLine="709"/>
    </w:pPr>
    <w:rPr>
      <w:rFonts w:ascii="Times New Roman" w:hAnsi="Times New Roman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eastAsia="Times New Roman"/>
      <w:b/>
      <w:bCs/>
      <w:color w:val="auto"/>
      <w:lang w:eastAsia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  <w:ind w:firstLine="0"/>
    </w:pPr>
    <w:rPr>
      <w:lang w:eastAsia="es-ES"/>
    </w:r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customStyle="1" w:styleId="xl65">
    <w:name w:val="xl65"/>
    <w:basedOn w:val="Normal"/>
    <w:uiPriority w:val="99"/>
    <w:pPr>
      <w:spacing w:before="100" w:beforeAutospacing="1" w:after="100" w:afterAutospacing="1" w:line="240" w:lineRule="auto"/>
      <w:ind w:firstLine="0"/>
    </w:pPr>
    <w:rPr>
      <w:b/>
      <w:bCs/>
      <w:lang w:eastAsia="es-ES"/>
    </w:rPr>
  </w:style>
  <w:style w:type="paragraph" w:customStyle="1" w:styleId="xl66">
    <w:name w:val="xl66"/>
    <w:basedOn w:val="Normal"/>
    <w:uiPriority w:val="99"/>
    <w:pPr>
      <w:spacing w:before="100" w:beforeAutospacing="1" w:after="100" w:afterAutospacing="1" w:line="240" w:lineRule="auto"/>
      <w:ind w:firstLine="0"/>
      <w:jc w:val="center"/>
    </w:pPr>
    <w:rPr>
      <w:b/>
      <w:bCs/>
      <w:lang w:eastAsia="es-ES"/>
    </w:rPr>
  </w:style>
  <w:style w:type="paragraph" w:customStyle="1" w:styleId="xl67">
    <w:name w:val="xl67"/>
    <w:basedOn w:val="Normal"/>
    <w:uiPriority w:val="99"/>
    <w:pPr>
      <w:spacing w:before="100" w:beforeAutospacing="1" w:after="100" w:afterAutospacing="1" w:line="240" w:lineRule="auto"/>
      <w:ind w:firstLine="0"/>
    </w:pPr>
    <w:rPr>
      <w:b/>
      <w:bCs/>
      <w:lang w:eastAsia="es-ES"/>
    </w:rPr>
  </w:style>
  <w:style w:type="paragraph" w:customStyle="1" w:styleId="xl68">
    <w:name w:val="xl68"/>
    <w:basedOn w:val="Normal"/>
    <w:uiPriority w:val="99"/>
    <w:pPr>
      <w:spacing w:before="100" w:beforeAutospacing="1" w:after="100" w:afterAutospacing="1" w:line="240" w:lineRule="auto"/>
      <w:ind w:firstLine="0"/>
      <w:jc w:val="right"/>
    </w:pPr>
    <w:rPr>
      <w:lang w:eastAsia="es-ES"/>
    </w:rPr>
  </w:style>
  <w:style w:type="paragraph" w:customStyle="1" w:styleId="xl69">
    <w:name w:val="xl69"/>
    <w:basedOn w:val="Normal"/>
    <w:uiPriority w:val="99"/>
    <w:pPr>
      <w:shd w:val="clear" w:color="000000" w:fill="808080"/>
      <w:spacing w:before="100" w:beforeAutospacing="1" w:after="100" w:afterAutospacing="1" w:line="240" w:lineRule="auto"/>
      <w:ind w:firstLine="0"/>
      <w:jc w:val="center"/>
      <w:textAlignment w:val="center"/>
    </w:pPr>
    <w:rPr>
      <w:b/>
      <w:bCs/>
      <w:color w:val="FFFFFF"/>
      <w:lang w:eastAsia="es-ES"/>
    </w:rPr>
  </w:style>
  <w:style w:type="paragraph" w:customStyle="1" w:styleId="xl70">
    <w:name w:val="xl70"/>
    <w:basedOn w:val="Normal"/>
    <w:uiPriority w:val="99"/>
    <w:pPr>
      <w:spacing w:before="100" w:beforeAutospacing="1" w:after="100" w:afterAutospacing="1" w:line="240" w:lineRule="auto"/>
      <w:ind w:firstLine="0"/>
      <w:jc w:val="right"/>
    </w:pPr>
    <w:rPr>
      <w:b/>
      <w:bCs/>
      <w:lang w:eastAsia="es-ES"/>
    </w:rPr>
  </w:style>
  <w:style w:type="paragraph" w:customStyle="1" w:styleId="xl71">
    <w:name w:val="xl71"/>
    <w:basedOn w:val="Normal"/>
    <w:uiPriority w:val="99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center"/>
    </w:pPr>
    <w:rPr>
      <w:b/>
      <w:bCs/>
      <w:lang w:eastAsia="es-ES"/>
    </w:rPr>
  </w:style>
  <w:style w:type="paragraph" w:customStyle="1" w:styleId="xl72">
    <w:name w:val="xl72"/>
    <w:basedOn w:val="Normal"/>
    <w:uiPriority w:val="99"/>
    <w:pPr>
      <w:pBdr>
        <w:left w:val="single" w:sz="4" w:space="0" w:color="auto"/>
      </w:pBdr>
      <w:spacing w:before="100" w:beforeAutospacing="1" w:after="100" w:afterAutospacing="1" w:line="240" w:lineRule="auto"/>
      <w:ind w:firstLine="0"/>
      <w:jc w:val="right"/>
    </w:pPr>
    <w:rPr>
      <w:lang w:eastAsia="es-ES"/>
    </w:rPr>
  </w:style>
  <w:style w:type="paragraph" w:customStyle="1" w:styleId="xl73">
    <w:name w:val="xl73"/>
    <w:basedOn w:val="Normal"/>
    <w:uiPriority w:val="99"/>
    <w:pPr>
      <w:pBdr>
        <w:left w:val="single" w:sz="4" w:space="0" w:color="auto"/>
      </w:pBdr>
      <w:spacing w:before="100" w:beforeAutospacing="1" w:after="100" w:afterAutospacing="1" w:line="240" w:lineRule="auto"/>
      <w:ind w:firstLine="0"/>
    </w:pPr>
    <w:rPr>
      <w:b/>
      <w:bCs/>
      <w:lang w:eastAsia="es-ES"/>
    </w:rPr>
  </w:style>
  <w:style w:type="paragraph" w:customStyle="1" w:styleId="xl74">
    <w:name w:val="xl74"/>
    <w:basedOn w:val="Normal"/>
    <w:uiPriority w:val="99"/>
    <w:pP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lang w:eastAsia="es-ES"/>
    </w:rPr>
  </w:style>
  <w:style w:type="paragraph" w:customStyle="1" w:styleId="xl75">
    <w:name w:val="xl75"/>
    <w:basedOn w:val="Normal"/>
    <w:uiPriority w:val="99"/>
    <w:pPr>
      <w:pBdr>
        <w:left w:val="single" w:sz="4" w:space="0" w:color="auto"/>
      </w:pBdr>
      <w:shd w:val="clear" w:color="000000" w:fill="BFBFBF"/>
      <w:spacing w:before="100" w:beforeAutospacing="1" w:after="100" w:afterAutospacing="1" w:line="240" w:lineRule="auto"/>
      <w:ind w:firstLine="0"/>
      <w:jc w:val="center"/>
      <w:textAlignment w:val="center"/>
    </w:pPr>
    <w:rPr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11</Pages>
  <Words>1706</Words>
  <Characters>9727</Characters>
  <Application>Microsoft Office Outlook</Application>
  <DocSecurity>0</DocSecurity>
  <Lines>0</Lines>
  <Paragraphs>0</Paragraphs>
  <ScaleCrop>false</ScaleCrop>
  <Company>Osakidetza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GARMENDIA NAVARRO</dc:creator>
  <cp:keywords/>
  <dc:description/>
  <cp:lastModifiedBy>CE</cp:lastModifiedBy>
  <cp:revision>7</cp:revision>
  <cp:lastPrinted>2018-05-17T08:50:00Z</cp:lastPrinted>
  <dcterms:created xsi:type="dcterms:W3CDTF">2020-04-10T12:46:00Z</dcterms:created>
  <dcterms:modified xsi:type="dcterms:W3CDTF">2020-06-15T01:51:00Z</dcterms:modified>
</cp:coreProperties>
</file>