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369" w:rsidRPr="003D1FBA" w:rsidRDefault="00A5071D" w:rsidP="009E6A19">
      <w:pPr>
        <w:pStyle w:val="Ttol1"/>
        <w:spacing w:line="360" w:lineRule="auto"/>
        <w:jc w:val="center"/>
      </w:pPr>
      <w:bookmarkStart w:id="0" w:name="_Toc20417699"/>
      <w:bookmarkStart w:id="1" w:name="_Hlk39596828"/>
      <w:bookmarkStart w:id="2" w:name="_Hlk7170993"/>
      <w:r w:rsidRPr="003D1FBA">
        <w:t>Resum</w:t>
      </w:r>
      <w:bookmarkEnd w:id="0"/>
      <w:r w:rsidR="003D1FBA">
        <w:t>en</w:t>
      </w:r>
    </w:p>
    <w:p w:rsidR="000863BF" w:rsidRPr="003D1FBA" w:rsidRDefault="000863BF" w:rsidP="000863BF">
      <w:pPr>
        <w:spacing w:line="360" w:lineRule="auto"/>
        <w:jc w:val="both"/>
        <w:rPr>
          <w:rFonts w:ascii="Arial" w:hAnsi="Arial" w:cs="Arial"/>
          <w:sz w:val="24"/>
          <w:u w:val="single"/>
        </w:rPr>
      </w:pPr>
      <w:bookmarkStart w:id="3" w:name="_Hlk531519161"/>
      <w:bookmarkStart w:id="4" w:name="_Hlk19981366"/>
      <w:r w:rsidRPr="003D1FBA">
        <w:rPr>
          <w:rFonts w:ascii="Arial" w:hAnsi="Arial" w:cs="Arial"/>
          <w:sz w:val="24"/>
          <w:u w:val="single"/>
        </w:rPr>
        <w:t>Introducció</w:t>
      </w:r>
      <w:r w:rsidR="003D1FBA">
        <w:rPr>
          <w:rFonts w:ascii="Arial" w:hAnsi="Arial" w:cs="Arial"/>
          <w:sz w:val="24"/>
          <w:u w:val="single"/>
        </w:rPr>
        <w:t>n</w:t>
      </w:r>
      <w:r w:rsidRPr="003D1FBA">
        <w:rPr>
          <w:rFonts w:ascii="Arial" w:hAnsi="Arial" w:cs="Arial"/>
          <w:sz w:val="24"/>
          <w:u w:val="single"/>
        </w:rPr>
        <w:t>:</w:t>
      </w:r>
    </w:p>
    <w:p w:rsidR="000863BF" w:rsidRPr="003D1FBA" w:rsidRDefault="000863BF" w:rsidP="000863BF">
      <w:pPr>
        <w:spacing w:line="360" w:lineRule="auto"/>
        <w:jc w:val="both"/>
        <w:rPr>
          <w:rFonts w:ascii="Arial" w:hAnsi="Arial" w:cs="Arial"/>
          <w:sz w:val="28"/>
          <w:szCs w:val="24"/>
        </w:rPr>
      </w:pPr>
      <w:r w:rsidRPr="003D1FBA">
        <w:rPr>
          <w:rFonts w:ascii="Arial" w:hAnsi="Arial" w:cs="Arial"/>
          <w:sz w:val="24"/>
        </w:rPr>
        <w:t>La R</w:t>
      </w:r>
      <w:r w:rsidR="003D1FBA" w:rsidRPr="003D1FBA">
        <w:rPr>
          <w:rFonts w:ascii="Arial" w:hAnsi="Arial" w:cs="Arial"/>
          <w:sz w:val="24"/>
        </w:rPr>
        <w:t>a</w:t>
      </w:r>
      <w:r w:rsidRPr="003D1FBA">
        <w:rPr>
          <w:rFonts w:ascii="Arial" w:hAnsi="Arial" w:cs="Arial"/>
          <w:sz w:val="24"/>
        </w:rPr>
        <w:t>tio isquiosural</w:t>
      </w:r>
      <w:r w:rsidR="003D1FBA" w:rsidRPr="003D1FBA">
        <w:rPr>
          <w:rFonts w:ascii="Arial" w:hAnsi="Arial" w:cs="Arial"/>
          <w:sz w:val="24"/>
        </w:rPr>
        <w:t>e</w:t>
      </w:r>
      <w:r w:rsidRPr="003D1FBA">
        <w:rPr>
          <w:rFonts w:ascii="Arial" w:hAnsi="Arial" w:cs="Arial"/>
          <w:sz w:val="24"/>
        </w:rPr>
        <w:t>s/</w:t>
      </w:r>
      <w:r w:rsidR="003D1FBA">
        <w:rPr>
          <w:rFonts w:ascii="Arial" w:hAnsi="Arial" w:cs="Arial"/>
          <w:sz w:val="24"/>
        </w:rPr>
        <w:t>c</w:t>
      </w:r>
      <w:r w:rsidRPr="003D1FBA">
        <w:rPr>
          <w:rFonts w:ascii="Arial" w:hAnsi="Arial" w:cs="Arial"/>
          <w:sz w:val="24"/>
        </w:rPr>
        <w:t>u</w:t>
      </w:r>
      <w:r w:rsidR="003D1FBA">
        <w:rPr>
          <w:rFonts w:ascii="Arial" w:hAnsi="Arial" w:cs="Arial"/>
          <w:sz w:val="24"/>
        </w:rPr>
        <w:t>á</w:t>
      </w:r>
      <w:r w:rsidRPr="003D1FBA">
        <w:rPr>
          <w:rFonts w:ascii="Arial" w:hAnsi="Arial" w:cs="Arial"/>
          <w:sz w:val="24"/>
        </w:rPr>
        <w:t xml:space="preserve">driceps (I/Q) </w:t>
      </w:r>
      <w:r w:rsidR="003D1FBA">
        <w:rPr>
          <w:rFonts w:ascii="Arial" w:hAnsi="Arial" w:cs="Arial"/>
          <w:sz w:val="24"/>
        </w:rPr>
        <w:t>y</w:t>
      </w:r>
      <w:r w:rsidRPr="003D1FBA">
        <w:rPr>
          <w:rFonts w:ascii="Arial" w:hAnsi="Arial" w:cs="Arial"/>
          <w:sz w:val="24"/>
        </w:rPr>
        <w:t xml:space="preserve"> la fatiga neuromuscular han </w:t>
      </w:r>
      <w:r w:rsidR="003D1FBA">
        <w:rPr>
          <w:rFonts w:ascii="Arial" w:hAnsi="Arial" w:cs="Arial"/>
          <w:sz w:val="24"/>
        </w:rPr>
        <w:t>sido</w:t>
      </w:r>
      <w:r w:rsidRPr="003D1FBA">
        <w:rPr>
          <w:rFonts w:ascii="Arial" w:hAnsi="Arial" w:cs="Arial"/>
          <w:sz w:val="24"/>
        </w:rPr>
        <w:t xml:space="preserve"> descrit</w:t>
      </w:r>
      <w:r w:rsidR="003D1FBA">
        <w:rPr>
          <w:rFonts w:ascii="Arial" w:hAnsi="Arial" w:cs="Arial"/>
          <w:sz w:val="24"/>
        </w:rPr>
        <w:t>os</w:t>
      </w:r>
      <w:r w:rsidRPr="003D1FBA">
        <w:rPr>
          <w:rFonts w:ascii="Arial" w:hAnsi="Arial" w:cs="Arial"/>
          <w:sz w:val="24"/>
        </w:rPr>
        <w:t xml:space="preserve"> com</w:t>
      </w:r>
      <w:r w:rsidR="003D1FBA">
        <w:rPr>
          <w:rFonts w:ascii="Arial" w:hAnsi="Arial" w:cs="Arial"/>
          <w:sz w:val="24"/>
        </w:rPr>
        <w:t>o</w:t>
      </w:r>
      <w:r w:rsidRPr="003D1FBA">
        <w:rPr>
          <w:rFonts w:ascii="Arial" w:hAnsi="Arial" w:cs="Arial"/>
          <w:sz w:val="24"/>
        </w:rPr>
        <w:t xml:space="preserve"> </w:t>
      </w:r>
      <w:r w:rsidR="003D1FBA">
        <w:rPr>
          <w:rFonts w:ascii="Arial" w:hAnsi="Arial" w:cs="Arial"/>
          <w:sz w:val="24"/>
        </w:rPr>
        <w:t>do</w:t>
      </w:r>
      <w:r w:rsidRPr="003D1FBA">
        <w:rPr>
          <w:rFonts w:ascii="Arial" w:hAnsi="Arial" w:cs="Arial"/>
          <w:sz w:val="24"/>
        </w:rPr>
        <w:t>s de</w:t>
      </w:r>
      <w:r w:rsidR="003D1FBA">
        <w:rPr>
          <w:rFonts w:ascii="Arial" w:hAnsi="Arial" w:cs="Arial"/>
          <w:sz w:val="24"/>
        </w:rPr>
        <w:t xml:space="preserve"> </w:t>
      </w:r>
      <w:r w:rsidRPr="003D1FBA">
        <w:rPr>
          <w:rFonts w:ascii="Arial" w:hAnsi="Arial" w:cs="Arial"/>
          <w:sz w:val="24"/>
        </w:rPr>
        <w:t>l</w:t>
      </w:r>
      <w:r w:rsidR="003D1FBA">
        <w:rPr>
          <w:rFonts w:ascii="Arial" w:hAnsi="Arial" w:cs="Arial"/>
          <w:sz w:val="24"/>
        </w:rPr>
        <w:t>o</w:t>
      </w:r>
      <w:r w:rsidRPr="003D1FBA">
        <w:rPr>
          <w:rFonts w:ascii="Arial" w:hAnsi="Arial" w:cs="Arial"/>
          <w:sz w:val="24"/>
        </w:rPr>
        <w:t>s principal</w:t>
      </w:r>
      <w:r w:rsidR="003D1FBA">
        <w:rPr>
          <w:rFonts w:ascii="Arial" w:hAnsi="Arial" w:cs="Arial"/>
          <w:sz w:val="24"/>
        </w:rPr>
        <w:t>e</w:t>
      </w:r>
      <w:r w:rsidRPr="003D1FBA">
        <w:rPr>
          <w:rFonts w:ascii="Arial" w:hAnsi="Arial" w:cs="Arial"/>
          <w:sz w:val="24"/>
        </w:rPr>
        <w:t>s factor</w:t>
      </w:r>
      <w:r w:rsidR="003D1FBA">
        <w:rPr>
          <w:rFonts w:ascii="Arial" w:hAnsi="Arial" w:cs="Arial"/>
          <w:sz w:val="24"/>
        </w:rPr>
        <w:t>e</w:t>
      </w:r>
      <w:r w:rsidRPr="003D1FBA">
        <w:rPr>
          <w:rFonts w:ascii="Arial" w:hAnsi="Arial" w:cs="Arial"/>
          <w:sz w:val="24"/>
        </w:rPr>
        <w:t>s de ri</w:t>
      </w:r>
      <w:r w:rsidR="003D1FBA">
        <w:rPr>
          <w:rFonts w:ascii="Arial" w:hAnsi="Arial" w:cs="Arial"/>
          <w:sz w:val="24"/>
        </w:rPr>
        <w:t>esgo</w:t>
      </w:r>
      <w:r w:rsidRPr="003D1FBA">
        <w:rPr>
          <w:rFonts w:ascii="Arial" w:hAnsi="Arial" w:cs="Arial"/>
          <w:sz w:val="24"/>
        </w:rPr>
        <w:t xml:space="preserve"> modificables de </w:t>
      </w:r>
      <w:r w:rsidR="003D1FBA">
        <w:rPr>
          <w:rFonts w:ascii="Arial" w:hAnsi="Arial" w:cs="Arial"/>
          <w:sz w:val="24"/>
        </w:rPr>
        <w:t>sufrir</w:t>
      </w:r>
      <w:r w:rsidRPr="003D1FBA">
        <w:rPr>
          <w:rFonts w:ascii="Arial" w:hAnsi="Arial" w:cs="Arial"/>
          <w:sz w:val="24"/>
        </w:rPr>
        <w:t xml:space="preserve"> una lesió</w:t>
      </w:r>
      <w:r w:rsidR="003D1FBA">
        <w:rPr>
          <w:rFonts w:ascii="Arial" w:hAnsi="Arial" w:cs="Arial"/>
          <w:sz w:val="24"/>
        </w:rPr>
        <w:t>n</w:t>
      </w:r>
      <w:r w:rsidRPr="003D1FBA">
        <w:rPr>
          <w:rFonts w:ascii="Arial" w:hAnsi="Arial" w:cs="Arial"/>
          <w:sz w:val="24"/>
        </w:rPr>
        <w:t xml:space="preserve"> del ligament</w:t>
      </w:r>
      <w:r w:rsidR="003D1FBA">
        <w:rPr>
          <w:rFonts w:ascii="Arial" w:hAnsi="Arial" w:cs="Arial"/>
          <w:sz w:val="24"/>
        </w:rPr>
        <w:t>o</w:t>
      </w:r>
      <w:r w:rsidRPr="003D1FBA">
        <w:rPr>
          <w:rFonts w:ascii="Arial" w:hAnsi="Arial" w:cs="Arial"/>
          <w:sz w:val="24"/>
        </w:rPr>
        <w:t xml:space="preserve"> cr</w:t>
      </w:r>
      <w:r w:rsidR="003D1FBA">
        <w:rPr>
          <w:rFonts w:ascii="Arial" w:hAnsi="Arial" w:cs="Arial"/>
          <w:sz w:val="24"/>
        </w:rPr>
        <w:t>uzado</w:t>
      </w:r>
      <w:r w:rsidRPr="003D1FBA">
        <w:rPr>
          <w:rFonts w:ascii="Arial" w:hAnsi="Arial" w:cs="Arial"/>
          <w:sz w:val="24"/>
        </w:rPr>
        <w:t xml:space="preserve"> anterior.</w:t>
      </w:r>
    </w:p>
    <w:p w:rsidR="000863BF" w:rsidRPr="003D1FBA" w:rsidRDefault="003D1FBA" w:rsidP="000863BF">
      <w:pPr>
        <w:spacing w:line="360" w:lineRule="auto"/>
        <w:jc w:val="both"/>
        <w:rPr>
          <w:rFonts w:ascii="Arial" w:eastAsiaTheme="majorEastAsia" w:hAnsi="Arial" w:cstheme="majorBidi"/>
          <w:sz w:val="24"/>
          <w:szCs w:val="24"/>
        </w:rPr>
      </w:pPr>
      <w:r>
        <w:rPr>
          <w:rFonts w:ascii="Arial" w:eastAsiaTheme="majorEastAsia" w:hAnsi="Arial" w:cstheme="majorBidi"/>
          <w:sz w:val="24"/>
          <w:szCs w:val="24"/>
        </w:rPr>
        <w:t xml:space="preserve">El </w:t>
      </w:r>
      <w:r w:rsidRPr="003D1FBA">
        <w:rPr>
          <w:rFonts w:ascii="Arial" w:eastAsiaTheme="majorEastAsia" w:hAnsi="Arial" w:cstheme="majorBidi"/>
          <w:sz w:val="24"/>
          <w:szCs w:val="24"/>
        </w:rPr>
        <w:t>objetiv</w:t>
      </w:r>
      <w:r>
        <w:rPr>
          <w:rFonts w:ascii="Arial" w:eastAsiaTheme="majorEastAsia" w:hAnsi="Arial" w:cstheme="majorBidi"/>
          <w:sz w:val="24"/>
          <w:szCs w:val="24"/>
        </w:rPr>
        <w:t>o</w:t>
      </w:r>
      <w:r w:rsidR="000863BF" w:rsidRPr="003D1FBA">
        <w:rPr>
          <w:rFonts w:ascii="Arial" w:eastAsiaTheme="majorEastAsia" w:hAnsi="Arial" w:cstheme="majorBidi"/>
          <w:sz w:val="24"/>
          <w:szCs w:val="24"/>
        </w:rPr>
        <w:t xml:space="preserve"> principal</w:t>
      </w:r>
      <w:r w:rsidR="00313568" w:rsidRPr="003D1FBA">
        <w:rPr>
          <w:rFonts w:ascii="Arial" w:eastAsiaTheme="majorEastAsia" w:hAnsi="Arial" w:cstheme="majorBidi"/>
          <w:sz w:val="24"/>
          <w:szCs w:val="24"/>
        </w:rPr>
        <w:t xml:space="preserve"> d</w:t>
      </w:r>
      <w:r>
        <w:rPr>
          <w:rFonts w:ascii="Arial" w:eastAsiaTheme="majorEastAsia" w:hAnsi="Arial" w:cstheme="majorBidi"/>
          <w:sz w:val="24"/>
          <w:szCs w:val="24"/>
        </w:rPr>
        <w:t>e e</w:t>
      </w:r>
      <w:r w:rsidR="00313568" w:rsidRPr="003D1FBA">
        <w:rPr>
          <w:rFonts w:ascii="Arial" w:eastAsiaTheme="majorEastAsia" w:hAnsi="Arial" w:cstheme="majorBidi"/>
          <w:sz w:val="24"/>
          <w:szCs w:val="24"/>
        </w:rPr>
        <w:t>sta investigació</w:t>
      </w:r>
      <w:r>
        <w:rPr>
          <w:rFonts w:ascii="Arial" w:eastAsiaTheme="majorEastAsia" w:hAnsi="Arial" w:cstheme="majorBidi"/>
          <w:sz w:val="24"/>
          <w:szCs w:val="24"/>
        </w:rPr>
        <w:t>n</w:t>
      </w:r>
      <w:r w:rsidR="00313568" w:rsidRPr="003D1FBA">
        <w:rPr>
          <w:rFonts w:ascii="Arial" w:eastAsiaTheme="majorEastAsia" w:hAnsi="Arial" w:cstheme="majorBidi"/>
          <w:sz w:val="24"/>
          <w:szCs w:val="24"/>
        </w:rPr>
        <w:t xml:space="preserve"> fu</w:t>
      </w:r>
      <w:r>
        <w:rPr>
          <w:rFonts w:ascii="Arial" w:eastAsiaTheme="majorEastAsia" w:hAnsi="Arial" w:cstheme="majorBidi"/>
          <w:sz w:val="24"/>
          <w:szCs w:val="24"/>
        </w:rPr>
        <w:t>e</w:t>
      </w:r>
      <w:r w:rsidR="000863BF" w:rsidRPr="003D1FBA">
        <w:rPr>
          <w:rFonts w:ascii="Arial" w:eastAsiaTheme="majorEastAsia" w:hAnsi="Arial" w:cstheme="majorBidi"/>
          <w:sz w:val="24"/>
          <w:szCs w:val="24"/>
        </w:rPr>
        <w:t xml:space="preserve"> estudiar </w:t>
      </w:r>
      <w:r>
        <w:rPr>
          <w:rFonts w:ascii="Arial" w:eastAsiaTheme="majorEastAsia" w:hAnsi="Arial" w:cstheme="majorBidi"/>
          <w:sz w:val="24"/>
          <w:szCs w:val="24"/>
        </w:rPr>
        <w:t>el e</w:t>
      </w:r>
      <w:r w:rsidR="000863BF" w:rsidRPr="003D1FBA">
        <w:rPr>
          <w:rFonts w:ascii="Arial" w:eastAsiaTheme="majorEastAsia" w:hAnsi="Arial" w:cstheme="majorBidi"/>
          <w:sz w:val="24"/>
          <w:szCs w:val="24"/>
        </w:rPr>
        <w:t>fect</w:t>
      </w:r>
      <w:r>
        <w:rPr>
          <w:rFonts w:ascii="Arial" w:eastAsiaTheme="majorEastAsia" w:hAnsi="Arial" w:cstheme="majorBidi"/>
          <w:sz w:val="24"/>
          <w:szCs w:val="24"/>
        </w:rPr>
        <w:t>o</w:t>
      </w:r>
      <w:r w:rsidR="000863BF" w:rsidRPr="003D1FBA">
        <w:rPr>
          <w:rFonts w:ascii="Arial" w:eastAsiaTheme="majorEastAsia" w:hAnsi="Arial" w:cstheme="majorBidi"/>
          <w:sz w:val="24"/>
          <w:szCs w:val="24"/>
        </w:rPr>
        <w:t xml:space="preserve"> de la fatiga neuromuscular en la R</w:t>
      </w:r>
      <w:r>
        <w:rPr>
          <w:rFonts w:ascii="Arial" w:eastAsiaTheme="majorEastAsia" w:hAnsi="Arial" w:cstheme="majorBidi"/>
          <w:sz w:val="24"/>
          <w:szCs w:val="24"/>
        </w:rPr>
        <w:t>a</w:t>
      </w:r>
      <w:r w:rsidR="000863BF" w:rsidRPr="003D1FBA">
        <w:rPr>
          <w:rFonts w:ascii="Arial" w:eastAsiaTheme="majorEastAsia" w:hAnsi="Arial" w:cstheme="majorBidi"/>
          <w:sz w:val="24"/>
          <w:szCs w:val="24"/>
        </w:rPr>
        <w:t xml:space="preserve">tio I/Q </w:t>
      </w:r>
      <w:r>
        <w:rPr>
          <w:rFonts w:ascii="Arial" w:eastAsiaTheme="majorEastAsia" w:hAnsi="Arial" w:cstheme="majorBidi"/>
          <w:sz w:val="24"/>
          <w:szCs w:val="24"/>
        </w:rPr>
        <w:t>y</w:t>
      </w:r>
      <w:r w:rsidR="000863BF" w:rsidRPr="003D1FBA">
        <w:rPr>
          <w:rFonts w:ascii="Arial" w:eastAsiaTheme="majorEastAsia" w:hAnsi="Arial" w:cstheme="majorBidi"/>
          <w:sz w:val="24"/>
          <w:szCs w:val="24"/>
        </w:rPr>
        <w:t xml:space="preserve"> en la f</w:t>
      </w:r>
      <w:r>
        <w:rPr>
          <w:rFonts w:ascii="Arial" w:eastAsiaTheme="majorEastAsia" w:hAnsi="Arial" w:cstheme="majorBidi"/>
          <w:sz w:val="24"/>
          <w:szCs w:val="24"/>
        </w:rPr>
        <w:t>uerz</w:t>
      </w:r>
      <w:r w:rsidR="000863BF" w:rsidRPr="003D1FBA">
        <w:rPr>
          <w:rFonts w:ascii="Arial" w:eastAsiaTheme="majorEastAsia" w:hAnsi="Arial" w:cstheme="majorBidi"/>
          <w:sz w:val="24"/>
          <w:szCs w:val="24"/>
        </w:rPr>
        <w:t>a m</w:t>
      </w:r>
      <w:r>
        <w:rPr>
          <w:rFonts w:ascii="Arial" w:eastAsiaTheme="majorEastAsia" w:hAnsi="Arial" w:cstheme="majorBidi"/>
          <w:sz w:val="24"/>
          <w:szCs w:val="24"/>
        </w:rPr>
        <w:t>á</w:t>
      </w:r>
      <w:r w:rsidR="000863BF" w:rsidRPr="003D1FBA">
        <w:rPr>
          <w:rFonts w:ascii="Arial" w:eastAsiaTheme="majorEastAsia" w:hAnsi="Arial" w:cstheme="majorBidi"/>
          <w:sz w:val="24"/>
          <w:szCs w:val="24"/>
        </w:rPr>
        <w:t>xima isom</w:t>
      </w:r>
      <w:r>
        <w:rPr>
          <w:rFonts w:ascii="Arial" w:eastAsiaTheme="majorEastAsia" w:hAnsi="Arial" w:cstheme="majorBidi"/>
          <w:sz w:val="24"/>
          <w:szCs w:val="24"/>
        </w:rPr>
        <w:t>ét</w:t>
      </w:r>
      <w:r w:rsidR="000863BF" w:rsidRPr="003D1FBA">
        <w:rPr>
          <w:rFonts w:ascii="Arial" w:eastAsiaTheme="majorEastAsia" w:hAnsi="Arial" w:cstheme="majorBidi"/>
          <w:sz w:val="24"/>
          <w:szCs w:val="24"/>
        </w:rPr>
        <w:t xml:space="preserve">rica de </w:t>
      </w:r>
      <w:r>
        <w:rPr>
          <w:rFonts w:ascii="Arial" w:eastAsiaTheme="majorEastAsia" w:hAnsi="Arial" w:cstheme="majorBidi"/>
          <w:sz w:val="24"/>
          <w:szCs w:val="24"/>
        </w:rPr>
        <w:t>c</w:t>
      </w:r>
      <w:r w:rsidR="000863BF" w:rsidRPr="003D1FBA">
        <w:rPr>
          <w:rFonts w:ascii="Arial" w:eastAsiaTheme="majorEastAsia" w:hAnsi="Arial" w:cstheme="majorBidi"/>
          <w:sz w:val="24"/>
          <w:szCs w:val="24"/>
        </w:rPr>
        <w:t>u</w:t>
      </w:r>
      <w:r>
        <w:rPr>
          <w:rFonts w:ascii="Arial" w:eastAsiaTheme="majorEastAsia" w:hAnsi="Arial" w:cstheme="majorBidi"/>
          <w:sz w:val="24"/>
          <w:szCs w:val="24"/>
        </w:rPr>
        <w:t>á</w:t>
      </w:r>
      <w:r w:rsidR="000863BF" w:rsidRPr="003D1FBA">
        <w:rPr>
          <w:rFonts w:ascii="Arial" w:eastAsiaTheme="majorEastAsia" w:hAnsi="Arial" w:cstheme="majorBidi"/>
          <w:sz w:val="24"/>
          <w:szCs w:val="24"/>
        </w:rPr>
        <w:t xml:space="preserve">driceps </w:t>
      </w:r>
      <w:r>
        <w:rPr>
          <w:rFonts w:ascii="Arial" w:eastAsiaTheme="majorEastAsia" w:hAnsi="Arial" w:cstheme="majorBidi"/>
          <w:sz w:val="24"/>
          <w:szCs w:val="24"/>
        </w:rPr>
        <w:t>y</w:t>
      </w:r>
      <w:r w:rsidR="000863BF" w:rsidRPr="003D1FBA">
        <w:rPr>
          <w:rFonts w:ascii="Arial" w:eastAsiaTheme="majorEastAsia" w:hAnsi="Arial" w:cstheme="majorBidi"/>
          <w:sz w:val="24"/>
          <w:szCs w:val="24"/>
        </w:rPr>
        <w:t xml:space="preserve"> d</w:t>
      </w:r>
      <w:r>
        <w:rPr>
          <w:rFonts w:ascii="Arial" w:eastAsiaTheme="majorEastAsia" w:hAnsi="Arial" w:cstheme="majorBidi"/>
          <w:sz w:val="24"/>
          <w:szCs w:val="24"/>
        </w:rPr>
        <w:t xml:space="preserve">e </w:t>
      </w:r>
      <w:r w:rsidR="000863BF" w:rsidRPr="003D1FBA">
        <w:rPr>
          <w:rFonts w:ascii="Arial" w:eastAsiaTheme="majorEastAsia" w:hAnsi="Arial" w:cstheme="majorBidi"/>
          <w:sz w:val="24"/>
          <w:szCs w:val="24"/>
        </w:rPr>
        <w:t>isquiosural</w:t>
      </w:r>
      <w:r>
        <w:rPr>
          <w:rFonts w:ascii="Arial" w:eastAsiaTheme="majorEastAsia" w:hAnsi="Arial" w:cstheme="majorBidi"/>
          <w:sz w:val="24"/>
          <w:szCs w:val="24"/>
        </w:rPr>
        <w:t>e</w:t>
      </w:r>
      <w:r w:rsidR="000863BF" w:rsidRPr="003D1FBA">
        <w:rPr>
          <w:rFonts w:ascii="Arial" w:eastAsiaTheme="majorEastAsia" w:hAnsi="Arial" w:cstheme="majorBidi"/>
          <w:sz w:val="24"/>
          <w:szCs w:val="24"/>
        </w:rPr>
        <w:t>s en jugador</w:t>
      </w:r>
      <w:r>
        <w:rPr>
          <w:rFonts w:ascii="Arial" w:eastAsiaTheme="majorEastAsia" w:hAnsi="Arial" w:cstheme="majorBidi"/>
          <w:sz w:val="24"/>
          <w:szCs w:val="24"/>
        </w:rPr>
        <w:t>a</w:t>
      </w:r>
      <w:r w:rsidR="000863BF" w:rsidRPr="003D1FBA">
        <w:rPr>
          <w:rFonts w:ascii="Arial" w:eastAsiaTheme="majorEastAsia" w:hAnsi="Arial" w:cstheme="majorBidi"/>
          <w:sz w:val="24"/>
          <w:szCs w:val="24"/>
        </w:rPr>
        <w:t>s adolescent</w:t>
      </w:r>
      <w:r>
        <w:rPr>
          <w:rFonts w:ascii="Arial" w:eastAsiaTheme="majorEastAsia" w:hAnsi="Arial" w:cstheme="majorBidi"/>
          <w:sz w:val="24"/>
          <w:szCs w:val="24"/>
        </w:rPr>
        <w:t>e</w:t>
      </w:r>
      <w:r w:rsidR="000863BF" w:rsidRPr="003D1FBA">
        <w:rPr>
          <w:rFonts w:ascii="Arial" w:eastAsiaTheme="majorEastAsia" w:hAnsi="Arial" w:cstheme="majorBidi"/>
          <w:sz w:val="24"/>
          <w:szCs w:val="24"/>
        </w:rPr>
        <w:t>s de ba</w:t>
      </w:r>
      <w:r>
        <w:rPr>
          <w:rFonts w:ascii="Arial" w:eastAsiaTheme="majorEastAsia" w:hAnsi="Arial" w:cstheme="majorBidi"/>
          <w:sz w:val="24"/>
          <w:szCs w:val="24"/>
        </w:rPr>
        <w:t>loncesto</w:t>
      </w:r>
      <w:r w:rsidR="000863BF" w:rsidRPr="003D1FBA">
        <w:rPr>
          <w:rFonts w:ascii="Arial" w:eastAsiaTheme="majorEastAsia" w:hAnsi="Arial" w:cstheme="majorBidi"/>
          <w:sz w:val="24"/>
          <w:szCs w:val="24"/>
        </w:rPr>
        <w:t xml:space="preserve"> </w:t>
      </w:r>
      <w:r>
        <w:rPr>
          <w:rFonts w:ascii="Arial" w:eastAsiaTheme="majorEastAsia" w:hAnsi="Arial" w:cstheme="majorBidi"/>
          <w:sz w:val="24"/>
          <w:szCs w:val="24"/>
        </w:rPr>
        <w:t>y</w:t>
      </w:r>
      <w:r w:rsidR="000863BF" w:rsidRPr="003D1FBA">
        <w:rPr>
          <w:rFonts w:ascii="Arial" w:eastAsiaTheme="majorEastAsia" w:hAnsi="Arial" w:cstheme="majorBidi"/>
          <w:sz w:val="24"/>
          <w:szCs w:val="24"/>
        </w:rPr>
        <w:t xml:space="preserve"> </w:t>
      </w:r>
      <w:r w:rsidR="000B6D5B">
        <w:rPr>
          <w:rFonts w:ascii="Arial" w:eastAsiaTheme="majorEastAsia" w:hAnsi="Arial" w:cstheme="majorBidi"/>
          <w:sz w:val="24"/>
          <w:szCs w:val="24"/>
        </w:rPr>
        <w:t>balonmano</w:t>
      </w:r>
      <w:r w:rsidR="000863BF" w:rsidRPr="003D1FBA">
        <w:rPr>
          <w:rFonts w:ascii="Arial" w:eastAsiaTheme="majorEastAsia" w:hAnsi="Arial" w:cstheme="majorBidi"/>
          <w:sz w:val="24"/>
          <w:szCs w:val="24"/>
        </w:rPr>
        <w:t>.</w:t>
      </w:r>
    </w:p>
    <w:p w:rsidR="000863BF" w:rsidRPr="003D1FBA" w:rsidRDefault="000863BF" w:rsidP="000863BF">
      <w:pPr>
        <w:spacing w:line="360" w:lineRule="auto"/>
        <w:jc w:val="both"/>
        <w:rPr>
          <w:rFonts w:ascii="Arial" w:hAnsi="Arial" w:cs="Arial"/>
          <w:sz w:val="28"/>
          <w:szCs w:val="24"/>
          <w:u w:val="single"/>
        </w:rPr>
      </w:pPr>
      <w:r w:rsidRPr="003D1FBA">
        <w:rPr>
          <w:rFonts w:ascii="Arial" w:eastAsiaTheme="majorEastAsia" w:hAnsi="Arial" w:cstheme="majorBidi"/>
          <w:sz w:val="24"/>
          <w:szCs w:val="24"/>
          <w:u w:val="single"/>
        </w:rPr>
        <w:t xml:space="preserve">Material </w:t>
      </w:r>
      <w:r w:rsidR="005056CA">
        <w:rPr>
          <w:rFonts w:ascii="Arial" w:eastAsiaTheme="majorEastAsia" w:hAnsi="Arial" w:cstheme="majorBidi"/>
          <w:sz w:val="24"/>
          <w:szCs w:val="24"/>
          <w:u w:val="single"/>
        </w:rPr>
        <w:t>y</w:t>
      </w:r>
      <w:r w:rsidRPr="003D1FBA">
        <w:rPr>
          <w:rFonts w:ascii="Arial" w:eastAsiaTheme="majorEastAsia" w:hAnsi="Arial" w:cstheme="majorBidi"/>
          <w:sz w:val="24"/>
          <w:szCs w:val="24"/>
          <w:u w:val="single"/>
        </w:rPr>
        <w:t xml:space="preserve"> m</w:t>
      </w:r>
      <w:r w:rsidR="005056CA">
        <w:rPr>
          <w:rFonts w:ascii="Arial" w:eastAsiaTheme="majorEastAsia" w:hAnsi="Arial" w:cstheme="majorBidi"/>
          <w:sz w:val="24"/>
          <w:szCs w:val="24"/>
          <w:u w:val="single"/>
        </w:rPr>
        <w:t>é</w:t>
      </w:r>
      <w:r w:rsidRPr="003D1FBA">
        <w:rPr>
          <w:rFonts w:ascii="Arial" w:eastAsiaTheme="majorEastAsia" w:hAnsi="Arial" w:cstheme="majorBidi"/>
          <w:sz w:val="24"/>
          <w:szCs w:val="24"/>
          <w:u w:val="single"/>
        </w:rPr>
        <w:t>tod</w:t>
      </w:r>
      <w:r w:rsidR="005056CA">
        <w:rPr>
          <w:rFonts w:ascii="Arial" w:eastAsiaTheme="majorEastAsia" w:hAnsi="Arial" w:cstheme="majorBidi"/>
          <w:sz w:val="24"/>
          <w:szCs w:val="24"/>
          <w:u w:val="single"/>
        </w:rPr>
        <w:t>o</w:t>
      </w:r>
      <w:r w:rsidRPr="003D1FBA">
        <w:rPr>
          <w:rFonts w:ascii="Arial" w:eastAsiaTheme="majorEastAsia" w:hAnsi="Arial" w:cstheme="majorBidi"/>
          <w:sz w:val="24"/>
          <w:szCs w:val="24"/>
          <w:u w:val="single"/>
        </w:rPr>
        <w:t>s:</w:t>
      </w:r>
    </w:p>
    <w:p w:rsidR="000863BF" w:rsidRPr="003D1FBA" w:rsidRDefault="00313568" w:rsidP="000863BF">
      <w:pPr>
        <w:spacing w:line="360" w:lineRule="auto"/>
        <w:jc w:val="both"/>
        <w:rPr>
          <w:rFonts w:ascii="Arial" w:hAnsi="Arial" w:cs="Arial"/>
          <w:sz w:val="24"/>
        </w:rPr>
      </w:pPr>
      <w:r w:rsidRPr="003D1FBA">
        <w:rPr>
          <w:rFonts w:ascii="Arial" w:hAnsi="Arial" w:cs="Arial"/>
          <w:sz w:val="24"/>
        </w:rPr>
        <w:t>Estudi</w:t>
      </w:r>
      <w:r w:rsidR="005056CA">
        <w:rPr>
          <w:rFonts w:ascii="Arial" w:hAnsi="Arial" w:cs="Arial"/>
          <w:sz w:val="24"/>
        </w:rPr>
        <w:t>o</w:t>
      </w:r>
      <w:r w:rsidR="000863BF" w:rsidRPr="003D1FBA">
        <w:rPr>
          <w:rFonts w:ascii="Arial" w:hAnsi="Arial" w:cs="Arial"/>
          <w:sz w:val="24"/>
        </w:rPr>
        <w:t xml:space="preserve"> experimental </w:t>
      </w:r>
      <w:r w:rsidRPr="003D1FBA">
        <w:rPr>
          <w:rFonts w:ascii="Arial" w:hAnsi="Arial" w:cs="Arial"/>
          <w:sz w:val="24"/>
        </w:rPr>
        <w:t>prospecti</w:t>
      </w:r>
      <w:r w:rsidR="005056CA">
        <w:rPr>
          <w:rFonts w:ascii="Arial" w:hAnsi="Arial" w:cs="Arial"/>
          <w:sz w:val="24"/>
        </w:rPr>
        <w:t>vo</w:t>
      </w:r>
      <w:r w:rsidRPr="003D1FBA">
        <w:rPr>
          <w:rFonts w:ascii="Arial" w:hAnsi="Arial" w:cs="Arial"/>
          <w:sz w:val="24"/>
        </w:rPr>
        <w:t xml:space="preserve"> </w:t>
      </w:r>
      <w:r w:rsidR="000863BF" w:rsidRPr="003D1FBA">
        <w:rPr>
          <w:rFonts w:ascii="Arial" w:hAnsi="Arial" w:cs="Arial"/>
          <w:sz w:val="24"/>
        </w:rPr>
        <w:t>pre-post intervenció</w:t>
      </w:r>
      <w:r w:rsidR="005056CA">
        <w:rPr>
          <w:rFonts w:ascii="Arial" w:hAnsi="Arial" w:cs="Arial"/>
          <w:sz w:val="24"/>
        </w:rPr>
        <w:t>n</w:t>
      </w:r>
      <w:r w:rsidR="000863BF" w:rsidRPr="003D1FBA">
        <w:rPr>
          <w:rFonts w:ascii="Arial" w:hAnsi="Arial" w:cs="Arial"/>
          <w:sz w:val="24"/>
        </w:rPr>
        <w:t xml:space="preserve"> </w:t>
      </w:r>
      <w:r w:rsidR="005056CA">
        <w:rPr>
          <w:rFonts w:ascii="Arial" w:hAnsi="Arial" w:cs="Arial"/>
          <w:sz w:val="24"/>
        </w:rPr>
        <w:t xml:space="preserve">con </w:t>
      </w:r>
      <w:r w:rsidR="000863BF" w:rsidRPr="003D1FBA">
        <w:rPr>
          <w:rFonts w:ascii="Arial" w:hAnsi="Arial" w:cs="Arial"/>
          <w:sz w:val="24"/>
        </w:rPr>
        <w:t>una m</w:t>
      </w:r>
      <w:r w:rsidR="005056CA">
        <w:rPr>
          <w:rFonts w:ascii="Arial" w:hAnsi="Arial" w:cs="Arial"/>
          <w:sz w:val="24"/>
        </w:rPr>
        <w:t>ues</w:t>
      </w:r>
      <w:r w:rsidR="000863BF" w:rsidRPr="003D1FBA">
        <w:rPr>
          <w:rFonts w:ascii="Arial" w:hAnsi="Arial" w:cs="Arial"/>
          <w:sz w:val="24"/>
        </w:rPr>
        <w:t>tra de 19 jugador</w:t>
      </w:r>
      <w:r w:rsidR="005056CA">
        <w:rPr>
          <w:rFonts w:ascii="Arial" w:hAnsi="Arial" w:cs="Arial"/>
          <w:sz w:val="24"/>
        </w:rPr>
        <w:t>a</w:t>
      </w:r>
      <w:r w:rsidR="000863BF" w:rsidRPr="003D1FBA">
        <w:rPr>
          <w:rFonts w:ascii="Arial" w:hAnsi="Arial" w:cs="Arial"/>
          <w:sz w:val="24"/>
        </w:rPr>
        <w:t>s de ba</w:t>
      </w:r>
      <w:r w:rsidR="005056CA">
        <w:rPr>
          <w:rFonts w:ascii="Arial" w:hAnsi="Arial" w:cs="Arial"/>
          <w:sz w:val="24"/>
        </w:rPr>
        <w:t>loncesto</w:t>
      </w:r>
      <w:r w:rsidR="000863BF" w:rsidRPr="003D1FBA">
        <w:rPr>
          <w:rFonts w:ascii="Arial" w:hAnsi="Arial" w:cs="Arial"/>
          <w:sz w:val="24"/>
        </w:rPr>
        <w:t xml:space="preserve"> </w:t>
      </w:r>
      <w:r w:rsidR="005056CA">
        <w:rPr>
          <w:rFonts w:ascii="Arial" w:hAnsi="Arial" w:cs="Arial"/>
          <w:sz w:val="24"/>
        </w:rPr>
        <w:t>y</w:t>
      </w:r>
      <w:r w:rsidR="000863BF" w:rsidRPr="003D1FBA">
        <w:rPr>
          <w:rFonts w:ascii="Arial" w:hAnsi="Arial" w:cs="Arial"/>
          <w:sz w:val="24"/>
        </w:rPr>
        <w:t xml:space="preserve"> 11 jugador</w:t>
      </w:r>
      <w:r w:rsidR="005056CA">
        <w:rPr>
          <w:rFonts w:ascii="Arial" w:hAnsi="Arial" w:cs="Arial"/>
          <w:sz w:val="24"/>
        </w:rPr>
        <w:t>a</w:t>
      </w:r>
      <w:r w:rsidR="000863BF" w:rsidRPr="003D1FBA">
        <w:rPr>
          <w:rFonts w:ascii="Arial" w:hAnsi="Arial" w:cs="Arial"/>
          <w:sz w:val="24"/>
        </w:rPr>
        <w:t>s d</w:t>
      </w:r>
      <w:r w:rsidR="005056CA">
        <w:rPr>
          <w:rFonts w:ascii="Arial" w:hAnsi="Arial" w:cs="Arial"/>
          <w:sz w:val="24"/>
        </w:rPr>
        <w:t xml:space="preserve">e </w:t>
      </w:r>
      <w:r w:rsidR="000B6D5B">
        <w:rPr>
          <w:rFonts w:ascii="Arial" w:hAnsi="Arial" w:cs="Arial"/>
          <w:sz w:val="24"/>
        </w:rPr>
        <w:t>balonmano</w:t>
      </w:r>
      <w:r w:rsidR="00A96D35">
        <w:rPr>
          <w:rFonts w:ascii="Arial" w:hAnsi="Arial" w:cs="Arial"/>
          <w:sz w:val="24"/>
        </w:rPr>
        <w:t xml:space="preserve"> (17.02 ± 1.</w:t>
      </w:r>
      <w:r w:rsidR="000863BF" w:rsidRPr="003D1FBA">
        <w:rPr>
          <w:rFonts w:ascii="Arial" w:hAnsi="Arial" w:cs="Arial"/>
          <w:sz w:val="24"/>
        </w:rPr>
        <w:t>19 a</w:t>
      </w:r>
      <w:r w:rsidR="005056CA">
        <w:rPr>
          <w:rFonts w:ascii="Arial" w:hAnsi="Arial" w:cs="Arial"/>
          <w:sz w:val="24"/>
        </w:rPr>
        <w:t>ño</w:t>
      </w:r>
      <w:r w:rsidR="00A96D35">
        <w:rPr>
          <w:rFonts w:ascii="Arial" w:hAnsi="Arial" w:cs="Arial"/>
          <w:sz w:val="24"/>
        </w:rPr>
        <w:t>s, 177.8 ± 7.</w:t>
      </w:r>
      <w:r w:rsidR="000863BF" w:rsidRPr="003D1FBA">
        <w:rPr>
          <w:rFonts w:ascii="Arial" w:hAnsi="Arial" w:cs="Arial"/>
          <w:sz w:val="24"/>
        </w:rPr>
        <w:t xml:space="preserve">2 cm </w:t>
      </w:r>
      <w:r w:rsidR="005056CA">
        <w:rPr>
          <w:rFonts w:ascii="Arial" w:hAnsi="Arial" w:cs="Arial"/>
          <w:sz w:val="24"/>
        </w:rPr>
        <w:t>y</w:t>
      </w:r>
      <w:r w:rsidR="00A96D35">
        <w:rPr>
          <w:rFonts w:ascii="Arial" w:hAnsi="Arial" w:cs="Arial"/>
          <w:sz w:val="24"/>
        </w:rPr>
        <w:t xml:space="preserve"> 68.6 ± 9.</w:t>
      </w:r>
      <w:r w:rsidR="000863BF" w:rsidRPr="003D1FBA">
        <w:rPr>
          <w:rFonts w:ascii="Arial" w:hAnsi="Arial" w:cs="Arial"/>
          <w:sz w:val="24"/>
        </w:rPr>
        <w:t>3 kg). P</w:t>
      </w:r>
      <w:r w:rsidR="005056CA">
        <w:rPr>
          <w:rFonts w:ascii="Arial" w:hAnsi="Arial" w:cs="Arial"/>
          <w:sz w:val="24"/>
        </w:rPr>
        <w:t>ara</w:t>
      </w:r>
      <w:r w:rsidR="000863BF" w:rsidRPr="003D1FBA">
        <w:rPr>
          <w:rFonts w:ascii="Arial" w:hAnsi="Arial" w:cs="Arial"/>
          <w:sz w:val="24"/>
        </w:rPr>
        <w:t xml:space="preserve"> registrar la f</w:t>
      </w:r>
      <w:r w:rsidR="005056CA">
        <w:rPr>
          <w:rFonts w:ascii="Arial" w:hAnsi="Arial" w:cs="Arial"/>
          <w:sz w:val="24"/>
        </w:rPr>
        <w:t>uerza</w:t>
      </w:r>
      <w:r w:rsidR="000863BF" w:rsidRPr="003D1FBA">
        <w:rPr>
          <w:rFonts w:ascii="Arial" w:hAnsi="Arial" w:cs="Arial"/>
          <w:sz w:val="24"/>
        </w:rPr>
        <w:t xml:space="preserve"> muscular </w:t>
      </w:r>
      <w:r w:rsidRPr="003D1FBA">
        <w:rPr>
          <w:rFonts w:ascii="Arial" w:hAnsi="Arial" w:cs="Arial"/>
          <w:sz w:val="24"/>
        </w:rPr>
        <w:t>s</w:t>
      </w:r>
      <w:r w:rsidR="005056CA">
        <w:rPr>
          <w:rFonts w:ascii="Arial" w:hAnsi="Arial" w:cs="Arial"/>
          <w:sz w:val="24"/>
        </w:rPr>
        <w:t xml:space="preserve">e </w:t>
      </w:r>
      <w:r w:rsidRPr="003D1FBA">
        <w:rPr>
          <w:rFonts w:ascii="Arial" w:hAnsi="Arial" w:cs="Arial"/>
          <w:sz w:val="24"/>
        </w:rPr>
        <w:t>utiliz</w:t>
      </w:r>
      <w:r w:rsidR="005056CA">
        <w:rPr>
          <w:rFonts w:ascii="Arial" w:hAnsi="Arial" w:cs="Arial"/>
          <w:sz w:val="24"/>
        </w:rPr>
        <w:t>ó</w:t>
      </w:r>
      <w:r w:rsidR="000863BF" w:rsidRPr="003D1FBA">
        <w:rPr>
          <w:rFonts w:ascii="Arial" w:hAnsi="Arial" w:cs="Arial"/>
          <w:sz w:val="24"/>
        </w:rPr>
        <w:t xml:space="preserve"> un test de f</w:t>
      </w:r>
      <w:r w:rsidR="005056CA">
        <w:rPr>
          <w:rFonts w:ascii="Arial" w:hAnsi="Arial" w:cs="Arial"/>
          <w:sz w:val="24"/>
        </w:rPr>
        <w:t>uerza</w:t>
      </w:r>
      <w:r w:rsidR="000863BF" w:rsidRPr="003D1FBA">
        <w:rPr>
          <w:rFonts w:ascii="Arial" w:hAnsi="Arial" w:cs="Arial"/>
          <w:sz w:val="24"/>
        </w:rPr>
        <w:t xml:space="preserve"> m</w:t>
      </w:r>
      <w:r w:rsidR="005056CA">
        <w:rPr>
          <w:rFonts w:ascii="Arial" w:hAnsi="Arial" w:cs="Arial"/>
          <w:sz w:val="24"/>
        </w:rPr>
        <w:t>á</w:t>
      </w:r>
      <w:r w:rsidR="000863BF" w:rsidRPr="003D1FBA">
        <w:rPr>
          <w:rFonts w:ascii="Arial" w:hAnsi="Arial" w:cs="Arial"/>
          <w:sz w:val="24"/>
        </w:rPr>
        <w:t>xima isom</w:t>
      </w:r>
      <w:r w:rsidR="005056CA">
        <w:rPr>
          <w:rFonts w:ascii="Arial" w:hAnsi="Arial" w:cs="Arial"/>
          <w:sz w:val="24"/>
        </w:rPr>
        <w:t>é</w:t>
      </w:r>
      <w:r w:rsidR="000863BF" w:rsidRPr="003D1FBA">
        <w:rPr>
          <w:rFonts w:ascii="Arial" w:hAnsi="Arial" w:cs="Arial"/>
          <w:sz w:val="24"/>
        </w:rPr>
        <w:t>trica en una posició</w:t>
      </w:r>
      <w:r w:rsidR="005056CA">
        <w:rPr>
          <w:rFonts w:ascii="Arial" w:hAnsi="Arial" w:cs="Arial"/>
          <w:sz w:val="24"/>
        </w:rPr>
        <w:t>n</w:t>
      </w:r>
      <w:r w:rsidR="000863BF" w:rsidRPr="003D1FBA">
        <w:rPr>
          <w:rFonts w:ascii="Arial" w:hAnsi="Arial" w:cs="Arial"/>
          <w:sz w:val="24"/>
        </w:rPr>
        <w:t xml:space="preserve"> de 90º de </w:t>
      </w:r>
      <w:r w:rsidR="005056CA">
        <w:rPr>
          <w:rFonts w:ascii="Arial" w:hAnsi="Arial" w:cs="Arial"/>
          <w:sz w:val="24"/>
        </w:rPr>
        <w:t>cadera</w:t>
      </w:r>
      <w:r w:rsidR="000863BF" w:rsidRPr="003D1FBA">
        <w:rPr>
          <w:rFonts w:ascii="Arial" w:hAnsi="Arial" w:cs="Arial"/>
          <w:sz w:val="24"/>
        </w:rPr>
        <w:t xml:space="preserve"> y 60º de </w:t>
      </w:r>
      <w:r w:rsidR="005056CA">
        <w:rPr>
          <w:rFonts w:ascii="Arial" w:hAnsi="Arial" w:cs="Arial"/>
          <w:sz w:val="24"/>
        </w:rPr>
        <w:t>rodilla</w:t>
      </w:r>
      <w:r w:rsidR="000863BF" w:rsidRPr="003D1FBA">
        <w:rPr>
          <w:rFonts w:ascii="Arial" w:hAnsi="Arial" w:cs="Arial"/>
          <w:sz w:val="24"/>
        </w:rPr>
        <w:t>. Posteriorment</w:t>
      </w:r>
      <w:r w:rsidR="005056CA">
        <w:rPr>
          <w:rFonts w:ascii="Arial" w:hAnsi="Arial" w:cs="Arial"/>
          <w:sz w:val="24"/>
        </w:rPr>
        <w:t>e</w:t>
      </w:r>
      <w:r w:rsidR="000863BF" w:rsidRPr="003D1FBA">
        <w:rPr>
          <w:rFonts w:ascii="Arial" w:hAnsi="Arial" w:cs="Arial"/>
          <w:sz w:val="24"/>
        </w:rPr>
        <w:t xml:space="preserve"> </w:t>
      </w:r>
      <w:r w:rsidR="005056CA">
        <w:rPr>
          <w:rFonts w:ascii="Arial" w:hAnsi="Arial" w:cs="Arial"/>
          <w:sz w:val="24"/>
        </w:rPr>
        <w:t>se</w:t>
      </w:r>
      <w:r w:rsidR="000863BF" w:rsidRPr="003D1FBA">
        <w:rPr>
          <w:rFonts w:ascii="Arial" w:hAnsi="Arial" w:cs="Arial"/>
          <w:sz w:val="24"/>
        </w:rPr>
        <w:t xml:space="preserve"> calcul</w:t>
      </w:r>
      <w:r w:rsidR="005056CA">
        <w:rPr>
          <w:rFonts w:ascii="Arial" w:hAnsi="Arial" w:cs="Arial"/>
          <w:sz w:val="24"/>
        </w:rPr>
        <w:t>ó</w:t>
      </w:r>
      <w:r w:rsidR="000863BF" w:rsidRPr="003D1FBA">
        <w:rPr>
          <w:rFonts w:ascii="Arial" w:hAnsi="Arial" w:cs="Arial"/>
          <w:sz w:val="24"/>
        </w:rPr>
        <w:t xml:space="preserve"> la R</w:t>
      </w:r>
      <w:r w:rsidR="005056CA">
        <w:rPr>
          <w:rFonts w:ascii="Arial" w:hAnsi="Arial" w:cs="Arial"/>
          <w:sz w:val="24"/>
        </w:rPr>
        <w:t>a</w:t>
      </w:r>
      <w:r w:rsidR="000863BF" w:rsidRPr="003D1FBA">
        <w:rPr>
          <w:rFonts w:ascii="Arial" w:hAnsi="Arial" w:cs="Arial"/>
          <w:sz w:val="24"/>
        </w:rPr>
        <w:t>tio I/Q. El test de fatiga intermitent</w:t>
      </w:r>
      <w:r w:rsidR="005056CA">
        <w:rPr>
          <w:rFonts w:ascii="Arial" w:hAnsi="Arial" w:cs="Arial"/>
          <w:sz w:val="24"/>
        </w:rPr>
        <w:t>e</w:t>
      </w:r>
      <w:r w:rsidR="000863BF" w:rsidRPr="003D1FBA">
        <w:rPr>
          <w:rFonts w:ascii="Arial" w:hAnsi="Arial" w:cs="Arial"/>
          <w:sz w:val="24"/>
        </w:rPr>
        <w:t xml:space="preserve"> 30-15 (30-15IFT) </w:t>
      </w:r>
      <w:r w:rsidR="005056CA">
        <w:rPr>
          <w:rFonts w:ascii="Arial" w:hAnsi="Arial" w:cs="Arial"/>
          <w:sz w:val="24"/>
        </w:rPr>
        <w:t>se</w:t>
      </w:r>
      <w:r w:rsidR="000863BF" w:rsidRPr="003D1FBA">
        <w:rPr>
          <w:rFonts w:ascii="Arial" w:hAnsi="Arial" w:cs="Arial"/>
          <w:sz w:val="24"/>
        </w:rPr>
        <w:t xml:space="preserve"> aplic</w:t>
      </w:r>
      <w:r w:rsidR="005056CA">
        <w:rPr>
          <w:rFonts w:ascii="Arial" w:hAnsi="Arial" w:cs="Arial"/>
          <w:sz w:val="24"/>
        </w:rPr>
        <w:t>ó</w:t>
      </w:r>
      <w:r w:rsidR="000863BF" w:rsidRPr="003D1FBA">
        <w:rPr>
          <w:rFonts w:ascii="Arial" w:hAnsi="Arial" w:cs="Arial"/>
          <w:sz w:val="24"/>
        </w:rPr>
        <w:t xml:space="preserve"> p</w:t>
      </w:r>
      <w:r w:rsidR="000B6D5B">
        <w:rPr>
          <w:rFonts w:ascii="Arial" w:hAnsi="Arial" w:cs="Arial"/>
          <w:sz w:val="24"/>
        </w:rPr>
        <w:t>a</w:t>
      </w:r>
      <w:r w:rsidR="000863BF" w:rsidRPr="003D1FBA">
        <w:rPr>
          <w:rFonts w:ascii="Arial" w:hAnsi="Arial" w:cs="Arial"/>
          <w:sz w:val="24"/>
        </w:rPr>
        <w:t>r</w:t>
      </w:r>
      <w:r w:rsidR="005056CA">
        <w:rPr>
          <w:rFonts w:ascii="Arial" w:hAnsi="Arial" w:cs="Arial"/>
          <w:sz w:val="24"/>
        </w:rPr>
        <w:t>a</w:t>
      </w:r>
      <w:r w:rsidR="000863BF" w:rsidRPr="003D1FBA">
        <w:rPr>
          <w:rFonts w:ascii="Arial" w:hAnsi="Arial" w:cs="Arial"/>
          <w:sz w:val="24"/>
        </w:rPr>
        <w:t xml:space="preserve"> indu</w:t>
      </w:r>
      <w:r w:rsidR="005056CA">
        <w:rPr>
          <w:rFonts w:ascii="Arial" w:hAnsi="Arial" w:cs="Arial"/>
          <w:sz w:val="24"/>
        </w:rPr>
        <w:t>cir</w:t>
      </w:r>
      <w:r w:rsidR="000863BF" w:rsidRPr="003D1FBA">
        <w:rPr>
          <w:rFonts w:ascii="Arial" w:hAnsi="Arial" w:cs="Arial"/>
          <w:sz w:val="24"/>
        </w:rPr>
        <w:t xml:space="preserve"> la fatiga, </w:t>
      </w:r>
      <w:r w:rsidR="005056CA">
        <w:rPr>
          <w:rFonts w:ascii="Arial" w:hAnsi="Arial" w:cs="Arial"/>
          <w:sz w:val="24"/>
        </w:rPr>
        <w:t>c</w:t>
      </w:r>
      <w:r w:rsidR="000863BF" w:rsidRPr="003D1FBA">
        <w:rPr>
          <w:rFonts w:ascii="Arial" w:hAnsi="Arial" w:cs="Arial"/>
          <w:sz w:val="24"/>
        </w:rPr>
        <w:t>uantificada m</w:t>
      </w:r>
      <w:r w:rsidR="005056CA">
        <w:rPr>
          <w:rFonts w:ascii="Arial" w:hAnsi="Arial" w:cs="Arial"/>
          <w:sz w:val="24"/>
        </w:rPr>
        <w:t>ediante</w:t>
      </w:r>
      <w:r w:rsidR="000863BF" w:rsidRPr="003D1FBA">
        <w:rPr>
          <w:rFonts w:ascii="Arial" w:hAnsi="Arial" w:cs="Arial"/>
          <w:sz w:val="24"/>
        </w:rPr>
        <w:t xml:space="preserve"> l</w:t>
      </w:r>
      <w:r w:rsidR="005056CA">
        <w:rPr>
          <w:rFonts w:ascii="Arial" w:hAnsi="Arial" w:cs="Arial"/>
          <w:sz w:val="24"/>
        </w:rPr>
        <w:t xml:space="preserve">a </w:t>
      </w:r>
      <w:r w:rsidR="000863BF" w:rsidRPr="003D1FBA">
        <w:rPr>
          <w:rFonts w:ascii="Arial" w:hAnsi="Arial" w:cs="Arial"/>
          <w:sz w:val="24"/>
        </w:rPr>
        <w:t>escala de percepció</w:t>
      </w:r>
      <w:r w:rsidR="005056CA">
        <w:rPr>
          <w:rFonts w:ascii="Arial" w:hAnsi="Arial" w:cs="Arial"/>
          <w:sz w:val="24"/>
        </w:rPr>
        <w:t>n</w:t>
      </w:r>
      <w:r w:rsidR="000863BF" w:rsidRPr="003D1FBA">
        <w:rPr>
          <w:rFonts w:ascii="Arial" w:hAnsi="Arial" w:cs="Arial"/>
          <w:sz w:val="24"/>
        </w:rPr>
        <w:t xml:space="preserve"> externa de fatiga (RPE). </w:t>
      </w:r>
      <w:r w:rsidR="005056CA">
        <w:rPr>
          <w:rFonts w:ascii="Arial" w:hAnsi="Arial" w:cs="Arial"/>
          <w:sz w:val="24"/>
        </w:rPr>
        <w:t>Se</w:t>
      </w:r>
      <w:r w:rsidR="000863BF" w:rsidRPr="003D1FBA">
        <w:rPr>
          <w:rFonts w:ascii="Arial" w:hAnsi="Arial" w:cs="Arial"/>
          <w:sz w:val="24"/>
        </w:rPr>
        <w:t xml:space="preserve"> </w:t>
      </w:r>
      <w:r w:rsidR="005056CA">
        <w:rPr>
          <w:rFonts w:ascii="Arial" w:hAnsi="Arial" w:cs="Arial"/>
          <w:sz w:val="24"/>
        </w:rPr>
        <w:t xml:space="preserve">realizó </w:t>
      </w:r>
      <w:r w:rsidR="000863BF" w:rsidRPr="003D1FBA">
        <w:rPr>
          <w:rFonts w:ascii="Arial" w:hAnsi="Arial" w:cs="Arial"/>
          <w:sz w:val="24"/>
        </w:rPr>
        <w:t>un an</w:t>
      </w:r>
      <w:r w:rsidR="005056CA">
        <w:rPr>
          <w:rFonts w:ascii="Arial" w:hAnsi="Arial" w:cs="Arial"/>
          <w:sz w:val="24"/>
        </w:rPr>
        <w:t>á</w:t>
      </w:r>
      <w:r w:rsidR="000863BF" w:rsidRPr="003D1FBA">
        <w:rPr>
          <w:rFonts w:ascii="Arial" w:hAnsi="Arial" w:cs="Arial"/>
          <w:sz w:val="24"/>
        </w:rPr>
        <w:t>lisi</w:t>
      </w:r>
      <w:r w:rsidR="005056CA">
        <w:rPr>
          <w:rFonts w:ascii="Arial" w:hAnsi="Arial" w:cs="Arial"/>
          <w:sz w:val="24"/>
        </w:rPr>
        <w:t>s</w:t>
      </w:r>
      <w:r w:rsidR="000863BF" w:rsidRPr="003D1FBA">
        <w:rPr>
          <w:rFonts w:ascii="Arial" w:hAnsi="Arial" w:cs="Arial"/>
          <w:sz w:val="24"/>
        </w:rPr>
        <w:t xml:space="preserve"> </w:t>
      </w:r>
      <w:r w:rsidR="00560C52" w:rsidRPr="003D1FBA">
        <w:rPr>
          <w:rFonts w:ascii="Arial" w:hAnsi="Arial" w:cs="Arial"/>
          <w:sz w:val="24"/>
        </w:rPr>
        <w:t>d</w:t>
      </w:r>
      <w:r w:rsidR="000863BF" w:rsidRPr="003D1FBA">
        <w:rPr>
          <w:rFonts w:ascii="Arial" w:hAnsi="Arial" w:cs="Arial"/>
          <w:sz w:val="24"/>
        </w:rPr>
        <w:t>escripti</w:t>
      </w:r>
      <w:r w:rsidR="005056CA">
        <w:rPr>
          <w:rFonts w:ascii="Arial" w:hAnsi="Arial" w:cs="Arial"/>
          <w:sz w:val="24"/>
        </w:rPr>
        <w:t>vo</w:t>
      </w:r>
      <w:r w:rsidR="000863BF" w:rsidRPr="003D1FBA">
        <w:rPr>
          <w:rFonts w:ascii="Arial" w:hAnsi="Arial" w:cs="Arial"/>
          <w:sz w:val="24"/>
        </w:rPr>
        <w:t xml:space="preserve"> </w:t>
      </w:r>
      <w:r w:rsidR="005056CA">
        <w:rPr>
          <w:rFonts w:ascii="Arial" w:hAnsi="Arial" w:cs="Arial"/>
          <w:sz w:val="24"/>
        </w:rPr>
        <w:t>y</w:t>
      </w:r>
      <w:r w:rsidR="000863BF" w:rsidRPr="003D1FBA">
        <w:rPr>
          <w:rFonts w:ascii="Arial" w:hAnsi="Arial" w:cs="Arial"/>
          <w:sz w:val="24"/>
        </w:rPr>
        <w:t xml:space="preserve"> una pr</w:t>
      </w:r>
      <w:r w:rsidR="005056CA">
        <w:rPr>
          <w:rFonts w:ascii="Arial" w:hAnsi="Arial" w:cs="Arial"/>
          <w:sz w:val="24"/>
        </w:rPr>
        <w:t>ueb</w:t>
      </w:r>
      <w:r w:rsidR="000863BF" w:rsidRPr="003D1FBA">
        <w:rPr>
          <w:rFonts w:ascii="Arial" w:hAnsi="Arial" w:cs="Arial"/>
          <w:sz w:val="24"/>
        </w:rPr>
        <w:t xml:space="preserve">a T-test </w:t>
      </w:r>
      <w:r w:rsidR="000B6D5B">
        <w:rPr>
          <w:rFonts w:ascii="Arial" w:hAnsi="Arial" w:cs="Arial"/>
          <w:sz w:val="24"/>
        </w:rPr>
        <w:t>para</w:t>
      </w:r>
      <w:r w:rsidR="000863BF" w:rsidRPr="003D1FBA">
        <w:rPr>
          <w:rFonts w:ascii="Arial" w:hAnsi="Arial" w:cs="Arial"/>
          <w:sz w:val="24"/>
        </w:rPr>
        <w:t xml:space="preserve"> estudiar l</w:t>
      </w:r>
      <w:r w:rsidR="005056CA">
        <w:rPr>
          <w:rFonts w:ascii="Arial" w:hAnsi="Arial" w:cs="Arial"/>
          <w:sz w:val="24"/>
        </w:rPr>
        <w:t>a</w:t>
      </w:r>
      <w:r w:rsidR="000863BF" w:rsidRPr="003D1FBA">
        <w:rPr>
          <w:rFonts w:ascii="Arial" w:hAnsi="Arial" w:cs="Arial"/>
          <w:sz w:val="24"/>
        </w:rPr>
        <w:t>s difer</w:t>
      </w:r>
      <w:r w:rsidR="005056CA">
        <w:rPr>
          <w:rFonts w:ascii="Arial" w:hAnsi="Arial" w:cs="Arial"/>
          <w:sz w:val="24"/>
        </w:rPr>
        <w:t>e</w:t>
      </w:r>
      <w:r w:rsidR="000863BF" w:rsidRPr="003D1FBA">
        <w:rPr>
          <w:rFonts w:ascii="Arial" w:hAnsi="Arial" w:cs="Arial"/>
          <w:sz w:val="24"/>
        </w:rPr>
        <w:t>nci</w:t>
      </w:r>
      <w:r w:rsidR="005056CA">
        <w:rPr>
          <w:rFonts w:ascii="Arial" w:hAnsi="Arial" w:cs="Arial"/>
          <w:sz w:val="24"/>
        </w:rPr>
        <w:t>a</w:t>
      </w:r>
      <w:r w:rsidR="000863BF" w:rsidRPr="003D1FBA">
        <w:rPr>
          <w:rFonts w:ascii="Arial" w:hAnsi="Arial" w:cs="Arial"/>
          <w:sz w:val="24"/>
        </w:rPr>
        <w:t>s en la R</w:t>
      </w:r>
      <w:r w:rsidR="005056CA">
        <w:rPr>
          <w:rFonts w:ascii="Arial" w:hAnsi="Arial" w:cs="Arial"/>
          <w:sz w:val="24"/>
        </w:rPr>
        <w:t>a</w:t>
      </w:r>
      <w:r w:rsidR="000863BF" w:rsidRPr="003D1FBA">
        <w:rPr>
          <w:rFonts w:ascii="Arial" w:hAnsi="Arial" w:cs="Arial"/>
          <w:sz w:val="24"/>
        </w:rPr>
        <w:t>tio I/Q, la f</w:t>
      </w:r>
      <w:r w:rsidR="005056CA">
        <w:rPr>
          <w:rFonts w:ascii="Arial" w:hAnsi="Arial" w:cs="Arial"/>
          <w:sz w:val="24"/>
        </w:rPr>
        <w:t>uerz</w:t>
      </w:r>
      <w:r w:rsidR="000863BF" w:rsidRPr="003D1FBA">
        <w:rPr>
          <w:rFonts w:ascii="Arial" w:hAnsi="Arial" w:cs="Arial"/>
          <w:sz w:val="24"/>
        </w:rPr>
        <w:t xml:space="preserve">a muscular </w:t>
      </w:r>
      <w:r w:rsidR="005056CA">
        <w:rPr>
          <w:rFonts w:ascii="Arial" w:hAnsi="Arial" w:cs="Arial"/>
          <w:sz w:val="24"/>
        </w:rPr>
        <w:t>y</w:t>
      </w:r>
      <w:r w:rsidR="000863BF" w:rsidRPr="003D1FBA">
        <w:rPr>
          <w:rFonts w:ascii="Arial" w:hAnsi="Arial" w:cs="Arial"/>
          <w:sz w:val="24"/>
        </w:rPr>
        <w:t xml:space="preserve"> la fatiga pre-post intervenció</w:t>
      </w:r>
      <w:r w:rsidR="005056CA">
        <w:rPr>
          <w:rFonts w:ascii="Arial" w:hAnsi="Arial" w:cs="Arial"/>
          <w:sz w:val="24"/>
        </w:rPr>
        <w:t>n</w:t>
      </w:r>
      <w:r w:rsidR="000863BF" w:rsidRPr="003D1FBA">
        <w:rPr>
          <w:rFonts w:ascii="Arial" w:hAnsi="Arial" w:cs="Arial"/>
          <w:sz w:val="24"/>
        </w:rPr>
        <w:t>.</w:t>
      </w:r>
    </w:p>
    <w:p w:rsidR="000863BF" w:rsidRPr="003D1FBA" w:rsidRDefault="000863BF" w:rsidP="000863BF">
      <w:pPr>
        <w:spacing w:line="360" w:lineRule="auto"/>
        <w:jc w:val="both"/>
        <w:rPr>
          <w:rFonts w:ascii="Arial" w:hAnsi="Arial" w:cs="Arial"/>
          <w:sz w:val="24"/>
          <w:u w:val="single"/>
        </w:rPr>
      </w:pPr>
      <w:r w:rsidRPr="003D1FBA">
        <w:rPr>
          <w:rFonts w:ascii="Arial" w:hAnsi="Arial" w:cs="Arial"/>
          <w:sz w:val="24"/>
          <w:u w:val="single"/>
        </w:rPr>
        <w:t>Result</w:t>
      </w:r>
      <w:r w:rsidR="005056CA">
        <w:rPr>
          <w:rFonts w:ascii="Arial" w:hAnsi="Arial" w:cs="Arial"/>
          <w:sz w:val="24"/>
          <w:u w:val="single"/>
        </w:rPr>
        <w:t>ados</w:t>
      </w:r>
      <w:r w:rsidRPr="003D1FBA">
        <w:rPr>
          <w:rFonts w:ascii="Arial" w:hAnsi="Arial" w:cs="Arial"/>
          <w:sz w:val="24"/>
          <w:u w:val="single"/>
        </w:rPr>
        <w:t>:</w:t>
      </w:r>
    </w:p>
    <w:p w:rsidR="006F1F26" w:rsidRDefault="005056CA" w:rsidP="000863BF">
      <w:pPr>
        <w:spacing w:line="360" w:lineRule="auto"/>
        <w:jc w:val="both"/>
        <w:rPr>
          <w:rFonts w:ascii="Arial" w:hAnsi="Arial" w:cs="Arial"/>
          <w:sz w:val="24"/>
        </w:rPr>
      </w:pPr>
      <w:r>
        <w:rPr>
          <w:rFonts w:ascii="Arial" w:hAnsi="Arial" w:cs="Arial"/>
          <w:sz w:val="24"/>
        </w:rPr>
        <w:t>Aunque</w:t>
      </w:r>
      <w:r w:rsidR="000863BF" w:rsidRPr="003D1FBA">
        <w:rPr>
          <w:rFonts w:ascii="Arial" w:hAnsi="Arial" w:cs="Arial"/>
          <w:sz w:val="24"/>
        </w:rPr>
        <w:t xml:space="preserve"> la R</w:t>
      </w:r>
      <w:r>
        <w:rPr>
          <w:rFonts w:ascii="Arial" w:hAnsi="Arial" w:cs="Arial"/>
          <w:sz w:val="24"/>
        </w:rPr>
        <w:t>a</w:t>
      </w:r>
      <w:r w:rsidR="000863BF" w:rsidRPr="003D1FBA">
        <w:rPr>
          <w:rFonts w:ascii="Arial" w:hAnsi="Arial" w:cs="Arial"/>
          <w:sz w:val="24"/>
        </w:rPr>
        <w:t>tio I/Q disminu</w:t>
      </w:r>
      <w:r>
        <w:rPr>
          <w:rFonts w:ascii="Arial" w:hAnsi="Arial" w:cs="Arial"/>
          <w:sz w:val="24"/>
        </w:rPr>
        <w:t xml:space="preserve">yó </w:t>
      </w:r>
      <w:r w:rsidR="000863BF" w:rsidRPr="003D1FBA">
        <w:rPr>
          <w:rFonts w:ascii="Arial" w:hAnsi="Arial" w:cs="Arial"/>
          <w:sz w:val="24"/>
        </w:rPr>
        <w:t>desp</w:t>
      </w:r>
      <w:r>
        <w:rPr>
          <w:rFonts w:ascii="Arial" w:hAnsi="Arial" w:cs="Arial"/>
          <w:sz w:val="24"/>
        </w:rPr>
        <w:t>u</w:t>
      </w:r>
      <w:r w:rsidR="000863BF" w:rsidRPr="003D1FBA">
        <w:rPr>
          <w:rFonts w:ascii="Arial" w:hAnsi="Arial" w:cs="Arial"/>
          <w:sz w:val="24"/>
        </w:rPr>
        <w:t>és del 30-15IFT, l</w:t>
      </w:r>
      <w:r>
        <w:rPr>
          <w:rFonts w:ascii="Arial" w:hAnsi="Arial" w:cs="Arial"/>
          <w:sz w:val="24"/>
        </w:rPr>
        <w:t>a</w:t>
      </w:r>
      <w:r w:rsidR="000863BF" w:rsidRPr="003D1FBA">
        <w:rPr>
          <w:rFonts w:ascii="Arial" w:hAnsi="Arial" w:cs="Arial"/>
          <w:sz w:val="24"/>
        </w:rPr>
        <w:t>s difer</w:t>
      </w:r>
      <w:r>
        <w:rPr>
          <w:rFonts w:ascii="Arial" w:hAnsi="Arial" w:cs="Arial"/>
          <w:sz w:val="24"/>
        </w:rPr>
        <w:t>en</w:t>
      </w:r>
      <w:r w:rsidR="000863BF" w:rsidRPr="003D1FBA">
        <w:rPr>
          <w:rFonts w:ascii="Arial" w:hAnsi="Arial" w:cs="Arial"/>
          <w:sz w:val="24"/>
        </w:rPr>
        <w:t>ci</w:t>
      </w:r>
      <w:r>
        <w:rPr>
          <w:rFonts w:ascii="Arial" w:hAnsi="Arial" w:cs="Arial"/>
          <w:sz w:val="24"/>
        </w:rPr>
        <w:t>a</w:t>
      </w:r>
      <w:r w:rsidR="000863BF" w:rsidRPr="003D1FBA">
        <w:rPr>
          <w:rFonts w:ascii="Arial" w:hAnsi="Arial" w:cs="Arial"/>
          <w:sz w:val="24"/>
        </w:rPr>
        <w:t xml:space="preserve">s no </w:t>
      </w:r>
      <w:r>
        <w:rPr>
          <w:rFonts w:ascii="Arial" w:hAnsi="Arial" w:cs="Arial"/>
          <w:sz w:val="24"/>
        </w:rPr>
        <w:t>fueron</w:t>
      </w:r>
      <w:r w:rsidR="000863BF" w:rsidRPr="003D1FBA">
        <w:rPr>
          <w:rFonts w:ascii="Arial" w:hAnsi="Arial" w:cs="Arial"/>
          <w:sz w:val="24"/>
        </w:rPr>
        <w:t xml:space="preserve"> estadísticament</w:t>
      </w:r>
      <w:r>
        <w:rPr>
          <w:rFonts w:ascii="Arial" w:hAnsi="Arial" w:cs="Arial"/>
          <w:sz w:val="24"/>
        </w:rPr>
        <w:t>e</w:t>
      </w:r>
      <w:r w:rsidR="00952150" w:rsidRPr="003D1FBA">
        <w:rPr>
          <w:rFonts w:ascii="Arial" w:hAnsi="Arial" w:cs="Arial"/>
          <w:sz w:val="24"/>
        </w:rPr>
        <w:t xml:space="preserve"> significativ</w:t>
      </w:r>
      <w:r>
        <w:rPr>
          <w:rFonts w:ascii="Arial" w:hAnsi="Arial" w:cs="Arial"/>
          <w:sz w:val="24"/>
        </w:rPr>
        <w:t>a</w:t>
      </w:r>
      <w:r w:rsidR="00952150" w:rsidRPr="003D1FBA">
        <w:rPr>
          <w:rFonts w:ascii="Arial" w:hAnsi="Arial" w:cs="Arial"/>
          <w:sz w:val="24"/>
        </w:rPr>
        <w:t>s</w:t>
      </w:r>
      <w:r w:rsidR="000863BF" w:rsidRPr="003D1FBA">
        <w:rPr>
          <w:rFonts w:ascii="Arial" w:hAnsi="Arial" w:cs="Arial"/>
          <w:sz w:val="24"/>
        </w:rPr>
        <w:t xml:space="preserve">. En </w:t>
      </w:r>
      <w:r>
        <w:rPr>
          <w:rFonts w:ascii="Arial" w:hAnsi="Arial" w:cs="Arial"/>
          <w:sz w:val="24"/>
        </w:rPr>
        <w:t>c</w:t>
      </w:r>
      <w:r w:rsidR="000863BF" w:rsidRPr="003D1FBA">
        <w:rPr>
          <w:rFonts w:ascii="Arial" w:hAnsi="Arial" w:cs="Arial"/>
          <w:sz w:val="24"/>
        </w:rPr>
        <w:t>uant</w:t>
      </w:r>
      <w:r>
        <w:rPr>
          <w:rFonts w:ascii="Arial" w:hAnsi="Arial" w:cs="Arial"/>
          <w:sz w:val="24"/>
        </w:rPr>
        <w:t>o</w:t>
      </w:r>
      <w:r w:rsidR="000863BF" w:rsidRPr="003D1FBA">
        <w:rPr>
          <w:rFonts w:ascii="Arial" w:hAnsi="Arial" w:cs="Arial"/>
          <w:sz w:val="24"/>
        </w:rPr>
        <w:t xml:space="preserve"> a</w:t>
      </w:r>
      <w:r>
        <w:rPr>
          <w:rFonts w:ascii="Arial" w:hAnsi="Arial" w:cs="Arial"/>
          <w:sz w:val="24"/>
        </w:rPr>
        <w:t xml:space="preserve"> lo</w:t>
      </w:r>
      <w:r w:rsidR="000863BF" w:rsidRPr="003D1FBA">
        <w:rPr>
          <w:rFonts w:ascii="Arial" w:hAnsi="Arial" w:cs="Arial"/>
          <w:sz w:val="24"/>
        </w:rPr>
        <w:t>s valor</w:t>
      </w:r>
      <w:r>
        <w:rPr>
          <w:rFonts w:ascii="Arial" w:hAnsi="Arial" w:cs="Arial"/>
          <w:sz w:val="24"/>
        </w:rPr>
        <w:t>e</w:t>
      </w:r>
      <w:r w:rsidR="000863BF" w:rsidRPr="003D1FBA">
        <w:rPr>
          <w:rFonts w:ascii="Arial" w:hAnsi="Arial" w:cs="Arial"/>
          <w:sz w:val="24"/>
        </w:rPr>
        <w:t>s de f</w:t>
      </w:r>
      <w:r>
        <w:rPr>
          <w:rFonts w:ascii="Arial" w:hAnsi="Arial" w:cs="Arial"/>
          <w:sz w:val="24"/>
        </w:rPr>
        <w:t>uerz</w:t>
      </w:r>
      <w:r w:rsidR="000863BF" w:rsidRPr="003D1FBA">
        <w:rPr>
          <w:rFonts w:ascii="Arial" w:hAnsi="Arial" w:cs="Arial"/>
          <w:sz w:val="24"/>
        </w:rPr>
        <w:t xml:space="preserve">a, el </w:t>
      </w:r>
      <w:r>
        <w:rPr>
          <w:rFonts w:ascii="Arial" w:hAnsi="Arial" w:cs="Arial"/>
          <w:sz w:val="24"/>
        </w:rPr>
        <w:t>c</w:t>
      </w:r>
      <w:r w:rsidR="000863BF" w:rsidRPr="003D1FBA">
        <w:rPr>
          <w:rFonts w:ascii="Arial" w:hAnsi="Arial" w:cs="Arial"/>
          <w:sz w:val="24"/>
        </w:rPr>
        <w:t>u</w:t>
      </w:r>
      <w:r>
        <w:rPr>
          <w:rFonts w:ascii="Arial" w:hAnsi="Arial" w:cs="Arial"/>
          <w:sz w:val="24"/>
        </w:rPr>
        <w:t>á</w:t>
      </w:r>
      <w:r w:rsidR="000863BF" w:rsidRPr="003D1FBA">
        <w:rPr>
          <w:rFonts w:ascii="Arial" w:hAnsi="Arial" w:cs="Arial"/>
          <w:sz w:val="24"/>
        </w:rPr>
        <w:t>driceps d</w:t>
      </w:r>
      <w:r>
        <w:rPr>
          <w:rFonts w:ascii="Arial" w:hAnsi="Arial" w:cs="Arial"/>
          <w:sz w:val="24"/>
        </w:rPr>
        <w:t>erecho</w:t>
      </w:r>
      <w:r w:rsidR="000863BF" w:rsidRPr="003D1FBA">
        <w:rPr>
          <w:rFonts w:ascii="Arial" w:hAnsi="Arial" w:cs="Arial"/>
          <w:sz w:val="24"/>
        </w:rPr>
        <w:t xml:space="preserve"> present</w:t>
      </w:r>
      <w:r>
        <w:rPr>
          <w:rFonts w:ascii="Arial" w:hAnsi="Arial" w:cs="Arial"/>
          <w:sz w:val="24"/>
        </w:rPr>
        <w:t>ó</w:t>
      </w:r>
      <w:r w:rsidR="000863BF" w:rsidRPr="003D1FBA">
        <w:rPr>
          <w:rFonts w:ascii="Arial" w:hAnsi="Arial" w:cs="Arial"/>
          <w:sz w:val="24"/>
        </w:rPr>
        <w:t xml:space="preserve"> una p</w:t>
      </w:r>
      <w:r>
        <w:rPr>
          <w:rFonts w:ascii="Arial" w:hAnsi="Arial" w:cs="Arial"/>
          <w:sz w:val="24"/>
        </w:rPr>
        <w:t>é</w:t>
      </w:r>
      <w:r w:rsidR="000863BF" w:rsidRPr="003D1FBA">
        <w:rPr>
          <w:rFonts w:ascii="Arial" w:hAnsi="Arial" w:cs="Arial"/>
          <w:sz w:val="24"/>
        </w:rPr>
        <w:t>rd</w:t>
      </w:r>
      <w:r>
        <w:rPr>
          <w:rFonts w:ascii="Arial" w:hAnsi="Arial" w:cs="Arial"/>
          <w:sz w:val="24"/>
        </w:rPr>
        <w:t>ida</w:t>
      </w:r>
      <w:r w:rsidR="000863BF" w:rsidRPr="003D1FBA">
        <w:rPr>
          <w:rFonts w:ascii="Arial" w:hAnsi="Arial" w:cs="Arial"/>
          <w:sz w:val="24"/>
        </w:rPr>
        <w:t xml:space="preserve"> de f</w:t>
      </w:r>
      <w:r>
        <w:rPr>
          <w:rFonts w:ascii="Arial" w:hAnsi="Arial" w:cs="Arial"/>
          <w:sz w:val="24"/>
        </w:rPr>
        <w:t>uerz</w:t>
      </w:r>
      <w:r w:rsidR="000863BF" w:rsidRPr="003D1FBA">
        <w:rPr>
          <w:rFonts w:ascii="Arial" w:hAnsi="Arial" w:cs="Arial"/>
          <w:sz w:val="24"/>
        </w:rPr>
        <w:t xml:space="preserve">a del 4.52% </w:t>
      </w:r>
      <w:r>
        <w:rPr>
          <w:rFonts w:ascii="Arial" w:hAnsi="Arial" w:cs="Arial"/>
          <w:sz w:val="24"/>
        </w:rPr>
        <w:t>y</w:t>
      </w:r>
      <w:r w:rsidR="000863BF" w:rsidRPr="003D1FBA">
        <w:rPr>
          <w:rFonts w:ascii="Arial" w:hAnsi="Arial" w:cs="Arial"/>
          <w:sz w:val="24"/>
        </w:rPr>
        <w:t xml:space="preserve"> el </w:t>
      </w:r>
      <w:r>
        <w:rPr>
          <w:rFonts w:ascii="Arial" w:hAnsi="Arial" w:cs="Arial"/>
          <w:sz w:val="24"/>
        </w:rPr>
        <w:t>cuá</w:t>
      </w:r>
      <w:r w:rsidR="000863BF" w:rsidRPr="003D1FBA">
        <w:rPr>
          <w:rFonts w:ascii="Arial" w:hAnsi="Arial" w:cs="Arial"/>
          <w:sz w:val="24"/>
        </w:rPr>
        <w:t xml:space="preserve">driceps </w:t>
      </w:r>
      <w:r>
        <w:rPr>
          <w:rFonts w:ascii="Arial" w:hAnsi="Arial" w:cs="Arial"/>
          <w:sz w:val="24"/>
        </w:rPr>
        <w:t>izquierdo</w:t>
      </w:r>
      <w:r w:rsidR="000863BF" w:rsidRPr="003D1FBA">
        <w:rPr>
          <w:rFonts w:ascii="Arial" w:hAnsi="Arial" w:cs="Arial"/>
          <w:sz w:val="24"/>
        </w:rPr>
        <w:t xml:space="preserve"> del 5.55%. La disminució</w:t>
      </w:r>
      <w:r>
        <w:rPr>
          <w:rFonts w:ascii="Arial" w:hAnsi="Arial" w:cs="Arial"/>
          <w:sz w:val="24"/>
        </w:rPr>
        <w:t>n</w:t>
      </w:r>
      <w:r w:rsidR="000863BF" w:rsidRPr="003D1FBA">
        <w:rPr>
          <w:rFonts w:ascii="Arial" w:hAnsi="Arial" w:cs="Arial"/>
          <w:sz w:val="24"/>
        </w:rPr>
        <w:t xml:space="preserve"> </w:t>
      </w:r>
      <w:r w:rsidR="00560C52" w:rsidRPr="003D1FBA">
        <w:rPr>
          <w:rFonts w:ascii="Arial" w:hAnsi="Arial" w:cs="Arial"/>
          <w:sz w:val="24"/>
        </w:rPr>
        <w:t>de</w:t>
      </w:r>
      <w:r w:rsidR="000863BF" w:rsidRPr="003D1FBA">
        <w:rPr>
          <w:rFonts w:ascii="Arial" w:hAnsi="Arial" w:cs="Arial"/>
          <w:sz w:val="24"/>
        </w:rPr>
        <w:t xml:space="preserve"> la </w:t>
      </w:r>
      <w:r w:rsidR="006F1F26" w:rsidRPr="003D1FBA">
        <w:rPr>
          <w:rFonts w:ascii="Arial" w:hAnsi="Arial" w:cs="Arial"/>
          <w:sz w:val="24"/>
        </w:rPr>
        <w:t>f</w:t>
      </w:r>
      <w:r w:rsidR="006F1F26">
        <w:rPr>
          <w:rFonts w:ascii="Arial" w:hAnsi="Arial" w:cs="Arial"/>
          <w:sz w:val="24"/>
        </w:rPr>
        <w:t>uerza</w:t>
      </w:r>
      <w:r w:rsidR="006F1F26" w:rsidRPr="003D1FBA">
        <w:rPr>
          <w:rFonts w:ascii="Arial" w:hAnsi="Arial" w:cs="Arial"/>
          <w:sz w:val="24"/>
        </w:rPr>
        <w:t xml:space="preserve"> fue</w:t>
      </w:r>
      <w:r w:rsidR="000863BF" w:rsidRPr="003D1FBA">
        <w:rPr>
          <w:rFonts w:ascii="Arial" w:hAnsi="Arial" w:cs="Arial"/>
          <w:sz w:val="24"/>
        </w:rPr>
        <w:t xml:space="preserve"> </w:t>
      </w:r>
      <w:r w:rsidR="00560C52" w:rsidRPr="003D1FBA">
        <w:rPr>
          <w:rFonts w:ascii="Arial" w:hAnsi="Arial" w:cs="Arial"/>
          <w:sz w:val="24"/>
        </w:rPr>
        <w:t>estadísticament</w:t>
      </w:r>
      <w:r>
        <w:rPr>
          <w:rFonts w:ascii="Arial" w:hAnsi="Arial" w:cs="Arial"/>
          <w:sz w:val="24"/>
        </w:rPr>
        <w:t>e</w:t>
      </w:r>
      <w:r w:rsidR="00560C52" w:rsidRPr="003D1FBA">
        <w:rPr>
          <w:rFonts w:ascii="Arial" w:hAnsi="Arial" w:cs="Arial"/>
          <w:sz w:val="24"/>
        </w:rPr>
        <w:t xml:space="preserve"> </w:t>
      </w:r>
      <w:r w:rsidR="000863BF" w:rsidRPr="003D1FBA">
        <w:rPr>
          <w:rFonts w:ascii="Arial" w:hAnsi="Arial" w:cs="Arial"/>
          <w:sz w:val="24"/>
        </w:rPr>
        <w:t xml:space="preserve">significativa (p ≤ 0.05), </w:t>
      </w:r>
      <w:r w:rsidR="006F1F26" w:rsidRPr="003D1FBA">
        <w:rPr>
          <w:rFonts w:ascii="Arial" w:hAnsi="Arial" w:cs="Arial"/>
          <w:sz w:val="24"/>
        </w:rPr>
        <w:t>sobre t</w:t>
      </w:r>
      <w:r w:rsidR="006F1F26">
        <w:rPr>
          <w:rFonts w:ascii="Arial" w:hAnsi="Arial" w:cs="Arial"/>
          <w:sz w:val="24"/>
        </w:rPr>
        <w:t>odo</w:t>
      </w:r>
      <w:r w:rsidR="000863BF" w:rsidRPr="003D1FBA">
        <w:rPr>
          <w:rFonts w:ascii="Arial" w:hAnsi="Arial" w:cs="Arial"/>
          <w:sz w:val="24"/>
        </w:rPr>
        <w:t xml:space="preserve"> </w:t>
      </w:r>
      <w:r w:rsidR="006F1F26">
        <w:rPr>
          <w:rFonts w:ascii="Arial" w:hAnsi="Arial" w:cs="Arial"/>
          <w:sz w:val="24"/>
        </w:rPr>
        <w:t>en</w:t>
      </w:r>
      <w:r w:rsidR="000863BF" w:rsidRPr="003D1FBA">
        <w:rPr>
          <w:rFonts w:ascii="Arial" w:hAnsi="Arial" w:cs="Arial"/>
          <w:sz w:val="24"/>
        </w:rPr>
        <w:t xml:space="preserve"> </w:t>
      </w:r>
      <w:r w:rsidR="006F1F26">
        <w:rPr>
          <w:rFonts w:ascii="Arial" w:hAnsi="Arial" w:cs="Arial"/>
          <w:sz w:val="24"/>
        </w:rPr>
        <w:t xml:space="preserve">el </w:t>
      </w:r>
      <w:r w:rsidR="000863BF" w:rsidRPr="003D1FBA">
        <w:rPr>
          <w:rFonts w:ascii="Arial" w:hAnsi="Arial" w:cs="Arial"/>
          <w:sz w:val="24"/>
        </w:rPr>
        <w:t>isquiosural d</w:t>
      </w:r>
      <w:r w:rsidR="006F1F26">
        <w:rPr>
          <w:rFonts w:ascii="Arial" w:hAnsi="Arial" w:cs="Arial"/>
          <w:sz w:val="24"/>
        </w:rPr>
        <w:t>erecho</w:t>
      </w:r>
      <w:r w:rsidR="000863BF" w:rsidRPr="003D1FBA">
        <w:rPr>
          <w:rFonts w:ascii="Arial" w:hAnsi="Arial" w:cs="Arial"/>
          <w:sz w:val="24"/>
        </w:rPr>
        <w:t xml:space="preserve"> (-7.3%) </w:t>
      </w:r>
      <w:r w:rsidR="006F1F26">
        <w:rPr>
          <w:rFonts w:ascii="Arial" w:hAnsi="Arial" w:cs="Arial"/>
          <w:sz w:val="24"/>
        </w:rPr>
        <w:t>y</w:t>
      </w:r>
      <w:r w:rsidR="000863BF" w:rsidRPr="003D1FBA">
        <w:rPr>
          <w:rFonts w:ascii="Arial" w:hAnsi="Arial" w:cs="Arial"/>
          <w:sz w:val="24"/>
        </w:rPr>
        <w:t xml:space="preserve"> </w:t>
      </w:r>
      <w:r w:rsidR="006F1F26">
        <w:rPr>
          <w:rFonts w:ascii="Arial" w:hAnsi="Arial" w:cs="Arial"/>
          <w:sz w:val="24"/>
        </w:rPr>
        <w:t>en</w:t>
      </w:r>
      <w:r w:rsidR="000863BF" w:rsidRPr="003D1FBA">
        <w:rPr>
          <w:rFonts w:ascii="Arial" w:hAnsi="Arial" w:cs="Arial"/>
          <w:sz w:val="24"/>
        </w:rPr>
        <w:t xml:space="preserve"> </w:t>
      </w:r>
      <w:r w:rsidR="006F1F26">
        <w:rPr>
          <w:rFonts w:ascii="Arial" w:hAnsi="Arial" w:cs="Arial"/>
          <w:sz w:val="24"/>
        </w:rPr>
        <w:t xml:space="preserve">el </w:t>
      </w:r>
      <w:r w:rsidR="000863BF" w:rsidRPr="003D1FBA">
        <w:rPr>
          <w:rFonts w:ascii="Arial" w:hAnsi="Arial" w:cs="Arial"/>
          <w:sz w:val="24"/>
        </w:rPr>
        <w:t xml:space="preserve">isquiosural </w:t>
      </w:r>
      <w:r w:rsidR="006F1F26">
        <w:rPr>
          <w:rFonts w:ascii="Arial" w:hAnsi="Arial" w:cs="Arial"/>
          <w:sz w:val="24"/>
        </w:rPr>
        <w:t>izquierdo</w:t>
      </w:r>
      <w:r w:rsidR="000863BF" w:rsidRPr="003D1FBA">
        <w:rPr>
          <w:rFonts w:ascii="Arial" w:hAnsi="Arial" w:cs="Arial"/>
          <w:sz w:val="24"/>
        </w:rPr>
        <w:t xml:space="preserve"> (-7.5%).</w:t>
      </w:r>
      <w:bookmarkEnd w:id="3"/>
    </w:p>
    <w:p w:rsidR="000863BF" w:rsidRPr="003D1FBA" w:rsidRDefault="006F1F26" w:rsidP="000863BF">
      <w:pPr>
        <w:spacing w:line="360" w:lineRule="auto"/>
        <w:jc w:val="both"/>
        <w:rPr>
          <w:rFonts w:ascii="Arial" w:hAnsi="Arial" w:cs="Arial"/>
          <w:sz w:val="24"/>
        </w:rPr>
      </w:pPr>
      <w:r>
        <w:rPr>
          <w:rFonts w:ascii="Arial" w:hAnsi="Arial" w:cs="Arial"/>
          <w:sz w:val="24"/>
        </w:rPr>
        <w:t xml:space="preserve">Se </w:t>
      </w:r>
      <w:r w:rsidR="000863BF" w:rsidRPr="003D1FBA">
        <w:rPr>
          <w:rFonts w:ascii="Arial" w:hAnsi="Arial" w:cs="Arial"/>
          <w:sz w:val="24"/>
        </w:rPr>
        <w:t>concl</w:t>
      </w:r>
      <w:r>
        <w:rPr>
          <w:rFonts w:ascii="Arial" w:hAnsi="Arial" w:cs="Arial"/>
          <w:sz w:val="24"/>
        </w:rPr>
        <w:t>uye</w:t>
      </w:r>
      <w:r w:rsidR="000863BF" w:rsidRPr="003D1FBA">
        <w:rPr>
          <w:rFonts w:ascii="Arial" w:hAnsi="Arial" w:cs="Arial"/>
          <w:sz w:val="24"/>
        </w:rPr>
        <w:t xml:space="preserve"> </w:t>
      </w:r>
      <w:r w:rsidRPr="003D1FBA">
        <w:rPr>
          <w:rFonts w:ascii="Arial" w:hAnsi="Arial" w:cs="Arial"/>
          <w:sz w:val="24"/>
        </w:rPr>
        <w:t>que,</w:t>
      </w:r>
      <w:r w:rsidR="000863BF" w:rsidRPr="003D1FBA">
        <w:rPr>
          <w:rFonts w:ascii="Arial" w:hAnsi="Arial" w:cs="Arial"/>
          <w:sz w:val="24"/>
        </w:rPr>
        <w:t xml:space="preserve"> en pres</w:t>
      </w:r>
      <w:r>
        <w:rPr>
          <w:rFonts w:ascii="Arial" w:hAnsi="Arial" w:cs="Arial"/>
          <w:sz w:val="24"/>
        </w:rPr>
        <w:t>e</w:t>
      </w:r>
      <w:r w:rsidR="000863BF" w:rsidRPr="003D1FBA">
        <w:rPr>
          <w:rFonts w:ascii="Arial" w:hAnsi="Arial" w:cs="Arial"/>
          <w:sz w:val="24"/>
        </w:rPr>
        <w:t>ncia de fatiga, la f</w:t>
      </w:r>
      <w:r>
        <w:rPr>
          <w:rFonts w:ascii="Arial" w:hAnsi="Arial" w:cs="Arial"/>
          <w:sz w:val="24"/>
        </w:rPr>
        <w:t>uerza</w:t>
      </w:r>
      <w:r w:rsidR="000863BF" w:rsidRPr="003D1FBA">
        <w:rPr>
          <w:rFonts w:ascii="Arial" w:hAnsi="Arial" w:cs="Arial"/>
          <w:sz w:val="24"/>
        </w:rPr>
        <w:t xml:space="preserve"> muscular de </w:t>
      </w:r>
      <w:r>
        <w:rPr>
          <w:rFonts w:ascii="Arial" w:hAnsi="Arial" w:cs="Arial"/>
          <w:sz w:val="24"/>
        </w:rPr>
        <w:t xml:space="preserve">la </w:t>
      </w:r>
      <w:r w:rsidR="000863BF" w:rsidRPr="003D1FBA">
        <w:rPr>
          <w:rFonts w:ascii="Arial" w:hAnsi="Arial" w:cs="Arial"/>
          <w:sz w:val="24"/>
        </w:rPr>
        <w:t>extremi</w:t>
      </w:r>
      <w:r>
        <w:rPr>
          <w:rFonts w:ascii="Arial" w:hAnsi="Arial" w:cs="Arial"/>
          <w:sz w:val="24"/>
        </w:rPr>
        <w:t>dad</w:t>
      </w:r>
      <w:r w:rsidR="000863BF" w:rsidRPr="003D1FBA">
        <w:rPr>
          <w:rFonts w:ascii="Arial" w:hAnsi="Arial" w:cs="Arial"/>
          <w:sz w:val="24"/>
        </w:rPr>
        <w:t xml:space="preserve"> inferior disminu</w:t>
      </w:r>
      <w:r>
        <w:rPr>
          <w:rFonts w:ascii="Arial" w:hAnsi="Arial" w:cs="Arial"/>
          <w:sz w:val="24"/>
        </w:rPr>
        <w:t>ye</w:t>
      </w:r>
      <w:r w:rsidR="000863BF" w:rsidRPr="003D1FBA">
        <w:rPr>
          <w:rFonts w:ascii="Arial" w:hAnsi="Arial" w:cs="Arial"/>
          <w:sz w:val="24"/>
        </w:rPr>
        <w:t xml:space="preserve"> </w:t>
      </w:r>
      <w:r>
        <w:rPr>
          <w:rFonts w:ascii="Arial" w:hAnsi="Arial" w:cs="Arial"/>
          <w:sz w:val="24"/>
        </w:rPr>
        <w:t>y</w:t>
      </w:r>
      <w:r w:rsidR="000863BF" w:rsidRPr="003D1FBA">
        <w:rPr>
          <w:rFonts w:ascii="Arial" w:hAnsi="Arial" w:cs="Arial"/>
          <w:sz w:val="24"/>
        </w:rPr>
        <w:t xml:space="preserve"> ha</w:t>
      </w:r>
      <w:r>
        <w:rPr>
          <w:rFonts w:ascii="Arial" w:hAnsi="Arial" w:cs="Arial"/>
          <w:sz w:val="24"/>
        </w:rPr>
        <w:t>y</w:t>
      </w:r>
      <w:r w:rsidR="000863BF" w:rsidRPr="003D1FBA">
        <w:rPr>
          <w:rFonts w:ascii="Arial" w:hAnsi="Arial" w:cs="Arial"/>
          <w:sz w:val="24"/>
        </w:rPr>
        <w:t xml:space="preserve"> una tend</w:t>
      </w:r>
      <w:r>
        <w:rPr>
          <w:rFonts w:ascii="Arial" w:hAnsi="Arial" w:cs="Arial"/>
          <w:sz w:val="24"/>
        </w:rPr>
        <w:t>e</w:t>
      </w:r>
      <w:r w:rsidR="000863BF" w:rsidRPr="003D1FBA">
        <w:rPr>
          <w:rFonts w:ascii="Arial" w:hAnsi="Arial" w:cs="Arial"/>
          <w:sz w:val="24"/>
        </w:rPr>
        <w:t>ncia a que la R</w:t>
      </w:r>
      <w:r>
        <w:rPr>
          <w:rFonts w:ascii="Arial" w:hAnsi="Arial" w:cs="Arial"/>
          <w:sz w:val="24"/>
        </w:rPr>
        <w:t>a</w:t>
      </w:r>
      <w:r w:rsidR="000863BF" w:rsidRPr="003D1FBA">
        <w:rPr>
          <w:rFonts w:ascii="Arial" w:hAnsi="Arial" w:cs="Arial"/>
          <w:sz w:val="24"/>
        </w:rPr>
        <w:t>tio I/Q tamb</w:t>
      </w:r>
      <w:r>
        <w:rPr>
          <w:rFonts w:ascii="Arial" w:hAnsi="Arial" w:cs="Arial"/>
          <w:sz w:val="24"/>
        </w:rPr>
        <w:t>ién</w:t>
      </w:r>
      <w:r w:rsidR="000863BF" w:rsidRPr="003D1FBA">
        <w:rPr>
          <w:rFonts w:ascii="Arial" w:hAnsi="Arial" w:cs="Arial"/>
          <w:sz w:val="24"/>
        </w:rPr>
        <w:t xml:space="preserve"> disminu</w:t>
      </w:r>
      <w:r>
        <w:rPr>
          <w:rFonts w:ascii="Arial" w:hAnsi="Arial" w:cs="Arial"/>
          <w:sz w:val="24"/>
        </w:rPr>
        <w:t>ya</w:t>
      </w:r>
      <w:r w:rsidR="000863BF" w:rsidRPr="003D1FBA">
        <w:rPr>
          <w:rFonts w:ascii="Arial" w:hAnsi="Arial" w:cs="Arial"/>
          <w:sz w:val="24"/>
        </w:rPr>
        <w:t>.</w:t>
      </w:r>
    </w:p>
    <w:p w:rsidR="00647ABD" w:rsidRDefault="008C6C0E" w:rsidP="009C4454">
      <w:pPr>
        <w:spacing w:line="360" w:lineRule="auto"/>
        <w:jc w:val="both"/>
        <w:rPr>
          <w:rFonts w:ascii="Arial" w:eastAsiaTheme="majorEastAsia" w:hAnsi="Arial" w:cstheme="majorBidi"/>
          <w:sz w:val="24"/>
          <w:szCs w:val="24"/>
          <w:lang w:val="ca-ES"/>
        </w:rPr>
      </w:pPr>
      <w:r w:rsidRPr="003D1FBA">
        <w:rPr>
          <w:rFonts w:ascii="Arial" w:eastAsiaTheme="majorEastAsia" w:hAnsi="Arial" w:cstheme="majorBidi"/>
          <w:sz w:val="24"/>
          <w:szCs w:val="24"/>
          <w:u w:val="single"/>
        </w:rPr>
        <w:t>Pa</w:t>
      </w:r>
      <w:r w:rsidR="006F1F26">
        <w:rPr>
          <w:rFonts w:ascii="Arial" w:eastAsiaTheme="majorEastAsia" w:hAnsi="Arial" w:cstheme="majorBidi"/>
          <w:sz w:val="24"/>
          <w:szCs w:val="24"/>
          <w:u w:val="single"/>
        </w:rPr>
        <w:t>labras</w:t>
      </w:r>
      <w:r w:rsidRPr="003D1FBA">
        <w:rPr>
          <w:rFonts w:ascii="Arial" w:eastAsiaTheme="majorEastAsia" w:hAnsi="Arial" w:cstheme="majorBidi"/>
          <w:sz w:val="24"/>
          <w:szCs w:val="24"/>
          <w:u w:val="single"/>
        </w:rPr>
        <w:t xml:space="preserve"> cla</w:t>
      </w:r>
      <w:r w:rsidR="006F1F26">
        <w:rPr>
          <w:rFonts w:ascii="Arial" w:eastAsiaTheme="majorEastAsia" w:hAnsi="Arial" w:cstheme="majorBidi"/>
          <w:sz w:val="24"/>
          <w:szCs w:val="24"/>
          <w:u w:val="single"/>
        </w:rPr>
        <w:t>ve</w:t>
      </w:r>
      <w:r w:rsidRPr="003D1FBA">
        <w:rPr>
          <w:rFonts w:ascii="Arial" w:eastAsiaTheme="majorEastAsia" w:hAnsi="Arial" w:cstheme="majorBidi"/>
          <w:sz w:val="24"/>
          <w:szCs w:val="24"/>
        </w:rPr>
        <w:t>: “</w:t>
      </w:r>
      <w:r w:rsidR="006F1F26">
        <w:rPr>
          <w:rFonts w:ascii="Arial" w:eastAsiaTheme="majorEastAsia" w:hAnsi="Arial" w:cstheme="majorBidi"/>
          <w:sz w:val="24"/>
          <w:szCs w:val="24"/>
        </w:rPr>
        <w:t xml:space="preserve">Deporte </w:t>
      </w:r>
      <w:r w:rsidR="00D05F6C" w:rsidRPr="003D1FBA">
        <w:rPr>
          <w:rFonts w:ascii="Arial" w:eastAsiaTheme="majorEastAsia" w:hAnsi="Arial" w:cstheme="majorBidi"/>
          <w:sz w:val="24"/>
          <w:szCs w:val="24"/>
        </w:rPr>
        <w:t>femen</w:t>
      </w:r>
      <w:r w:rsidR="006F1F26">
        <w:rPr>
          <w:rFonts w:ascii="Arial" w:eastAsiaTheme="majorEastAsia" w:hAnsi="Arial" w:cstheme="majorBidi"/>
          <w:sz w:val="24"/>
          <w:szCs w:val="24"/>
        </w:rPr>
        <w:t>ino</w:t>
      </w:r>
      <w:r w:rsidRPr="003D1FBA">
        <w:rPr>
          <w:rFonts w:ascii="Arial" w:eastAsiaTheme="majorEastAsia" w:hAnsi="Arial" w:cstheme="majorBidi"/>
          <w:sz w:val="24"/>
          <w:szCs w:val="24"/>
        </w:rPr>
        <w:t>”, “R</w:t>
      </w:r>
      <w:r w:rsidR="006F1F26">
        <w:rPr>
          <w:rFonts w:ascii="Arial" w:eastAsiaTheme="majorEastAsia" w:hAnsi="Arial" w:cstheme="majorBidi"/>
          <w:sz w:val="24"/>
          <w:szCs w:val="24"/>
        </w:rPr>
        <w:t>a</w:t>
      </w:r>
      <w:r w:rsidRPr="003D1FBA">
        <w:rPr>
          <w:rFonts w:ascii="Arial" w:eastAsiaTheme="majorEastAsia" w:hAnsi="Arial" w:cstheme="majorBidi"/>
          <w:sz w:val="24"/>
          <w:szCs w:val="24"/>
        </w:rPr>
        <w:t>tio I/Q”, “F</w:t>
      </w:r>
      <w:r w:rsidR="006F1F26">
        <w:rPr>
          <w:rFonts w:ascii="Arial" w:eastAsiaTheme="majorEastAsia" w:hAnsi="Arial" w:cstheme="majorBidi"/>
          <w:sz w:val="24"/>
          <w:szCs w:val="24"/>
        </w:rPr>
        <w:t>uerza</w:t>
      </w:r>
      <w:r w:rsidR="003C3FE2" w:rsidRPr="003D1FBA">
        <w:rPr>
          <w:rFonts w:ascii="Arial" w:eastAsiaTheme="majorEastAsia" w:hAnsi="Arial" w:cstheme="majorBidi"/>
          <w:sz w:val="24"/>
          <w:szCs w:val="24"/>
        </w:rPr>
        <w:t xml:space="preserve"> muscular</w:t>
      </w:r>
      <w:r w:rsidRPr="003D1FBA">
        <w:rPr>
          <w:rFonts w:ascii="Arial" w:eastAsiaTheme="majorEastAsia" w:hAnsi="Arial" w:cstheme="majorBidi"/>
          <w:sz w:val="24"/>
          <w:szCs w:val="24"/>
        </w:rPr>
        <w:t xml:space="preserve">” </w:t>
      </w:r>
      <w:r w:rsidR="006F1F26">
        <w:rPr>
          <w:rFonts w:ascii="Arial" w:eastAsiaTheme="majorEastAsia" w:hAnsi="Arial" w:cstheme="majorBidi"/>
          <w:sz w:val="24"/>
          <w:szCs w:val="24"/>
        </w:rPr>
        <w:t>y</w:t>
      </w:r>
      <w:r w:rsidRPr="003D1FBA">
        <w:rPr>
          <w:rFonts w:ascii="Arial" w:eastAsiaTheme="majorEastAsia" w:hAnsi="Arial" w:cstheme="majorBidi"/>
          <w:sz w:val="24"/>
          <w:szCs w:val="24"/>
        </w:rPr>
        <w:t xml:space="preserve"> “Fatiga</w:t>
      </w:r>
      <w:r w:rsidR="003C3FE2" w:rsidRPr="003D1FBA">
        <w:rPr>
          <w:rFonts w:ascii="Arial" w:eastAsiaTheme="majorEastAsia" w:hAnsi="Arial" w:cstheme="majorBidi"/>
          <w:sz w:val="24"/>
          <w:szCs w:val="24"/>
        </w:rPr>
        <w:t xml:space="preserve"> muscular</w:t>
      </w:r>
      <w:r w:rsidRPr="003D1FBA">
        <w:rPr>
          <w:rFonts w:ascii="Arial" w:eastAsiaTheme="majorEastAsia" w:hAnsi="Arial" w:cstheme="majorBidi"/>
          <w:sz w:val="24"/>
          <w:szCs w:val="24"/>
        </w:rPr>
        <w:t>”.</w:t>
      </w:r>
      <w:bookmarkEnd w:id="1"/>
      <w:bookmarkEnd w:id="4"/>
      <w:r w:rsidR="00647ABD">
        <w:rPr>
          <w:rFonts w:ascii="Arial" w:eastAsiaTheme="majorEastAsia" w:hAnsi="Arial" w:cstheme="majorBidi"/>
          <w:sz w:val="24"/>
          <w:szCs w:val="24"/>
          <w:lang w:val="ca-ES"/>
        </w:rPr>
        <w:br w:type="page"/>
      </w:r>
    </w:p>
    <w:p w:rsidR="001C4834" w:rsidRPr="009C4454" w:rsidRDefault="001C4834" w:rsidP="00893DC5">
      <w:pPr>
        <w:pStyle w:val="Ttol1"/>
        <w:spacing w:line="360" w:lineRule="auto"/>
        <w:jc w:val="center"/>
        <w:rPr>
          <w:lang w:val="en-GB"/>
        </w:rPr>
      </w:pPr>
      <w:bookmarkStart w:id="5" w:name="_Toc20417700"/>
      <w:bookmarkStart w:id="6" w:name="_Hlk19983426"/>
      <w:r w:rsidRPr="009C4454">
        <w:rPr>
          <w:lang w:val="en-GB"/>
        </w:rPr>
        <w:lastRenderedPageBreak/>
        <w:t>Abstract</w:t>
      </w:r>
      <w:bookmarkEnd w:id="5"/>
    </w:p>
    <w:p w:rsidR="00305DDE" w:rsidRPr="00305DDE" w:rsidRDefault="00305DDE" w:rsidP="009C4454">
      <w:pPr>
        <w:spacing w:line="360" w:lineRule="auto"/>
        <w:jc w:val="both"/>
        <w:rPr>
          <w:rFonts w:ascii="Arial" w:eastAsiaTheme="majorEastAsia" w:hAnsi="Arial" w:cstheme="majorBidi"/>
          <w:sz w:val="24"/>
          <w:szCs w:val="24"/>
          <w:u w:val="single"/>
          <w:lang w:val="en-GB"/>
        </w:rPr>
      </w:pPr>
      <w:r w:rsidRPr="00305DDE">
        <w:rPr>
          <w:rFonts w:ascii="Arial" w:eastAsiaTheme="majorEastAsia" w:hAnsi="Arial" w:cstheme="majorBidi"/>
          <w:sz w:val="24"/>
          <w:szCs w:val="24"/>
          <w:u w:val="single"/>
          <w:lang w:val="en-GB"/>
        </w:rPr>
        <w:t>Introduction:</w:t>
      </w:r>
    </w:p>
    <w:p w:rsidR="006A37EB" w:rsidRDefault="006A37EB" w:rsidP="009C4454">
      <w:pPr>
        <w:spacing w:line="360" w:lineRule="auto"/>
        <w:jc w:val="both"/>
        <w:rPr>
          <w:rFonts w:ascii="Arial" w:eastAsiaTheme="majorEastAsia" w:hAnsi="Arial" w:cstheme="majorBidi"/>
          <w:sz w:val="24"/>
          <w:szCs w:val="24"/>
          <w:lang w:val="en-GB"/>
        </w:rPr>
      </w:pPr>
      <w:r>
        <w:rPr>
          <w:rFonts w:ascii="Arial" w:eastAsiaTheme="majorEastAsia" w:hAnsi="Arial" w:cstheme="majorBidi"/>
          <w:sz w:val="24"/>
          <w:szCs w:val="24"/>
          <w:lang w:val="en-GB"/>
        </w:rPr>
        <w:t xml:space="preserve">Some of the main </w:t>
      </w:r>
      <w:r w:rsidR="003D0239">
        <w:rPr>
          <w:rFonts w:ascii="Arial" w:eastAsiaTheme="majorEastAsia" w:hAnsi="Arial" w:cstheme="majorBidi"/>
          <w:sz w:val="24"/>
          <w:szCs w:val="24"/>
          <w:lang w:val="en-GB"/>
        </w:rPr>
        <w:t xml:space="preserve">modifiable </w:t>
      </w:r>
      <w:r>
        <w:rPr>
          <w:rFonts w:ascii="Arial" w:eastAsiaTheme="majorEastAsia" w:hAnsi="Arial" w:cstheme="majorBidi"/>
          <w:sz w:val="24"/>
          <w:szCs w:val="24"/>
          <w:lang w:val="en-GB"/>
        </w:rPr>
        <w:t>risk factors when suffering an injury in the anterior cruciate ligament are known to be the hamstring to quadriceps (H/Q) Ratio and neuromuscular fatigue.</w:t>
      </w:r>
    </w:p>
    <w:p w:rsidR="009C4454" w:rsidRDefault="009C4454" w:rsidP="009C4454">
      <w:pPr>
        <w:spacing w:line="360" w:lineRule="auto"/>
        <w:jc w:val="both"/>
        <w:rPr>
          <w:rFonts w:ascii="Arial" w:eastAsiaTheme="majorEastAsia" w:hAnsi="Arial" w:cstheme="majorBidi"/>
          <w:sz w:val="24"/>
          <w:szCs w:val="24"/>
          <w:lang w:val="en-GB"/>
        </w:rPr>
      </w:pPr>
      <w:r>
        <w:rPr>
          <w:rFonts w:ascii="Arial" w:eastAsiaTheme="majorEastAsia" w:hAnsi="Arial" w:cstheme="majorBidi"/>
          <w:sz w:val="24"/>
          <w:szCs w:val="24"/>
          <w:lang w:val="en-GB"/>
        </w:rPr>
        <w:t xml:space="preserve">The </w:t>
      </w:r>
      <w:r w:rsidR="0011153B">
        <w:rPr>
          <w:rFonts w:ascii="Arial" w:eastAsiaTheme="majorEastAsia" w:hAnsi="Arial" w:cstheme="majorBidi"/>
          <w:sz w:val="24"/>
          <w:szCs w:val="24"/>
          <w:lang w:val="en-GB"/>
        </w:rPr>
        <w:t>aim</w:t>
      </w:r>
      <w:r>
        <w:rPr>
          <w:rFonts w:ascii="Arial" w:eastAsiaTheme="majorEastAsia" w:hAnsi="Arial" w:cstheme="majorBidi"/>
          <w:sz w:val="24"/>
          <w:szCs w:val="24"/>
          <w:lang w:val="en-GB"/>
        </w:rPr>
        <w:t xml:space="preserve"> of this </w:t>
      </w:r>
      <w:r w:rsidR="0011153B">
        <w:rPr>
          <w:rFonts w:ascii="Arial" w:eastAsiaTheme="majorEastAsia" w:hAnsi="Arial" w:cstheme="majorBidi"/>
          <w:sz w:val="24"/>
          <w:szCs w:val="24"/>
          <w:lang w:val="en-GB"/>
        </w:rPr>
        <w:t>research</w:t>
      </w:r>
      <w:r>
        <w:rPr>
          <w:rFonts w:ascii="Arial" w:eastAsiaTheme="majorEastAsia" w:hAnsi="Arial" w:cstheme="majorBidi"/>
          <w:sz w:val="24"/>
          <w:szCs w:val="24"/>
          <w:lang w:val="en-GB"/>
        </w:rPr>
        <w:t xml:space="preserve"> </w:t>
      </w:r>
      <w:r w:rsidR="000F484F">
        <w:rPr>
          <w:rFonts w:ascii="Arial" w:eastAsiaTheme="majorEastAsia" w:hAnsi="Arial" w:cstheme="majorBidi"/>
          <w:sz w:val="24"/>
          <w:szCs w:val="24"/>
          <w:lang w:val="en-GB"/>
        </w:rPr>
        <w:t>was</w:t>
      </w:r>
      <w:r>
        <w:rPr>
          <w:rFonts w:ascii="Arial" w:eastAsiaTheme="majorEastAsia" w:hAnsi="Arial" w:cstheme="majorBidi"/>
          <w:sz w:val="24"/>
          <w:szCs w:val="24"/>
          <w:lang w:val="en-GB"/>
        </w:rPr>
        <w:t xml:space="preserve"> to study</w:t>
      </w:r>
      <w:r w:rsidR="0011153B">
        <w:rPr>
          <w:rFonts w:ascii="Arial" w:eastAsiaTheme="majorEastAsia" w:hAnsi="Arial" w:cstheme="majorBidi"/>
          <w:sz w:val="24"/>
          <w:szCs w:val="24"/>
          <w:lang w:val="en-GB"/>
        </w:rPr>
        <w:t xml:space="preserve"> the effect of </w:t>
      </w:r>
      <w:r>
        <w:rPr>
          <w:rFonts w:ascii="Arial" w:eastAsiaTheme="majorEastAsia" w:hAnsi="Arial" w:cstheme="majorBidi"/>
          <w:sz w:val="24"/>
          <w:szCs w:val="24"/>
          <w:lang w:val="en-GB"/>
        </w:rPr>
        <w:t xml:space="preserve">neuromuscular fatigue </w:t>
      </w:r>
      <w:r w:rsidR="0011153B">
        <w:rPr>
          <w:rFonts w:ascii="Arial" w:eastAsiaTheme="majorEastAsia" w:hAnsi="Arial" w:cstheme="majorBidi"/>
          <w:sz w:val="24"/>
          <w:szCs w:val="24"/>
          <w:lang w:val="en-GB"/>
        </w:rPr>
        <w:t xml:space="preserve">on the </w:t>
      </w:r>
      <w:r>
        <w:rPr>
          <w:rFonts w:ascii="Arial" w:eastAsiaTheme="majorEastAsia" w:hAnsi="Arial" w:cstheme="majorBidi"/>
          <w:sz w:val="24"/>
          <w:szCs w:val="24"/>
          <w:lang w:val="en-GB"/>
        </w:rPr>
        <w:t>H/Q</w:t>
      </w:r>
      <w:r w:rsidR="002C71C3">
        <w:rPr>
          <w:rFonts w:ascii="Arial" w:eastAsiaTheme="majorEastAsia" w:hAnsi="Arial" w:cstheme="majorBidi"/>
          <w:sz w:val="24"/>
          <w:szCs w:val="24"/>
          <w:lang w:val="en-GB"/>
        </w:rPr>
        <w:t xml:space="preserve"> Ratio</w:t>
      </w:r>
      <w:r w:rsidR="0011153B">
        <w:rPr>
          <w:rFonts w:ascii="Arial" w:eastAsiaTheme="majorEastAsia" w:hAnsi="Arial" w:cstheme="majorBidi"/>
          <w:sz w:val="24"/>
          <w:szCs w:val="24"/>
          <w:lang w:val="en-GB"/>
        </w:rPr>
        <w:t xml:space="preserve"> and the maximum isometric strength of the quadriceps and hamstrings in adolescent basketball and handball players.</w:t>
      </w:r>
    </w:p>
    <w:p w:rsidR="00FF24A3" w:rsidRPr="00FF24A3" w:rsidRDefault="00FF24A3" w:rsidP="009C4454">
      <w:pPr>
        <w:spacing w:line="360" w:lineRule="auto"/>
        <w:jc w:val="both"/>
        <w:rPr>
          <w:rFonts w:ascii="Arial" w:eastAsiaTheme="majorEastAsia" w:hAnsi="Arial" w:cstheme="majorBidi"/>
          <w:sz w:val="24"/>
          <w:szCs w:val="24"/>
          <w:u w:val="single"/>
          <w:lang w:val="en-GB"/>
        </w:rPr>
      </w:pPr>
      <w:r w:rsidRPr="00FF24A3">
        <w:rPr>
          <w:rFonts w:ascii="Arial" w:eastAsiaTheme="majorEastAsia" w:hAnsi="Arial" w:cstheme="majorBidi"/>
          <w:sz w:val="24"/>
          <w:szCs w:val="24"/>
          <w:u w:val="single"/>
          <w:lang w:val="en-GB"/>
        </w:rPr>
        <w:t>Material and methods:</w:t>
      </w:r>
    </w:p>
    <w:p w:rsidR="00FF24A3" w:rsidRDefault="009C4454" w:rsidP="009C4454">
      <w:pPr>
        <w:spacing w:line="360" w:lineRule="auto"/>
        <w:jc w:val="both"/>
        <w:rPr>
          <w:rFonts w:ascii="Arial" w:eastAsiaTheme="majorEastAsia" w:hAnsi="Arial" w:cstheme="majorBidi"/>
          <w:sz w:val="24"/>
          <w:szCs w:val="24"/>
          <w:lang w:val="en-GB"/>
        </w:rPr>
      </w:pPr>
      <w:r w:rsidRPr="009C4454">
        <w:rPr>
          <w:rFonts w:ascii="Arial" w:eastAsiaTheme="majorEastAsia" w:hAnsi="Arial" w:cstheme="majorBidi"/>
          <w:sz w:val="24"/>
          <w:szCs w:val="24"/>
          <w:lang w:val="en-GB"/>
        </w:rPr>
        <w:t>This is an</w:t>
      </w:r>
      <w:r>
        <w:rPr>
          <w:rFonts w:ascii="Arial" w:eastAsiaTheme="majorEastAsia" w:hAnsi="Arial" w:cstheme="majorBidi"/>
          <w:sz w:val="24"/>
          <w:szCs w:val="24"/>
          <w:lang w:val="en-GB"/>
        </w:rPr>
        <w:t xml:space="preserve"> experimental, pre-post intervention study with a sample of </w:t>
      </w:r>
      <w:r w:rsidR="0011153B">
        <w:rPr>
          <w:rFonts w:ascii="Arial" w:eastAsiaTheme="majorEastAsia" w:hAnsi="Arial" w:cstheme="majorBidi"/>
          <w:sz w:val="24"/>
          <w:szCs w:val="24"/>
          <w:lang w:val="en-GB"/>
        </w:rPr>
        <w:t>19 basketball players and 11 handball players</w:t>
      </w:r>
      <w:r w:rsidR="00FF24A3">
        <w:rPr>
          <w:rFonts w:ascii="Arial" w:eastAsiaTheme="majorEastAsia" w:hAnsi="Arial" w:cstheme="majorBidi"/>
          <w:sz w:val="24"/>
          <w:szCs w:val="24"/>
          <w:lang w:val="en-GB"/>
        </w:rPr>
        <w:t xml:space="preserve"> (</w:t>
      </w:r>
      <w:r w:rsidR="00A96D35">
        <w:rPr>
          <w:rFonts w:ascii="Arial" w:hAnsi="Arial" w:cs="Arial"/>
          <w:sz w:val="24"/>
          <w:lang w:val="ca-ES"/>
        </w:rPr>
        <w:t>17.</w:t>
      </w:r>
      <w:r w:rsidR="00FF24A3">
        <w:rPr>
          <w:rFonts w:ascii="Arial" w:hAnsi="Arial" w:cs="Arial"/>
          <w:sz w:val="24"/>
          <w:lang w:val="ca-ES"/>
        </w:rPr>
        <w:t xml:space="preserve">02 </w:t>
      </w:r>
      <w:r w:rsidR="00FF24A3" w:rsidRPr="00704849">
        <w:rPr>
          <w:rFonts w:ascii="Arial" w:hAnsi="Arial" w:cs="Arial"/>
          <w:sz w:val="24"/>
          <w:lang w:val="ca-ES"/>
        </w:rPr>
        <w:t>±</w:t>
      </w:r>
      <w:r w:rsidR="00FF24A3">
        <w:rPr>
          <w:rFonts w:ascii="Arial" w:hAnsi="Arial" w:cs="Arial"/>
          <w:sz w:val="24"/>
          <w:lang w:val="ca-ES"/>
        </w:rPr>
        <w:t xml:space="preserve"> </w:t>
      </w:r>
      <w:r w:rsidR="00FF24A3" w:rsidRPr="00704849">
        <w:rPr>
          <w:rFonts w:ascii="Arial" w:hAnsi="Arial" w:cs="Arial"/>
          <w:sz w:val="24"/>
          <w:lang w:val="ca-ES"/>
        </w:rPr>
        <w:t>1</w:t>
      </w:r>
      <w:r w:rsidR="00A96D35">
        <w:rPr>
          <w:rFonts w:ascii="Arial" w:hAnsi="Arial" w:cs="Arial"/>
          <w:sz w:val="24"/>
          <w:lang w:val="ca-ES"/>
        </w:rPr>
        <w:t>.</w:t>
      </w:r>
      <w:r w:rsidR="00FF24A3">
        <w:rPr>
          <w:rFonts w:ascii="Arial" w:hAnsi="Arial" w:cs="Arial"/>
          <w:sz w:val="24"/>
          <w:lang w:val="ca-ES"/>
        </w:rPr>
        <w:t>19</w:t>
      </w:r>
      <w:r w:rsidR="00FF24A3" w:rsidRPr="00704849">
        <w:rPr>
          <w:rFonts w:ascii="Arial" w:hAnsi="Arial" w:cs="Arial"/>
          <w:sz w:val="24"/>
          <w:lang w:val="ca-ES"/>
        </w:rPr>
        <w:t xml:space="preserve"> </w:t>
      </w:r>
      <w:r w:rsidR="00FF24A3">
        <w:rPr>
          <w:rFonts w:ascii="Arial" w:hAnsi="Arial" w:cs="Arial"/>
          <w:sz w:val="24"/>
          <w:lang w:val="ca-ES"/>
        </w:rPr>
        <w:t>y</w:t>
      </w:r>
      <w:r w:rsidR="004456A4">
        <w:rPr>
          <w:rFonts w:ascii="Arial" w:hAnsi="Arial" w:cs="Arial"/>
          <w:sz w:val="24"/>
          <w:lang w:val="ca-ES"/>
        </w:rPr>
        <w:t>o</w:t>
      </w:r>
      <w:r w:rsidR="00A96D35">
        <w:rPr>
          <w:rFonts w:ascii="Arial" w:hAnsi="Arial" w:cs="Arial"/>
          <w:sz w:val="24"/>
          <w:lang w:val="ca-ES"/>
        </w:rPr>
        <w:t>, 177.8 ± 7.</w:t>
      </w:r>
      <w:r w:rsidR="00FF24A3" w:rsidRPr="00704849">
        <w:rPr>
          <w:rFonts w:ascii="Arial" w:hAnsi="Arial" w:cs="Arial"/>
          <w:sz w:val="24"/>
          <w:lang w:val="ca-ES"/>
        </w:rPr>
        <w:t xml:space="preserve">2 cm </w:t>
      </w:r>
      <w:r w:rsidR="004456A4">
        <w:rPr>
          <w:rFonts w:ascii="Arial" w:hAnsi="Arial" w:cs="Arial"/>
          <w:sz w:val="24"/>
          <w:lang w:val="ca-ES"/>
        </w:rPr>
        <w:t>and</w:t>
      </w:r>
      <w:r w:rsidR="00A96D35">
        <w:rPr>
          <w:rFonts w:ascii="Arial" w:hAnsi="Arial" w:cs="Arial"/>
          <w:sz w:val="24"/>
          <w:lang w:val="ca-ES"/>
        </w:rPr>
        <w:t xml:space="preserve"> 68.</w:t>
      </w:r>
      <w:r w:rsidR="00FF24A3" w:rsidRPr="00704849">
        <w:rPr>
          <w:rFonts w:ascii="Arial" w:hAnsi="Arial" w:cs="Arial"/>
          <w:sz w:val="24"/>
          <w:lang w:val="ca-ES"/>
        </w:rPr>
        <w:t>6 ±</w:t>
      </w:r>
      <w:r w:rsidR="003E7CB3">
        <w:rPr>
          <w:rFonts w:ascii="Arial" w:hAnsi="Arial" w:cs="Arial"/>
          <w:sz w:val="24"/>
          <w:lang w:val="ca-ES"/>
        </w:rPr>
        <w:t xml:space="preserve"> </w:t>
      </w:r>
      <w:r w:rsidR="00A96D35">
        <w:rPr>
          <w:rFonts w:ascii="Arial" w:hAnsi="Arial" w:cs="Arial"/>
          <w:sz w:val="24"/>
          <w:lang w:val="ca-ES"/>
        </w:rPr>
        <w:t>9.</w:t>
      </w:r>
      <w:r w:rsidR="00FF24A3" w:rsidRPr="00704849">
        <w:rPr>
          <w:rFonts w:ascii="Arial" w:hAnsi="Arial" w:cs="Arial"/>
          <w:sz w:val="24"/>
          <w:lang w:val="ca-ES"/>
        </w:rPr>
        <w:t>3 kg</w:t>
      </w:r>
      <w:r w:rsidR="00FF24A3">
        <w:rPr>
          <w:rFonts w:ascii="Arial" w:hAnsi="Arial" w:cs="Arial"/>
          <w:sz w:val="24"/>
          <w:lang w:val="ca-ES"/>
        </w:rPr>
        <w:t>)</w:t>
      </w:r>
      <w:r>
        <w:rPr>
          <w:rFonts w:ascii="Arial" w:eastAsiaTheme="majorEastAsia" w:hAnsi="Arial" w:cstheme="majorBidi"/>
          <w:sz w:val="24"/>
          <w:szCs w:val="24"/>
          <w:lang w:val="en-GB"/>
        </w:rPr>
        <w:t>.</w:t>
      </w:r>
      <w:r w:rsidR="00FF24A3">
        <w:rPr>
          <w:rFonts w:ascii="Arial" w:eastAsiaTheme="majorEastAsia" w:hAnsi="Arial" w:cstheme="majorBidi"/>
          <w:sz w:val="24"/>
          <w:szCs w:val="24"/>
          <w:lang w:val="en-GB"/>
        </w:rPr>
        <w:t xml:space="preserve"> To </w:t>
      </w:r>
      <w:r w:rsidR="0011153B">
        <w:rPr>
          <w:rFonts w:ascii="Arial" w:eastAsiaTheme="majorEastAsia" w:hAnsi="Arial" w:cstheme="majorBidi"/>
          <w:sz w:val="24"/>
          <w:szCs w:val="24"/>
          <w:lang w:val="en-GB"/>
        </w:rPr>
        <w:t>assess</w:t>
      </w:r>
      <w:r w:rsidR="00FF24A3">
        <w:rPr>
          <w:rFonts w:ascii="Arial" w:eastAsiaTheme="majorEastAsia" w:hAnsi="Arial" w:cstheme="majorBidi"/>
          <w:sz w:val="24"/>
          <w:szCs w:val="24"/>
          <w:lang w:val="en-GB"/>
        </w:rPr>
        <w:t xml:space="preserve"> muscle strength</w:t>
      </w:r>
      <w:r w:rsidR="0011153B">
        <w:rPr>
          <w:rFonts w:ascii="Arial" w:eastAsiaTheme="majorEastAsia" w:hAnsi="Arial" w:cstheme="majorBidi"/>
          <w:sz w:val="24"/>
          <w:szCs w:val="24"/>
          <w:lang w:val="en-GB"/>
        </w:rPr>
        <w:t>,</w:t>
      </w:r>
      <w:r w:rsidR="00FF24A3">
        <w:rPr>
          <w:rFonts w:ascii="Arial" w:eastAsiaTheme="majorEastAsia" w:hAnsi="Arial" w:cstheme="majorBidi"/>
          <w:sz w:val="24"/>
          <w:szCs w:val="24"/>
          <w:lang w:val="en-GB"/>
        </w:rPr>
        <w:t xml:space="preserve"> </w:t>
      </w:r>
      <w:r w:rsidR="0011153B">
        <w:rPr>
          <w:rFonts w:ascii="Arial" w:eastAsiaTheme="majorEastAsia" w:hAnsi="Arial" w:cstheme="majorBidi"/>
          <w:sz w:val="24"/>
          <w:szCs w:val="24"/>
          <w:lang w:val="en-GB"/>
        </w:rPr>
        <w:t>an</w:t>
      </w:r>
      <w:r>
        <w:rPr>
          <w:rFonts w:ascii="Arial" w:eastAsiaTheme="majorEastAsia" w:hAnsi="Arial" w:cstheme="majorBidi"/>
          <w:sz w:val="24"/>
          <w:szCs w:val="24"/>
          <w:lang w:val="en-GB"/>
        </w:rPr>
        <w:t xml:space="preserve"> isometric</w:t>
      </w:r>
      <w:r w:rsidR="0011153B">
        <w:rPr>
          <w:rFonts w:ascii="Arial" w:eastAsiaTheme="majorEastAsia" w:hAnsi="Arial" w:cstheme="majorBidi"/>
          <w:sz w:val="24"/>
          <w:szCs w:val="24"/>
          <w:lang w:val="en-GB"/>
        </w:rPr>
        <w:t xml:space="preserve"> maximum</w:t>
      </w:r>
      <w:r>
        <w:rPr>
          <w:rFonts w:ascii="Arial" w:eastAsiaTheme="majorEastAsia" w:hAnsi="Arial" w:cstheme="majorBidi"/>
          <w:sz w:val="24"/>
          <w:szCs w:val="24"/>
          <w:lang w:val="en-GB"/>
        </w:rPr>
        <w:t xml:space="preserve"> strength test</w:t>
      </w:r>
      <w:r w:rsidR="004456A4">
        <w:rPr>
          <w:rFonts w:ascii="Arial" w:eastAsiaTheme="majorEastAsia" w:hAnsi="Arial" w:cstheme="majorBidi"/>
          <w:sz w:val="24"/>
          <w:szCs w:val="24"/>
          <w:lang w:val="en-GB"/>
        </w:rPr>
        <w:t xml:space="preserve"> </w:t>
      </w:r>
      <w:r w:rsidR="004456A4" w:rsidRPr="004456A4">
        <w:rPr>
          <w:rFonts w:ascii="Arial" w:eastAsiaTheme="majorEastAsia" w:hAnsi="Arial" w:cstheme="majorBidi"/>
          <w:sz w:val="24"/>
          <w:szCs w:val="24"/>
          <w:lang w:val="en-GB"/>
        </w:rPr>
        <w:t xml:space="preserve">(manual dynamometer, MARK 10 Corporation, NY) was performed in a 90º hip and 60º knee position. Subsequently, the H/Q Ratio was calculated. </w:t>
      </w:r>
      <w:r w:rsidR="0011153B">
        <w:rPr>
          <w:rFonts w:ascii="Arial" w:eastAsiaTheme="majorEastAsia" w:hAnsi="Arial" w:cstheme="majorBidi"/>
          <w:sz w:val="24"/>
          <w:szCs w:val="24"/>
          <w:lang w:val="en-GB"/>
        </w:rPr>
        <w:t xml:space="preserve">The Intermittent Fatigue Test 30-15 (30-15IFT) was applied to induce fatigue, which was measured using the external fatigue perception scale (RPE). </w:t>
      </w:r>
      <w:r w:rsidR="004456A4" w:rsidRPr="004456A4">
        <w:rPr>
          <w:rFonts w:ascii="Arial" w:eastAsiaTheme="majorEastAsia" w:hAnsi="Arial" w:cstheme="majorBidi"/>
          <w:sz w:val="24"/>
          <w:szCs w:val="24"/>
          <w:lang w:val="en-GB"/>
        </w:rPr>
        <w:t>A descriptive analysis and a T-test were performed to study the differences in the H/Q Ratio</w:t>
      </w:r>
      <w:r w:rsidR="004456A4">
        <w:rPr>
          <w:rFonts w:ascii="Arial" w:eastAsiaTheme="majorEastAsia" w:hAnsi="Arial" w:cstheme="majorBidi"/>
          <w:sz w:val="24"/>
          <w:szCs w:val="24"/>
          <w:lang w:val="en-GB"/>
        </w:rPr>
        <w:t>, muscle strength</w:t>
      </w:r>
      <w:r w:rsidR="004456A4" w:rsidRPr="004456A4">
        <w:rPr>
          <w:rFonts w:ascii="Arial" w:eastAsiaTheme="majorEastAsia" w:hAnsi="Arial" w:cstheme="majorBidi"/>
          <w:sz w:val="24"/>
          <w:szCs w:val="24"/>
          <w:lang w:val="en-GB"/>
        </w:rPr>
        <w:t xml:space="preserve"> and the fatigue pre-post intervention.</w:t>
      </w:r>
    </w:p>
    <w:p w:rsidR="00FF24A3" w:rsidRPr="00FF24A3" w:rsidRDefault="00FF24A3" w:rsidP="009C4454">
      <w:pPr>
        <w:spacing w:line="360" w:lineRule="auto"/>
        <w:jc w:val="both"/>
        <w:rPr>
          <w:rFonts w:ascii="Arial" w:eastAsiaTheme="majorEastAsia" w:hAnsi="Arial" w:cstheme="majorBidi"/>
          <w:sz w:val="24"/>
          <w:szCs w:val="24"/>
          <w:u w:val="single"/>
          <w:lang w:val="en-GB"/>
        </w:rPr>
      </w:pPr>
      <w:r w:rsidRPr="00FF24A3">
        <w:rPr>
          <w:rFonts w:ascii="Arial" w:eastAsiaTheme="majorEastAsia" w:hAnsi="Arial" w:cstheme="majorBidi"/>
          <w:sz w:val="24"/>
          <w:szCs w:val="24"/>
          <w:u w:val="single"/>
          <w:lang w:val="en-GB"/>
        </w:rPr>
        <w:t>Results:</w:t>
      </w:r>
    </w:p>
    <w:p w:rsidR="00B638A0" w:rsidRPr="003C3FE2" w:rsidRDefault="00B51EC9" w:rsidP="009C4454">
      <w:pPr>
        <w:spacing w:line="360" w:lineRule="auto"/>
        <w:jc w:val="both"/>
        <w:rPr>
          <w:rFonts w:ascii="Arial" w:eastAsiaTheme="majorEastAsia" w:hAnsi="Arial" w:cstheme="majorBidi"/>
          <w:sz w:val="24"/>
          <w:szCs w:val="24"/>
          <w:lang w:val="en-GB"/>
        </w:rPr>
      </w:pPr>
      <w:r>
        <w:rPr>
          <w:rFonts w:ascii="Arial" w:eastAsiaTheme="majorEastAsia" w:hAnsi="Arial" w:cstheme="majorBidi"/>
          <w:sz w:val="24"/>
          <w:szCs w:val="24"/>
          <w:lang w:val="en-GB"/>
        </w:rPr>
        <w:t xml:space="preserve">Although the H/Q Ratio decreased after 30-15 IFT, the differences were not statistically significant. Regarding strength values, </w:t>
      </w:r>
      <w:r w:rsidR="003C3FE2">
        <w:rPr>
          <w:rFonts w:ascii="Arial" w:eastAsiaTheme="majorEastAsia" w:hAnsi="Arial" w:cstheme="majorBidi"/>
          <w:sz w:val="24"/>
          <w:szCs w:val="24"/>
          <w:lang w:val="en-GB"/>
        </w:rPr>
        <w:t xml:space="preserve">the </w:t>
      </w:r>
      <w:r w:rsidR="00DD6F93">
        <w:rPr>
          <w:rFonts w:ascii="Arial" w:eastAsiaTheme="majorEastAsia" w:hAnsi="Arial" w:cstheme="majorBidi"/>
          <w:sz w:val="24"/>
          <w:szCs w:val="24"/>
          <w:lang w:val="en-GB"/>
        </w:rPr>
        <w:t>right quadriceps</w:t>
      </w:r>
      <w:r w:rsidR="00A96D35">
        <w:rPr>
          <w:rFonts w:ascii="Arial" w:eastAsiaTheme="majorEastAsia" w:hAnsi="Arial" w:cstheme="majorBidi"/>
          <w:sz w:val="24"/>
          <w:szCs w:val="24"/>
          <w:lang w:val="en-GB"/>
        </w:rPr>
        <w:t xml:space="preserve"> p</w:t>
      </w:r>
      <w:r>
        <w:rPr>
          <w:rFonts w:ascii="Arial" w:eastAsiaTheme="majorEastAsia" w:hAnsi="Arial" w:cstheme="majorBidi"/>
          <w:sz w:val="24"/>
          <w:szCs w:val="24"/>
          <w:lang w:val="en-GB"/>
        </w:rPr>
        <w:t xml:space="preserve">resented a reduction of strength of </w:t>
      </w:r>
      <w:r w:rsidR="00DD6F93" w:rsidRPr="00DD6F93">
        <w:rPr>
          <w:rFonts w:ascii="Arial" w:eastAsiaTheme="majorEastAsia" w:hAnsi="Arial" w:cstheme="majorBidi"/>
          <w:sz w:val="24"/>
          <w:szCs w:val="24"/>
          <w:lang w:val="en-GB"/>
        </w:rPr>
        <w:t>4</w:t>
      </w:r>
      <w:r>
        <w:rPr>
          <w:rFonts w:ascii="Arial" w:eastAsiaTheme="majorEastAsia" w:hAnsi="Arial" w:cstheme="majorBidi"/>
          <w:sz w:val="24"/>
          <w:szCs w:val="24"/>
          <w:lang w:val="en-GB"/>
        </w:rPr>
        <w:t>.</w:t>
      </w:r>
      <w:r w:rsidR="00DD6F93" w:rsidRPr="00DD6F93">
        <w:rPr>
          <w:rFonts w:ascii="Arial" w:eastAsiaTheme="majorEastAsia" w:hAnsi="Arial" w:cstheme="majorBidi"/>
          <w:sz w:val="24"/>
          <w:szCs w:val="24"/>
          <w:lang w:val="en-GB"/>
        </w:rPr>
        <w:t>52%</w:t>
      </w:r>
      <w:r w:rsidR="007E1DE4">
        <w:rPr>
          <w:rFonts w:ascii="Arial" w:eastAsiaTheme="majorEastAsia" w:hAnsi="Arial" w:cstheme="majorBidi"/>
          <w:sz w:val="24"/>
          <w:szCs w:val="24"/>
          <w:lang w:val="en-GB"/>
        </w:rPr>
        <w:t xml:space="preserve"> </w:t>
      </w:r>
      <w:r w:rsidR="00DD6F93" w:rsidRPr="00DD6F93">
        <w:rPr>
          <w:rFonts w:ascii="Arial" w:eastAsiaTheme="majorEastAsia" w:hAnsi="Arial" w:cstheme="majorBidi"/>
          <w:sz w:val="24"/>
          <w:szCs w:val="24"/>
          <w:lang w:val="en-GB"/>
        </w:rPr>
        <w:t>and the left</w:t>
      </w:r>
      <w:r w:rsidR="003C3FE2">
        <w:rPr>
          <w:rFonts w:ascii="Arial" w:eastAsiaTheme="majorEastAsia" w:hAnsi="Arial" w:cstheme="majorBidi"/>
          <w:sz w:val="24"/>
          <w:szCs w:val="24"/>
          <w:lang w:val="en-GB"/>
        </w:rPr>
        <w:t xml:space="preserve"> quadriceps</w:t>
      </w:r>
      <w:r>
        <w:rPr>
          <w:rFonts w:ascii="Arial" w:eastAsiaTheme="majorEastAsia" w:hAnsi="Arial" w:cstheme="majorBidi"/>
          <w:sz w:val="24"/>
          <w:szCs w:val="24"/>
          <w:lang w:val="en-GB"/>
        </w:rPr>
        <w:t xml:space="preserve"> of</w:t>
      </w:r>
      <w:r w:rsidR="00DD6F93" w:rsidRPr="00DD6F93">
        <w:rPr>
          <w:rFonts w:ascii="Arial" w:eastAsiaTheme="majorEastAsia" w:hAnsi="Arial" w:cstheme="majorBidi"/>
          <w:sz w:val="24"/>
          <w:szCs w:val="24"/>
          <w:lang w:val="en-GB"/>
        </w:rPr>
        <w:t xml:space="preserve"> 5</w:t>
      </w:r>
      <w:r>
        <w:rPr>
          <w:rFonts w:ascii="Arial" w:eastAsiaTheme="majorEastAsia" w:hAnsi="Arial" w:cstheme="majorBidi"/>
          <w:sz w:val="24"/>
          <w:szCs w:val="24"/>
          <w:lang w:val="en-GB"/>
        </w:rPr>
        <w:t>.</w:t>
      </w:r>
      <w:r w:rsidR="00DD6F93" w:rsidRPr="00DD6F93">
        <w:rPr>
          <w:rFonts w:ascii="Arial" w:eastAsiaTheme="majorEastAsia" w:hAnsi="Arial" w:cstheme="majorBidi"/>
          <w:sz w:val="24"/>
          <w:szCs w:val="24"/>
          <w:lang w:val="en-GB"/>
        </w:rPr>
        <w:t>55%</w:t>
      </w:r>
      <w:r w:rsidR="00DD6F93" w:rsidRPr="00DD6F93">
        <w:rPr>
          <w:rFonts w:ascii="Arial" w:hAnsi="Arial" w:cs="Arial"/>
          <w:sz w:val="24"/>
          <w:lang w:val="en-GB"/>
        </w:rPr>
        <w:t>.</w:t>
      </w:r>
      <w:r>
        <w:rPr>
          <w:rFonts w:ascii="Arial" w:hAnsi="Arial" w:cs="Arial"/>
          <w:sz w:val="24"/>
          <w:lang w:val="en-GB"/>
        </w:rPr>
        <w:t xml:space="preserve"> The decreased of strength in both limbs were statistically significant </w:t>
      </w:r>
      <w:r w:rsidRPr="00B51EC9">
        <w:rPr>
          <w:rFonts w:ascii="Arial" w:hAnsi="Arial" w:cs="Arial"/>
          <w:sz w:val="24"/>
          <w:lang w:val="en-GB"/>
        </w:rPr>
        <w:t>(p ≤ 0.05), specifically 7.3% for the right hamstring and</w:t>
      </w:r>
      <w:r w:rsidR="00DD6F93" w:rsidRPr="00B51EC9">
        <w:rPr>
          <w:rFonts w:ascii="Arial" w:hAnsi="Arial" w:cs="Arial"/>
          <w:sz w:val="24"/>
          <w:lang w:val="en-GB"/>
        </w:rPr>
        <w:t xml:space="preserve"> 7</w:t>
      </w:r>
      <w:r w:rsidRPr="00B51EC9">
        <w:rPr>
          <w:rFonts w:ascii="Arial" w:hAnsi="Arial" w:cs="Arial"/>
          <w:sz w:val="24"/>
          <w:lang w:val="en-GB"/>
        </w:rPr>
        <w:t>.</w:t>
      </w:r>
      <w:r w:rsidR="00DD6F93" w:rsidRPr="00B51EC9">
        <w:rPr>
          <w:rFonts w:ascii="Arial" w:hAnsi="Arial" w:cs="Arial"/>
          <w:sz w:val="24"/>
          <w:lang w:val="en-GB"/>
        </w:rPr>
        <w:t>5%</w:t>
      </w:r>
      <w:r w:rsidRPr="00B51EC9">
        <w:rPr>
          <w:rFonts w:ascii="Arial" w:hAnsi="Arial" w:cs="Arial"/>
          <w:sz w:val="24"/>
          <w:lang w:val="en-GB"/>
        </w:rPr>
        <w:t xml:space="preserve"> for the left hamstring</w:t>
      </w:r>
      <w:r w:rsidR="00DD6F93" w:rsidRPr="00B51EC9">
        <w:rPr>
          <w:rFonts w:ascii="Arial" w:hAnsi="Arial" w:cs="Arial"/>
          <w:sz w:val="24"/>
          <w:lang w:val="en-GB"/>
        </w:rPr>
        <w:t>.</w:t>
      </w:r>
    </w:p>
    <w:p w:rsidR="00CB4A95" w:rsidRPr="004A1919" w:rsidRDefault="00DD6F93" w:rsidP="009C4454">
      <w:pPr>
        <w:spacing w:line="360" w:lineRule="auto"/>
        <w:jc w:val="both"/>
        <w:rPr>
          <w:rFonts w:ascii="Arial" w:eastAsiaTheme="majorEastAsia" w:hAnsi="Arial" w:cs="Arial"/>
          <w:bCs/>
          <w:sz w:val="24"/>
          <w:szCs w:val="24"/>
          <w:lang w:val="en-GB"/>
        </w:rPr>
      </w:pPr>
      <w:r w:rsidRPr="00DD6F93">
        <w:rPr>
          <w:rFonts w:ascii="Arial" w:eastAsiaTheme="majorEastAsia" w:hAnsi="Arial" w:cs="Arial"/>
          <w:bCs/>
          <w:sz w:val="24"/>
          <w:szCs w:val="24"/>
          <w:lang w:val="en-GB"/>
        </w:rPr>
        <w:t>The conclusions of the study</w:t>
      </w:r>
      <w:r>
        <w:rPr>
          <w:rFonts w:ascii="Arial" w:eastAsiaTheme="majorEastAsia" w:hAnsi="Arial" w:cs="Arial"/>
          <w:bCs/>
          <w:sz w:val="24"/>
          <w:szCs w:val="24"/>
          <w:lang w:val="en-GB"/>
        </w:rPr>
        <w:t xml:space="preserve"> </w:t>
      </w:r>
      <w:r w:rsidR="002C71C3">
        <w:rPr>
          <w:rFonts w:ascii="Arial" w:eastAsiaTheme="majorEastAsia" w:hAnsi="Arial" w:cs="Arial"/>
          <w:bCs/>
          <w:sz w:val="24"/>
          <w:szCs w:val="24"/>
          <w:lang w:val="en-GB"/>
        </w:rPr>
        <w:t>denote</w:t>
      </w:r>
      <w:r>
        <w:rPr>
          <w:rFonts w:ascii="Arial" w:eastAsiaTheme="majorEastAsia" w:hAnsi="Arial" w:cs="Arial"/>
          <w:bCs/>
          <w:sz w:val="24"/>
          <w:szCs w:val="24"/>
          <w:lang w:val="en-GB"/>
        </w:rPr>
        <w:t xml:space="preserve"> that after a fatigue test, the quadriceps and hamstring muscular strength decrease</w:t>
      </w:r>
      <w:r w:rsidR="002C71C3">
        <w:rPr>
          <w:rFonts w:ascii="Arial" w:eastAsiaTheme="majorEastAsia" w:hAnsi="Arial" w:cs="Arial"/>
          <w:bCs/>
          <w:sz w:val="24"/>
          <w:szCs w:val="24"/>
          <w:lang w:val="en-GB"/>
        </w:rPr>
        <w:t>s</w:t>
      </w:r>
      <w:r w:rsidR="003C3FE2">
        <w:rPr>
          <w:rFonts w:ascii="Arial" w:eastAsiaTheme="majorEastAsia" w:hAnsi="Arial" w:cs="Arial"/>
          <w:bCs/>
          <w:sz w:val="24"/>
          <w:szCs w:val="24"/>
          <w:lang w:val="en-GB"/>
        </w:rPr>
        <w:t xml:space="preserve"> and it se</w:t>
      </w:r>
      <w:r w:rsidR="006D3551">
        <w:rPr>
          <w:rFonts w:ascii="Arial" w:eastAsiaTheme="majorEastAsia" w:hAnsi="Arial" w:cs="Arial"/>
          <w:bCs/>
          <w:sz w:val="24"/>
          <w:szCs w:val="24"/>
          <w:lang w:val="en-GB"/>
        </w:rPr>
        <w:t>e</w:t>
      </w:r>
      <w:r w:rsidR="003C3FE2">
        <w:rPr>
          <w:rFonts w:ascii="Arial" w:eastAsiaTheme="majorEastAsia" w:hAnsi="Arial" w:cs="Arial"/>
          <w:bCs/>
          <w:sz w:val="24"/>
          <w:szCs w:val="24"/>
          <w:lang w:val="en-GB"/>
        </w:rPr>
        <w:t>ms that the H/Q</w:t>
      </w:r>
      <w:r w:rsidR="002C71C3">
        <w:rPr>
          <w:rFonts w:ascii="Arial" w:eastAsiaTheme="majorEastAsia" w:hAnsi="Arial" w:cs="Arial"/>
          <w:bCs/>
          <w:sz w:val="24"/>
          <w:szCs w:val="24"/>
          <w:lang w:val="en-GB"/>
        </w:rPr>
        <w:t xml:space="preserve"> Ratio</w:t>
      </w:r>
      <w:r w:rsidR="003C3FE2">
        <w:rPr>
          <w:rFonts w:ascii="Arial" w:eastAsiaTheme="majorEastAsia" w:hAnsi="Arial" w:cs="Arial"/>
          <w:bCs/>
          <w:sz w:val="24"/>
          <w:szCs w:val="24"/>
          <w:lang w:val="en-GB"/>
        </w:rPr>
        <w:t xml:space="preserve"> has a </w:t>
      </w:r>
      <w:r w:rsidR="002C71C3">
        <w:rPr>
          <w:rFonts w:ascii="Arial" w:eastAsiaTheme="majorEastAsia" w:hAnsi="Arial" w:cs="Arial"/>
          <w:bCs/>
          <w:sz w:val="24"/>
          <w:szCs w:val="24"/>
          <w:lang w:val="en-GB"/>
        </w:rPr>
        <w:t>similar decreasing tendency</w:t>
      </w:r>
      <w:r w:rsidR="005803B0">
        <w:rPr>
          <w:rFonts w:ascii="Arial" w:eastAsiaTheme="majorEastAsia" w:hAnsi="Arial" w:cs="Arial"/>
          <w:bCs/>
          <w:sz w:val="24"/>
          <w:szCs w:val="24"/>
          <w:lang w:val="en-GB"/>
        </w:rPr>
        <w:t>.</w:t>
      </w:r>
    </w:p>
    <w:p w:rsidR="009C4454" w:rsidRPr="009260C8" w:rsidRDefault="009260C8" w:rsidP="009260C8">
      <w:pPr>
        <w:spacing w:line="360" w:lineRule="auto"/>
        <w:jc w:val="both"/>
        <w:rPr>
          <w:rFonts w:ascii="Arial" w:eastAsiaTheme="majorEastAsia" w:hAnsi="Arial" w:cs="Arial"/>
          <w:bCs/>
          <w:sz w:val="24"/>
          <w:szCs w:val="24"/>
          <w:lang w:val="en-GB"/>
        </w:rPr>
      </w:pPr>
      <w:r>
        <w:rPr>
          <w:rFonts w:ascii="Arial" w:eastAsiaTheme="majorEastAsia" w:hAnsi="Arial" w:cs="Arial"/>
          <w:bCs/>
          <w:sz w:val="24"/>
          <w:szCs w:val="24"/>
          <w:lang w:val="en-GB"/>
        </w:rPr>
        <w:t>Key words: “</w:t>
      </w:r>
      <w:r w:rsidR="00D05F6C">
        <w:rPr>
          <w:rFonts w:ascii="Arial" w:eastAsiaTheme="majorEastAsia" w:hAnsi="Arial" w:cs="Arial"/>
          <w:bCs/>
          <w:sz w:val="24"/>
          <w:szCs w:val="24"/>
          <w:lang w:val="en-GB"/>
        </w:rPr>
        <w:t xml:space="preserve">Female </w:t>
      </w:r>
      <w:r w:rsidR="003C3FE2">
        <w:rPr>
          <w:rFonts w:ascii="Arial" w:eastAsiaTheme="majorEastAsia" w:hAnsi="Arial" w:cs="Arial"/>
          <w:bCs/>
          <w:sz w:val="24"/>
          <w:szCs w:val="24"/>
          <w:lang w:val="en-GB"/>
        </w:rPr>
        <w:t>S</w:t>
      </w:r>
      <w:r>
        <w:rPr>
          <w:rFonts w:ascii="Arial" w:eastAsiaTheme="majorEastAsia" w:hAnsi="Arial" w:cs="Arial"/>
          <w:bCs/>
          <w:sz w:val="24"/>
          <w:szCs w:val="24"/>
          <w:lang w:val="en-GB"/>
        </w:rPr>
        <w:t>port</w:t>
      </w:r>
      <w:r w:rsidR="003C3FE2">
        <w:rPr>
          <w:rFonts w:ascii="Arial" w:eastAsiaTheme="majorEastAsia" w:hAnsi="Arial" w:cs="Arial"/>
          <w:bCs/>
          <w:sz w:val="24"/>
          <w:szCs w:val="24"/>
          <w:lang w:val="en-GB"/>
        </w:rPr>
        <w:t>s</w:t>
      </w:r>
      <w:r>
        <w:rPr>
          <w:rFonts w:ascii="Arial" w:eastAsiaTheme="majorEastAsia" w:hAnsi="Arial" w:cs="Arial"/>
          <w:bCs/>
          <w:sz w:val="24"/>
          <w:szCs w:val="24"/>
          <w:lang w:val="en-GB"/>
        </w:rPr>
        <w:t xml:space="preserve">”, “H/Q </w:t>
      </w:r>
      <w:r w:rsidR="0090596B">
        <w:rPr>
          <w:rFonts w:ascii="Arial" w:eastAsiaTheme="majorEastAsia" w:hAnsi="Arial" w:cs="Arial"/>
          <w:bCs/>
          <w:sz w:val="24"/>
          <w:szCs w:val="24"/>
          <w:lang w:val="en-GB"/>
        </w:rPr>
        <w:t>R</w:t>
      </w:r>
      <w:r>
        <w:rPr>
          <w:rFonts w:ascii="Arial" w:eastAsiaTheme="majorEastAsia" w:hAnsi="Arial" w:cs="Arial"/>
          <w:bCs/>
          <w:sz w:val="24"/>
          <w:szCs w:val="24"/>
          <w:lang w:val="en-GB"/>
        </w:rPr>
        <w:t>atio”, “</w:t>
      </w:r>
      <w:r w:rsidR="003C3FE2">
        <w:rPr>
          <w:rFonts w:ascii="Arial" w:eastAsiaTheme="majorEastAsia" w:hAnsi="Arial" w:cs="Arial"/>
          <w:bCs/>
          <w:sz w:val="24"/>
          <w:szCs w:val="24"/>
          <w:lang w:val="en-GB"/>
        </w:rPr>
        <w:t>M</w:t>
      </w:r>
      <w:r>
        <w:rPr>
          <w:rFonts w:ascii="Arial" w:eastAsiaTheme="majorEastAsia" w:hAnsi="Arial" w:cs="Arial"/>
          <w:bCs/>
          <w:sz w:val="24"/>
          <w:szCs w:val="24"/>
          <w:lang w:val="en-GB"/>
        </w:rPr>
        <w:t>usc</w:t>
      </w:r>
      <w:r w:rsidR="003C3FE2">
        <w:rPr>
          <w:rFonts w:ascii="Arial" w:eastAsiaTheme="majorEastAsia" w:hAnsi="Arial" w:cs="Arial"/>
          <w:bCs/>
          <w:sz w:val="24"/>
          <w:szCs w:val="24"/>
          <w:lang w:val="en-GB"/>
        </w:rPr>
        <w:t>le</w:t>
      </w:r>
      <w:r>
        <w:rPr>
          <w:rFonts w:ascii="Arial" w:eastAsiaTheme="majorEastAsia" w:hAnsi="Arial" w:cs="Arial"/>
          <w:bCs/>
          <w:sz w:val="24"/>
          <w:szCs w:val="24"/>
          <w:lang w:val="en-GB"/>
        </w:rPr>
        <w:t xml:space="preserve"> strength” and “</w:t>
      </w:r>
      <w:r w:rsidR="003C3FE2">
        <w:rPr>
          <w:rFonts w:ascii="Arial" w:eastAsiaTheme="majorEastAsia" w:hAnsi="Arial" w:cs="Arial"/>
          <w:bCs/>
          <w:sz w:val="24"/>
          <w:szCs w:val="24"/>
          <w:lang w:val="en-GB"/>
        </w:rPr>
        <w:t>M</w:t>
      </w:r>
      <w:r>
        <w:rPr>
          <w:rFonts w:ascii="Arial" w:eastAsiaTheme="majorEastAsia" w:hAnsi="Arial" w:cs="Arial"/>
          <w:bCs/>
          <w:sz w:val="24"/>
          <w:szCs w:val="24"/>
          <w:lang w:val="en-GB"/>
        </w:rPr>
        <w:t>usc</w:t>
      </w:r>
      <w:r w:rsidR="003C3FE2">
        <w:rPr>
          <w:rFonts w:ascii="Arial" w:eastAsiaTheme="majorEastAsia" w:hAnsi="Arial" w:cs="Arial"/>
          <w:bCs/>
          <w:sz w:val="24"/>
          <w:szCs w:val="24"/>
          <w:lang w:val="en-GB"/>
        </w:rPr>
        <w:t>le</w:t>
      </w:r>
      <w:r>
        <w:rPr>
          <w:rFonts w:ascii="Arial" w:eastAsiaTheme="majorEastAsia" w:hAnsi="Arial" w:cs="Arial"/>
          <w:bCs/>
          <w:sz w:val="24"/>
          <w:szCs w:val="24"/>
          <w:lang w:val="en-GB"/>
        </w:rPr>
        <w:t xml:space="preserve"> fatigue”.</w:t>
      </w:r>
      <w:bookmarkEnd w:id="6"/>
      <w:r>
        <w:rPr>
          <w:rFonts w:ascii="Arial" w:eastAsiaTheme="majorEastAsia" w:hAnsi="Arial" w:cs="Arial"/>
          <w:bCs/>
          <w:sz w:val="24"/>
          <w:szCs w:val="24"/>
          <w:lang w:val="en-GB"/>
        </w:rPr>
        <w:br w:type="page"/>
      </w:r>
    </w:p>
    <w:p w:rsidR="002A4373" w:rsidRPr="003D1FBA" w:rsidRDefault="00315369" w:rsidP="00893DC5">
      <w:pPr>
        <w:pStyle w:val="Ttol1"/>
        <w:spacing w:line="360" w:lineRule="auto"/>
        <w:jc w:val="center"/>
      </w:pPr>
      <w:bookmarkStart w:id="7" w:name="_Toc20417701"/>
      <w:r w:rsidRPr="003D1FBA">
        <w:lastRenderedPageBreak/>
        <w:t>I</w:t>
      </w:r>
      <w:r w:rsidR="00242654" w:rsidRPr="003D1FBA">
        <w:t>ntroducció</w:t>
      </w:r>
      <w:bookmarkEnd w:id="7"/>
      <w:r w:rsidR="006F1F26">
        <w:t>n</w:t>
      </w:r>
    </w:p>
    <w:p w:rsidR="00A90F3E" w:rsidRPr="003D1FBA" w:rsidRDefault="00D8653F" w:rsidP="00300A4D">
      <w:pPr>
        <w:spacing w:line="360" w:lineRule="auto"/>
        <w:jc w:val="both"/>
        <w:rPr>
          <w:rFonts w:ascii="Arial" w:hAnsi="Arial" w:cs="Arial"/>
          <w:noProof/>
          <w:sz w:val="24"/>
          <w:szCs w:val="24"/>
          <w:vertAlign w:val="superscript"/>
        </w:rPr>
      </w:pPr>
      <w:r w:rsidRPr="003D1FBA">
        <w:rPr>
          <w:rFonts w:ascii="Arial" w:hAnsi="Arial" w:cs="Arial"/>
          <w:sz w:val="24"/>
          <w:szCs w:val="24"/>
        </w:rPr>
        <w:t xml:space="preserve">El </w:t>
      </w:r>
      <w:r w:rsidR="006F1F26">
        <w:rPr>
          <w:rFonts w:ascii="Arial" w:hAnsi="Arial" w:cs="Arial"/>
          <w:sz w:val="24"/>
          <w:szCs w:val="24"/>
        </w:rPr>
        <w:t>baloncesto</w:t>
      </w:r>
      <w:r w:rsidRPr="003D1FBA">
        <w:rPr>
          <w:rFonts w:ascii="Arial" w:hAnsi="Arial" w:cs="Arial"/>
          <w:sz w:val="24"/>
          <w:szCs w:val="24"/>
        </w:rPr>
        <w:t xml:space="preserve"> </w:t>
      </w:r>
      <w:r w:rsidR="006F1F26">
        <w:rPr>
          <w:rFonts w:ascii="Arial" w:hAnsi="Arial" w:cs="Arial"/>
          <w:sz w:val="24"/>
          <w:szCs w:val="24"/>
        </w:rPr>
        <w:t>y</w:t>
      </w:r>
      <w:r w:rsidRPr="003D1FBA">
        <w:rPr>
          <w:rFonts w:ascii="Arial" w:hAnsi="Arial" w:cs="Arial"/>
          <w:sz w:val="24"/>
          <w:szCs w:val="24"/>
        </w:rPr>
        <w:t xml:space="preserve"> </w:t>
      </w:r>
      <w:r w:rsidR="006F1F26">
        <w:rPr>
          <w:rFonts w:ascii="Arial" w:hAnsi="Arial" w:cs="Arial"/>
          <w:sz w:val="24"/>
          <w:szCs w:val="24"/>
        </w:rPr>
        <w:t xml:space="preserve">el </w:t>
      </w:r>
      <w:r w:rsidR="00D93E1F">
        <w:rPr>
          <w:rFonts w:ascii="Arial" w:hAnsi="Arial" w:cs="Arial"/>
          <w:sz w:val="24"/>
          <w:szCs w:val="24"/>
        </w:rPr>
        <w:t>balonmano</w:t>
      </w:r>
      <w:r w:rsidRPr="003D1FBA">
        <w:rPr>
          <w:rFonts w:ascii="Arial" w:hAnsi="Arial" w:cs="Arial"/>
          <w:sz w:val="24"/>
          <w:szCs w:val="24"/>
        </w:rPr>
        <w:t xml:space="preserve"> s</w:t>
      </w:r>
      <w:r w:rsidR="006F1F26">
        <w:rPr>
          <w:rFonts w:ascii="Arial" w:hAnsi="Arial" w:cs="Arial"/>
          <w:sz w:val="24"/>
          <w:szCs w:val="24"/>
        </w:rPr>
        <w:t>o</w:t>
      </w:r>
      <w:r w:rsidRPr="003D1FBA">
        <w:rPr>
          <w:rFonts w:ascii="Arial" w:hAnsi="Arial" w:cs="Arial"/>
          <w:sz w:val="24"/>
          <w:szCs w:val="24"/>
        </w:rPr>
        <w:t>n dos de</w:t>
      </w:r>
      <w:r w:rsidR="006F1F26">
        <w:rPr>
          <w:rFonts w:ascii="Arial" w:hAnsi="Arial" w:cs="Arial"/>
          <w:sz w:val="24"/>
          <w:szCs w:val="24"/>
        </w:rPr>
        <w:t xml:space="preserve"> </w:t>
      </w:r>
      <w:r w:rsidRPr="003D1FBA">
        <w:rPr>
          <w:rFonts w:ascii="Arial" w:hAnsi="Arial" w:cs="Arial"/>
          <w:sz w:val="24"/>
          <w:szCs w:val="24"/>
        </w:rPr>
        <w:t>l</w:t>
      </w:r>
      <w:r w:rsidR="006F1F26">
        <w:rPr>
          <w:rFonts w:ascii="Arial" w:hAnsi="Arial" w:cs="Arial"/>
          <w:sz w:val="24"/>
          <w:szCs w:val="24"/>
        </w:rPr>
        <w:t>o</w:t>
      </w:r>
      <w:r w:rsidRPr="003D1FBA">
        <w:rPr>
          <w:rFonts w:ascii="Arial" w:hAnsi="Arial" w:cs="Arial"/>
          <w:sz w:val="24"/>
          <w:szCs w:val="24"/>
        </w:rPr>
        <w:t xml:space="preserve">s </w:t>
      </w:r>
      <w:r w:rsidR="006F1F26">
        <w:rPr>
          <w:rFonts w:ascii="Arial" w:hAnsi="Arial" w:cs="Arial"/>
          <w:sz w:val="24"/>
          <w:szCs w:val="24"/>
        </w:rPr>
        <w:t>deportes</w:t>
      </w:r>
      <w:r w:rsidRPr="003D1FBA">
        <w:rPr>
          <w:rFonts w:ascii="Arial" w:hAnsi="Arial" w:cs="Arial"/>
          <w:sz w:val="24"/>
          <w:szCs w:val="24"/>
        </w:rPr>
        <w:t xml:space="preserve"> d</w:t>
      </w:r>
      <w:r w:rsidR="006F1F26">
        <w:rPr>
          <w:rFonts w:ascii="Arial" w:hAnsi="Arial" w:cs="Arial"/>
          <w:sz w:val="24"/>
          <w:szCs w:val="24"/>
        </w:rPr>
        <w:t xml:space="preserve">e </w:t>
      </w:r>
      <w:r w:rsidRPr="003D1FBA">
        <w:rPr>
          <w:rFonts w:ascii="Arial" w:hAnsi="Arial" w:cs="Arial"/>
          <w:sz w:val="24"/>
          <w:szCs w:val="24"/>
        </w:rPr>
        <w:t>equip</w:t>
      </w:r>
      <w:r w:rsidR="006F1F26">
        <w:rPr>
          <w:rFonts w:ascii="Arial" w:hAnsi="Arial" w:cs="Arial"/>
          <w:sz w:val="24"/>
          <w:szCs w:val="24"/>
        </w:rPr>
        <w:t>o</w:t>
      </w:r>
      <w:r w:rsidRPr="003D1FBA">
        <w:rPr>
          <w:rFonts w:ascii="Arial" w:hAnsi="Arial" w:cs="Arial"/>
          <w:sz w:val="24"/>
          <w:szCs w:val="24"/>
        </w:rPr>
        <w:t xml:space="preserve"> m</w:t>
      </w:r>
      <w:r w:rsidR="006F1F26">
        <w:rPr>
          <w:rFonts w:ascii="Arial" w:hAnsi="Arial" w:cs="Arial"/>
          <w:sz w:val="24"/>
          <w:szCs w:val="24"/>
        </w:rPr>
        <w:t>á</w:t>
      </w:r>
      <w:r w:rsidRPr="003D1FBA">
        <w:rPr>
          <w:rFonts w:ascii="Arial" w:hAnsi="Arial" w:cs="Arial"/>
          <w:sz w:val="24"/>
          <w:szCs w:val="24"/>
        </w:rPr>
        <w:t>s practica</w:t>
      </w:r>
      <w:r w:rsidR="006F1F26">
        <w:rPr>
          <w:rFonts w:ascii="Arial" w:hAnsi="Arial" w:cs="Arial"/>
          <w:sz w:val="24"/>
          <w:szCs w:val="24"/>
        </w:rPr>
        <w:t>dos</w:t>
      </w:r>
      <w:r w:rsidRPr="003D1FBA">
        <w:rPr>
          <w:rFonts w:ascii="Arial" w:hAnsi="Arial" w:cs="Arial"/>
          <w:sz w:val="24"/>
          <w:szCs w:val="24"/>
        </w:rPr>
        <w:t xml:space="preserve"> </w:t>
      </w:r>
      <w:r w:rsidR="006F1F26">
        <w:rPr>
          <w:rFonts w:ascii="Arial" w:hAnsi="Arial" w:cs="Arial"/>
          <w:sz w:val="24"/>
          <w:szCs w:val="24"/>
        </w:rPr>
        <w:t>en</w:t>
      </w:r>
      <w:r w:rsidRPr="003D1FBA">
        <w:rPr>
          <w:rFonts w:ascii="Arial" w:hAnsi="Arial" w:cs="Arial"/>
          <w:sz w:val="24"/>
          <w:szCs w:val="24"/>
        </w:rPr>
        <w:t xml:space="preserve"> Europa</w:t>
      </w:r>
      <w:r w:rsidR="005C7778" w:rsidRPr="003D1FBA">
        <w:rPr>
          <w:rFonts w:ascii="Arial" w:hAnsi="Arial" w:cs="Arial"/>
          <w:sz w:val="24"/>
          <w:szCs w:val="24"/>
        </w:rPr>
        <w:t>.</w:t>
      </w:r>
      <w:r w:rsidR="00F56165" w:rsidRPr="003D1FBA">
        <w:rPr>
          <w:rFonts w:ascii="Arial" w:hAnsi="Arial" w:cs="Arial"/>
          <w:sz w:val="24"/>
          <w:szCs w:val="24"/>
          <w:vertAlign w:val="superscript"/>
        </w:rPr>
        <w:fldChar w:fldCharType="begin" w:fldLock="1"/>
      </w:r>
      <w:r w:rsidR="00F56165" w:rsidRPr="003D1FBA">
        <w:rPr>
          <w:rFonts w:ascii="Arial" w:hAnsi="Arial" w:cs="Arial"/>
          <w:sz w:val="24"/>
          <w:szCs w:val="24"/>
          <w:vertAlign w:val="superscript"/>
        </w:rPr>
        <w:instrText>ADDIN CSL_CITATION {"citationItems":[{"id":"ITEM-1","itemData":{"DOI":"10.1007/s00402-005-0793-7","ISBN":"0040200507","ISSN":"09368051","PMID":"15703919","abstract":"BACKGROUND: Few authors have investigated the effectiveness of preventive intervention in European team handball. PURPOSE: The aim of the present study was to evaluate the effects of a prevention program on the incidence of injuries in female European team handball players. STUDY DESIGN: Prospective controlled study. METHODS: Ten female handball teams (134 players) took part in the prevention program (1. Information about injury mechanism, 2. Balance-board exercises, 3. Jump training) while 10 other teams (142 players) were instructed to train as usual. Over one season all injuries were documented weekly. RESULTS: Ankle sprain was the most frequent diagnosis in both groups with 11 ankle sprains in the control group and 7 ankle sprains in the intervention group (Odds ratio: 0.55, 95% confidence interval: 0.22-1.43). The knee was the second frequent injury site. In the control group 5 of all knee injuries were anterior cruciate ligament (ACL) ruptures (incidence: 0.21 per 1000 h) in comparison with one in the intervention group (incidence: 0.04 per 1000 h). Odds ratio was 0.17 with 95% confidence interval of 0.02-1.5. CONCLUSIONS: This study confirms that proprioceptive and neuromuscular training is appropriate for the prevention of knee and ankle injuries among female European team handball players.","author":[{"dropping-particle":"","family":"Petersen","given":"Wolf","non-dropping-particle":"","parse-names":false,"suffix":""},{"dropping-particle":"","family":"Braun","given":"Christoph","non-dropping-particle":"","parse-names":false,"suffix":""},{"dropping-particle":"","family":"Bock","given":"Wiebke","non-dropping-particle":"","parse-names":false,"suffix":""},{"dropping-particle":"","family":"Schmidt","given":"Kirsten","non-dropping-particle":"","parse-names":false,"suffix":""},{"dropping-particle":"","family":"Weimann","given":"Andre","non-dropping-particle":"","parse-names":false,"suffix":""},{"dropping-particle":"","family":"Drescher","given":"Wolf","non-dropping-particle":"","parse-names":false,"suffix":""},{"dropping-particle":"","family":"Eiling","given":"Elisabeth","non-dropping-particle":"","parse-names":false,"suffix":""},{"dropping-particle":"","family":"Stange","given":"Richard","non-dropping-particle":"","parse-names":false,"suffix":""},{"dropping-particle":"","family":"Fuchs","given":"Thomas","non-dropping-particle":"","parse-names":false,"suffix":""},{"dropping-particle":"","family":"Hedderich","given":"Jürgen","non-dropping-particle":"","parse-names":false,"suffix":""},{"dropping-particle":"","family":"Zantop","given":"Thore","non-dropping-particle":"","parse-names":false,"suffix":""}],"container-title":"Arch Orthop Trauma Surg","id":"ITEM-1","issue":"9","issued":{"date-parts":[["2005"]]},"page":"614-21","title":"A controlled prospective case control study of a prevention training program in female team handball players: the German experience.","type":"article-journal","volume":"125"},"uris":["http://www.mendeley.com/documents/?uuid=a8dc7755-4d3d-4ebd-b69b-cc385c413b91"]}],"mendeley":{"formattedCitation":"(1)","manualFormatting":"1","plainTextFormattedCitation":"(1)","previouslyFormattedCitation":"(1)"},"properties":{"noteIndex":0},"schema":"https://github.com/citation-style-language/schema/raw/master/csl-citation.json"}</w:instrText>
      </w:r>
      <w:r w:rsidR="00F56165" w:rsidRPr="003D1FBA">
        <w:rPr>
          <w:rFonts w:ascii="Arial" w:hAnsi="Arial" w:cs="Arial"/>
          <w:sz w:val="24"/>
          <w:szCs w:val="24"/>
          <w:vertAlign w:val="superscript"/>
        </w:rPr>
        <w:fldChar w:fldCharType="separate"/>
      </w:r>
      <w:r w:rsidR="00F56165" w:rsidRPr="003D1FBA">
        <w:rPr>
          <w:rFonts w:ascii="Arial" w:hAnsi="Arial" w:cs="Arial"/>
          <w:noProof/>
          <w:sz w:val="24"/>
          <w:szCs w:val="24"/>
          <w:vertAlign w:val="superscript"/>
        </w:rPr>
        <w:t>1</w:t>
      </w:r>
      <w:r w:rsidR="00F56165" w:rsidRPr="003D1FBA">
        <w:rPr>
          <w:rFonts w:ascii="Arial" w:hAnsi="Arial" w:cs="Arial"/>
          <w:sz w:val="24"/>
          <w:szCs w:val="24"/>
          <w:vertAlign w:val="superscript"/>
        </w:rPr>
        <w:fldChar w:fldCharType="end"/>
      </w:r>
      <w:r w:rsidR="00F56165" w:rsidRPr="003D1FBA">
        <w:rPr>
          <w:rFonts w:ascii="Arial" w:hAnsi="Arial" w:cs="Arial"/>
          <w:sz w:val="24"/>
          <w:szCs w:val="24"/>
        </w:rPr>
        <w:t xml:space="preserve"> </w:t>
      </w:r>
      <w:r w:rsidR="006F1F26">
        <w:rPr>
          <w:rFonts w:ascii="Arial" w:hAnsi="Arial" w:cs="Arial"/>
          <w:sz w:val="24"/>
          <w:szCs w:val="24"/>
        </w:rPr>
        <w:t>Ambos</w:t>
      </w:r>
      <w:r w:rsidR="008748A8" w:rsidRPr="003D1FBA">
        <w:rPr>
          <w:rFonts w:ascii="Arial" w:hAnsi="Arial" w:cs="Arial"/>
          <w:sz w:val="24"/>
          <w:szCs w:val="24"/>
        </w:rPr>
        <w:t>, per</w:t>
      </w:r>
      <w:r w:rsidR="006F1F26">
        <w:rPr>
          <w:rFonts w:ascii="Arial" w:hAnsi="Arial" w:cs="Arial"/>
          <w:sz w:val="24"/>
          <w:szCs w:val="24"/>
        </w:rPr>
        <w:t>o</w:t>
      </w:r>
      <w:r w:rsidRPr="003D1FBA">
        <w:rPr>
          <w:rFonts w:ascii="Arial" w:hAnsi="Arial" w:cs="Arial"/>
          <w:sz w:val="24"/>
          <w:szCs w:val="24"/>
        </w:rPr>
        <w:t xml:space="preserve"> </w:t>
      </w:r>
      <w:r w:rsidR="006F1F26" w:rsidRPr="003D1FBA">
        <w:rPr>
          <w:rFonts w:ascii="Arial" w:hAnsi="Arial" w:cs="Arial"/>
          <w:sz w:val="24"/>
          <w:szCs w:val="24"/>
        </w:rPr>
        <w:t>sobre t</w:t>
      </w:r>
      <w:r w:rsidR="006F1F26">
        <w:rPr>
          <w:rFonts w:ascii="Arial" w:hAnsi="Arial" w:cs="Arial"/>
          <w:sz w:val="24"/>
          <w:szCs w:val="24"/>
        </w:rPr>
        <w:t>odo</w:t>
      </w:r>
      <w:r w:rsidRPr="003D1FBA">
        <w:rPr>
          <w:rFonts w:ascii="Arial" w:hAnsi="Arial" w:cs="Arial"/>
          <w:sz w:val="24"/>
          <w:szCs w:val="24"/>
        </w:rPr>
        <w:t xml:space="preserve"> </w:t>
      </w:r>
      <w:r w:rsidR="006F1F26">
        <w:rPr>
          <w:rFonts w:ascii="Arial" w:hAnsi="Arial" w:cs="Arial"/>
          <w:sz w:val="24"/>
          <w:szCs w:val="24"/>
        </w:rPr>
        <w:t xml:space="preserve">el </w:t>
      </w:r>
      <w:r w:rsidR="00D93E1F">
        <w:rPr>
          <w:rFonts w:ascii="Arial" w:hAnsi="Arial" w:cs="Arial"/>
          <w:sz w:val="24"/>
          <w:szCs w:val="24"/>
        </w:rPr>
        <w:t>balonmano</w:t>
      </w:r>
      <w:r w:rsidR="006F1F26">
        <w:rPr>
          <w:rFonts w:ascii="Arial" w:hAnsi="Arial" w:cs="Arial"/>
          <w:sz w:val="24"/>
          <w:szCs w:val="24"/>
        </w:rPr>
        <w:t xml:space="preserve"> tienen una alta</w:t>
      </w:r>
      <w:r w:rsidRPr="003D1FBA">
        <w:rPr>
          <w:rFonts w:ascii="Arial" w:hAnsi="Arial" w:cs="Arial"/>
          <w:sz w:val="24"/>
          <w:szCs w:val="24"/>
        </w:rPr>
        <w:t xml:space="preserve"> incid</w:t>
      </w:r>
      <w:r w:rsidR="006F1F26">
        <w:rPr>
          <w:rFonts w:ascii="Arial" w:hAnsi="Arial" w:cs="Arial"/>
          <w:sz w:val="24"/>
          <w:szCs w:val="24"/>
        </w:rPr>
        <w:t>e</w:t>
      </w:r>
      <w:r w:rsidRPr="003D1FBA">
        <w:rPr>
          <w:rFonts w:ascii="Arial" w:hAnsi="Arial" w:cs="Arial"/>
          <w:sz w:val="24"/>
          <w:szCs w:val="24"/>
        </w:rPr>
        <w:t>ncia lesiva</w:t>
      </w:r>
      <w:r w:rsidR="008748A8" w:rsidRPr="003D1FBA">
        <w:rPr>
          <w:rFonts w:ascii="Arial" w:hAnsi="Arial" w:cs="Arial"/>
          <w:sz w:val="24"/>
          <w:szCs w:val="24"/>
        </w:rPr>
        <w:t xml:space="preserve">, </w:t>
      </w:r>
      <w:r w:rsidR="006F1F26">
        <w:rPr>
          <w:rFonts w:ascii="Arial" w:hAnsi="Arial" w:cs="Arial"/>
          <w:sz w:val="24"/>
          <w:szCs w:val="24"/>
        </w:rPr>
        <w:t>lo</w:t>
      </w:r>
      <w:r w:rsidR="001F032F" w:rsidRPr="003D1FBA">
        <w:rPr>
          <w:rFonts w:ascii="Arial" w:hAnsi="Arial" w:cs="Arial"/>
          <w:sz w:val="24"/>
          <w:szCs w:val="24"/>
        </w:rPr>
        <w:t>s estudi</w:t>
      </w:r>
      <w:r w:rsidR="006F1F26">
        <w:rPr>
          <w:rFonts w:ascii="Arial" w:hAnsi="Arial" w:cs="Arial"/>
          <w:sz w:val="24"/>
          <w:szCs w:val="24"/>
        </w:rPr>
        <w:t>o</w:t>
      </w:r>
      <w:r w:rsidR="001F032F" w:rsidRPr="003D1FBA">
        <w:rPr>
          <w:rFonts w:ascii="Arial" w:hAnsi="Arial" w:cs="Arial"/>
          <w:sz w:val="24"/>
          <w:szCs w:val="24"/>
        </w:rPr>
        <w:t>s registr</w:t>
      </w:r>
      <w:r w:rsidR="006F1F26">
        <w:rPr>
          <w:rFonts w:ascii="Arial" w:hAnsi="Arial" w:cs="Arial"/>
          <w:sz w:val="24"/>
          <w:szCs w:val="24"/>
        </w:rPr>
        <w:t>a</w:t>
      </w:r>
      <w:r w:rsidR="001F032F" w:rsidRPr="003D1FBA">
        <w:rPr>
          <w:rFonts w:ascii="Arial" w:hAnsi="Arial" w:cs="Arial"/>
          <w:sz w:val="24"/>
          <w:szCs w:val="24"/>
        </w:rPr>
        <w:t>n de 7 a 10</w:t>
      </w:r>
      <w:r w:rsidR="001768BD" w:rsidRPr="003D1FBA">
        <w:rPr>
          <w:rFonts w:ascii="Arial" w:hAnsi="Arial" w:cs="Arial"/>
          <w:sz w:val="24"/>
          <w:szCs w:val="24"/>
        </w:rPr>
        <w:t xml:space="preserve"> lesion</w:t>
      </w:r>
      <w:r w:rsidR="006F1F26">
        <w:rPr>
          <w:rFonts w:ascii="Arial" w:hAnsi="Arial" w:cs="Arial"/>
          <w:sz w:val="24"/>
          <w:szCs w:val="24"/>
        </w:rPr>
        <w:t>e</w:t>
      </w:r>
      <w:r w:rsidR="001768BD" w:rsidRPr="003D1FBA">
        <w:rPr>
          <w:rFonts w:ascii="Arial" w:hAnsi="Arial" w:cs="Arial"/>
          <w:sz w:val="24"/>
          <w:szCs w:val="24"/>
        </w:rPr>
        <w:t>s/</w:t>
      </w:r>
      <w:r w:rsidR="001F032F" w:rsidRPr="003D1FBA">
        <w:rPr>
          <w:rFonts w:ascii="Arial" w:hAnsi="Arial" w:cs="Arial"/>
          <w:sz w:val="24"/>
          <w:szCs w:val="24"/>
        </w:rPr>
        <w:t>1000h d</w:t>
      </w:r>
      <w:r w:rsidR="006F1F26">
        <w:rPr>
          <w:rFonts w:ascii="Arial" w:hAnsi="Arial" w:cs="Arial"/>
          <w:sz w:val="24"/>
          <w:szCs w:val="24"/>
        </w:rPr>
        <w:t xml:space="preserve">e </w:t>
      </w:r>
      <w:r w:rsidR="001F032F" w:rsidRPr="003D1FBA">
        <w:rPr>
          <w:rFonts w:ascii="Arial" w:hAnsi="Arial" w:cs="Arial"/>
          <w:sz w:val="24"/>
          <w:szCs w:val="24"/>
        </w:rPr>
        <w:t>exposició</w:t>
      </w:r>
      <w:r w:rsidR="006F1F26">
        <w:rPr>
          <w:rFonts w:ascii="Arial" w:hAnsi="Arial" w:cs="Arial"/>
          <w:sz w:val="24"/>
          <w:szCs w:val="24"/>
        </w:rPr>
        <w:t>n</w:t>
      </w:r>
      <w:r w:rsidR="001F032F" w:rsidRPr="003D1FBA">
        <w:rPr>
          <w:rFonts w:ascii="Arial" w:hAnsi="Arial" w:cs="Arial"/>
          <w:sz w:val="24"/>
          <w:szCs w:val="24"/>
        </w:rPr>
        <w:t xml:space="preserve"> </w:t>
      </w:r>
      <w:r w:rsidR="006F1F26">
        <w:rPr>
          <w:rFonts w:ascii="Arial" w:hAnsi="Arial" w:cs="Arial"/>
          <w:sz w:val="24"/>
          <w:szCs w:val="24"/>
        </w:rPr>
        <w:t>de</w:t>
      </w:r>
      <w:r w:rsidR="001F032F" w:rsidRPr="003D1FBA">
        <w:rPr>
          <w:rFonts w:ascii="Arial" w:hAnsi="Arial" w:cs="Arial"/>
          <w:sz w:val="24"/>
          <w:szCs w:val="24"/>
        </w:rPr>
        <w:t>portiva en</w:t>
      </w:r>
      <w:r w:rsidR="00D55729" w:rsidRPr="003D1FBA">
        <w:rPr>
          <w:rFonts w:ascii="Arial" w:hAnsi="Arial" w:cs="Arial"/>
          <w:sz w:val="24"/>
          <w:szCs w:val="24"/>
        </w:rPr>
        <w:t xml:space="preserve"> el</w:t>
      </w:r>
      <w:r w:rsidR="001F032F" w:rsidRPr="003D1FBA">
        <w:rPr>
          <w:rFonts w:ascii="Arial" w:hAnsi="Arial" w:cs="Arial"/>
          <w:sz w:val="24"/>
          <w:szCs w:val="24"/>
        </w:rPr>
        <w:t xml:space="preserve"> b</w:t>
      </w:r>
      <w:r w:rsidR="006F1F26">
        <w:rPr>
          <w:rFonts w:ascii="Arial" w:hAnsi="Arial" w:cs="Arial"/>
          <w:sz w:val="24"/>
          <w:szCs w:val="24"/>
        </w:rPr>
        <w:t>aloncesto</w:t>
      </w:r>
      <w:r w:rsidR="001F032F" w:rsidRPr="003D1FBA">
        <w:rPr>
          <w:rFonts w:ascii="Arial" w:hAnsi="Arial" w:cs="Arial"/>
          <w:sz w:val="24"/>
          <w:szCs w:val="24"/>
        </w:rPr>
        <w:t xml:space="preserve"> femen</w:t>
      </w:r>
      <w:r w:rsidR="006F1F26">
        <w:rPr>
          <w:rFonts w:ascii="Arial" w:hAnsi="Arial" w:cs="Arial"/>
          <w:sz w:val="24"/>
          <w:szCs w:val="24"/>
        </w:rPr>
        <w:t>ino</w:t>
      </w:r>
      <w:r w:rsidR="001F032F" w:rsidRPr="003D1FBA">
        <w:rPr>
          <w:rFonts w:ascii="Arial" w:hAnsi="Arial" w:cs="Arial"/>
          <w:sz w:val="24"/>
          <w:szCs w:val="24"/>
        </w:rPr>
        <w:t xml:space="preserve"> </w:t>
      </w:r>
      <w:r w:rsidR="00F56165" w:rsidRPr="003D1FBA">
        <w:rPr>
          <w:rFonts w:ascii="Arial" w:hAnsi="Arial" w:cs="Arial"/>
          <w:sz w:val="24"/>
          <w:szCs w:val="24"/>
          <w:vertAlign w:val="superscript"/>
        </w:rPr>
        <w:fldChar w:fldCharType="begin" w:fldLock="1"/>
      </w:r>
      <w:r w:rsidR="007E2E79" w:rsidRPr="003D1FBA">
        <w:rPr>
          <w:rFonts w:ascii="Arial" w:hAnsi="Arial" w:cs="Arial"/>
          <w:sz w:val="24"/>
          <w:szCs w:val="24"/>
          <w:vertAlign w:val="superscript"/>
        </w:rPr>
        <w:instrText>ADDIN CSL_CITATION {"citationItems":[{"id":"ITEM-1","itemData":{"DOI":"10.1136/bjsports-2016-096005","ISSN":"14730480","author":[{"dropping-particle":"","family":"Zuckerman","given":"SL","non-dropping-particle":"","parse-names":false,"suffix":""},{"dropping-particle":"","family":"Wegner","given":"AM","non-dropping-particle":"","parse-names":false,"suffix":""},{"dropping-particle":"","family":"Roos","given":"KG","non-dropping-particle":"","parse-names":false,"suffix":""},{"dropping-particle":"","family":"Djoko","given":"A","non-dropping-particle":"","parse-names":false,"suffix":""},{"dropping-particle":"","family":"Dompier","given":"TP","non-dropping-particle":"","parse-names":false,"suffix":""},{"dropping-particle":"","family":"Kerr","given":"ZY","non-dropping-particle":"","parse-names":false,"suffix":""}],"container-title":"Br J Sports Med","id":"ITEM-1","issue":"4","issued":{"date-parts":[["2018"]]},"page":"216-68","title":"Injuries sustained in National Collegiate Athletic Association men’s and women’s basketball, 2009/2010–2014/2015","type":"article-journal","volume":"52"},"uris":["http://www.mendeley.com/documents/?uuid=5e022300-d943-4cbc-8050-598cb67357eb"]},{"id":"ITEM-2","itemData":{"DOI":"10.1177/1941738115593441","ISBN":"1941-0921","ISSN":"19410921","PMID":"26502412","abstract":"CONTEXT: Lower extremity injuries are common in basketball, yet it is unclear how prophylactic interventions affect lower extremity injury incidence rates.\\n\\nOBJECTIVE: To analyze the effectiveness of current lower extremity injury prevention programs in basketball athletes, focusing on injury rates of (1) general lower extremity injuries, (2) ankle sprains, and (3) anterior cruciate ligament (ACL) tears.\\n\\nDATA SOURCES: PubMed, MEDLINE, CINAHL, SPORTDiscus, and the Cochrane Register of Controlled Trials were searched in January 2015.\\n\\nSTUDY SELECTION: Studies were included if they were randomized controlled or prospective cohort trials, contained a population of competitive basketball athletes, and reported lower extremity injury incidence rates specific to basketball players. In total, 426 individual studies were identified. Of these, 9 met the inclusion criteria. One other study was found during a hand search of the literature, resulting in 10 total studies included in this meta-analysis.\\n\\nSTUDY DESIGN: Systematic review and meta-analysis.\\n\\nLEVEL OF EVIDENCE: Level 2.\\n\\nDATA EXTRACTION: Details of the intervention (eg, neuromuscular vs external support), size of control and intervention groups, and number of injuries in each group were extracted from each study. Injury data were classified into 3 groups based on the anatomic diagnosis reported (general lower extremity injury, ankle sprain, ACL rupture).\\n\\nRESULTS: Meta-analyses were performed independently for each injury classification. Results indicate that prophylactic programs significantly reduced the incidence of general lower extremity injuries (odds ratio [OR], 0.69; 95% CI, 0.57-0.85; P &lt; 0.001) and ankle sprains (OR, 0.45; 95% CI, 0.29-0.69; P &lt; 0.001), yet not ACL ruptures (OR, 1.09; 95% CI, 0.36-3.29; P = 0.87) in basketball athletes.\\n\\nCONCLUSION: In basketball players, prophylactic programs may be effective in reducing the risk of general lower extremity injuries and ankle sprains, yet not ACL injuries.","author":[{"dropping-particle":"","family":"Taylor","given":"Jeffrey B.","non-dropping-particle":"","parse-names":false,"suffix":""},{"dropping-particle":"","family":"Ford","given":"Kevin R.","non-dropping-particle":"","parse-names":false,"suffix":""},{"dropping-particle":"","family":"Nguyen","given":"Anh Dung","non-dropping-particle":"","parse-names":false,"suffix":""},{"dropping-particle":"","family":"Terry","given":"Lauren N.","non-dropping-particle":"","parse-names":false,"suffix":""},{"dropping-particle":"","family":"Hegedus","given":"Eric J.","non-dropping-particle":"","parse-names":false,"suffix":""}],"container-title":"Sports Health","id":"ITEM-2","issue":"5","issued":{"date-parts":[["2015"]]},"page":"392-8","title":"Prevention of Lower Extremity Injuries in Basketball: A Systematic Review and Meta-Analysis","type":"article-journal","volume":"7"},"uris":["http://www.mendeley.com/documents/?uuid=4d624b09-b0e6-40a8-9357-7f2b37bb3c64"]},{"id":"ITEM-3","itemData":{"DOI":"10.3810/psm.2014.05.2066.Epidemiology","abstract":"Background—An estimated 30 to 40 million school children participate in sports in the United States; 34% of middle-school participants become injured and seek medical treatment at an annual cost close to $2 billion. The purpose of the current study was to evaluate the injury incidence and rates in female athletes in the middle-school setting during the course of 3 seasons. Methods—Female basketball, soccer, and volleyball players were recruited from a single county public school district in Kentucky consisting of 5 middle schools. A total of 268 female athletes (162 basketball, 26 soccer, and 80 volleyball) participated. Athletes were monitored for sports-related injury and number of athlete exposures (AEs) by an athletic trainer. Injury rates were calculated for specific types of injuries within each sport. Injury rates for games and practices were also calculated and compared for each sport. Results—A total of 134 injuries were recorded during the 3 sport seasons. The knee was the most commonly injured body part (99 injuries [73.9%]), of which patellofemoral dysfunction (31.3%), Osgood-Schlatter disease (10.4%), and Sinding-Larsen-Johansson/patella tendinosis (9%) had the greatest incidence. The ankle was the second most commonly injured body part, accounting for 16.4% of all injuries. The overall rates of injury by sport were as follows: soccer, 6.66 per 1000 AEs; volleyball, 3.68 per 1000 AEs; and basketball, 2.86 per 1000 AEs.Conclusions—Female middle-school athletes displayed comparable injury patterns to those seen in their high-school counterparts. Future work is warranted to determine the potential for improved outcomes in female middle-school athletes with access to athletic training services. Clinical Relevance—As the participation levels and number of injuries continue to rise, middle-school athletes demonstrate an increasing need for medical services provided by a certified athletic trainer.","author":[{"dropping-particle":"","family":"Barber","given":"F","non-dropping-particle":"","parse-names":false,"suffix":""},{"dropping-particle":"","family":"Kim","given":"D","non-dropping-particle":"","parse-names":false,"suffix":""},{"dropping-particle":"","family":"Myer","given":"D","non-dropping-particle":"","parse-names":false,"suffix":""},{"dropping-particle":"","family":"Hewett","given":"TE","non-dropping-particle":"","parse-names":false,"suffix":""}],"container-title":"Phys Sportsmed","id":"ITEM-3","issue":"2","issued":{"date-parts":[["2014"]]},"page":"146-153","title":"Epidemiology of Basketball, Soccer, and Volleyball Injuries in Middle-School Female Athletes","type":"article-journal","volume":"42"},"uris":["http://www.mendeley.com/documents/?uuid=7d943165-b967-4225-9c9e-61042844b30a"]},{"id":"ITEM-4","itemData":{"DOI":"10.1016/j.arthro.2009.02.021","ISBN":"1526-3231 (Electronic)\\r0749-8063 (Linking)","ISSN":"07498063","PMID":"19664500","abstract":"Purpose: The purpose of this study was to determine the rate of return to play and to quantify the effect on the basketball player's performance after surgical reconstruction of the anterior cruciate ligament (ACL). Methods: Surgical injuries involving the ACL were queried for a 10-year period (1993-1994 season through 2004-2005 season) from the database maintained by the National Basketball Association (NBA). Standard statistical categories and player efficiency rating (PER), a measure that accounts for positive and negative playing statistics, were calculated to determine the impact of the injury on player performance relative to a matched comparison group. Over the study period, 31 NBA players had 32 ACL reconstructions. Two patients were excluded because of multiple ACL injuries, one was excluded because he never participated in league play, and another was the result of nonathletic activity. Results: Of the 27 players in the study group, 6 (22%) did not return to NBA competition. Of the 21 players (78%) who did return to play, 4 (15%) had an increase in the preinjury PER, 5 (19%) remained within 1 point of the preinjury PER, and the PER decreased by more than 1 point after return to play in 12 (44%). Although decreases occurred in most of the statistical categories for players returning from ACL surgery, the number of games played, field goal percentage, and number of turnovers per game were the only categories with a statistically significant decrease. Players in the comparison group had a statistically significant increase in the PER over their careers, whereas the study group had a marked, though not statistically significant, increase in the PER in the season after reconstruction. Conclusions: After ACL reconstruction in 27 basketball players, 22% did not return to a sanctioned NBA game. For those returning to play, performance decreased by more than 1 PER point in 44% of the patients, although the changes were not statistically significant relative to the comparison group. Level of Evidence: Level IV, therapeutic case series. © 2009 Arthroscopy Association of North America.","author":[{"dropping-particle":"","family":"Busfield","given":"Benjamin T.","non-dropping-particle":"","parse-names":false,"suffix":""},{"dropping-particle":"","family":"Kharrazi","given":"F. Daniel","non-dropping-particle":"","parse-names":false,"suffix":""},{"dropping-particle":"","family":"Starkey","given":"Chad","non-dropping-particle":"","parse-names":false,"suffix":""},{"dropping-particle":"","family":"Lombardo","given":"Stephen J.","non-dropping-particle":"","parse-names":false,"suffix":""},{"dropping-particle":"","family":"Seegmiller","given":"Jeffrey","non-dropping-particle":"","parse-names":false,"suffix":""}],"container-title":"Arthroscopy - Journal of Arthroscopic and Related Surgery","id":"ITEM-4","issue":"8","issued":{"date-parts":[["2009"]]},"page":"825-830","publisher":"Arthroscopy Association of North America","title":"Performance Outcomes of Anterior Cruciate Ligament Reconstruction in the National Basketball Association","type":"article-journal","volume":"25"},"uris":["http://www.mendeley.com/documents/?uuid=effff728-8f4d-4e6e-a7be-3cde49944da4"]}],"mendeley":{"formattedCitation":"(2–5)","manualFormatting":"2–5","plainTextFormattedCitation":"(2–5)","previouslyFormattedCitation":"(2–5)"},"properties":{"noteIndex":0},"schema":"https://github.com/citation-style-language/schema/raw/master/csl-citation.json"}</w:instrText>
      </w:r>
      <w:r w:rsidR="00F56165" w:rsidRPr="003D1FBA">
        <w:rPr>
          <w:rFonts w:ascii="Arial" w:hAnsi="Arial" w:cs="Arial"/>
          <w:sz w:val="24"/>
          <w:szCs w:val="24"/>
          <w:vertAlign w:val="superscript"/>
        </w:rPr>
        <w:fldChar w:fldCharType="separate"/>
      </w:r>
      <w:r w:rsidR="00F56165" w:rsidRPr="003D1FBA">
        <w:rPr>
          <w:rFonts w:ascii="Arial" w:hAnsi="Arial" w:cs="Arial"/>
          <w:noProof/>
          <w:sz w:val="24"/>
          <w:szCs w:val="24"/>
          <w:vertAlign w:val="superscript"/>
        </w:rPr>
        <w:t>2–5</w:t>
      </w:r>
      <w:r w:rsidR="00F56165" w:rsidRPr="003D1FBA">
        <w:rPr>
          <w:rFonts w:ascii="Arial" w:hAnsi="Arial" w:cs="Arial"/>
          <w:sz w:val="24"/>
          <w:szCs w:val="24"/>
          <w:vertAlign w:val="superscript"/>
        </w:rPr>
        <w:fldChar w:fldCharType="end"/>
      </w:r>
      <w:r w:rsidR="001F032F" w:rsidRPr="003D1FBA">
        <w:rPr>
          <w:rFonts w:ascii="Arial" w:hAnsi="Arial" w:cs="Arial"/>
          <w:sz w:val="24"/>
          <w:szCs w:val="24"/>
        </w:rPr>
        <w:t xml:space="preserve"> </w:t>
      </w:r>
      <w:r w:rsidR="006F1F26">
        <w:rPr>
          <w:rFonts w:ascii="Arial" w:hAnsi="Arial" w:cs="Arial"/>
          <w:sz w:val="24"/>
          <w:szCs w:val="24"/>
        </w:rPr>
        <w:t>y</w:t>
      </w:r>
      <w:r w:rsidR="00A96D35">
        <w:rPr>
          <w:rFonts w:ascii="Arial" w:hAnsi="Arial" w:cs="Arial"/>
          <w:sz w:val="24"/>
          <w:szCs w:val="24"/>
        </w:rPr>
        <w:t xml:space="preserve"> 40.</w:t>
      </w:r>
      <w:r w:rsidR="001F032F" w:rsidRPr="003D1FBA">
        <w:rPr>
          <w:rFonts w:ascii="Arial" w:hAnsi="Arial" w:cs="Arial"/>
          <w:sz w:val="24"/>
          <w:szCs w:val="24"/>
        </w:rPr>
        <w:t>7</w:t>
      </w:r>
      <w:r w:rsidR="0075444E" w:rsidRPr="003D1FBA">
        <w:rPr>
          <w:rFonts w:ascii="Arial" w:hAnsi="Arial" w:cs="Arial"/>
          <w:sz w:val="24"/>
          <w:szCs w:val="24"/>
        </w:rPr>
        <w:t xml:space="preserve"> lesion</w:t>
      </w:r>
      <w:r w:rsidR="006F1F26">
        <w:rPr>
          <w:rFonts w:ascii="Arial" w:hAnsi="Arial" w:cs="Arial"/>
          <w:sz w:val="24"/>
          <w:szCs w:val="24"/>
        </w:rPr>
        <w:t>e</w:t>
      </w:r>
      <w:r w:rsidR="0075444E" w:rsidRPr="003D1FBA">
        <w:rPr>
          <w:rFonts w:ascii="Arial" w:hAnsi="Arial" w:cs="Arial"/>
          <w:sz w:val="24"/>
          <w:szCs w:val="24"/>
        </w:rPr>
        <w:t>s</w:t>
      </w:r>
      <w:r w:rsidR="001768BD" w:rsidRPr="003D1FBA">
        <w:rPr>
          <w:rFonts w:ascii="Arial" w:hAnsi="Arial" w:cs="Arial"/>
          <w:sz w:val="24"/>
          <w:szCs w:val="24"/>
        </w:rPr>
        <w:t>/</w:t>
      </w:r>
      <w:r w:rsidR="0075444E" w:rsidRPr="003D1FBA">
        <w:rPr>
          <w:rFonts w:ascii="Arial" w:hAnsi="Arial" w:cs="Arial"/>
          <w:sz w:val="24"/>
          <w:szCs w:val="24"/>
        </w:rPr>
        <w:t>1000h d</w:t>
      </w:r>
      <w:r w:rsidR="006F1F26">
        <w:rPr>
          <w:rFonts w:ascii="Arial" w:hAnsi="Arial" w:cs="Arial"/>
          <w:sz w:val="24"/>
          <w:szCs w:val="24"/>
        </w:rPr>
        <w:t xml:space="preserve">e </w:t>
      </w:r>
      <w:r w:rsidR="0075444E" w:rsidRPr="003D1FBA">
        <w:rPr>
          <w:rFonts w:ascii="Arial" w:hAnsi="Arial" w:cs="Arial"/>
          <w:sz w:val="24"/>
          <w:szCs w:val="24"/>
        </w:rPr>
        <w:t>exposició</w:t>
      </w:r>
      <w:r w:rsidR="006F1F26">
        <w:rPr>
          <w:rFonts w:ascii="Arial" w:hAnsi="Arial" w:cs="Arial"/>
          <w:sz w:val="24"/>
          <w:szCs w:val="24"/>
        </w:rPr>
        <w:t>n</w:t>
      </w:r>
      <w:r w:rsidR="00436493">
        <w:rPr>
          <w:rFonts w:ascii="Arial" w:hAnsi="Arial" w:cs="Arial"/>
          <w:sz w:val="24"/>
          <w:szCs w:val="24"/>
        </w:rPr>
        <w:t xml:space="preserve"> de</w:t>
      </w:r>
      <w:r w:rsidR="0075444E" w:rsidRPr="003D1FBA">
        <w:rPr>
          <w:rFonts w:ascii="Arial" w:hAnsi="Arial" w:cs="Arial"/>
          <w:sz w:val="24"/>
          <w:szCs w:val="24"/>
        </w:rPr>
        <w:t>portiva</w:t>
      </w:r>
      <w:r w:rsidR="001F032F" w:rsidRPr="003D1FBA">
        <w:rPr>
          <w:rFonts w:ascii="Arial" w:hAnsi="Arial" w:cs="Arial"/>
          <w:sz w:val="24"/>
          <w:szCs w:val="24"/>
        </w:rPr>
        <w:t xml:space="preserve"> en </w:t>
      </w:r>
      <w:r w:rsidR="00436493">
        <w:rPr>
          <w:rFonts w:ascii="Arial" w:hAnsi="Arial" w:cs="Arial"/>
          <w:sz w:val="24"/>
          <w:szCs w:val="24"/>
        </w:rPr>
        <w:t xml:space="preserve">el </w:t>
      </w:r>
      <w:r w:rsidR="00814891">
        <w:rPr>
          <w:rFonts w:ascii="Arial" w:hAnsi="Arial" w:cs="Arial"/>
          <w:sz w:val="24"/>
          <w:szCs w:val="24"/>
        </w:rPr>
        <w:t>balonmano</w:t>
      </w:r>
      <w:r w:rsidR="001F032F" w:rsidRPr="003D1FBA">
        <w:rPr>
          <w:rFonts w:ascii="Arial" w:hAnsi="Arial" w:cs="Arial"/>
          <w:sz w:val="24"/>
          <w:szCs w:val="24"/>
        </w:rPr>
        <w:t xml:space="preserve"> femen</w:t>
      </w:r>
      <w:r w:rsidR="00436493">
        <w:rPr>
          <w:rFonts w:ascii="Arial" w:hAnsi="Arial" w:cs="Arial"/>
          <w:sz w:val="24"/>
          <w:szCs w:val="24"/>
        </w:rPr>
        <w:t>ino</w:t>
      </w:r>
      <w:r w:rsidR="007E2E79" w:rsidRPr="003D1FBA">
        <w:rPr>
          <w:rFonts w:ascii="Arial" w:hAnsi="Arial" w:cs="Arial"/>
          <w:sz w:val="24"/>
          <w:szCs w:val="24"/>
        </w:rPr>
        <w:t>.</w:t>
      </w:r>
      <w:r w:rsidR="00AF29FE" w:rsidRPr="003D1FBA">
        <w:rPr>
          <w:rFonts w:ascii="Arial" w:hAnsi="Arial" w:cs="Arial"/>
          <w:sz w:val="24"/>
          <w:szCs w:val="24"/>
          <w:vertAlign w:val="superscript"/>
        </w:rPr>
        <w:fldChar w:fldCharType="begin" w:fldLock="1"/>
      </w:r>
      <w:r w:rsidR="007E2E79" w:rsidRPr="003D1FBA">
        <w:rPr>
          <w:rFonts w:ascii="Arial" w:hAnsi="Arial" w:cs="Arial"/>
          <w:sz w:val="24"/>
          <w:szCs w:val="24"/>
          <w:vertAlign w:val="superscript"/>
        </w:rPr>
        <w:instrText>ADDIN CSL_CITATION {"citationItems":[{"id":"ITEM-1","itemData":{"DOI":"10.1007/s00402-005-0793-7","ISBN":"0040200507","ISSN":"09368051","PMID":"15703919","abstract":"BACKGROUND: Few authors have investigated the effectiveness of preventive intervention in European team handball. PURPOSE: The aim of the present study was to evaluate the effects of a prevention program on the incidence of injuries in female European team handball players. STUDY DESIGN: Prospective controlled study. METHODS: Ten female handball teams (134 players) took part in the prevention program (1. Information about injury mechanism, 2. Balance-board exercises, 3. Jump training) while 10 other teams (142 players) were instructed to train as usual. Over one season all injuries were documented weekly. RESULTS: Ankle sprain was the most frequent diagnosis in both groups with 11 ankle sprains in the control group and 7 ankle sprains in the intervention group (Odds ratio: 0.55, 95% confidence interval: 0.22-1.43). The knee was the second frequent injury site. In the control group 5 of all knee injuries were anterior cruciate ligament (ACL) ruptures (incidence: 0.21 per 1000 h) in comparison with one in the intervention group (incidence: 0.04 per 1000 h). Odds ratio was 0.17 with 95% confidence interval of 0.02-1.5. CONCLUSIONS: This study confirms that proprioceptive and neuromuscular training is appropriate for the prevention of knee and ankle injuries among female European team handball players.","author":[{"dropping-particle":"","family":"Petersen","given":"Wolf","non-dropping-particle":"","parse-names":false,"suffix":""},{"dropping-particle":"","family":"Braun","given":"Christoph","non-dropping-particle":"","parse-names":false,"suffix":""},{"dropping-particle":"","family":"Bock","given":"Wiebke","non-dropping-particle":"","parse-names":false,"suffix":""},{"dropping-particle":"","family":"Schmidt","given":"Kirsten","non-dropping-particle":"","parse-names":false,"suffix":""},{"dropping-particle":"","family":"Weimann","given":"Andre","non-dropping-particle":"","parse-names":false,"suffix":""},{"dropping-particle":"","family":"Drescher","given":"Wolf","non-dropping-particle":"","parse-names":false,"suffix":""},{"dropping-particle":"","family":"Eiling","given":"Elisabeth","non-dropping-particle":"","parse-names":false,"suffix":""},{"dropping-particle":"","family":"Stange","given":"Richard","non-dropping-particle":"","parse-names":false,"suffix":""},{"dropping-particle":"","family":"Fuchs","given":"Thomas","non-dropping-particle":"","parse-names":false,"suffix":""},{"dropping-particle":"","family":"Hedderich","given":"Jürgen","non-dropping-particle":"","parse-names":false,"suffix":""},{"dropping-particle":"","family":"Zantop","given":"Thore","non-dropping-particle":"","parse-names":false,"suffix":""}],"container-title":"Arch Orthop Trauma Surg","id":"ITEM-1","issue":"9","issued":{"date-parts":[["2005"]]},"page":"614-21","title":"A controlled prospective case control study of a prevention training program in female team handball players: the German experience.","type":"article-journal","volume":"125"},"uris":["http://www.mendeley.com/documents/?uuid=a8dc7755-4d3d-4ebd-b69b-cc385c413b91"]},{"id":"ITEM-2","itemData":{"DOI":"10.1111/j.1600-0838.1997.tb00164.x","ISBN":"0905-7188","ISSN":"09057188","PMID":"9974196","abstract":"The purpose of this study was to examine the nature, extent and severity of sports injuries in young female players in European team handball and to identify the etiological factors involved in the injuries. Twenty-two teams with 217 players, aged 16-18 years, participated in the study. A very high injury incidence during games was observed, with 40.7 injuries/1000 hours of game. Backplayers had the highest incidence (54.8/1000 hours), which is five times higher than any previously recorded injury incidence in players in European team handball. We found that 92.9% of injuries were traumatic and 7.1% were from overuse. One-hundred and twenty-four of the 211 injuries were traumatic injuries of the lower extremities. Of these 63 (51%) were without contact with an opponent. The study confirmed that European team handball is a sport that has a very high injury rate, especially regarding young female players. Field position and earlier injuries are major risk factors, with an earlier injury being the single highest risk factor and with backplayers having a significantly higher number of injuries than players in other field positions.","author":[{"dropping-particle":"","family":"Wedderkopp N, Kaltoft M, Lundgaard B, Rosendahl M","given":"Froberg K.","non-dropping-particle":"","parse-names":false,"suffix":""},{"dropping-particle":"","family":"Wedderkopp","given":"N","non-dropping-particle":"","parse-names":false,"suffix":""},{"dropping-particle":"","family":"Kaltoft","given":"M","non-dropping-particle":"","parse-names":false,"suffix":""},{"dropping-particle":"","family":"Lundgaard","given":"B","non-dropping-particle":"","parse-names":false,"suffix":""},{"dropping-particle":"","family":"Rosendahl","given":"M","non-dropping-particle":"","parse-names":false,"suffix":""},{"dropping-particle":"","family":"Froberg","given":"K","non-dropping-particle":"","parse-names":false,"suffix":""}],"container-title":"Scand J Med Sci Sports","id":"ITEM-2","issue":"6","issued":{"date-parts":[["1997"]]},"page":"342-7","title":"Injuries in young female players in European team handball","type":"article-journal","volume":"7"},"uris":["http://www.mendeley.com/documents/?uuid=6fee0dff-c465-46ec-81c1-e44f827288f2"]}],"mendeley":{"formattedCitation":"(1,6)","manualFormatting":"1,6","plainTextFormattedCitation":"(1,6)","previouslyFormattedCitation":"(1,6)"},"properties":{"noteIndex":0},"schema":"https://github.com/citation-style-language/schema/raw/master/csl-citation.json"}</w:instrText>
      </w:r>
      <w:r w:rsidR="00AF29FE" w:rsidRPr="003D1FBA">
        <w:rPr>
          <w:rFonts w:ascii="Arial" w:hAnsi="Arial" w:cs="Arial"/>
          <w:sz w:val="24"/>
          <w:szCs w:val="24"/>
          <w:vertAlign w:val="superscript"/>
        </w:rPr>
        <w:fldChar w:fldCharType="separate"/>
      </w:r>
      <w:r w:rsidR="00AF29FE" w:rsidRPr="003D1FBA">
        <w:rPr>
          <w:rFonts w:ascii="Arial" w:hAnsi="Arial" w:cs="Arial"/>
          <w:noProof/>
          <w:sz w:val="24"/>
          <w:szCs w:val="24"/>
          <w:vertAlign w:val="superscript"/>
        </w:rPr>
        <w:t>1,6</w:t>
      </w:r>
      <w:r w:rsidR="00AF29FE" w:rsidRPr="003D1FBA">
        <w:rPr>
          <w:rFonts w:ascii="Arial" w:hAnsi="Arial" w:cs="Arial"/>
          <w:sz w:val="24"/>
          <w:szCs w:val="24"/>
          <w:vertAlign w:val="superscript"/>
        </w:rPr>
        <w:fldChar w:fldCharType="end"/>
      </w:r>
      <w:r w:rsidR="00A90F3E" w:rsidRPr="003D1FBA">
        <w:rPr>
          <w:rFonts w:ascii="Arial" w:hAnsi="Arial" w:cs="Arial"/>
          <w:sz w:val="24"/>
          <w:szCs w:val="24"/>
        </w:rPr>
        <w:t xml:space="preserve"> </w:t>
      </w:r>
      <w:r w:rsidR="001F032F" w:rsidRPr="003D1FBA">
        <w:rPr>
          <w:rFonts w:ascii="Arial" w:hAnsi="Arial" w:cs="Arial"/>
          <w:sz w:val="24"/>
          <w:szCs w:val="24"/>
        </w:rPr>
        <w:t>La</w:t>
      </w:r>
      <w:r w:rsidR="00A66C21" w:rsidRPr="003D1FBA">
        <w:rPr>
          <w:rFonts w:ascii="Arial" w:hAnsi="Arial" w:cs="Arial"/>
          <w:sz w:val="24"/>
          <w:szCs w:val="24"/>
        </w:rPr>
        <w:t xml:space="preserve"> ma</w:t>
      </w:r>
      <w:r w:rsidR="00436493">
        <w:rPr>
          <w:rFonts w:ascii="Arial" w:hAnsi="Arial" w:cs="Arial"/>
          <w:sz w:val="24"/>
          <w:szCs w:val="24"/>
        </w:rPr>
        <w:t>yorí</w:t>
      </w:r>
      <w:r w:rsidR="001F032F" w:rsidRPr="003D1FBA">
        <w:rPr>
          <w:rFonts w:ascii="Arial" w:hAnsi="Arial" w:cs="Arial"/>
          <w:sz w:val="24"/>
          <w:szCs w:val="24"/>
        </w:rPr>
        <w:t>a</w:t>
      </w:r>
      <w:r w:rsidR="00A66C21" w:rsidRPr="003D1FBA">
        <w:rPr>
          <w:rFonts w:ascii="Arial" w:hAnsi="Arial" w:cs="Arial"/>
          <w:sz w:val="24"/>
          <w:szCs w:val="24"/>
        </w:rPr>
        <w:t xml:space="preserve"> de l</w:t>
      </w:r>
      <w:r w:rsidR="00436493">
        <w:rPr>
          <w:rFonts w:ascii="Arial" w:hAnsi="Arial" w:cs="Arial"/>
          <w:sz w:val="24"/>
          <w:szCs w:val="24"/>
        </w:rPr>
        <w:t>a</w:t>
      </w:r>
      <w:r w:rsidR="00A66C21" w:rsidRPr="003D1FBA">
        <w:rPr>
          <w:rFonts w:ascii="Arial" w:hAnsi="Arial" w:cs="Arial"/>
          <w:sz w:val="24"/>
          <w:szCs w:val="24"/>
        </w:rPr>
        <w:t>s lesion</w:t>
      </w:r>
      <w:r w:rsidR="00436493">
        <w:rPr>
          <w:rFonts w:ascii="Arial" w:hAnsi="Arial" w:cs="Arial"/>
          <w:sz w:val="24"/>
          <w:szCs w:val="24"/>
        </w:rPr>
        <w:t>e</w:t>
      </w:r>
      <w:r w:rsidR="00A66C21" w:rsidRPr="003D1FBA">
        <w:rPr>
          <w:rFonts w:ascii="Arial" w:hAnsi="Arial" w:cs="Arial"/>
          <w:sz w:val="24"/>
          <w:szCs w:val="24"/>
        </w:rPr>
        <w:t xml:space="preserve">s </w:t>
      </w:r>
      <w:r w:rsidR="00436493">
        <w:rPr>
          <w:rFonts w:ascii="Arial" w:hAnsi="Arial" w:cs="Arial"/>
          <w:sz w:val="24"/>
          <w:szCs w:val="24"/>
        </w:rPr>
        <w:t>se</w:t>
      </w:r>
      <w:r w:rsidR="00A66C21" w:rsidRPr="003D1FBA">
        <w:rPr>
          <w:rFonts w:ascii="Arial" w:hAnsi="Arial" w:cs="Arial"/>
          <w:sz w:val="24"/>
          <w:szCs w:val="24"/>
        </w:rPr>
        <w:t xml:space="preserve"> d</w:t>
      </w:r>
      <w:r w:rsidR="00436493">
        <w:rPr>
          <w:rFonts w:ascii="Arial" w:hAnsi="Arial" w:cs="Arial"/>
          <w:sz w:val="24"/>
          <w:szCs w:val="24"/>
        </w:rPr>
        <w:t>a</w:t>
      </w:r>
      <w:r w:rsidR="00A66C21" w:rsidRPr="003D1FBA">
        <w:rPr>
          <w:rFonts w:ascii="Arial" w:hAnsi="Arial" w:cs="Arial"/>
          <w:sz w:val="24"/>
          <w:szCs w:val="24"/>
        </w:rPr>
        <w:t xml:space="preserve">n </w:t>
      </w:r>
      <w:r w:rsidR="00436493">
        <w:rPr>
          <w:rFonts w:ascii="Arial" w:hAnsi="Arial" w:cs="Arial"/>
          <w:sz w:val="24"/>
          <w:szCs w:val="24"/>
        </w:rPr>
        <w:t>en</w:t>
      </w:r>
      <w:r w:rsidR="00A66C21" w:rsidRPr="003D1FBA">
        <w:rPr>
          <w:rFonts w:ascii="Arial" w:hAnsi="Arial" w:cs="Arial"/>
          <w:sz w:val="24"/>
          <w:szCs w:val="24"/>
        </w:rPr>
        <w:t xml:space="preserve"> l</w:t>
      </w:r>
      <w:r w:rsidR="00436493">
        <w:rPr>
          <w:rFonts w:ascii="Arial" w:hAnsi="Arial" w:cs="Arial"/>
          <w:sz w:val="24"/>
          <w:szCs w:val="24"/>
        </w:rPr>
        <w:t xml:space="preserve">a </w:t>
      </w:r>
      <w:r w:rsidR="00A66C21" w:rsidRPr="003D1FBA">
        <w:rPr>
          <w:rFonts w:ascii="Arial" w:hAnsi="Arial" w:cs="Arial"/>
          <w:sz w:val="24"/>
          <w:szCs w:val="24"/>
        </w:rPr>
        <w:t>extremi</w:t>
      </w:r>
      <w:r w:rsidR="00436493">
        <w:rPr>
          <w:rFonts w:ascii="Arial" w:hAnsi="Arial" w:cs="Arial"/>
          <w:sz w:val="24"/>
          <w:szCs w:val="24"/>
        </w:rPr>
        <w:t>d</w:t>
      </w:r>
      <w:r w:rsidR="00A66C21" w:rsidRPr="003D1FBA">
        <w:rPr>
          <w:rFonts w:ascii="Arial" w:hAnsi="Arial" w:cs="Arial"/>
          <w:sz w:val="24"/>
          <w:szCs w:val="24"/>
        </w:rPr>
        <w:t>a</w:t>
      </w:r>
      <w:r w:rsidR="00436493">
        <w:rPr>
          <w:rFonts w:ascii="Arial" w:hAnsi="Arial" w:cs="Arial"/>
          <w:sz w:val="24"/>
          <w:szCs w:val="24"/>
        </w:rPr>
        <w:t>d</w:t>
      </w:r>
      <w:r w:rsidR="00A66C21" w:rsidRPr="003D1FBA">
        <w:rPr>
          <w:rFonts w:ascii="Arial" w:hAnsi="Arial" w:cs="Arial"/>
          <w:sz w:val="24"/>
          <w:szCs w:val="24"/>
        </w:rPr>
        <w:t xml:space="preserve"> inferior, el 58%-74%</w:t>
      </w:r>
      <w:r w:rsidR="001F032F" w:rsidRPr="003D1FBA">
        <w:rPr>
          <w:rFonts w:ascii="Arial" w:hAnsi="Arial" w:cs="Arial"/>
          <w:sz w:val="24"/>
          <w:szCs w:val="24"/>
        </w:rPr>
        <w:t xml:space="preserve"> en b</w:t>
      </w:r>
      <w:r w:rsidR="00CB75ED" w:rsidRPr="003D1FBA">
        <w:rPr>
          <w:rFonts w:ascii="Arial" w:hAnsi="Arial" w:cs="Arial"/>
          <w:sz w:val="24"/>
          <w:szCs w:val="24"/>
        </w:rPr>
        <w:t>al</w:t>
      </w:r>
      <w:r w:rsidR="00436493">
        <w:rPr>
          <w:rFonts w:ascii="Arial" w:hAnsi="Arial" w:cs="Arial"/>
          <w:sz w:val="24"/>
          <w:szCs w:val="24"/>
        </w:rPr>
        <w:t>oncesto</w:t>
      </w:r>
      <w:r w:rsidR="00A66C21" w:rsidRPr="003D1FBA">
        <w:rPr>
          <w:rFonts w:ascii="Arial" w:hAnsi="Arial" w:cs="Arial"/>
          <w:sz w:val="24"/>
          <w:szCs w:val="24"/>
        </w:rPr>
        <w:t xml:space="preserve"> </w:t>
      </w:r>
      <w:r w:rsidR="00436493">
        <w:rPr>
          <w:rFonts w:ascii="Arial" w:hAnsi="Arial" w:cs="Arial"/>
          <w:sz w:val="24"/>
          <w:szCs w:val="24"/>
        </w:rPr>
        <w:t>y</w:t>
      </w:r>
      <w:r w:rsidR="00A66C21" w:rsidRPr="003D1FBA">
        <w:rPr>
          <w:rFonts w:ascii="Arial" w:hAnsi="Arial" w:cs="Arial"/>
          <w:sz w:val="24"/>
          <w:szCs w:val="24"/>
        </w:rPr>
        <w:t xml:space="preserve"> </w:t>
      </w:r>
      <w:r w:rsidR="009D731B" w:rsidRPr="003D1FBA">
        <w:rPr>
          <w:rFonts w:ascii="Arial" w:hAnsi="Arial" w:cs="Arial"/>
          <w:sz w:val="24"/>
          <w:szCs w:val="24"/>
        </w:rPr>
        <w:t xml:space="preserve">el </w:t>
      </w:r>
      <w:r w:rsidR="00A66C21" w:rsidRPr="003D1FBA">
        <w:rPr>
          <w:rFonts w:ascii="Arial" w:hAnsi="Arial" w:cs="Arial"/>
          <w:sz w:val="24"/>
          <w:szCs w:val="24"/>
        </w:rPr>
        <w:t>54%-59%</w:t>
      </w:r>
      <w:r w:rsidR="001F032F" w:rsidRPr="003D1FBA">
        <w:rPr>
          <w:rFonts w:ascii="Arial" w:hAnsi="Arial" w:cs="Arial"/>
          <w:sz w:val="24"/>
          <w:szCs w:val="24"/>
        </w:rPr>
        <w:t xml:space="preserve"> en </w:t>
      </w:r>
      <w:r w:rsidR="00D93E1F">
        <w:rPr>
          <w:rFonts w:ascii="Arial" w:hAnsi="Arial" w:cs="Arial"/>
          <w:sz w:val="24"/>
          <w:szCs w:val="24"/>
        </w:rPr>
        <w:t>balonmano</w:t>
      </w:r>
      <w:r w:rsidR="005C7778" w:rsidRPr="003D1FBA">
        <w:rPr>
          <w:rFonts w:ascii="Arial" w:hAnsi="Arial" w:cs="Arial"/>
          <w:sz w:val="24"/>
          <w:szCs w:val="24"/>
        </w:rPr>
        <w:t>.</w:t>
      </w:r>
      <w:r w:rsidR="00AF29FE" w:rsidRPr="003D1FBA">
        <w:rPr>
          <w:rFonts w:ascii="Arial" w:hAnsi="Arial" w:cs="Arial"/>
          <w:sz w:val="24"/>
          <w:szCs w:val="24"/>
          <w:vertAlign w:val="superscript"/>
        </w:rPr>
        <w:fldChar w:fldCharType="begin" w:fldLock="1"/>
      </w:r>
      <w:r w:rsidR="007E2E79" w:rsidRPr="003D1FBA">
        <w:rPr>
          <w:rFonts w:ascii="Arial" w:hAnsi="Arial" w:cs="Arial"/>
          <w:sz w:val="24"/>
          <w:szCs w:val="24"/>
          <w:vertAlign w:val="superscript"/>
        </w:rPr>
        <w:instrText>ADDIN CSL_CITATION {"citationItems":[{"id":"ITEM-1","itemData":{"DOI":"10.1177/1941738115593441","ISBN":"1941-0921","ISSN":"19410921","PMID":"26502412","abstract":"CONTEXT: Lower extremity injuries are common in basketball, yet it is unclear how prophylactic interventions affect lower extremity injury incidence rates.\\n\\nOBJECTIVE: To analyze the effectiveness of current lower extremity injury prevention programs in basketball athletes, focusing on injury rates of (1) general lower extremity injuries, (2) ankle sprains, and (3) anterior cruciate ligament (ACL) tears.\\n\\nDATA SOURCES: PubMed, MEDLINE, CINAHL, SPORTDiscus, and the Cochrane Register of Controlled Trials were searched in January 2015.\\n\\nSTUDY SELECTION: Studies were included if they were randomized controlled or prospective cohort trials, contained a population of competitive basketball athletes, and reported lower extremity injury incidence rates specific to basketball players. In total, 426 individual studies were identified. Of these, 9 met the inclusion criteria. One other study was found during a hand search of the literature, resulting in 10 total studies included in this meta-analysis.\\n\\nSTUDY DESIGN: Systematic review and meta-analysis.\\n\\nLEVEL OF EVIDENCE: Level 2.\\n\\nDATA EXTRACTION: Details of the intervention (eg, neuromuscular vs external support), size of control and intervention groups, and number of injuries in each group were extracted from each study. Injury data were classified into 3 groups based on the anatomic diagnosis reported (general lower extremity injury, ankle sprain, ACL rupture).\\n\\nRESULTS: Meta-analyses were performed independently for each injury classification. Results indicate that prophylactic programs significantly reduced the incidence of general lower extremity injuries (odds ratio [OR], 0.69; 95% CI, 0.57-0.85; P &lt; 0.001) and ankle sprains (OR, 0.45; 95% CI, 0.29-0.69; P &lt; 0.001), yet not ACL ruptures (OR, 1.09; 95% CI, 0.36-3.29; P = 0.87) in basketball athletes.\\n\\nCONCLUSION: In basketball players, prophylactic programs may be effective in reducing the risk of general lower extremity injuries and ankle sprains, yet not ACL injuries.","author":[{"dropping-particle":"","family":"Taylor","given":"Jeffrey B.","non-dropping-particle":"","parse-names":false,"suffix":""},{"dropping-particle":"","family":"Ford","given":"Kevin R.","non-dropping-particle":"","parse-names":false,"suffix":""},{"dropping-particle":"","family":"Nguyen","given":"Anh Dung","non-dropping-particle":"","parse-names":false,"suffix":""},{"dropping-particle":"","family":"Terry","given":"Lauren N.","non-dropping-particle":"","parse-names":false,"suffix":""},{"dropping-particle":"","family":"Hegedus","given":"Eric J.","non-dropping-particle":"","parse-names":false,"suffix":""}],"container-title":"Sports Health","id":"ITEM-1","issue":"5","issued":{"date-parts":[["2015"]]},"page":"392-8","title":"Prevention of Lower Extremity Injuries in Basketball: A Systematic Review and Meta-Analysis","type":"article-journal","volume":"7"},"uris":["http://www.mendeley.com/documents/?uuid=4d624b09-b0e6-40a8-9357-7f2b37bb3c64"]},{"id":"ITEM-2","itemData":{"DOI":"10.1111/j.1600-0838.1997.tb00164.x","ISBN":"0905-7188","ISSN":"09057188","PMID":"9974196","abstract":"The purpose of this study was to examine the nature, extent and severity of sports injuries in young female players in European team handball and to identify the etiological factors involved in the injuries. Twenty-two teams with 217 players, aged 16-18 years, participated in the study. A very high injury incidence during games was observed, with 40.7 injuries/1000 hours of game. Backplayers had the highest incidence (54.8/1000 hours), which is five times higher than any previously recorded injury incidence in players in European team handball. We found that 92.9% of injuries were traumatic and 7.1% were from overuse. One-hundred and twenty-four of the 211 injuries were traumatic injuries of the lower extremities. Of these 63 (51%) were without contact with an opponent. The study confirmed that European team handball is a sport that has a very high injury rate, especially regarding young female players. Field position and earlier injuries are major risk factors, with an earlier injury being the single highest risk factor and with backplayers having a significantly higher number of injuries than players in other field positions.","author":[{"dropping-particle":"","family":"Wedderkopp N, Kaltoft M, Lundgaard B, Rosendahl M","given":"Froberg K.","non-dropping-particle":"","parse-names":false,"suffix":""},{"dropping-particle":"","family":"Wedderkopp","given":"N","non-dropping-particle":"","parse-names":false,"suffix":""},{"dropping-particle":"","family":"Kaltoft","given":"M","non-dropping-particle":"","parse-names":false,"suffix":""},{"dropping-particle":"","family":"Lundgaard","given":"B","non-dropping-particle":"","parse-names":false,"suffix":""},{"dropping-particle":"","family":"Rosendahl","given":"M","non-dropping-particle":"","parse-names":false,"suffix":""},{"dropping-particle":"","family":"Froberg","given":"K","non-dropping-particle":"","parse-names":false,"suffix":""}],"container-title":"Scand J Med Sci Sports","id":"ITEM-2","issue":"6","issued":{"date-parts":[["1997"]]},"page":"342-7","title":"Injuries in young female players in European team handball","type":"article-journal","volume":"7"},"uris":["http://www.mendeley.com/documents/?uuid=6fee0dff-c465-46ec-81c1-e44f827288f2"]}],"mendeley":{"formattedCitation":"(3,6)","manualFormatting":"3,6","plainTextFormattedCitation":"(3,6)","previouslyFormattedCitation":"(3,6)"},"properties":{"noteIndex":0},"schema":"https://github.com/citation-style-language/schema/raw/master/csl-citation.json"}</w:instrText>
      </w:r>
      <w:r w:rsidR="00AF29FE" w:rsidRPr="003D1FBA">
        <w:rPr>
          <w:rFonts w:ascii="Arial" w:hAnsi="Arial" w:cs="Arial"/>
          <w:sz w:val="24"/>
          <w:szCs w:val="24"/>
          <w:vertAlign w:val="superscript"/>
        </w:rPr>
        <w:fldChar w:fldCharType="separate"/>
      </w:r>
      <w:r w:rsidR="00AF29FE" w:rsidRPr="003D1FBA">
        <w:rPr>
          <w:rFonts w:ascii="Arial" w:hAnsi="Arial" w:cs="Arial"/>
          <w:noProof/>
          <w:sz w:val="24"/>
          <w:szCs w:val="24"/>
          <w:vertAlign w:val="superscript"/>
        </w:rPr>
        <w:t>3,6</w:t>
      </w:r>
      <w:r w:rsidR="00AF29FE" w:rsidRPr="003D1FBA">
        <w:rPr>
          <w:rFonts w:ascii="Arial" w:hAnsi="Arial" w:cs="Arial"/>
          <w:sz w:val="24"/>
          <w:szCs w:val="24"/>
          <w:vertAlign w:val="superscript"/>
        </w:rPr>
        <w:fldChar w:fldCharType="end"/>
      </w:r>
      <w:r w:rsidR="00A74BE8">
        <w:rPr>
          <w:rFonts w:ascii="Arial" w:hAnsi="Arial" w:cs="Arial"/>
          <w:sz w:val="24"/>
          <w:szCs w:val="24"/>
        </w:rPr>
        <w:t xml:space="preserve"> </w:t>
      </w:r>
      <w:r w:rsidR="00A66C21" w:rsidRPr="003D1FBA">
        <w:rPr>
          <w:rFonts w:ascii="Arial" w:hAnsi="Arial" w:cs="Arial"/>
          <w:sz w:val="24"/>
          <w:szCs w:val="24"/>
        </w:rPr>
        <w:t>L</w:t>
      </w:r>
      <w:r w:rsidR="00436493">
        <w:rPr>
          <w:rFonts w:ascii="Arial" w:hAnsi="Arial" w:cs="Arial"/>
          <w:sz w:val="24"/>
          <w:szCs w:val="24"/>
        </w:rPr>
        <w:t>a</w:t>
      </w:r>
      <w:r w:rsidR="00A66C21" w:rsidRPr="003D1FBA">
        <w:rPr>
          <w:rFonts w:ascii="Arial" w:hAnsi="Arial" w:cs="Arial"/>
          <w:sz w:val="24"/>
          <w:szCs w:val="24"/>
        </w:rPr>
        <w:t>s jugador</w:t>
      </w:r>
      <w:r w:rsidR="00436493">
        <w:rPr>
          <w:rFonts w:ascii="Arial" w:hAnsi="Arial" w:cs="Arial"/>
          <w:sz w:val="24"/>
          <w:szCs w:val="24"/>
        </w:rPr>
        <w:t>a</w:t>
      </w:r>
      <w:r w:rsidR="00A66C21" w:rsidRPr="003D1FBA">
        <w:rPr>
          <w:rFonts w:ascii="Arial" w:hAnsi="Arial" w:cs="Arial"/>
          <w:sz w:val="24"/>
          <w:szCs w:val="24"/>
        </w:rPr>
        <w:t>s t</w:t>
      </w:r>
      <w:r w:rsidR="00436493">
        <w:rPr>
          <w:rFonts w:ascii="Arial" w:hAnsi="Arial" w:cs="Arial"/>
          <w:sz w:val="24"/>
          <w:szCs w:val="24"/>
        </w:rPr>
        <w:t>iene</w:t>
      </w:r>
      <w:r w:rsidR="00A66C21" w:rsidRPr="003D1FBA">
        <w:rPr>
          <w:rFonts w:ascii="Arial" w:hAnsi="Arial" w:cs="Arial"/>
          <w:sz w:val="24"/>
          <w:szCs w:val="24"/>
        </w:rPr>
        <w:t>n de 2-10 ve</w:t>
      </w:r>
      <w:r w:rsidR="00436493">
        <w:rPr>
          <w:rFonts w:ascii="Arial" w:hAnsi="Arial" w:cs="Arial"/>
          <w:sz w:val="24"/>
          <w:szCs w:val="24"/>
        </w:rPr>
        <w:t>ces</w:t>
      </w:r>
      <w:r w:rsidR="00A66C21" w:rsidRPr="003D1FBA">
        <w:rPr>
          <w:rFonts w:ascii="Arial" w:hAnsi="Arial" w:cs="Arial"/>
          <w:sz w:val="24"/>
          <w:szCs w:val="24"/>
        </w:rPr>
        <w:t xml:space="preserve"> m</w:t>
      </w:r>
      <w:r w:rsidR="00436493">
        <w:rPr>
          <w:rFonts w:ascii="Arial" w:hAnsi="Arial" w:cs="Arial"/>
          <w:sz w:val="24"/>
          <w:szCs w:val="24"/>
        </w:rPr>
        <w:t>á</w:t>
      </w:r>
      <w:r w:rsidR="00A66C21" w:rsidRPr="003D1FBA">
        <w:rPr>
          <w:rFonts w:ascii="Arial" w:hAnsi="Arial" w:cs="Arial"/>
          <w:sz w:val="24"/>
          <w:szCs w:val="24"/>
        </w:rPr>
        <w:t>s ri</w:t>
      </w:r>
      <w:r w:rsidR="00436493">
        <w:rPr>
          <w:rFonts w:ascii="Arial" w:hAnsi="Arial" w:cs="Arial"/>
          <w:sz w:val="24"/>
          <w:szCs w:val="24"/>
        </w:rPr>
        <w:t>esgo</w:t>
      </w:r>
      <w:r w:rsidR="00A66C21" w:rsidRPr="003D1FBA">
        <w:rPr>
          <w:rFonts w:ascii="Arial" w:hAnsi="Arial" w:cs="Arial"/>
          <w:sz w:val="24"/>
          <w:szCs w:val="24"/>
        </w:rPr>
        <w:t xml:space="preserve"> a </w:t>
      </w:r>
      <w:r w:rsidR="00436493">
        <w:rPr>
          <w:rFonts w:ascii="Arial" w:hAnsi="Arial" w:cs="Arial"/>
          <w:sz w:val="24"/>
          <w:szCs w:val="24"/>
        </w:rPr>
        <w:t>sufrir</w:t>
      </w:r>
      <w:r w:rsidR="00A66C21" w:rsidRPr="003D1FBA">
        <w:rPr>
          <w:rFonts w:ascii="Arial" w:hAnsi="Arial" w:cs="Arial"/>
          <w:sz w:val="24"/>
          <w:szCs w:val="24"/>
        </w:rPr>
        <w:t xml:space="preserve"> </w:t>
      </w:r>
      <w:r w:rsidR="00874C4D" w:rsidRPr="003D1FBA">
        <w:rPr>
          <w:rFonts w:ascii="Arial" w:hAnsi="Arial" w:cs="Arial"/>
          <w:sz w:val="24"/>
          <w:szCs w:val="24"/>
        </w:rPr>
        <w:t>c</w:t>
      </w:r>
      <w:r w:rsidR="00436493">
        <w:rPr>
          <w:rFonts w:ascii="Arial" w:hAnsi="Arial" w:cs="Arial"/>
          <w:sz w:val="24"/>
          <w:szCs w:val="24"/>
        </w:rPr>
        <w:t>iertas</w:t>
      </w:r>
      <w:r w:rsidR="00874C4D" w:rsidRPr="003D1FBA">
        <w:rPr>
          <w:rFonts w:ascii="Arial" w:hAnsi="Arial" w:cs="Arial"/>
          <w:sz w:val="24"/>
          <w:szCs w:val="24"/>
        </w:rPr>
        <w:t xml:space="preserve"> </w:t>
      </w:r>
      <w:r w:rsidR="00A66C21" w:rsidRPr="003D1FBA">
        <w:rPr>
          <w:rFonts w:ascii="Arial" w:hAnsi="Arial" w:cs="Arial"/>
          <w:sz w:val="24"/>
          <w:szCs w:val="24"/>
        </w:rPr>
        <w:t>lesion</w:t>
      </w:r>
      <w:r w:rsidR="00436493">
        <w:rPr>
          <w:rFonts w:ascii="Arial" w:hAnsi="Arial" w:cs="Arial"/>
          <w:sz w:val="24"/>
          <w:szCs w:val="24"/>
        </w:rPr>
        <w:t>e</w:t>
      </w:r>
      <w:r w:rsidR="00A66C21" w:rsidRPr="003D1FBA">
        <w:rPr>
          <w:rFonts w:ascii="Arial" w:hAnsi="Arial" w:cs="Arial"/>
          <w:sz w:val="24"/>
          <w:szCs w:val="24"/>
        </w:rPr>
        <w:t>s com</w:t>
      </w:r>
      <w:r w:rsidR="00436493">
        <w:rPr>
          <w:rFonts w:ascii="Arial" w:hAnsi="Arial" w:cs="Arial"/>
          <w:sz w:val="24"/>
          <w:szCs w:val="24"/>
        </w:rPr>
        <w:t>o</w:t>
      </w:r>
      <w:r w:rsidR="00A66C21" w:rsidRPr="003D1FBA">
        <w:rPr>
          <w:rFonts w:ascii="Arial" w:hAnsi="Arial" w:cs="Arial"/>
          <w:sz w:val="24"/>
          <w:szCs w:val="24"/>
        </w:rPr>
        <w:t xml:space="preserve"> la del </w:t>
      </w:r>
      <w:r w:rsidR="00E51452" w:rsidRPr="003D1FBA">
        <w:rPr>
          <w:rFonts w:ascii="Arial" w:hAnsi="Arial" w:cs="Arial"/>
          <w:sz w:val="24"/>
          <w:szCs w:val="24"/>
        </w:rPr>
        <w:t>ligament</w:t>
      </w:r>
      <w:r w:rsidR="00436493">
        <w:rPr>
          <w:rFonts w:ascii="Arial" w:hAnsi="Arial" w:cs="Arial"/>
          <w:sz w:val="24"/>
          <w:szCs w:val="24"/>
        </w:rPr>
        <w:t>o</w:t>
      </w:r>
      <w:r w:rsidR="00E51452" w:rsidRPr="003D1FBA">
        <w:rPr>
          <w:rFonts w:ascii="Arial" w:hAnsi="Arial" w:cs="Arial"/>
          <w:sz w:val="24"/>
          <w:szCs w:val="24"/>
        </w:rPr>
        <w:t xml:space="preserve"> cr</w:t>
      </w:r>
      <w:r w:rsidR="00436493">
        <w:rPr>
          <w:rFonts w:ascii="Arial" w:hAnsi="Arial" w:cs="Arial"/>
          <w:sz w:val="24"/>
          <w:szCs w:val="24"/>
        </w:rPr>
        <w:t>uzado</w:t>
      </w:r>
      <w:r w:rsidR="00E51452" w:rsidRPr="003D1FBA">
        <w:rPr>
          <w:rFonts w:ascii="Arial" w:hAnsi="Arial" w:cs="Arial"/>
          <w:sz w:val="24"/>
          <w:szCs w:val="24"/>
        </w:rPr>
        <w:t xml:space="preserve"> anterior (</w:t>
      </w:r>
      <w:r w:rsidR="00A66C21" w:rsidRPr="003D1FBA">
        <w:rPr>
          <w:rFonts w:ascii="Arial" w:hAnsi="Arial" w:cs="Arial"/>
          <w:sz w:val="24"/>
          <w:szCs w:val="24"/>
        </w:rPr>
        <w:t>L</w:t>
      </w:r>
      <w:r w:rsidR="00436493">
        <w:rPr>
          <w:rFonts w:ascii="Arial" w:hAnsi="Arial" w:cs="Arial"/>
          <w:sz w:val="24"/>
          <w:szCs w:val="24"/>
        </w:rPr>
        <w:t>C</w:t>
      </w:r>
      <w:r w:rsidR="00A66C21" w:rsidRPr="003D1FBA">
        <w:rPr>
          <w:rFonts w:ascii="Arial" w:hAnsi="Arial" w:cs="Arial"/>
          <w:sz w:val="24"/>
          <w:szCs w:val="24"/>
        </w:rPr>
        <w:t>A</w:t>
      </w:r>
      <w:r w:rsidR="00E51452" w:rsidRPr="003D1FBA">
        <w:rPr>
          <w:rFonts w:ascii="Arial" w:hAnsi="Arial" w:cs="Arial"/>
          <w:sz w:val="24"/>
          <w:szCs w:val="24"/>
        </w:rPr>
        <w:t>)</w:t>
      </w:r>
      <w:r w:rsidR="007E2E79" w:rsidRPr="003D1FBA">
        <w:rPr>
          <w:rFonts w:ascii="Arial" w:hAnsi="Arial" w:cs="Arial"/>
          <w:sz w:val="24"/>
          <w:szCs w:val="24"/>
        </w:rPr>
        <w:t xml:space="preserve"> </w:t>
      </w:r>
      <w:r w:rsidR="00AF29FE" w:rsidRPr="003D1FBA">
        <w:rPr>
          <w:rFonts w:ascii="Arial" w:hAnsi="Arial" w:cs="Arial"/>
          <w:sz w:val="24"/>
          <w:szCs w:val="24"/>
          <w:vertAlign w:val="superscript"/>
        </w:rPr>
        <w:fldChar w:fldCharType="begin" w:fldLock="1"/>
      </w:r>
      <w:r w:rsidR="007E2E79" w:rsidRPr="003D1FBA">
        <w:rPr>
          <w:rFonts w:ascii="Arial" w:hAnsi="Arial" w:cs="Arial"/>
          <w:sz w:val="24"/>
          <w:szCs w:val="24"/>
          <w:vertAlign w:val="superscript"/>
        </w:rPr>
        <w:instrText>ADDIN CSL_CITATION {"citationItems":[{"id":"ITEM-1","itemData":{"DOI":"10.1002/jor.23414.Mechanisms","author":[{"dropping-particle":"","family":"Hewett","given":"TE","non-dropping-particle":"","parse-names":false,"suffix":""},{"dropping-particle":"","family":"Myer","given":"GD","non-dropping-particle":"","parse-names":false,"suffix":""},{"dropping-particle":"","family":"Ford","given":"KR","non-dropping-particle":"","parse-names":false,"suffix":""},{"dropping-particle":"","family":"Paterno","given":"MV","non-dropping-particle":"","parse-names":false,"suffix":""},{"dropping-particle":"","family":"Quatman","given":"CE","non-dropping-particle":"","parse-names":false,"suffix":""}],"container-title":"J Orthop Res","id":"ITEM-1","issue":"11","issued":{"date-parts":[["2016"]]},"page":"1843-55","title":"Mechanisms, Prediction, and Prevention of ACL Injuries: Cut Risk With Three Sharpened and Validated Tools","type":"article-journal","volume":"34"},"uris":["http://www.mendeley.com/documents/?uuid=d283b8b9-3fae-41fd-944d-f7d3334fd91e"]}],"mendeley":{"formattedCitation":"(7)","manualFormatting":"7","plainTextFormattedCitation":"(7)","previouslyFormattedCitation":"(7)"},"properties":{"noteIndex":0},"schema":"https://github.com/citation-style-language/schema/raw/master/csl-citation.json"}</w:instrText>
      </w:r>
      <w:r w:rsidR="00AF29FE" w:rsidRPr="003D1FBA">
        <w:rPr>
          <w:rFonts w:ascii="Arial" w:hAnsi="Arial" w:cs="Arial"/>
          <w:sz w:val="24"/>
          <w:szCs w:val="24"/>
          <w:vertAlign w:val="superscript"/>
        </w:rPr>
        <w:fldChar w:fldCharType="separate"/>
      </w:r>
      <w:r w:rsidR="00AF29FE" w:rsidRPr="003D1FBA">
        <w:rPr>
          <w:rFonts w:ascii="Arial" w:hAnsi="Arial" w:cs="Arial"/>
          <w:noProof/>
          <w:sz w:val="24"/>
          <w:szCs w:val="24"/>
          <w:vertAlign w:val="superscript"/>
        </w:rPr>
        <w:t>7</w:t>
      </w:r>
      <w:r w:rsidR="00AF29FE" w:rsidRPr="003D1FBA">
        <w:rPr>
          <w:rFonts w:ascii="Arial" w:hAnsi="Arial" w:cs="Arial"/>
          <w:sz w:val="24"/>
          <w:szCs w:val="24"/>
          <w:vertAlign w:val="superscript"/>
        </w:rPr>
        <w:fldChar w:fldCharType="end"/>
      </w:r>
      <w:r w:rsidR="00A66C21" w:rsidRPr="003D1FBA">
        <w:rPr>
          <w:rFonts w:ascii="Arial" w:hAnsi="Arial" w:cs="Arial"/>
          <w:sz w:val="24"/>
          <w:szCs w:val="24"/>
        </w:rPr>
        <w:t xml:space="preserve">, </w:t>
      </w:r>
      <w:r w:rsidR="00436493">
        <w:rPr>
          <w:rFonts w:ascii="Arial" w:hAnsi="Arial" w:cs="Arial"/>
          <w:sz w:val="24"/>
          <w:szCs w:val="24"/>
        </w:rPr>
        <w:t>lo</w:t>
      </w:r>
      <w:r w:rsidR="00A66C21" w:rsidRPr="003D1FBA">
        <w:rPr>
          <w:rFonts w:ascii="Arial" w:hAnsi="Arial" w:cs="Arial"/>
          <w:sz w:val="24"/>
          <w:szCs w:val="24"/>
        </w:rPr>
        <w:t>s es</w:t>
      </w:r>
      <w:r w:rsidR="00436493">
        <w:rPr>
          <w:rFonts w:ascii="Arial" w:hAnsi="Arial" w:cs="Arial"/>
          <w:sz w:val="24"/>
          <w:szCs w:val="24"/>
        </w:rPr>
        <w:t>guinces</w:t>
      </w:r>
      <w:r w:rsidR="00A66C21" w:rsidRPr="003D1FBA">
        <w:rPr>
          <w:rFonts w:ascii="Arial" w:hAnsi="Arial" w:cs="Arial"/>
          <w:sz w:val="24"/>
          <w:szCs w:val="24"/>
        </w:rPr>
        <w:t xml:space="preserve"> de t</w:t>
      </w:r>
      <w:r w:rsidR="00436493">
        <w:rPr>
          <w:rFonts w:ascii="Arial" w:hAnsi="Arial" w:cs="Arial"/>
          <w:sz w:val="24"/>
          <w:szCs w:val="24"/>
        </w:rPr>
        <w:t>obillo</w:t>
      </w:r>
      <w:r w:rsidR="00F27E04" w:rsidRPr="003D1FBA">
        <w:rPr>
          <w:rFonts w:ascii="Arial" w:hAnsi="Arial" w:cs="Arial"/>
          <w:sz w:val="24"/>
          <w:szCs w:val="24"/>
          <w:vertAlign w:val="superscript"/>
        </w:rPr>
        <w:t xml:space="preserve"> </w:t>
      </w:r>
      <w:r w:rsidR="00AF29FE" w:rsidRPr="003D1FBA">
        <w:rPr>
          <w:rFonts w:ascii="Arial" w:hAnsi="Arial" w:cs="Arial"/>
          <w:sz w:val="24"/>
          <w:szCs w:val="24"/>
          <w:vertAlign w:val="superscript"/>
        </w:rPr>
        <w:fldChar w:fldCharType="begin" w:fldLock="1"/>
      </w:r>
      <w:r w:rsidR="007E2E79" w:rsidRPr="003D1FBA">
        <w:rPr>
          <w:rFonts w:ascii="Arial" w:hAnsi="Arial" w:cs="Arial"/>
          <w:sz w:val="24"/>
          <w:szCs w:val="24"/>
          <w:vertAlign w:val="superscript"/>
        </w:rPr>
        <w:instrText>ADDIN CSL_CITATION {"citationItems":[{"id":"ITEM-1","itemData":{"DOI":"10.1177/1941738115593441","ISBN":"1941-0921","ISSN":"19410921","PMID":"26502412","abstract":"CONTEXT: Lower extremity injuries are common in basketball, yet it is unclear how prophylactic interventions affect lower extremity injury incidence rates.\\n\\nOBJECTIVE: To analyze the effectiveness of current lower extremity injury prevention programs in basketball athletes, focusing on injury rates of (1) general lower extremity injuries, (2) ankle sprains, and (3) anterior cruciate ligament (ACL) tears.\\n\\nDATA SOURCES: PubMed, MEDLINE, CINAHL, SPORTDiscus, and the Cochrane Register of Controlled Trials were searched in January 2015.\\n\\nSTUDY SELECTION: Studies were included if they were randomized controlled or prospective cohort trials, contained a population of competitive basketball athletes, and reported lower extremity injury incidence rates specific to basketball players. In total, 426 individual studies were identified. Of these, 9 met the inclusion criteria. One other study was found during a hand search of the literature, resulting in 10 total studies included in this meta-analysis.\\n\\nSTUDY DESIGN: Systematic review and meta-analysis.\\n\\nLEVEL OF EVIDENCE: Level 2.\\n\\nDATA EXTRACTION: Details of the intervention (eg, neuromuscular vs external support), size of control and intervention groups, and number of injuries in each group were extracted from each study. Injury data were classified into 3 groups based on the anatomic diagnosis reported (general lower extremity injury, ankle sprain, ACL rupture).\\n\\nRESULTS: Meta-analyses were performed independently for each injury classification. Results indicate that prophylactic programs significantly reduced the incidence of general lower extremity injuries (odds ratio [OR], 0.69; 95% CI, 0.57-0.85; P &lt; 0.001) and ankle sprains (OR, 0.45; 95% CI, 0.29-0.69; P &lt; 0.001), yet not ACL ruptures (OR, 1.09; 95% CI, 0.36-3.29; P = 0.87) in basketball athletes.\\n\\nCONCLUSION: In basketball players, prophylactic programs may be effective in reducing the risk of general lower extremity injuries and ankle sprains, yet not ACL injuries.","author":[{"dropping-particle":"","family":"Taylor","given":"Jeffrey B.","non-dropping-particle":"","parse-names":false,"suffix":""},{"dropping-particle":"","family":"Ford","given":"Kevin R.","non-dropping-particle":"","parse-names":false,"suffix":""},{"dropping-particle":"","family":"Nguyen","given":"Anh Dung","non-dropping-particle":"","parse-names":false,"suffix":""},{"dropping-particle":"","family":"Terry","given":"Lauren N.","non-dropping-particle":"","parse-names":false,"suffix":""},{"dropping-particle":"","family":"Hegedus","given":"Eric J.","non-dropping-particle":"","parse-names":false,"suffix":""}],"container-title":"Sports Health","id":"ITEM-1","issue":"5","issued":{"date-parts":[["2015"]]},"page":"392-8","title":"Prevention of Lower Extremity Injuries in Basketball: A Systematic Review and Meta-Analysis","type":"article-journal","volume":"7"},"uris":["http://www.mendeley.com/documents/?uuid=4d624b09-b0e6-40a8-9357-7f2b37bb3c64"]},{"id":"ITEM-2","itemData":{"DOI":"10.3810/psm.2014.05.2066.Epidemiology","abstract":"Background—An estimated 30 to 40 million school children participate in sports in the United States; 34% of middle-school participants become injured and seek medical treatment at an annual cost close to $2 billion. The purpose of the current study was to evaluate the injury incidence and rates in female athletes in the middle-school setting during the course of 3 seasons. Methods—Female basketball, soccer, and volleyball players were recruited from a single county public school district in Kentucky consisting of 5 middle schools. A total of 268 female athletes (162 basketball, 26 soccer, and 80 volleyball) participated. Athletes were monitored for sports-related injury and number of athlete exposures (AEs) by an athletic trainer. Injury rates were calculated for specific types of injuries within each sport. Injury rates for games and practices were also calculated and compared for each sport. Results—A total of 134 injuries were recorded during the 3 sport seasons. The knee was the most commonly injured body part (99 injuries [73.9%]), of which patellofemoral dysfunction (31.3%), Osgood-Schlatter disease (10.4%), and Sinding-Larsen-Johansson/patella tendinosis (9%) had the greatest incidence. The ankle was the second most commonly injured body part, accounting for 16.4% of all injuries. The overall rates of injury by sport were as follows: soccer, 6.66 per 1000 AEs; volleyball, 3.68 per 1000 AEs; and basketball, 2.86 per 1000 AEs.Conclusions—Female middle-school athletes displayed comparable injury patterns to those seen in their high-school counterparts. Future work is warranted to determine the potential for improved outcomes in female middle-school athletes with access to athletic training services. Clinical Relevance—As the participation levels and number of injuries continue to rise, middle-school athletes demonstrate an increasing need for medical services provided by a certified athletic trainer.","author":[{"dropping-particle":"","family":"Barber","given":"F","non-dropping-particle":"","parse-names":false,"suffix":""},{"dropping-particle":"","family":"Kim","given":"D","non-dropping-particle":"","parse-names":false,"suffix":""},{"dropping-particle":"","family":"Myer","given":"D","non-dropping-particle":"","parse-names":false,"suffix":""},{"dropping-particle":"","family":"Hewett","given":"TE","non-dropping-particle":"","parse-names":false,"suffix":""}],"container-title":"Phys Sportsmed","id":"ITEM-2","issue":"2","issued":{"date-parts":[["2014"]]},"page":"146-153","title":"Epidemiology of Basketball, Soccer, and Volleyball Injuries in Middle-School Female Athletes","type":"article-journal","volume":"42"},"uris":["http://www.mendeley.com/documents/?uuid=7d943165-b967-4225-9c9e-61042844b30a"]},{"id":"ITEM-3","itemData":{"DOI":"10.1136/bjsports-2016-096005","ISSN":"14730480","author":[{"dropping-particle":"","family":"Zuckerman","given":"SL","non-dropping-particle":"","parse-names":false,"suffix":""},{"dropping-particle":"","family":"Wegner","given":"AM","non-dropping-particle":"","parse-names":false,"suffix":""},{"dropping-particle":"","family":"Roos","given":"KG","non-dropping-particle":"","parse-names":false,"suffix":""},{"dropping-particle":"","family":"Djoko","given":"A","non-dropping-particle":"","parse-names":false,"suffix":""},{"dropping-particle":"","family":"Dompier","given":"TP","non-dropping-particle":"","parse-names":false,"suffix":""},{"dropping-particle":"","family":"Kerr","given":"ZY","non-dropping-particle":"","parse-names":false,"suffix":""}],"container-title":"Br J Sports Med","id":"ITEM-3","issue":"4","issued":{"date-parts":[["2018"]]},"page":"216-68","title":"Injuries sustained in National Collegiate Athletic Association men’s and women’s basketball, 2009/2010–2014/2015","type":"article-journal","volume":"52"},"uris":["http://www.mendeley.com/documents/?uuid=5e022300-d943-4cbc-8050-598cb67357eb"]}],"mendeley":{"formattedCitation":"(2–4)","manualFormatting":"2–4","plainTextFormattedCitation":"(2–4)","previouslyFormattedCitation":"(2–4)"},"properties":{"noteIndex":0},"schema":"https://github.com/citation-style-language/schema/raw/master/csl-citation.json"}</w:instrText>
      </w:r>
      <w:r w:rsidR="00AF29FE" w:rsidRPr="003D1FBA">
        <w:rPr>
          <w:rFonts w:ascii="Arial" w:hAnsi="Arial" w:cs="Arial"/>
          <w:sz w:val="24"/>
          <w:szCs w:val="24"/>
          <w:vertAlign w:val="superscript"/>
        </w:rPr>
        <w:fldChar w:fldCharType="separate"/>
      </w:r>
      <w:r w:rsidR="00AF29FE" w:rsidRPr="003D1FBA">
        <w:rPr>
          <w:rFonts w:ascii="Arial" w:hAnsi="Arial" w:cs="Arial"/>
          <w:noProof/>
          <w:sz w:val="24"/>
          <w:szCs w:val="24"/>
          <w:vertAlign w:val="superscript"/>
        </w:rPr>
        <w:t>2–4</w:t>
      </w:r>
      <w:r w:rsidR="00AF29FE" w:rsidRPr="003D1FBA">
        <w:rPr>
          <w:rFonts w:ascii="Arial" w:hAnsi="Arial" w:cs="Arial"/>
          <w:sz w:val="24"/>
          <w:szCs w:val="24"/>
          <w:vertAlign w:val="superscript"/>
        </w:rPr>
        <w:fldChar w:fldCharType="end"/>
      </w:r>
      <w:r w:rsidR="00A66C21" w:rsidRPr="003D1FBA">
        <w:rPr>
          <w:rFonts w:ascii="Arial" w:hAnsi="Arial" w:cs="Arial"/>
          <w:sz w:val="24"/>
          <w:szCs w:val="24"/>
        </w:rPr>
        <w:t xml:space="preserve"> o el dolor femoro-patelar</w:t>
      </w:r>
      <w:r w:rsidR="005356C7">
        <w:rPr>
          <w:rFonts w:ascii="Arial" w:hAnsi="Arial" w:cs="Arial"/>
          <w:sz w:val="24"/>
          <w:szCs w:val="24"/>
        </w:rPr>
        <w:t>.</w:t>
      </w:r>
      <w:r w:rsidR="00DF48AA" w:rsidRPr="003D1FBA">
        <w:rPr>
          <w:rFonts w:ascii="Arial" w:hAnsi="Arial" w:cs="Arial"/>
          <w:sz w:val="24"/>
          <w:szCs w:val="24"/>
          <w:vertAlign w:val="superscript"/>
        </w:rPr>
        <w:fldChar w:fldCharType="begin" w:fldLock="1"/>
      </w:r>
      <w:r w:rsidR="007E2E79" w:rsidRPr="003D1FBA">
        <w:rPr>
          <w:rFonts w:ascii="Arial" w:hAnsi="Arial" w:cs="Arial"/>
          <w:sz w:val="24"/>
          <w:szCs w:val="24"/>
          <w:vertAlign w:val="superscript"/>
        </w:rPr>
        <w:instrText>ADDIN CSL_CITATION {"citationItems":[{"id":"ITEM-1","itemData":{"DOI":"10.1177/1941738115593441","ISBN":"1941-0921","ISSN":"19410921","PMID":"26502412","abstract":"CONTEXT: Lower extremity injuries are common in basketball, yet it is unclear how prophylactic interventions affect lower extremity injury incidence rates.\\n\\nOBJECTIVE: To analyze the effectiveness of current lower extremity injury prevention programs in basketball athletes, focusing on injury rates of (1) general lower extremity injuries, (2) ankle sprains, and (3) anterior cruciate ligament (ACL) tears.\\n\\nDATA SOURCES: PubMed, MEDLINE, CINAHL, SPORTDiscus, and the Cochrane Register of Controlled Trials were searched in January 2015.\\n\\nSTUDY SELECTION: Studies were included if they were randomized controlled or prospective cohort trials, contained a population of competitive basketball athletes, and reported lower extremity injury incidence rates specific to basketball players. In total, 426 individual studies were identified. Of these, 9 met the inclusion criteria. One other study was found during a hand search of the literature, resulting in 10 total studies included in this meta-analysis.\\n\\nSTUDY DESIGN: Systematic review and meta-analysis.\\n\\nLEVEL OF EVIDENCE: Level 2.\\n\\nDATA EXTRACTION: Details of the intervention (eg, neuromuscular vs external support), size of control and intervention groups, and number of injuries in each group were extracted from each study. Injury data were classified into 3 groups based on the anatomic diagnosis reported (general lower extremity injury, ankle sprain, ACL rupture).\\n\\nRESULTS: Meta-analyses were performed independently for each injury classification. Results indicate that prophylactic programs significantly reduced the incidence of general lower extremity injuries (odds ratio [OR], 0.69; 95% CI, 0.57-0.85; P &lt; 0.001) and ankle sprains (OR, 0.45; 95% CI, 0.29-0.69; P &lt; 0.001), yet not ACL ruptures (OR, 1.09; 95% CI, 0.36-3.29; P = 0.87) in basketball athletes.\\n\\nCONCLUSION: In basketball players, prophylactic programs may be effective in reducing the risk of general lower extremity injuries and ankle sprains, yet not ACL injuries.","author":[{"dropping-particle":"","family":"Taylor","given":"Jeffrey B.","non-dropping-particle":"","parse-names":false,"suffix":""},{"dropping-particle":"","family":"Ford","given":"Kevin R.","non-dropping-particle":"","parse-names":false,"suffix":""},{"dropping-particle":"","family":"Nguyen","given":"Anh Dung","non-dropping-particle":"","parse-names":false,"suffix":""},{"dropping-particle":"","family":"Terry","given":"Lauren N.","non-dropping-particle":"","parse-names":false,"suffix":""},{"dropping-particle":"","family":"Hegedus","given":"Eric J.","non-dropping-particle":"","parse-names":false,"suffix":""}],"container-title":"Sports Health","id":"ITEM-1","issue":"5","issued":{"date-parts":[["2015"]]},"page":"392-8","title":"Prevention of Lower Extremity Injuries in Basketball: A Systematic Review and Meta-Analysis","type":"article-journal","volume":"7"},"uris":["http://www.mendeley.com/documents/?uuid=4d624b09-b0e6-40a8-9357-7f2b37bb3c64"]},{"id":"ITEM-2","itemData":{"DOI":"10.3810/psm.2014.05.2066.Epidemiology","abstract":"Background—An estimated 30 to 40 million school children participate in sports in the United States; 34% of middle-school participants become injured and seek medical treatment at an annual cost close to $2 billion. The purpose of the current study was to evaluate the injury incidence and rates in female athletes in the middle-school setting during the course of 3 seasons. Methods—Female basketball, soccer, and volleyball players were recruited from a single county public school district in Kentucky consisting of 5 middle schools. A total of 268 female athletes (162 basketball, 26 soccer, and 80 volleyball) participated. Athletes were monitored for sports-related injury and number of athlete exposures (AEs) by an athletic trainer. Injury rates were calculated for specific types of injuries within each sport. Injury rates for games and practices were also calculated and compared for each sport. Results—A total of 134 injuries were recorded during the 3 sport seasons. The knee was the most commonly injured body part (99 injuries [73.9%]), of which patellofemoral dysfunction (31.3%), Osgood-Schlatter disease (10.4%), and Sinding-Larsen-Johansson/patella tendinosis (9%) had the greatest incidence. The ankle was the second most commonly injured body part, accounting for 16.4% of all injuries. The overall rates of injury by sport were as follows: soccer, 6.66 per 1000 AEs; volleyball, 3.68 per 1000 AEs; and basketball, 2.86 per 1000 AEs.Conclusions—Female middle-school athletes displayed comparable injury patterns to those seen in their high-school counterparts. Future work is warranted to determine the potential for improved outcomes in female middle-school athletes with access to athletic training services. Clinical Relevance—As the participation levels and number of injuries continue to rise, middle-school athletes demonstrate an increasing need for medical services provided by a certified athletic trainer.","author":[{"dropping-particle":"","family":"Barber","given":"F","non-dropping-particle":"","parse-names":false,"suffix":""},{"dropping-particle":"","family":"Kim","given":"D","non-dropping-particle":"","parse-names":false,"suffix":""},{"dropping-particle":"","family":"Myer","given":"D","non-dropping-particle":"","parse-names":false,"suffix":""},{"dropping-particle":"","family":"Hewett","given":"TE","non-dropping-particle":"","parse-names":false,"suffix":""}],"container-title":"Phys Sportsmed","id":"ITEM-2","issue":"2","issued":{"date-parts":[["2014"]]},"page":"146-153","title":"Epidemiology of Basketball, Soccer, and Volleyball Injuries in Middle-School Female Athletes","type":"article-journal","volume":"42"},"uris":["http://www.mendeley.com/documents/?uuid=7d943165-b967-4225-9c9e-61042844b30a"]}],"mendeley":{"formattedCitation":"(3,4)","manualFormatting":"3,4","plainTextFormattedCitation":"(3,4)","previouslyFormattedCitation":"(3,4)"},"properties":{"noteIndex":0},"schema":"https://github.com/citation-style-language/schema/raw/master/csl-citation.json"}</w:instrText>
      </w:r>
      <w:r w:rsidR="00DF48AA" w:rsidRPr="003D1FBA">
        <w:rPr>
          <w:rFonts w:ascii="Arial" w:hAnsi="Arial" w:cs="Arial"/>
          <w:sz w:val="24"/>
          <w:szCs w:val="24"/>
          <w:vertAlign w:val="superscript"/>
        </w:rPr>
        <w:fldChar w:fldCharType="separate"/>
      </w:r>
      <w:r w:rsidR="00DF48AA" w:rsidRPr="003D1FBA">
        <w:rPr>
          <w:rFonts w:ascii="Arial" w:hAnsi="Arial" w:cs="Arial"/>
          <w:noProof/>
          <w:sz w:val="24"/>
          <w:szCs w:val="24"/>
          <w:vertAlign w:val="superscript"/>
        </w:rPr>
        <w:t>3,4</w:t>
      </w:r>
      <w:r w:rsidR="00DF48AA" w:rsidRPr="003D1FBA">
        <w:rPr>
          <w:rFonts w:ascii="Arial" w:hAnsi="Arial" w:cs="Arial"/>
          <w:sz w:val="24"/>
          <w:szCs w:val="24"/>
          <w:vertAlign w:val="superscript"/>
        </w:rPr>
        <w:fldChar w:fldCharType="end"/>
      </w:r>
      <w:r w:rsidR="005803B0" w:rsidRPr="003D1FBA">
        <w:rPr>
          <w:rFonts w:ascii="Arial" w:hAnsi="Arial" w:cs="Arial"/>
          <w:sz w:val="24"/>
          <w:szCs w:val="24"/>
        </w:rPr>
        <w:t xml:space="preserve"> </w:t>
      </w:r>
      <w:r w:rsidR="001B37CC" w:rsidRPr="003D1FBA">
        <w:rPr>
          <w:rFonts w:ascii="Arial" w:hAnsi="Arial" w:cs="Arial"/>
          <w:sz w:val="24"/>
          <w:szCs w:val="24"/>
        </w:rPr>
        <w:t>L</w:t>
      </w:r>
      <w:r w:rsidR="00436493">
        <w:rPr>
          <w:rFonts w:ascii="Arial" w:hAnsi="Arial" w:cs="Arial"/>
          <w:sz w:val="24"/>
          <w:szCs w:val="24"/>
        </w:rPr>
        <w:t>a</w:t>
      </w:r>
      <w:r w:rsidR="001B37CC" w:rsidRPr="003D1FBA">
        <w:rPr>
          <w:rFonts w:ascii="Arial" w:hAnsi="Arial" w:cs="Arial"/>
          <w:sz w:val="24"/>
          <w:szCs w:val="24"/>
        </w:rPr>
        <w:t>s lesion</w:t>
      </w:r>
      <w:r w:rsidR="00436493">
        <w:rPr>
          <w:rFonts w:ascii="Arial" w:hAnsi="Arial" w:cs="Arial"/>
          <w:sz w:val="24"/>
          <w:szCs w:val="24"/>
        </w:rPr>
        <w:t>e</w:t>
      </w:r>
      <w:r w:rsidR="001B37CC" w:rsidRPr="003D1FBA">
        <w:rPr>
          <w:rFonts w:ascii="Arial" w:hAnsi="Arial" w:cs="Arial"/>
          <w:sz w:val="24"/>
          <w:szCs w:val="24"/>
        </w:rPr>
        <w:t>s del L</w:t>
      </w:r>
      <w:r w:rsidR="00436493">
        <w:rPr>
          <w:rFonts w:ascii="Arial" w:hAnsi="Arial" w:cs="Arial"/>
          <w:sz w:val="24"/>
          <w:szCs w:val="24"/>
        </w:rPr>
        <w:t>C</w:t>
      </w:r>
      <w:r w:rsidR="001B37CC" w:rsidRPr="003D1FBA">
        <w:rPr>
          <w:rFonts w:ascii="Arial" w:hAnsi="Arial" w:cs="Arial"/>
          <w:sz w:val="24"/>
          <w:szCs w:val="24"/>
        </w:rPr>
        <w:t>A t</w:t>
      </w:r>
      <w:r w:rsidR="00436493">
        <w:rPr>
          <w:rFonts w:ascii="Arial" w:hAnsi="Arial" w:cs="Arial"/>
          <w:sz w:val="24"/>
          <w:szCs w:val="24"/>
        </w:rPr>
        <w:t>i</w:t>
      </w:r>
      <w:r w:rsidR="001B37CC" w:rsidRPr="003D1FBA">
        <w:rPr>
          <w:rFonts w:ascii="Arial" w:hAnsi="Arial" w:cs="Arial"/>
          <w:sz w:val="24"/>
          <w:szCs w:val="24"/>
        </w:rPr>
        <w:t>enen una incid</w:t>
      </w:r>
      <w:r w:rsidR="00436493">
        <w:rPr>
          <w:rFonts w:ascii="Arial" w:hAnsi="Arial" w:cs="Arial"/>
          <w:sz w:val="24"/>
          <w:szCs w:val="24"/>
        </w:rPr>
        <w:t>e</w:t>
      </w:r>
      <w:r w:rsidR="001B37CC" w:rsidRPr="003D1FBA">
        <w:rPr>
          <w:rFonts w:ascii="Arial" w:hAnsi="Arial" w:cs="Arial"/>
          <w:sz w:val="24"/>
          <w:szCs w:val="24"/>
        </w:rPr>
        <w:t>ncia de</w:t>
      </w:r>
      <w:r w:rsidR="00A96D35">
        <w:rPr>
          <w:rFonts w:ascii="Arial" w:hAnsi="Arial" w:cs="Arial"/>
          <w:sz w:val="24"/>
          <w:szCs w:val="24"/>
        </w:rPr>
        <w:t xml:space="preserve"> 0.</w:t>
      </w:r>
      <w:r w:rsidR="00F87479" w:rsidRPr="003D1FBA">
        <w:rPr>
          <w:rFonts w:ascii="Arial" w:hAnsi="Arial" w:cs="Arial"/>
          <w:sz w:val="24"/>
          <w:szCs w:val="24"/>
        </w:rPr>
        <w:t>28</w:t>
      </w:r>
      <w:r w:rsidR="001B37CC" w:rsidRPr="003D1FBA">
        <w:rPr>
          <w:rFonts w:ascii="Arial" w:hAnsi="Arial" w:cs="Arial"/>
          <w:sz w:val="24"/>
          <w:szCs w:val="24"/>
        </w:rPr>
        <w:t>/</w:t>
      </w:r>
      <w:r w:rsidR="00DB6526" w:rsidRPr="003D1FBA">
        <w:rPr>
          <w:rFonts w:ascii="Arial" w:hAnsi="Arial" w:cs="Arial"/>
          <w:sz w:val="24"/>
          <w:szCs w:val="24"/>
        </w:rPr>
        <w:t>1000h de pr</w:t>
      </w:r>
      <w:r w:rsidR="00436493">
        <w:rPr>
          <w:rFonts w:ascii="Arial" w:hAnsi="Arial" w:cs="Arial"/>
          <w:sz w:val="24"/>
          <w:szCs w:val="24"/>
        </w:rPr>
        <w:t>á</w:t>
      </w:r>
      <w:r w:rsidR="00DB6526" w:rsidRPr="003D1FBA">
        <w:rPr>
          <w:rFonts w:ascii="Arial" w:hAnsi="Arial" w:cs="Arial"/>
          <w:sz w:val="24"/>
          <w:szCs w:val="24"/>
        </w:rPr>
        <w:t xml:space="preserve">ctica </w:t>
      </w:r>
      <w:r w:rsidR="00436493">
        <w:rPr>
          <w:rFonts w:ascii="Arial" w:hAnsi="Arial" w:cs="Arial"/>
          <w:sz w:val="24"/>
          <w:szCs w:val="24"/>
        </w:rPr>
        <w:t>de</w:t>
      </w:r>
      <w:r w:rsidR="00DB6526" w:rsidRPr="003D1FBA">
        <w:rPr>
          <w:rFonts w:ascii="Arial" w:hAnsi="Arial" w:cs="Arial"/>
          <w:sz w:val="24"/>
          <w:szCs w:val="24"/>
        </w:rPr>
        <w:t>portiva</w:t>
      </w:r>
      <w:r w:rsidR="001B37CC" w:rsidRPr="003D1FBA">
        <w:rPr>
          <w:rFonts w:ascii="Arial" w:hAnsi="Arial" w:cs="Arial"/>
          <w:sz w:val="24"/>
          <w:szCs w:val="24"/>
        </w:rPr>
        <w:t xml:space="preserve"> en </w:t>
      </w:r>
      <w:r w:rsidR="00436493">
        <w:rPr>
          <w:rFonts w:ascii="Arial" w:hAnsi="Arial" w:cs="Arial"/>
          <w:sz w:val="24"/>
          <w:szCs w:val="24"/>
        </w:rPr>
        <w:t>el baloncesto</w:t>
      </w:r>
      <w:r w:rsidR="001B37CC" w:rsidRPr="003D1FBA">
        <w:rPr>
          <w:rFonts w:ascii="Arial" w:hAnsi="Arial" w:cs="Arial"/>
          <w:sz w:val="24"/>
          <w:szCs w:val="24"/>
        </w:rPr>
        <w:t xml:space="preserve"> femen</w:t>
      </w:r>
      <w:r w:rsidR="00436493">
        <w:rPr>
          <w:rFonts w:ascii="Arial" w:hAnsi="Arial" w:cs="Arial"/>
          <w:sz w:val="24"/>
          <w:szCs w:val="24"/>
        </w:rPr>
        <w:t>ino</w:t>
      </w:r>
      <w:r w:rsidR="00874C4D" w:rsidRPr="003D1FBA">
        <w:rPr>
          <w:rFonts w:ascii="Arial" w:hAnsi="Arial" w:cs="Arial"/>
          <w:sz w:val="24"/>
          <w:szCs w:val="24"/>
        </w:rPr>
        <w:t xml:space="preserve"> </w:t>
      </w:r>
      <w:r w:rsidR="00DF48AA" w:rsidRPr="003D1FBA">
        <w:rPr>
          <w:rFonts w:ascii="Arial" w:hAnsi="Arial" w:cs="Arial"/>
          <w:sz w:val="24"/>
          <w:szCs w:val="24"/>
          <w:vertAlign w:val="superscript"/>
        </w:rPr>
        <w:fldChar w:fldCharType="begin" w:fldLock="1"/>
      </w:r>
      <w:r w:rsidR="007E2E79" w:rsidRPr="003D1FBA">
        <w:rPr>
          <w:rFonts w:ascii="Arial" w:hAnsi="Arial" w:cs="Arial"/>
          <w:sz w:val="24"/>
          <w:szCs w:val="24"/>
          <w:vertAlign w:val="superscript"/>
        </w:rPr>
        <w:instrText>ADDIN CSL_CITATION {"citationItems":[{"id":"ITEM-1","itemData":{"DOI":"10.1016/j.arthro.2009.02.021","ISBN":"1526-3231 (Electronic)\\r0749-8063 (Linking)","ISSN":"07498063","PMID":"19664500","abstract":"Purpose: The purpose of this study was to determine the rate of return to play and to quantify the effect on the basketball player's performance after surgical reconstruction of the anterior cruciate ligament (ACL). Methods: Surgical injuries involving the ACL were queried for a 10-year period (1993-1994 season through 2004-2005 season) from the database maintained by the National Basketball Association (NBA). Standard statistical categories and player efficiency rating (PER), a measure that accounts for positive and negative playing statistics, were calculated to determine the impact of the injury on player performance relative to a matched comparison group. Over the study period, 31 NBA players had 32 ACL reconstructions. Two patients were excluded because of multiple ACL injuries, one was excluded because he never participated in league play, and another was the result of nonathletic activity. Results: Of the 27 players in the study group, 6 (22%) did not return to NBA competition. Of the 21 players (78%) who did return to play, 4 (15%) had an increase in the preinjury PER, 5 (19%) remained within 1 point of the preinjury PER, and the PER decreased by more than 1 point after return to play in 12 (44%). Although decreases occurred in most of the statistical categories for players returning from ACL surgery, the number of games played, field goal percentage, and number of turnovers per game were the only categories with a statistically significant decrease. Players in the comparison group had a statistically significant increase in the PER over their careers, whereas the study group had a marked, though not statistically significant, increase in the PER in the season after reconstruction. Conclusions: After ACL reconstruction in 27 basketball players, 22% did not return to a sanctioned NBA game. For those returning to play, performance decreased by more than 1 PER point in 44% of the patients, although the changes were not statistically significant relative to the comparison group. Level of Evidence: Level IV, therapeutic case series. © 2009 Arthroscopy Association of North America.","author":[{"dropping-particle":"","family":"Busfield","given":"Benjamin T.","non-dropping-particle":"","parse-names":false,"suffix":""},{"dropping-particle":"","family":"Kharrazi","given":"F. Daniel","non-dropping-particle":"","parse-names":false,"suffix":""},{"dropping-particle":"","family":"Starkey","given":"Chad","non-dropping-particle":"","parse-names":false,"suffix":""},{"dropping-particle":"","family":"Lombardo","given":"Stephen J.","non-dropping-particle":"","parse-names":false,"suffix":""},{"dropping-particle":"","family":"Seegmiller","given":"Jeffrey","non-dropping-particle":"","parse-names":false,"suffix":""}],"container-title":"Arthroscopy - Journal of Arthroscopic and Related Surgery","id":"ITEM-1","issue":"8","issued":{"date-parts":[["2009"]]},"page":"825-830","publisher":"Arthroscopy Association of North America","title":"Performance Outcomes of Anterior Cruciate Ligament Reconstruction in the National Basketball Association","type":"article-journal","volume":"25"},"uris":["http://www.mendeley.com/documents/?uuid=effff728-8f4d-4e6e-a7be-3cde49944da4"]}],"mendeley":{"formattedCitation":"(5)","manualFormatting":"5","plainTextFormattedCitation":"(5)","previouslyFormattedCitation":"(5)"},"properties":{"noteIndex":0},"schema":"https://github.com/citation-style-language/schema/raw/master/csl-citation.json"}</w:instrText>
      </w:r>
      <w:r w:rsidR="00DF48AA" w:rsidRPr="003D1FBA">
        <w:rPr>
          <w:rFonts w:ascii="Arial" w:hAnsi="Arial" w:cs="Arial"/>
          <w:sz w:val="24"/>
          <w:szCs w:val="24"/>
          <w:vertAlign w:val="superscript"/>
        </w:rPr>
        <w:fldChar w:fldCharType="separate"/>
      </w:r>
      <w:r w:rsidR="00DF48AA" w:rsidRPr="003D1FBA">
        <w:rPr>
          <w:rFonts w:ascii="Arial" w:hAnsi="Arial" w:cs="Arial"/>
          <w:noProof/>
          <w:sz w:val="24"/>
          <w:szCs w:val="24"/>
          <w:vertAlign w:val="superscript"/>
        </w:rPr>
        <w:t>5</w:t>
      </w:r>
      <w:r w:rsidR="00DF48AA" w:rsidRPr="003D1FBA">
        <w:rPr>
          <w:rFonts w:ascii="Arial" w:hAnsi="Arial" w:cs="Arial"/>
          <w:sz w:val="24"/>
          <w:szCs w:val="24"/>
          <w:vertAlign w:val="superscript"/>
        </w:rPr>
        <w:fldChar w:fldCharType="end"/>
      </w:r>
      <w:r w:rsidR="00A66C21" w:rsidRPr="003D1FBA">
        <w:rPr>
          <w:rFonts w:ascii="Arial" w:hAnsi="Arial" w:cs="Arial"/>
          <w:sz w:val="24"/>
          <w:szCs w:val="24"/>
        </w:rPr>
        <w:t xml:space="preserve"> </w:t>
      </w:r>
      <w:r w:rsidR="00436493">
        <w:rPr>
          <w:rFonts w:ascii="Arial" w:hAnsi="Arial" w:cs="Arial"/>
          <w:sz w:val="24"/>
          <w:szCs w:val="24"/>
        </w:rPr>
        <w:t>y</w:t>
      </w:r>
      <w:r w:rsidR="00A96D35">
        <w:rPr>
          <w:rFonts w:ascii="Arial" w:hAnsi="Arial" w:cs="Arial"/>
          <w:sz w:val="24"/>
          <w:szCs w:val="24"/>
        </w:rPr>
        <w:t xml:space="preserve"> de 0.</w:t>
      </w:r>
      <w:r w:rsidR="00F87479" w:rsidRPr="003D1FBA">
        <w:rPr>
          <w:rFonts w:ascii="Arial" w:hAnsi="Arial" w:cs="Arial"/>
          <w:sz w:val="24"/>
          <w:szCs w:val="24"/>
        </w:rPr>
        <w:t>97</w:t>
      </w:r>
      <w:r w:rsidR="001B37CC" w:rsidRPr="003D1FBA">
        <w:rPr>
          <w:rFonts w:ascii="Arial" w:hAnsi="Arial" w:cs="Arial"/>
          <w:sz w:val="24"/>
          <w:szCs w:val="24"/>
        </w:rPr>
        <w:t>/</w:t>
      </w:r>
      <w:r w:rsidR="00B8648D" w:rsidRPr="003D1FBA">
        <w:rPr>
          <w:rFonts w:ascii="Arial" w:hAnsi="Arial" w:cs="Arial"/>
          <w:sz w:val="24"/>
          <w:szCs w:val="24"/>
        </w:rPr>
        <w:t>1000h de parti</w:t>
      </w:r>
      <w:r w:rsidR="00436493">
        <w:rPr>
          <w:rFonts w:ascii="Arial" w:hAnsi="Arial" w:cs="Arial"/>
          <w:sz w:val="24"/>
          <w:szCs w:val="24"/>
        </w:rPr>
        <w:t>do</w:t>
      </w:r>
      <w:r w:rsidR="00B8648D" w:rsidRPr="003D1FBA">
        <w:rPr>
          <w:rFonts w:ascii="Arial" w:hAnsi="Arial" w:cs="Arial"/>
          <w:sz w:val="24"/>
          <w:szCs w:val="24"/>
        </w:rPr>
        <w:t>s</w:t>
      </w:r>
      <w:r w:rsidR="001B37CC" w:rsidRPr="003D1FBA">
        <w:rPr>
          <w:rFonts w:ascii="Arial" w:hAnsi="Arial" w:cs="Arial"/>
          <w:sz w:val="24"/>
          <w:szCs w:val="24"/>
        </w:rPr>
        <w:t xml:space="preserve"> en</w:t>
      </w:r>
      <w:r w:rsidR="00436493">
        <w:rPr>
          <w:rFonts w:ascii="Arial" w:hAnsi="Arial" w:cs="Arial"/>
          <w:sz w:val="24"/>
          <w:szCs w:val="24"/>
        </w:rPr>
        <w:t xml:space="preserve"> el</w:t>
      </w:r>
      <w:r w:rsidR="001B37CC" w:rsidRPr="003D1FBA">
        <w:rPr>
          <w:rFonts w:ascii="Arial" w:hAnsi="Arial" w:cs="Arial"/>
          <w:sz w:val="24"/>
          <w:szCs w:val="24"/>
        </w:rPr>
        <w:t xml:space="preserve"> </w:t>
      </w:r>
      <w:r w:rsidR="00D93E1F">
        <w:rPr>
          <w:rFonts w:ascii="Arial" w:hAnsi="Arial" w:cs="Arial"/>
          <w:sz w:val="24"/>
          <w:szCs w:val="24"/>
        </w:rPr>
        <w:t>balonmano</w:t>
      </w:r>
      <w:r w:rsidR="001B37CC" w:rsidRPr="003D1FBA">
        <w:rPr>
          <w:rFonts w:ascii="Arial" w:hAnsi="Arial" w:cs="Arial"/>
          <w:sz w:val="24"/>
          <w:szCs w:val="24"/>
        </w:rPr>
        <w:t xml:space="preserve"> femen</w:t>
      </w:r>
      <w:r w:rsidR="00436493">
        <w:rPr>
          <w:rFonts w:ascii="Arial" w:hAnsi="Arial" w:cs="Arial"/>
          <w:sz w:val="24"/>
          <w:szCs w:val="24"/>
        </w:rPr>
        <w:t>ino</w:t>
      </w:r>
      <w:r w:rsidR="005356C7">
        <w:rPr>
          <w:rFonts w:ascii="Arial" w:hAnsi="Arial" w:cs="Arial"/>
          <w:sz w:val="24"/>
          <w:szCs w:val="24"/>
        </w:rPr>
        <w:t>.</w:t>
      </w:r>
      <w:r w:rsidR="00DF48AA" w:rsidRPr="003D1FBA">
        <w:rPr>
          <w:rFonts w:ascii="Arial" w:hAnsi="Arial" w:cs="Arial"/>
          <w:sz w:val="24"/>
          <w:szCs w:val="24"/>
          <w:vertAlign w:val="superscript"/>
        </w:rPr>
        <w:fldChar w:fldCharType="begin" w:fldLock="1"/>
      </w:r>
      <w:r w:rsidR="007E2E79" w:rsidRPr="003D1FBA">
        <w:rPr>
          <w:rFonts w:ascii="Arial" w:hAnsi="Arial" w:cs="Arial"/>
          <w:sz w:val="24"/>
          <w:szCs w:val="24"/>
          <w:vertAlign w:val="superscript"/>
        </w:rPr>
        <w:instrText>ADDIN CSL_CITATION {"citationItems":[{"id":"ITEM-1","itemData":{"DOI":"10.1111/j.1600-0838.1997.tb00155.x","ISBN":"0905-7188 (Print)\\r0905-7188 (Linking)","ISSN":"09057188","PMID":"9338947","abstract":"All cruciate ligament injuries in the three upper divisions for men and women (3392 players) in Norwegian team handball in the 1989-90 and 1990-91 seasons were registered. A questionnaire was mailed to all injured players. Ninety-three cruciate ligament injuries were registered; 87 in the anterior cruciate ligament (ACL), and six in the posterior cruciate ligament (PCL). Among women, 1.8% were injured compared with 1.0% of the men. In the first division, the risk of being injured was considerably higher: 4.5% of the players had a cruciate ligament injury. There were 0.97 cruciate ligament injuries per 100 playing hours in the three divisions taken together. Seventy-five per cent of the injuries occurred during games. Ninety-five per cent involved no contact between players. Activities in which the friction between shoe and floor was significant caused 55% of the injuries. Injuries caused by running into another player contributed to only 5% of the injuries. No significant differences were observed in injury incidence during matches between different types of floors (parquet, Pulastic and other synthetic surfaces.)","author":[{"dropping-particle":"","family":"Myklebust","given":"G.","non-dropping-particle":"","parse-names":false,"suffix":""},{"dropping-particle":"","family":"Maehlum","given":"S.","non-dropping-particle":"","parse-names":false,"suffix":""},{"dropping-particle":"","family":"Engebretsen","given":"L.","non-dropping-particle":"","parse-names":false,"suffix":""},{"dropping-particle":"","family":"Strand","given":"T.","non-dropping-particle":"","parse-names":false,"suffix":""},{"dropping-particle":"","family":"Solheim","given":"E.","non-dropping-particle":"","parse-names":false,"suffix":""}],"container-title":"Scand J Med Sci Sports Science in Sports","id":"ITEM-1","issue":"5","issued":{"date-parts":[["1997"]]},"page":"289-92","title":"Registration of cruciate ligament injuries in Norwegian top level team handball. A prospective study covering two seasons","type":"article-journal","volume":"7"},"uris":["http://www.mendeley.com/documents/?uuid=861ba910-cf81-4e23-9d7a-f8afdc1f0d50"]}],"mendeley":{"formattedCitation":"(8)","manualFormatting":"8","plainTextFormattedCitation":"(8)","previouslyFormattedCitation":"(8)"},"properties":{"noteIndex":0},"schema":"https://github.com/citation-style-language/schema/raw/master/csl-citation.json"}</w:instrText>
      </w:r>
      <w:r w:rsidR="00DF48AA" w:rsidRPr="003D1FBA">
        <w:rPr>
          <w:rFonts w:ascii="Arial" w:hAnsi="Arial" w:cs="Arial"/>
          <w:sz w:val="24"/>
          <w:szCs w:val="24"/>
          <w:vertAlign w:val="superscript"/>
        </w:rPr>
        <w:fldChar w:fldCharType="separate"/>
      </w:r>
      <w:r w:rsidR="00DF48AA" w:rsidRPr="003D1FBA">
        <w:rPr>
          <w:rFonts w:ascii="Arial" w:hAnsi="Arial" w:cs="Arial"/>
          <w:noProof/>
          <w:sz w:val="24"/>
          <w:szCs w:val="24"/>
          <w:vertAlign w:val="superscript"/>
        </w:rPr>
        <w:t>8</w:t>
      </w:r>
      <w:r w:rsidR="00DF48AA" w:rsidRPr="003D1FBA">
        <w:rPr>
          <w:rFonts w:ascii="Arial" w:hAnsi="Arial" w:cs="Arial"/>
          <w:sz w:val="24"/>
          <w:szCs w:val="24"/>
          <w:vertAlign w:val="superscript"/>
        </w:rPr>
        <w:fldChar w:fldCharType="end"/>
      </w:r>
    </w:p>
    <w:p w:rsidR="00212E4E" w:rsidRPr="003D1FBA" w:rsidRDefault="00DE0FB9" w:rsidP="00270DA1">
      <w:pPr>
        <w:spacing w:line="360" w:lineRule="auto"/>
        <w:jc w:val="both"/>
        <w:rPr>
          <w:rFonts w:ascii="Arial" w:hAnsi="Arial" w:cs="Arial"/>
          <w:sz w:val="24"/>
          <w:szCs w:val="24"/>
        </w:rPr>
      </w:pPr>
      <w:r>
        <w:rPr>
          <w:rFonts w:ascii="Arial" w:hAnsi="Arial" w:cs="Arial"/>
          <w:sz w:val="24"/>
          <w:szCs w:val="24"/>
        </w:rPr>
        <w:t>Aunque</w:t>
      </w:r>
      <w:r w:rsidR="00212E4E" w:rsidRPr="003D1FBA">
        <w:rPr>
          <w:rFonts w:ascii="Arial" w:hAnsi="Arial" w:cs="Arial"/>
          <w:sz w:val="24"/>
          <w:szCs w:val="24"/>
        </w:rPr>
        <w:t xml:space="preserve"> el ri</w:t>
      </w:r>
      <w:r>
        <w:rPr>
          <w:rFonts w:ascii="Arial" w:hAnsi="Arial" w:cs="Arial"/>
          <w:sz w:val="24"/>
          <w:szCs w:val="24"/>
        </w:rPr>
        <w:t>esgo</w:t>
      </w:r>
      <w:r w:rsidR="00212E4E" w:rsidRPr="003D1FBA">
        <w:rPr>
          <w:rFonts w:ascii="Arial" w:hAnsi="Arial" w:cs="Arial"/>
          <w:sz w:val="24"/>
          <w:szCs w:val="24"/>
        </w:rPr>
        <w:t xml:space="preserve"> de </w:t>
      </w:r>
      <w:r>
        <w:rPr>
          <w:rFonts w:ascii="Arial" w:hAnsi="Arial" w:cs="Arial"/>
          <w:sz w:val="24"/>
          <w:szCs w:val="24"/>
        </w:rPr>
        <w:t>sufr</w:t>
      </w:r>
      <w:r w:rsidR="00212E4E" w:rsidRPr="003D1FBA">
        <w:rPr>
          <w:rFonts w:ascii="Arial" w:hAnsi="Arial" w:cs="Arial"/>
          <w:sz w:val="24"/>
          <w:szCs w:val="24"/>
        </w:rPr>
        <w:t>ir una lesió</w:t>
      </w:r>
      <w:r>
        <w:rPr>
          <w:rFonts w:ascii="Arial" w:hAnsi="Arial" w:cs="Arial"/>
          <w:sz w:val="24"/>
          <w:szCs w:val="24"/>
        </w:rPr>
        <w:t>n</w:t>
      </w:r>
      <w:r w:rsidR="00212E4E" w:rsidRPr="003D1FBA">
        <w:rPr>
          <w:rFonts w:ascii="Arial" w:hAnsi="Arial" w:cs="Arial"/>
          <w:sz w:val="24"/>
          <w:szCs w:val="24"/>
        </w:rPr>
        <w:t xml:space="preserve"> del L</w:t>
      </w:r>
      <w:r>
        <w:rPr>
          <w:rFonts w:ascii="Arial" w:hAnsi="Arial" w:cs="Arial"/>
          <w:sz w:val="24"/>
          <w:szCs w:val="24"/>
        </w:rPr>
        <w:t>C</w:t>
      </w:r>
      <w:r w:rsidR="00212E4E" w:rsidRPr="003D1FBA">
        <w:rPr>
          <w:rFonts w:ascii="Arial" w:hAnsi="Arial" w:cs="Arial"/>
          <w:sz w:val="24"/>
          <w:szCs w:val="24"/>
        </w:rPr>
        <w:t xml:space="preserve">A </w:t>
      </w:r>
      <w:r>
        <w:rPr>
          <w:rFonts w:ascii="Arial" w:hAnsi="Arial" w:cs="Arial"/>
          <w:sz w:val="24"/>
          <w:szCs w:val="24"/>
        </w:rPr>
        <w:t>e</w:t>
      </w:r>
      <w:r w:rsidR="00212E4E" w:rsidRPr="003D1FBA">
        <w:rPr>
          <w:rFonts w:ascii="Arial" w:hAnsi="Arial" w:cs="Arial"/>
          <w:sz w:val="24"/>
          <w:szCs w:val="24"/>
        </w:rPr>
        <w:t>s multifactorial, l</w:t>
      </w:r>
      <w:r>
        <w:rPr>
          <w:rFonts w:ascii="Arial" w:hAnsi="Arial" w:cs="Arial"/>
          <w:sz w:val="24"/>
          <w:szCs w:val="24"/>
        </w:rPr>
        <w:t>a</w:t>
      </w:r>
      <w:r w:rsidR="00212E4E" w:rsidRPr="003D1FBA">
        <w:rPr>
          <w:rFonts w:ascii="Arial" w:hAnsi="Arial" w:cs="Arial"/>
          <w:sz w:val="24"/>
          <w:szCs w:val="24"/>
        </w:rPr>
        <w:t>s anomal</w:t>
      </w:r>
      <w:r>
        <w:rPr>
          <w:rFonts w:ascii="Arial" w:hAnsi="Arial" w:cs="Arial"/>
          <w:sz w:val="24"/>
          <w:szCs w:val="24"/>
        </w:rPr>
        <w:t>ía</w:t>
      </w:r>
      <w:r w:rsidR="00212E4E" w:rsidRPr="003D1FBA">
        <w:rPr>
          <w:rFonts w:ascii="Arial" w:hAnsi="Arial" w:cs="Arial"/>
          <w:sz w:val="24"/>
          <w:szCs w:val="24"/>
        </w:rPr>
        <w:t xml:space="preserve">s en </w:t>
      </w:r>
      <w:r>
        <w:rPr>
          <w:rFonts w:ascii="Arial" w:hAnsi="Arial" w:cs="Arial"/>
          <w:sz w:val="24"/>
          <w:szCs w:val="24"/>
        </w:rPr>
        <w:t>lo</w:t>
      </w:r>
      <w:r w:rsidR="00212E4E" w:rsidRPr="003D1FBA">
        <w:rPr>
          <w:rFonts w:ascii="Arial" w:hAnsi="Arial" w:cs="Arial"/>
          <w:sz w:val="24"/>
          <w:szCs w:val="24"/>
        </w:rPr>
        <w:t>s patron</w:t>
      </w:r>
      <w:r>
        <w:rPr>
          <w:rFonts w:ascii="Arial" w:hAnsi="Arial" w:cs="Arial"/>
          <w:sz w:val="24"/>
          <w:szCs w:val="24"/>
        </w:rPr>
        <w:t>e</w:t>
      </w:r>
      <w:r w:rsidR="00212E4E" w:rsidRPr="003D1FBA">
        <w:rPr>
          <w:rFonts w:ascii="Arial" w:hAnsi="Arial" w:cs="Arial"/>
          <w:sz w:val="24"/>
          <w:szCs w:val="24"/>
        </w:rPr>
        <w:t xml:space="preserve">s de </w:t>
      </w:r>
      <w:r w:rsidRPr="003D1FBA">
        <w:rPr>
          <w:rFonts w:ascii="Arial" w:hAnsi="Arial" w:cs="Arial"/>
          <w:sz w:val="24"/>
          <w:szCs w:val="24"/>
        </w:rPr>
        <w:t>movimien</w:t>
      </w:r>
      <w:r>
        <w:rPr>
          <w:rFonts w:ascii="Arial" w:hAnsi="Arial" w:cs="Arial"/>
          <w:sz w:val="24"/>
          <w:szCs w:val="24"/>
        </w:rPr>
        <w:t>to</w:t>
      </w:r>
      <w:r w:rsidR="00874C4D" w:rsidRPr="003D1FBA">
        <w:rPr>
          <w:rFonts w:ascii="Arial" w:hAnsi="Arial" w:cs="Arial"/>
          <w:sz w:val="24"/>
          <w:szCs w:val="24"/>
        </w:rPr>
        <w:t>,</w:t>
      </w:r>
      <w:r w:rsidR="00212E4E" w:rsidRPr="003D1FBA">
        <w:rPr>
          <w:rFonts w:ascii="Arial" w:hAnsi="Arial" w:cs="Arial"/>
          <w:sz w:val="24"/>
          <w:szCs w:val="24"/>
        </w:rPr>
        <w:t xml:space="preserve"> com</w:t>
      </w:r>
      <w:r>
        <w:rPr>
          <w:rFonts w:ascii="Arial" w:hAnsi="Arial" w:cs="Arial"/>
          <w:sz w:val="24"/>
          <w:szCs w:val="24"/>
        </w:rPr>
        <w:t>o</w:t>
      </w:r>
      <w:r w:rsidR="00212E4E" w:rsidRPr="003D1FBA">
        <w:rPr>
          <w:rFonts w:ascii="Arial" w:hAnsi="Arial" w:cs="Arial"/>
          <w:sz w:val="24"/>
          <w:szCs w:val="24"/>
        </w:rPr>
        <w:t xml:space="preserve"> el valg</w:t>
      </w:r>
      <w:r>
        <w:rPr>
          <w:rFonts w:ascii="Arial" w:hAnsi="Arial" w:cs="Arial"/>
          <w:sz w:val="24"/>
          <w:szCs w:val="24"/>
        </w:rPr>
        <w:t>o</w:t>
      </w:r>
      <w:r w:rsidR="00212E4E" w:rsidRPr="003D1FBA">
        <w:rPr>
          <w:rFonts w:ascii="Arial" w:hAnsi="Arial" w:cs="Arial"/>
          <w:sz w:val="24"/>
          <w:szCs w:val="24"/>
        </w:rPr>
        <w:t xml:space="preserve"> din</w:t>
      </w:r>
      <w:r>
        <w:rPr>
          <w:rFonts w:ascii="Arial" w:hAnsi="Arial" w:cs="Arial"/>
          <w:sz w:val="24"/>
          <w:szCs w:val="24"/>
        </w:rPr>
        <w:t>á</w:t>
      </w:r>
      <w:r w:rsidR="00212E4E" w:rsidRPr="003D1FBA">
        <w:rPr>
          <w:rFonts w:ascii="Arial" w:hAnsi="Arial" w:cs="Arial"/>
          <w:sz w:val="24"/>
          <w:szCs w:val="24"/>
        </w:rPr>
        <w:t>mic</w:t>
      </w:r>
      <w:r>
        <w:rPr>
          <w:rFonts w:ascii="Arial" w:hAnsi="Arial" w:cs="Arial"/>
          <w:sz w:val="24"/>
          <w:szCs w:val="24"/>
        </w:rPr>
        <w:t>o</w:t>
      </w:r>
      <w:r w:rsidR="00212E4E" w:rsidRPr="003D1FBA">
        <w:rPr>
          <w:rFonts w:ascii="Arial" w:hAnsi="Arial" w:cs="Arial"/>
          <w:sz w:val="24"/>
          <w:szCs w:val="24"/>
        </w:rPr>
        <w:t xml:space="preserve"> de </w:t>
      </w:r>
      <w:r>
        <w:rPr>
          <w:rFonts w:ascii="Arial" w:hAnsi="Arial" w:cs="Arial"/>
          <w:sz w:val="24"/>
          <w:szCs w:val="24"/>
        </w:rPr>
        <w:t>la rodilla</w:t>
      </w:r>
      <w:r w:rsidR="00212E4E" w:rsidRPr="003D1FBA">
        <w:rPr>
          <w:rFonts w:ascii="Arial" w:hAnsi="Arial" w:cs="Arial"/>
          <w:sz w:val="24"/>
          <w:szCs w:val="24"/>
        </w:rPr>
        <w:t>, durant</w:t>
      </w:r>
      <w:r>
        <w:rPr>
          <w:rFonts w:ascii="Arial" w:hAnsi="Arial" w:cs="Arial"/>
          <w:sz w:val="24"/>
          <w:szCs w:val="24"/>
        </w:rPr>
        <w:t>e</w:t>
      </w:r>
      <w:r w:rsidR="00212E4E" w:rsidRPr="003D1FBA">
        <w:rPr>
          <w:rFonts w:ascii="Arial" w:hAnsi="Arial" w:cs="Arial"/>
          <w:sz w:val="24"/>
          <w:szCs w:val="24"/>
        </w:rPr>
        <w:t xml:space="preserve"> l</w:t>
      </w:r>
      <w:r>
        <w:rPr>
          <w:rFonts w:ascii="Arial" w:hAnsi="Arial" w:cs="Arial"/>
          <w:sz w:val="24"/>
          <w:szCs w:val="24"/>
        </w:rPr>
        <w:t>a</w:t>
      </w:r>
      <w:r w:rsidR="00212E4E" w:rsidRPr="003D1FBA">
        <w:rPr>
          <w:rFonts w:ascii="Arial" w:hAnsi="Arial" w:cs="Arial"/>
          <w:sz w:val="24"/>
          <w:szCs w:val="24"/>
        </w:rPr>
        <w:t>s activi</w:t>
      </w:r>
      <w:r>
        <w:rPr>
          <w:rFonts w:ascii="Arial" w:hAnsi="Arial" w:cs="Arial"/>
          <w:sz w:val="24"/>
          <w:szCs w:val="24"/>
        </w:rPr>
        <w:t>dades</w:t>
      </w:r>
      <w:r w:rsidR="00212E4E" w:rsidRPr="003D1FBA">
        <w:rPr>
          <w:rFonts w:ascii="Arial" w:hAnsi="Arial" w:cs="Arial"/>
          <w:sz w:val="24"/>
          <w:szCs w:val="24"/>
        </w:rPr>
        <w:t xml:space="preserve"> d</w:t>
      </w:r>
      <w:r>
        <w:rPr>
          <w:rFonts w:ascii="Arial" w:hAnsi="Arial" w:cs="Arial"/>
          <w:sz w:val="24"/>
          <w:szCs w:val="24"/>
        </w:rPr>
        <w:t xml:space="preserve">e </w:t>
      </w:r>
      <w:r w:rsidR="00212E4E" w:rsidRPr="003D1FBA">
        <w:rPr>
          <w:rFonts w:ascii="Arial" w:hAnsi="Arial" w:cs="Arial"/>
          <w:sz w:val="24"/>
          <w:szCs w:val="24"/>
        </w:rPr>
        <w:t>alt</w:t>
      </w:r>
      <w:r>
        <w:rPr>
          <w:rFonts w:ascii="Arial" w:hAnsi="Arial" w:cs="Arial"/>
          <w:sz w:val="24"/>
          <w:szCs w:val="24"/>
        </w:rPr>
        <w:t>o</w:t>
      </w:r>
      <w:r w:rsidR="00212E4E" w:rsidRPr="003D1FBA">
        <w:rPr>
          <w:rFonts w:ascii="Arial" w:hAnsi="Arial" w:cs="Arial"/>
          <w:sz w:val="24"/>
          <w:szCs w:val="24"/>
        </w:rPr>
        <w:t xml:space="preserve"> impact</w:t>
      </w:r>
      <w:r>
        <w:rPr>
          <w:rFonts w:ascii="Arial" w:hAnsi="Arial" w:cs="Arial"/>
          <w:sz w:val="24"/>
          <w:szCs w:val="24"/>
        </w:rPr>
        <w:t>o</w:t>
      </w:r>
      <w:r w:rsidR="00212E4E" w:rsidRPr="003D1FBA">
        <w:rPr>
          <w:rFonts w:ascii="Arial" w:hAnsi="Arial" w:cs="Arial"/>
          <w:sz w:val="24"/>
          <w:szCs w:val="24"/>
        </w:rPr>
        <w:t xml:space="preserve"> com</w:t>
      </w:r>
      <w:r>
        <w:rPr>
          <w:rFonts w:ascii="Arial" w:hAnsi="Arial" w:cs="Arial"/>
          <w:sz w:val="24"/>
          <w:szCs w:val="24"/>
        </w:rPr>
        <w:t>o</w:t>
      </w:r>
      <w:r w:rsidR="00212E4E" w:rsidRPr="003D1FBA">
        <w:rPr>
          <w:rFonts w:ascii="Arial" w:hAnsi="Arial" w:cs="Arial"/>
          <w:sz w:val="24"/>
          <w:szCs w:val="24"/>
        </w:rPr>
        <w:t xml:space="preserve"> </w:t>
      </w:r>
      <w:r>
        <w:rPr>
          <w:rFonts w:ascii="Arial" w:hAnsi="Arial" w:cs="Arial"/>
          <w:sz w:val="24"/>
          <w:szCs w:val="24"/>
        </w:rPr>
        <w:t>lo</w:t>
      </w:r>
      <w:r w:rsidR="00212E4E" w:rsidRPr="003D1FBA">
        <w:rPr>
          <w:rFonts w:ascii="Arial" w:hAnsi="Arial" w:cs="Arial"/>
          <w:sz w:val="24"/>
          <w:szCs w:val="24"/>
        </w:rPr>
        <w:t>s ca</w:t>
      </w:r>
      <w:r>
        <w:rPr>
          <w:rFonts w:ascii="Arial" w:hAnsi="Arial" w:cs="Arial"/>
          <w:sz w:val="24"/>
          <w:szCs w:val="24"/>
        </w:rPr>
        <w:t>mb</w:t>
      </w:r>
      <w:r w:rsidR="00212E4E" w:rsidRPr="003D1FBA">
        <w:rPr>
          <w:rFonts w:ascii="Arial" w:hAnsi="Arial" w:cs="Arial"/>
          <w:sz w:val="24"/>
          <w:szCs w:val="24"/>
        </w:rPr>
        <w:t>i</w:t>
      </w:r>
      <w:r>
        <w:rPr>
          <w:rFonts w:ascii="Arial" w:hAnsi="Arial" w:cs="Arial"/>
          <w:sz w:val="24"/>
          <w:szCs w:val="24"/>
        </w:rPr>
        <w:t>o</w:t>
      </w:r>
      <w:r w:rsidR="00212E4E" w:rsidRPr="003D1FBA">
        <w:rPr>
          <w:rFonts w:ascii="Arial" w:hAnsi="Arial" w:cs="Arial"/>
          <w:sz w:val="24"/>
          <w:szCs w:val="24"/>
        </w:rPr>
        <w:t>s de direcció</w:t>
      </w:r>
      <w:r>
        <w:rPr>
          <w:rFonts w:ascii="Arial" w:hAnsi="Arial" w:cs="Arial"/>
          <w:sz w:val="24"/>
          <w:szCs w:val="24"/>
        </w:rPr>
        <w:t>n</w:t>
      </w:r>
      <w:r w:rsidR="00212E4E" w:rsidRPr="003D1FBA">
        <w:rPr>
          <w:rFonts w:ascii="Arial" w:hAnsi="Arial" w:cs="Arial"/>
          <w:sz w:val="24"/>
          <w:szCs w:val="24"/>
        </w:rPr>
        <w:t xml:space="preserve">, </w:t>
      </w:r>
      <w:r>
        <w:rPr>
          <w:rFonts w:ascii="Arial" w:hAnsi="Arial" w:cs="Arial"/>
          <w:sz w:val="24"/>
          <w:szCs w:val="24"/>
        </w:rPr>
        <w:t>lo</w:t>
      </w:r>
      <w:r w:rsidR="00212E4E" w:rsidRPr="003D1FBA">
        <w:rPr>
          <w:rFonts w:ascii="Arial" w:hAnsi="Arial" w:cs="Arial"/>
          <w:sz w:val="24"/>
          <w:szCs w:val="24"/>
        </w:rPr>
        <w:t>s ater</w:t>
      </w:r>
      <w:r>
        <w:rPr>
          <w:rFonts w:ascii="Arial" w:hAnsi="Arial" w:cs="Arial"/>
          <w:sz w:val="24"/>
          <w:szCs w:val="24"/>
        </w:rPr>
        <w:t>rizaj</w:t>
      </w:r>
      <w:r w:rsidR="00212E4E" w:rsidRPr="003D1FBA">
        <w:rPr>
          <w:rFonts w:ascii="Arial" w:hAnsi="Arial" w:cs="Arial"/>
          <w:sz w:val="24"/>
          <w:szCs w:val="24"/>
        </w:rPr>
        <w:t>es o l</w:t>
      </w:r>
      <w:r>
        <w:rPr>
          <w:rFonts w:ascii="Arial" w:hAnsi="Arial" w:cs="Arial"/>
          <w:sz w:val="24"/>
          <w:szCs w:val="24"/>
        </w:rPr>
        <w:t>a</w:t>
      </w:r>
      <w:r w:rsidR="00212E4E" w:rsidRPr="003D1FBA">
        <w:rPr>
          <w:rFonts w:ascii="Arial" w:hAnsi="Arial" w:cs="Arial"/>
          <w:sz w:val="24"/>
          <w:szCs w:val="24"/>
        </w:rPr>
        <w:t>s desaceleracion</w:t>
      </w:r>
      <w:r>
        <w:rPr>
          <w:rFonts w:ascii="Arial" w:hAnsi="Arial" w:cs="Arial"/>
          <w:sz w:val="24"/>
          <w:szCs w:val="24"/>
        </w:rPr>
        <w:t>e</w:t>
      </w:r>
      <w:r w:rsidR="00212E4E" w:rsidRPr="003D1FBA">
        <w:rPr>
          <w:rFonts w:ascii="Arial" w:hAnsi="Arial" w:cs="Arial"/>
          <w:sz w:val="24"/>
          <w:szCs w:val="24"/>
        </w:rPr>
        <w:t>s, s</w:t>
      </w:r>
      <w:r>
        <w:rPr>
          <w:rFonts w:ascii="Arial" w:hAnsi="Arial" w:cs="Arial"/>
          <w:sz w:val="24"/>
          <w:szCs w:val="24"/>
        </w:rPr>
        <w:t>o</w:t>
      </w:r>
      <w:r w:rsidR="00212E4E" w:rsidRPr="003D1FBA">
        <w:rPr>
          <w:rFonts w:ascii="Arial" w:hAnsi="Arial" w:cs="Arial"/>
          <w:sz w:val="24"/>
          <w:szCs w:val="24"/>
        </w:rPr>
        <w:t>n modificables</w:t>
      </w:r>
      <w:r w:rsidR="00CB75ED" w:rsidRPr="003D1FBA">
        <w:rPr>
          <w:rFonts w:ascii="Arial" w:hAnsi="Arial" w:cs="Arial"/>
          <w:sz w:val="24"/>
          <w:szCs w:val="24"/>
        </w:rPr>
        <w:t>.</w:t>
      </w:r>
      <w:r w:rsidR="00DF48AA" w:rsidRPr="003D1FBA">
        <w:rPr>
          <w:rFonts w:ascii="Arial" w:hAnsi="Arial" w:cs="Arial"/>
          <w:sz w:val="24"/>
          <w:szCs w:val="24"/>
          <w:vertAlign w:val="superscript"/>
        </w:rPr>
        <w:fldChar w:fldCharType="begin" w:fldLock="1"/>
      </w:r>
      <w:r w:rsidR="00B573BB" w:rsidRPr="003D1FBA">
        <w:rPr>
          <w:rFonts w:ascii="Arial" w:hAnsi="Arial" w:cs="Arial"/>
          <w:sz w:val="24"/>
          <w:szCs w:val="24"/>
          <w:vertAlign w:val="superscript"/>
        </w:rPr>
        <w:instrText>ADDIN CSL_CITATION {"citationItems":[{"id":"ITEM-1","itemData":{"DOI":"10.1186/1471-2474-8-39","ISSN":"14712474","PMID":"17488502","abstract":"Background. Neuromuscular training may reduce risk factors that contribute to ACL injury incidence in female athletes. Multi-component, ACL injury prevention training programs can be time and labor intensive, which may ultimately limit training program utilization or compliance. The purpose of this study was to determine the effect of neuromuscular training on those classified as \"high-risk\" compared to those classified as \"low-risk.\" The hypothesis was that high-risk athletes would decrease knee abduction moments while low-risk and control athletes would not show measurable changes. Methods. Eighteen high school female athletes participated in neuromuscular training 3x/week over a 7-week period. Knee kinematics and kinetics were measured during a drop vertical jump (DVJ) test at pre/post training. External knee abduction moments were calculated using inverse dynamics. Logistic regression indicated maximal sensitivity and specificity for prediction of ACL injury risk using external knee abduction (25.25 Nm cutoff) during a DVJ. Based on these data, 12 study subjects (and 4 controls) were grouped into the high-risk (knee abduction moment &gt;25.25 Nm) and 6 subjects (and 7 controls) were grouped into the low-risk (knee abduction &lt;25.25 Nm) categories using mean right and left leg knee abduction moments. A mixed design repeated measures ANOVA was used to determine differences between athletes categorized as high or low-risk. Results. Athletes classified as high-risk decreased their knee abduction moments by 13% following training (Dominant pre: 39.9 ± 15.8 Nm to 34.6 ± 9.6 Nm; Non-dominant pre: 37.1 ± 9.2 to 32.4 ± 10.7 Nm; p = 0.033 training X risk factor interaction). Athletes grouped into the low-risk category did not change their abduction moments following training (p &gt; 0.05). Control subjects classified as either high or low-risk also did not significantly change from pre to post-testing. Conclusion. These results indicate that \"high-risk\" female athletes decreased the magnitude of the previously identified risk factor to ACL injury following neuromuscular training. However, the mean values for the high-risk subjects were not reduced to levels similar to low-risk group following training. Targeting female athletes who demonstrate high-risk knee abduction loads during dynamic tasks may improve efficacy of neuromuscular training. Yet, increased training volume or more specific techniques may be necessary for high-risk athletes to substantially decrease A…","author":[{"dropping-particle":"","family":"Myer","given":"Gregory D.","non-dropping-particle":"","parse-names":false,"suffix":""},{"dropping-particle":"","family":"Ford","given":"Kevin R.","non-dropping-particle":"","parse-names":false,"suffix":""},{"dropping-particle":"","family":"Brent","given":"Jensen L.","non-dropping-particle":"","parse-names":false,"suffix":""},{"dropping-particle":"","family":"Hewett","given":"Timothy E.","non-dropping-particle":"","parse-names":false,"suffix":""}],"container-title":"BMC Musculoskeletal Disorders","id":"ITEM-1","issue":"8","issued":{"date-parts":[["2007"]]},"page":"39","title":"Differential neuromuscular training effects onACL injury risk factors in\"high-risk\" versus \"low-risk\" athletes","type":"article-journal","volume":"8"},"uris":["http://www.mendeley.com/documents/?uuid=b0c3e4ac-0061-4fc1-a5dd-b16497f5384e"]}],"mendeley":{"formattedCitation":"(9)","manualFormatting":"9","plainTextFormattedCitation":"(9)","previouslyFormattedCitation":"(9)"},"properties":{"noteIndex":0},"schema":"https://github.com/citation-style-language/schema/raw/master/csl-citation.json"}</w:instrText>
      </w:r>
      <w:r w:rsidR="00DF48AA" w:rsidRPr="003D1FBA">
        <w:rPr>
          <w:rFonts w:ascii="Arial" w:hAnsi="Arial" w:cs="Arial"/>
          <w:sz w:val="24"/>
          <w:szCs w:val="24"/>
          <w:vertAlign w:val="superscript"/>
        </w:rPr>
        <w:fldChar w:fldCharType="separate"/>
      </w:r>
      <w:r w:rsidR="00DF48AA" w:rsidRPr="003D1FBA">
        <w:rPr>
          <w:rFonts w:ascii="Arial" w:hAnsi="Arial" w:cs="Arial"/>
          <w:noProof/>
          <w:sz w:val="24"/>
          <w:szCs w:val="24"/>
          <w:vertAlign w:val="superscript"/>
        </w:rPr>
        <w:t>9</w:t>
      </w:r>
      <w:r w:rsidR="00DF48AA" w:rsidRPr="003D1FBA">
        <w:rPr>
          <w:rFonts w:ascii="Arial" w:hAnsi="Arial" w:cs="Arial"/>
          <w:sz w:val="24"/>
          <w:szCs w:val="24"/>
          <w:vertAlign w:val="superscript"/>
        </w:rPr>
        <w:fldChar w:fldCharType="end"/>
      </w:r>
      <w:r w:rsidR="00212E4E" w:rsidRPr="003D1FBA">
        <w:rPr>
          <w:rFonts w:ascii="Arial" w:hAnsi="Arial" w:cs="Arial"/>
          <w:sz w:val="24"/>
          <w:szCs w:val="24"/>
        </w:rPr>
        <w:t xml:space="preserve"> </w:t>
      </w:r>
      <w:r>
        <w:rPr>
          <w:rFonts w:ascii="Arial" w:hAnsi="Arial" w:cs="Arial"/>
          <w:sz w:val="24"/>
          <w:szCs w:val="24"/>
        </w:rPr>
        <w:t>Estos</w:t>
      </w:r>
      <w:r w:rsidR="00212E4E" w:rsidRPr="003D1FBA">
        <w:rPr>
          <w:rFonts w:ascii="Arial" w:hAnsi="Arial" w:cs="Arial"/>
          <w:sz w:val="24"/>
          <w:szCs w:val="24"/>
        </w:rPr>
        <w:t xml:space="preserve"> ca</w:t>
      </w:r>
      <w:r>
        <w:rPr>
          <w:rFonts w:ascii="Arial" w:hAnsi="Arial" w:cs="Arial"/>
          <w:sz w:val="24"/>
          <w:szCs w:val="24"/>
        </w:rPr>
        <w:t>mb</w:t>
      </w:r>
      <w:r w:rsidR="00212E4E" w:rsidRPr="003D1FBA">
        <w:rPr>
          <w:rFonts w:ascii="Arial" w:hAnsi="Arial" w:cs="Arial"/>
          <w:sz w:val="24"/>
          <w:szCs w:val="24"/>
        </w:rPr>
        <w:t>i</w:t>
      </w:r>
      <w:r>
        <w:rPr>
          <w:rFonts w:ascii="Arial" w:hAnsi="Arial" w:cs="Arial"/>
          <w:sz w:val="24"/>
          <w:szCs w:val="24"/>
        </w:rPr>
        <w:t>o</w:t>
      </w:r>
      <w:r w:rsidR="00212E4E" w:rsidRPr="003D1FBA">
        <w:rPr>
          <w:rFonts w:ascii="Arial" w:hAnsi="Arial" w:cs="Arial"/>
          <w:sz w:val="24"/>
          <w:szCs w:val="24"/>
        </w:rPr>
        <w:t xml:space="preserve">s en </w:t>
      </w:r>
      <w:r>
        <w:rPr>
          <w:rFonts w:ascii="Arial" w:hAnsi="Arial" w:cs="Arial"/>
          <w:sz w:val="24"/>
          <w:szCs w:val="24"/>
        </w:rPr>
        <w:t>lo</w:t>
      </w:r>
      <w:r w:rsidR="00212E4E" w:rsidRPr="003D1FBA">
        <w:rPr>
          <w:rFonts w:ascii="Arial" w:hAnsi="Arial" w:cs="Arial"/>
          <w:sz w:val="24"/>
          <w:szCs w:val="24"/>
        </w:rPr>
        <w:t>s patron</w:t>
      </w:r>
      <w:r>
        <w:rPr>
          <w:rFonts w:ascii="Arial" w:hAnsi="Arial" w:cs="Arial"/>
          <w:sz w:val="24"/>
          <w:szCs w:val="24"/>
        </w:rPr>
        <w:t>e</w:t>
      </w:r>
      <w:r w:rsidR="00212E4E" w:rsidRPr="003D1FBA">
        <w:rPr>
          <w:rFonts w:ascii="Arial" w:hAnsi="Arial" w:cs="Arial"/>
          <w:sz w:val="24"/>
          <w:szCs w:val="24"/>
        </w:rPr>
        <w:t>s de movim</w:t>
      </w:r>
      <w:r>
        <w:rPr>
          <w:rFonts w:ascii="Arial" w:hAnsi="Arial" w:cs="Arial"/>
          <w:sz w:val="24"/>
          <w:szCs w:val="24"/>
        </w:rPr>
        <w:t>i</w:t>
      </w:r>
      <w:r w:rsidR="00212E4E" w:rsidRPr="003D1FBA">
        <w:rPr>
          <w:rFonts w:ascii="Arial" w:hAnsi="Arial" w:cs="Arial"/>
          <w:sz w:val="24"/>
          <w:szCs w:val="24"/>
        </w:rPr>
        <w:t>ent</w:t>
      </w:r>
      <w:r>
        <w:rPr>
          <w:rFonts w:ascii="Arial" w:hAnsi="Arial" w:cs="Arial"/>
          <w:sz w:val="24"/>
          <w:szCs w:val="24"/>
        </w:rPr>
        <w:t>o</w:t>
      </w:r>
      <w:r w:rsidR="00212E4E" w:rsidRPr="003D1FBA">
        <w:rPr>
          <w:rFonts w:ascii="Arial" w:hAnsi="Arial" w:cs="Arial"/>
          <w:sz w:val="24"/>
          <w:szCs w:val="24"/>
        </w:rPr>
        <w:t xml:space="preserve"> correct</w:t>
      </w:r>
      <w:r>
        <w:rPr>
          <w:rFonts w:ascii="Arial" w:hAnsi="Arial" w:cs="Arial"/>
          <w:sz w:val="24"/>
          <w:szCs w:val="24"/>
        </w:rPr>
        <w:t>o</w:t>
      </w:r>
      <w:r w:rsidR="00212E4E" w:rsidRPr="003D1FBA">
        <w:rPr>
          <w:rFonts w:ascii="Arial" w:hAnsi="Arial" w:cs="Arial"/>
          <w:sz w:val="24"/>
          <w:szCs w:val="24"/>
        </w:rPr>
        <w:t xml:space="preserve">s, </w:t>
      </w:r>
      <w:r>
        <w:rPr>
          <w:rFonts w:ascii="Arial" w:hAnsi="Arial" w:cs="Arial"/>
          <w:sz w:val="24"/>
          <w:szCs w:val="24"/>
        </w:rPr>
        <w:t xml:space="preserve">frecuentemente </w:t>
      </w:r>
      <w:r w:rsidR="00212E4E" w:rsidRPr="003D1FBA">
        <w:rPr>
          <w:rFonts w:ascii="Arial" w:hAnsi="Arial" w:cs="Arial"/>
          <w:sz w:val="24"/>
          <w:szCs w:val="24"/>
        </w:rPr>
        <w:t>s</w:t>
      </w:r>
      <w:r>
        <w:rPr>
          <w:rFonts w:ascii="Arial" w:hAnsi="Arial" w:cs="Arial"/>
          <w:sz w:val="24"/>
          <w:szCs w:val="24"/>
        </w:rPr>
        <w:t xml:space="preserve">e </w:t>
      </w:r>
      <w:r w:rsidR="00212E4E" w:rsidRPr="003D1FBA">
        <w:rPr>
          <w:rFonts w:ascii="Arial" w:hAnsi="Arial" w:cs="Arial"/>
          <w:sz w:val="24"/>
          <w:szCs w:val="24"/>
        </w:rPr>
        <w:t>asoci</w:t>
      </w:r>
      <w:r>
        <w:rPr>
          <w:rFonts w:ascii="Arial" w:hAnsi="Arial" w:cs="Arial"/>
          <w:sz w:val="24"/>
          <w:szCs w:val="24"/>
        </w:rPr>
        <w:t>an</w:t>
      </w:r>
      <w:r w:rsidR="00212E4E" w:rsidRPr="003D1FBA">
        <w:rPr>
          <w:rFonts w:ascii="Arial" w:hAnsi="Arial" w:cs="Arial"/>
          <w:sz w:val="24"/>
          <w:szCs w:val="24"/>
        </w:rPr>
        <w:t xml:space="preserve"> a d</w:t>
      </w:r>
      <w:r>
        <w:rPr>
          <w:rFonts w:ascii="Arial" w:hAnsi="Arial" w:cs="Arial"/>
          <w:sz w:val="24"/>
          <w:szCs w:val="24"/>
        </w:rPr>
        <w:t>é</w:t>
      </w:r>
      <w:r w:rsidR="00212E4E" w:rsidRPr="003D1FBA">
        <w:rPr>
          <w:rFonts w:ascii="Arial" w:hAnsi="Arial" w:cs="Arial"/>
          <w:sz w:val="24"/>
          <w:szCs w:val="24"/>
        </w:rPr>
        <w:t>ficits de</w:t>
      </w:r>
      <w:r>
        <w:rPr>
          <w:rFonts w:ascii="Arial" w:hAnsi="Arial" w:cs="Arial"/>
          <w:sz w:val="24"/>
          <w:szCs w:val="24"/>
        </w:rPr>
        <w:t>l</w:t>
      </w:r>
      <w:r w:rsidR="00212E4E" w:rsidRPr="003D1FBA">
        <w:rPr>
          <w:rFonts w:ascii="Arial" w:hAnsi="Arial" w:cs="Arial"/>
          <w:sz w:val="24"/>
          <w:szCs w:val="24"/>
        </w:rPr>
        <w:t xml:space="preserve"> control neuromuscular</w:t>
      </w:r>
      <w:r w:rsidR="00CB75ED" w:rsidRPr="003D1FBA">
        <w:rPr>
          <w:rFonts w:ascii="Arial" w:hAnsi="Arial" w:cs="Arial"/>
          <w:sz w:val="24"/>
          <w:szCs w:val="24"/>
        </w:rPr>
        <w:t>.</w:t>
      </w:r>
      <w:r w:rsidR="00DF48AA" w:rsidRPr="003D1FBA">
        <w:rPr>
          <w:rFonts w:ascii="Arial" w:hAnsi="Arial" w:cs="Arial"/>
          <w:sz w:val="24"/>
          <w:szCs w:val="24"/>
          <w:vertAlign w:val="superscript"/>
        </w:rPr>
        <w:fldChar w:fldCharType="begin" w:fldLock="1"/>
      </w:r>
      <w:r w:rsidR="00B573BB" w:rsidRPr="003D1FBA">
        <w:rPr>
          <w:rFonts w:ascii="Arial" w:hAnsi="Arial" w:cs="Arial"/>
          <w:sz w:val="24"/>
          <w:szCs w:val="24"/>
          <w:vertAlign w:val="superscript"/>
        </w:rPr>
        <w:instrText>ADDIN CSL_CITATION {"citationItems":[{"id":"ITEM-1","itemData":{"DOI":"10.1519/SSC.0000000000000234","ISSN":"1524-1602","abstract":"The second part of this review provides a flexible approach to\\nintegrative neuromuscular training (int) with the goals to improve\\ninjury resilience and to enhance sport and motor performance abilities\\nin youth populations. The proposed model of int in this manuscript\\npresents 6 essential components: dynamic stability (lower limb and\\ncore), strength, plyometrics, coordination, speed and agility, and\\nfatigue resistance. The development of these 6 capacities are integral\\nin establishing an important foundation by initially developing\\nfundamental movement skill competency before building upon these skills\\nto enrich sports-specific and activity-specific skill sets. For a video\\nabstract of this article, see supplemental digital content 1 (see video,\\nhttp://links.lww.com/scj/a190).","author":[{"dropping-particle":"","family":"Fort-Vanmeerhaeghe","given":"Azahara","non-dropping-particle":"","parse-names":false,"suffix":""},{"dropping-particle":"","family":"Romero-Rodriguez","given":"Daniel","non-dropping-particle":"","parse-names":false,"suffix":""},{"dropping-particle":"","family":"Lloyd","given":"Rhodri S.","non-dropping-particle":"","parse-names":false,"suffix":""},{"dropping-particle":"","family":"Kushner","given":"Adam","non-dropping-particle":"","parse-names":false,"suffix":""},{"dropping-particle":"","family":"Myer","given":"Gregory D.","non-dropping-particle":"","parse-names":false,"suffix":""}],"container-title":"Strength Condit J","id":"ITEM-1","issue":"3","issued":{"date-parts":[["2016"]]},"page":"36-48","title":"Integrative neuromuscular training in youth athletes. Part I: Identifying risk factors","type":"article-journal","volume":"38"},"uris":["http://www.mendeley.com/documents/?uuid=1b024494-7d84-4110-bf23-eec955990e2a"]}],"mendeley":{"formattedCitation":"(10)","manualFormatting":"10","plainTextFormattedCitation":"(10)","previouslyFormattedCitation":"(10)"},"properties":{"noteIndex":0},"schema":"https://github.com/citation-style-language/schema/raw/master/csl-citation.json"}</w:instrText>
      </w:r>
      <w:r w:rsidR="00DF48AA" w:rsidRPr="003D1FBA">
        <w:rPr>
          <w:rFonts w:ascii="Arial" w:hAnsi="Arial" w:cs="Arial"/>
          <w:sz w:val="24"/>
          <w:szCs w:val="24"/>
          <w:vertAlign w:val="superscript"/>
        </w:rPr>
        <w:fldChar w:fldCharType="separate"/>
      </w:r>
      <w:r w:rsidR="00DF48AA" w:rsidRPr="003D1FBA">
        <w:rPr>
          <w:rFonts w:ascii="Arial" w:hAnsi="Arial" w:cs="Arial"/>
          <w:noProof/>
          <w:sz w:val="24"/>
          <w:szCs w:val="24"/>
          <w:vertAlign w:val="superscript"/>
        </w:rPr>
        <w:t>10</w:t>
      </w:r>
      <w:r w:rsidR="00DF48AA" w:rsidRPr="003D1FBA">
        <w:rPr>
          <w:rFonts w:ascii="Arial" w:hAnsi="Arial" w:cs="Arial"/>
          <w:sz w:val="24"/>
          <w:szCs w:val="24"/>
          <w:vertAlign w:val="superscript"/>
        </w:rPr>
        <w:fldChar w:fldCharType="end"/>
      </w:r>
      <w:r w:rsidR="00212E4E" w:rsidRPr="003D1FBA">
        <w:rPr>
          <w:rFonts w:ascii="Arial" w:hAnsi="Arial" w:cs="Arial"/>
          <w:sz w:val="24"/>
          <w:szCs w:val="24"/>
        </w:rPr>
        <w:t xml:space="preserve"> Algun</w:t>
      </w:r>
      <w:r>
        <w:rPr>
          <w:rFonts w:ascii="Arial" w:hAnsi="Arial" w:cs="Arial"/>
          <w:sz w:val="24"/>
          <w:szCs w:val="24"/>
        </w:rPr>
        <w:t>o</w:t>
      </w:r>
      <w:r w:rsidR="00212E4E" w:rsidRPr="003D1FBA">
        <w:rPr>
          <w:rFonts w:ascii="Arial" w:hAnsi="Arial" w:cs="Arial"/>
          <w:sz w:val="24"/>
          <w:szCs w:val="24"/>
        </w:rPr>
        <w:t>s de</w:t>
      </w:r>
      <w:r>
        <w:rPr>
          <w:rFonts w:ascii="Arial" w:hAnsi="Arial" w:cs="Arial"/>
          <w:sz w:val="24"/>
          <w:szCs w:val="24"/>
        </w:rPr>
        <w:t xml:space="preserve"> </w:t>
      </w:r>
      <w:r w:rsidR="00212E4E" w:rsidRPr="003D1FBA">
        <w:rPr>
          <w:rFonts w:ascii="Arial" w:hAnsi="Arial" w:cs="Arial"/>
          <w:sz w:val="24"/>
          <w:szCs w:val="24"/>
        </w:rPr>
        <w:t>l</w:t>
      </w:r>
      <w:r>
        <w:rPr>
          <w:rFonts w:ascii="Arial" w:hAnsi="Arial" w:cs="Arial"/>
          <w:sz w:val="24"/>
          <w:szCs w:val="24"/>
        </w:rPr>
        <w:t>o</w:t>
      </w:r>
      <w:r w:rsidR="00212E4E" w:rsidRPr="003D1FBA">
        <w:rPr>
          <w:rFonts w:ascii="Arial" w:hAnsi="Arial" w:cs="Arial"/>
          <w:sz w:val="24"/>
          <w:szCs w:val="24"/>
        </w:rPr>
        <w:t>s d</w:t>
      </w:r>
      <w:r>
        <w:rPr>
          <w:rFonts w:ascii="Arial" w:hAnsi="Arial" w:cs="Arial"/>
          <w:sz w:val="24"/>
          <w:szCs w:val="24"/>
        </w:rPr>
        <w:t>é</w:t>
      </w:r>
      <w:r w:rsidR="00212E4E" w:rsidRPr="003D1FBA">
        <w:rPr>
          <w:rFonts w:ascii="Arial" w:hAnsi="Arial" w:cs="Arial"/>
          <w:sz w:val="24"/>
          <w:szCs w:val="24"/>
        </w:rPr>
        <w:t>ficits neuromuscular</w:t>
      </w:r>
      <w:r>
        <w:rPr>
          <w:rFonts w:ascii="Arial" w:hAnsi="Arial" w:cs="Arial"/>
          <w:sz w:val="24"/>
          <w:szCs w:val="24"/>
        </w:rPr>
        <w:t>e</w:t>
      </w:r>
      <w:r w:rsidR="00212E4E" w:rsidRPr="003D1FBA">
        <w:rPr>
          <w:rFonts w:ascii="Arial" w:hAnsi="Arial" w:cs="Arial"/>
          <w:sz w:val="24"/>
          <w:szCs w:val="24"/>
        </w:rPr>
        <w:t>s que p</w:t>
      </w:r>
      <w:r>
        <w:rPr>
          <w:rFonts w:ascii="Arial" w:hAnsi="Arial" w:cs="Arial"/>
          <w:sz w:val="24"/>
          <w:szCs w:val="24"/>
        </w:rPr>
        <w:t>ued</w:t>
      </w:r>
      <w:r w:rsidR="00212E4E" w:rsidRPr="003D1FBA">
        <w:rPr>
          <w:rFonts w:ascii="Arial" w:hAnsi="Arial" w:cs="Arial"/>
          <w:sz w:val="24"/>
          <w:szCs w:val="24"/>
        </w:rPr>
        <w:t>en contribuir a</w:t>
      </w:r>
      <w:r w:rsidR="00874C4D" w:rsidRPr="003D1FBA">
        <w:rPr>
          <w:rFonts w:ascii="Arial" w:hAnsi="Arial" w:cs="Arial"/>
          <w:sz w:val="24"/>
          <w:szCs w:val="24"/>
        </w:rPr>
        <w:t xml:space="preserve"> un </w:t>
      </w:r>
      <w:r w:rsidR="00212E4E" w:rsidRPr="003D1FBA">
        <w:rPr>
          <w:rFonts w:ascii="Arial" w:hAnsi="Arial" w:cs="Arial"/>
          <w:sz w:val="24"/>
          <w:szCs w:val="24"/>
        </w:rPr>
        <w:t>pobre control biomec</w:t>
      </w:r>
      <w:r>
        <w:rPr>
          <w:rFonts w:ascii="Arial" w:hAnsi="Arial" w:cs="Arial"/>
          <w:sz w:val="24"/>
          <w:szCs w:val="24"/>
        </w:rPr>
        <w:t>án</w:t>
      </w:r>
      <w:r w:rsidR="00212E4E" w:rsidRPr="003D1FBA">
        <w:rPr>
          <w:rFonts w:ascii="Arial" w:hAnsi="Arial" w:cs="Arial"/>
          <w:sz w:val="24"/>
          <w:szCs w:val="24"/>
        </w:rPr>
        <w:t>ic</w:t>
      </w:r>
      <w:r>
        <w:rPr>
          <w:rFonts w:ascii="Arial" w:hAnsi="Arial" w:cs="Arial"/>
          <w:sz w:val="24"/>
          <w:szCs w:val="24"/>
        </w:rPr>
        <w:t>o</w:t>
      </w:r>
      <w:r w:rsidR="00212E4E" w:rsidRPr="003D1FBA">
        <w:rPr>
          <w:rFonts w:ascii="Arial" w:hAnsi="Arial" w:cs="Arial"/>
          <w:sz w:val="24"/>
          <w:szCs w:val="24"/>
        </w:rPr>
        <w:t xml:space="preserve"> </w:t>
      </w:r>
      <w:r>
        <w:rPr>
          <w:rFonts w:ascii="Arial" w:hAnsi="Arial" w:cs="Arial"/>
          <w:sz w:val="24"/>
          <w:szCs w:val="24"/>
        </w:rPr>
        <w:t>y</w:t>
      </w:r>
      <w:r w:rsidR="00212E4E" w:rsidRPr="003D1FBA">
        <w:rPr>
          <w:rFonts w:ascii="Arial" w:hAnsi="Arial" w:cs="Arial"/>
          <w:sz w:val="24"/>
          <w:szCs w:val="24"/>
        </w:rPr>
        <w:t xml:space="preserve">, </w:t>
      </w:r>
      <w:r w:rsidRPr="003D1FBA">
        <w:rPr>
          <w:rFonts w:ascii="Arial" w:hAnsi="Arial" w:cs="Arial"/>
          <w:sz w:val="24"/>
          <w:szCs w:val="24"/>
        </w:rPr>
        <w:t>conse</w:t>
      </w:r>
      <w:r>
        <w:rPr>
          <w:rFonts w:ascii="Arial" w:hAnsi="Arial" w:cs="Arial"/>
          <w:sz w:val="24"/>
          <w:szCs w:val="24"/>
        </w:rPr>
        <w:t>cu</w:t>
      </w:r>
      <w:r w:rsidRPr="003D1FBA">
        <w:rPr>
          <w:rFonts w:ascii="Arial" w:hAnsi="Arial" w:cs="Arial"/>
          <w:sz w:val="24"/>
          <w:szCs w:val="24"/>
        </w:rPr>
        <w:t>entemen</w:t>
      </w:r>
      <w:r>
        <w:rPr>
          <w:rFonts w:ascii="Arial" w:hAnsi="Arial" w:cs="Arial"/>
          <w:sz w:val="24"/>
          <w:szCs w:val="24"/>
        </w:rPr>
        <w:t>te</w:t>
      </w:r>
      <w:r w:rsidR="00212E4E" w:rsidRPr="003D1FBA">
        <w:rPr>
          <w:rFonts w:ascii="Arial" w:hAnsi="Arial" w:cs="Arial"/>
          <w:sz w:val="24"/>
          <w:szCs w:val="24"/>
        </w:rPr>
        <w:t xml:space="preserve">, </w:t>
      </w:r>
      <w:r>
        <w:rPr>
          <w:rFonts w:ascii="Arial" w:hAnsi="Arial" w:cs="Arial"/>
          <w:sz w:val="24"/>
          <w:szCs w:val="24"/>
        </w:rPr>
        <w:t>derivar</w:t>
      </w:r>
      <w:r w:rsidR="00212E4E" w:rsidRPr="003D1FBA">
        <w:rPr>
          <w:rFonts w:ascii="Arial" w:hAnsi="Arial" w:cs="Arial"/>
          <w:sz w:val="24"/>
          <w:szCs w:val="24"/>
        </w:rPr>
        <w:t xml:space="preserve"> </w:t>
      </w:r>
      <w:r>
        <w:rPr>
          <w:rFonts w:ascii="Arial" w:hAnsi="Arial" w:cs="Arial"/>
          <w:sz w:val="24"/>
          <w:szCs w:val="24"/>
        </w:rPr>
        <w:t>en</w:t>
      </w:r>
      <w:r w:rsidR="00212E4E" w:rsidRPr="003D1FBA">
        <w:rPr>
          <w:rFonts w:ascii="Arial" w:hAnsi="Arial" w:cs="Arial"/>
          <w:sz w:val="24"/>
          <w:szCs w:val="24"/>
        </w:rPr>
        <w:t xml:space="preserve"> lesion</w:t>
      </w:r>
      <w:r>
        <w:rPr>
          <w:rFonts w:ascii="Arial" w:hAnsi="Arial" w:cs="Arial"/>
          <w:sz w:val="24"/>
          <w:szCs w:val="24"/>
        </w:rPr>
        <w:t>e</w:t>
      </w:r>
      <w:r w:rsidR="00212E4E" w:rsidRPr="003D1FBA">
        <w:rPr>
          <w:rFonts w:ascii="Arial" w:hAnsi="Arial" w:cs="Arial"/>
          <w:sz w:val="24"/>
          <w:szCs w:val="24"/>
        </w:rPr>
        <w:t>s del L</w:t>
      </w:r>
      <w:r>
        <w:rPr>
          <w:rFonts w:ascii="Arial" w:hAnsi="Arial" w:cs="Arial"/>
          <w:sz w:val="24"/>
          <w:szCs w:val="24"/>
        </w:rPr>
        <w:t>C</w:t>
      </w:r>
      <w:r w:rsidR="00212E4E" w:rsidRPr="003D1FBA">
        <w:rPr>
          <w:rFonts w:ascii="Arial" w:hAnsi="Arial" w:cs="Arial"/>
          <w:sz w:val="24"/>
          <w:szCs w:val="24"/>
        </w:rPr>
        <w:t>A s</w:t>
      </w:r>
      <w:r>
        <w:rPr>
          <w:rFonts w:ascii="Arial" w:hAnsi="Arial" w:cs="Arial"/>
          <w:sz w:val="24"/>
          <w:szCs w:val="24"/>
        </w:rPr>
        <w:t>o</w:t>
      </w:r>
      <w:r w:rsidR="00212E4E" w:rsidRPr="003D1FBA">
        <w:rPr>
          <w:rFonts w:ascii="Arial" w:hAnsi="Arial" w:cs="Arial"/>
          <w:sz w:val="24"/>
          <w:szCs w:val="24"/>
        </w:rPr>
        <w:t>n l</w:t>
      </w:r>
      <w:r>
        <w:rPr>
          <w:rFonts w:ascii="Arial" w:hAnsi="Arial" w:cs="Arial"/>
          <w:sz w:val="24"/>
          <w:szCs w:val="24"/>
        </w:rPr>
        <w:t>o</w:t>
      </w:r>
      <w:r w:rsidR="00212E4E" w:rsidRPr="003D1FBA">
        <w:rPr>
          <w:rFonts w:ascii="Arial" w:hAnsi="Arial" w:cs="Arial"/>
          <w:sz w:val="24"/>
          <w:szCs w:val="24"/>
        </w:rPr>
        <w:t>s s</w:t>
      </w:r>
      <w:r>
        <w:rPr>
          <w:rFonts w:ascii="Arial" w:hAnsi="Arial" w:cs="Arial"/>
          <w:sz w:val="24"/>
          <w:szCs w:val="24"/>
        </w:rPr>
        <w:t>iguien</w:t>
      </w:r>
      <w:r w:rsidR="00212E4E" w:rsidRPr="003D1FBA">
        <w:rPr>
          <w:rFonts w:ascii="Arial" w:hAnsi="Arial" w:cs="Arial"/>
          <w:sz w:val="24"/>
          <w:szCs w:val="24"/>
        </w:rPr>
        <w:t>t</w:t>
      </w:r>
      <w:r>
        <w:rPr>
          <w:rFonts w:ascii="Arial" w:hAnsi="Arial" w:cs="Arial"/>
          <w:sz w:val="24"/>
          <w:szCs w:val="24"/>
        </w:rPr>
        <w:t>e</w:t>
      </w:r>
      <w:r w:rsidR="00212E4E" w:rsidRPr="003D1FBA">
        <w:rPr>
          <w:rFonts w:ascii="Arial" w:hAnsi="Arial" w:cs="Arial"/>
          <w:sz w:val="24"/>
          <w:szCs w:val="24"/>
        </w:rPr>
        <w:t>s: a) domin</w:t>
      </w:r>
      <w:r>
        <w:rPr>
          <w:rFonts w:ascii="Arial" w:hAnsi="Arial" w:cs="Arial"/>
          <w:sz w:val="24"/>
          <w:szCs w:val="24"/>
        </w:rPr>
        <w:t>a</w:t>
      </w:r>
      <w:r w:rsidR="00212E4E" w:rsidRPr="003D1FBA">
        <w:rPr>
          <w:rFonts w:ascii="Arial" w:hAnsi="Arial" w:cs="Arial"/>
          <w:sz w:val="24"/>
          <w:szCs w:val="24"/>
        </w:rPr>
        <w:t xml:space="preserve">ncia de </w:t>
      </w:r>
      <w:r>
        <w:rPr>
          <w:rFonts w:ascii="Arial" w:hAnsi="Arial" w:cs="Arial"/>
          <w:sz w:val="24"/>
          <w:szCs w:val="24"/>
        </w:rPr>
        <w:t>C</w:t>
      </w:r>
      <w:r w:rsidR="00212E4E" w:rsidRPr="003D1FBA">
        <w:rPr>
          <w:rFonts w:ascii="Arial" w:hAnsi="Arial" w:cs="Arial"/>
          <w:sz w:val="24"/>
          <w:szCs w:val="24"/>
        </w:rPr>
        <w:t>u</w:t>
      </w:r>
      <w:r>
        <w:rPr>
          <w:rFonts w:ascii="Arial" w:hAnsi="Arial" w:cs="Arial"/>
          <w:sz w:val="24"/>
          <w:szCs w:val="24"/>
        </w:rPr>
        <w:t>á</w:t>
      </w:r>
      <w:r w:rsidR="00212E4E" w:rsidRPr="003D1FBA">
        <w:rPr>
          <w:rFonts w:ascii="Arial" w:hAnsi="Arial" w:cs="Arial"/>
          <w:sz w:val="24"/>
          <w:szCs w:val="24"/>
        </w:rPr>
        <w:t xml:space="preserve">driceps </w:t>
      </w:r>
      <w:r w:rsidR="00DF48AA" w:rsidRPr="003D1FBA">
        <w:rPr>
          <w:rFonts w:ascii="Arial" w:hAnsi="Arial" w:cs="Arial"/>
          <w:sz w:val="24"/>
          <w:szCs w:val="24"/>
          <w:vertAlign w:val="superscript"/>
        </w:rPr>
        <w:fldChar w:fldCharType="begin" w:fldLock="1"/>
      </w:r>
      <w:r w:rsidR="00B573BB" w:rsidRPr="003D1FBA">
        <w:rPr>
          <w:rFonts w:ascii="Arial" w:hAnsi="Arial" w:cs="Arial"/>
          <w:sz w:val="24"/>
          <w:szCs w:val="24"/>
          <w:vertAlign w:val="superscript"/>
        </w:rPr>
        <w:instrText>ADDIN CSL_CITATION {"citationItems":[{"id":"ITEM-1","itemData":{"DOI":"10.1186/1471-2474-8-39","ISSN":"14712474","PMID":"17488502","abstract":"Background. Neuromuscular training may reduce risk factors that contribute to ACL injury incidence in female athletes. Multi-component, ACL injury prevention training programs can be time and labor intensive, which may ultimately limit training program utilization or compliance. The purpose of this study was to determine the effect of neuromuscular training on those classified as \"high-risk\" compared to those classified as \"low-risk.\" The hypothesis was that high-risk athletes would decrease knee abduction moments while low-risk and control athletes would not show measurable changes. Methods. Eighteen high school female athletes participated in neuromuscular training 3x/week over a 7-week period. Knee kinematics and kinetics were measured during a drop vertical jump (DVJ) test at pre/post training. External knee abduction moments were calculated using inverse dynamics. Logistic regression indicated maximal sensitivity and specificity for prediction of ACL injury risk using external knee abduction (25.25 Nm cutoff) during a DVJ. Based on these data, 12 study subjects (and 4 controls) were grouped into the high-risk (knee abduction moment &gt;25.25 Nm) and 6 subjects (and 7 controls) were grouped into the low-risk (knee abduction &lt;25.25 Nm) categories using mean right and left leg knee abduction moments. A mixed design repeated measures ANOVA was used to determine differences between athletes categorized as high or low-risk. Results. Athletes classified as high-risk decreased their knee abduction moments by 13% following training (Dominant pre: 39.9 ± 15.8 Nm to 34.6 ± 9.6 Nm; Non-dominant pre: 37.1 ± 9.2 to 32.4 ± 10.7 Nm; p = 0.033 training X risk factor interaction). Athletes grouped into the low-risk category did not change their abduction moments following training (p &gt; 0.05). Control subjects classified as either high or low-risk also did not significantly change from pre to post-testing. Conclusion. These results indicate that \"high-risk\" female athletes decreased the magnitude of the previously identified risk factor to ACL injury following neuromuscular training. However, the mean values for the high-risk subjects were not reduced to levels similar to low-risk group following training. Targeting female athletes who demonstrate high-risk knee abduction loads during dynamic tasks may improve efficacy of neuromuscular training. Yet, increased training volume or more specific techniques may be necessary for high-risk athletes to substantially decrease A…","author":[{"dropping-particle":"","family":"Myer","given":"Gregory D.","non-dropping-particle":"","parse-names":false,"suffix":""},{"dropping-particle":"","family":"Ford","given":"Kevin R.","non-dropping-particle":"","parse-names":false,"suffix":""},{"dropping-particle":"","family":"Brent","given":"Jensen L.","non-dropping-particle":"","parse-names":false,"suffix":""},{"dropping-particle":"","family":"Hewett","given":"Timothy E.","non-dropping-particle":"","parse-names":false,"suffix":""}],"container-title":"BMC Musculoskeletal Disorders","id":"ITEM-1","issue":"8","issued":{"date-parts":[["2007"]]},"page":"39","title":"Differential neuromuscular training effects onACL injury risk factors in\"high-risk\" versus \"low-risk\" athletes","type":"article-journal","volume":"8"},"uris":["http://www.mendeley.com/documents/?uuid=b0c3e4ac-0061-4fc1-a5dd-b16497f5384e"]}],"mendeley":{"formattedCitation":"(9)","manualFormatting":"9","plainTextFormattedCitation":"(9)","previouslyFormattedCitation":"(9)"},"properties":{"noteIndex":0},"schema":"https://github.com/citation-style-language/schema/raw/master/csl-citation.json"}</w:instrText>
      </w:r>
      <w:r w:rsidR="00DF48AA" w:rsidRPr="003D1FBA">
        <w:rPr>
          <w:rFonts w:ascii="Arial" w:hAnsi="Arial" w:cs="Arial"/>
          <w:sz w:val="24"/>
          <w:szCs w:val="24"/>
          <w:vertAlign w:val="superscript"/>
        </w:rPr>
        <w:fldChar w:fldCharType="separate"/>
      </w:r>
      <w:r w:rsidR="00DF48AA" w:rsidRPr="003D1FBA">
        <w:rPr>
          <w:rFonts w:ascii="Arial" w:hAnsi="Arial" w:cs="Arial"/>
          <w:noProof/>
          <w:sz w:val="24"/>
          <w:szCs w:val="24"/>
          <w:vertAlign w:val="superscript"/>
        </w:rPr>
        <w:t>9</w:t>
      </w:r>
      <w:r w:rsidR="00DF48AA" w:rsidRPr="003D1FBA">
        <w:rPr>
          <w:rFonts w:ascii="Arial" w:hAnsi="Arial" w:cs="Arial"/>
          <w:sz w:val="24"/>
          <w:szCs w:val="24"/>
          <w:vertAlign w:val="superscript"/>
        </w:rPr>
        <w:fldChar w:fldCharType="end"/>
      </w:r>
      <w:r w:rsidR="00212E4E" w:rsidRPr="003D1FBA">
        <w:rPr>
          <w:rFonts w:ascii="Arial" w:hAnsi="Arial" w:cs="Arial"/>
          <w:sz w:val="24"/>
          <w:szCs w:val="24"/>
        </w:rPr>
        <w:t xml:space="preserve"> o Isquiosural</w:t>
      </w:r>
      <w:r>
        <w:rPr>
          <w:rFonts w:ascii="Arial" w:hAnsi="Arial" w:cs="Arial"/>
          <w:sz w:val="24"/>
          <w:szCs w:val="24"/>
        </w:rPr>
        <w:t>e</w:t>
      </w:r>
      <w:r w:rsidR="00212E4E" w:rsidRPr="003D1FBA">
        <w:rPr>
          <w:rFonts w:ascii="Arial" w:hAnsi="Arial" w:cs="Arial"/>
          <w:sz w:val="24"/>
          <w:szCs w:val="24"/>
        </w:rPr>
        <w:t>s d</w:t>
      </w:r>
      <w:r>
        <w:rPr>
          <w:rFonts w:ascii="Arial" w:hAnsi="Arial" w:cs="Arial"/>
          <w:sz w:val="24"/>
          <w:szCs w:val="24"/>
        </w:rPr>
        <w:t>é</w:t>
      </w:r>
      <w:r w:rsidR="00212E4E" w:rsidRPr="003D1FBA">
        <w:rPr>
          <w:rFonts w:ascii="Arial" w:hAnsi="Arial" w:cs="Arial"/>
          <w:sz w:val="24"/>
          <w:szCs w:val="24"/>
        </w:rPr>
        <w:t>bil</w:t>
      </w:r>
      <w:r>
        <w:rPr>
          <w:rFonts w:ascii="Arial" w:hAnsi="Arial" w:cs="Arial"/>
          <w:sz w:val="24"/>
          <w:szCs w:val="24"/>
        </w:rPr>
        <w:t>e</w:t>
      </w:r>
      <w:r w:rsidR="00212E4E" w:rsidRPr="003D1FBA">
        <w:rPr>
          <w:rFonts w:ascii="Arial" w:hAnsi="Arial" w:cs="Arial"/>
          <w:sz w:val="24"/>
          <w:szCs w:val="24"/>
        </w:rPr>
        <w:t>s</w:t>
      </w:r>
      <w:r w:rsidR="00DF48AA" w:rsidRPr="003D1FBA">
        <w:rPr>
          <w:rFonts w:ascii="Arial" w:hAnsi="Arial" w:cs="Arial"/>
          <w:sz w:val="24"/>
          <w:szCs w:val="24"/>
        </w:rPr>
        <w:t xml:space="preserve"> </w:t>
      </w:r>
      <w:r w:rsidR="00DF48AA" w:rsidRPr="003D1FBA">
        <w:rPr>
          <w:rFonts w:ascii="Arial" w:hAnsi="Arial" w:cs="Arial"/>
          <w:sz w:val="24"/>
          <w:szCs w:val="24"/>
          <w:vertAlign w:val="superscript"/>
        </w:rPr>
        <w:fldChar w:fldCharType="begin" w:fldLock="1"/>
      </w:r>
      <w:r w:rsidR="00B573BB" w:rsidRPr="003D1FBA">
        <w:rPr>
          <w:rFonts w:ascii="Arial" w:hAnsi="Arial" w:cs="Arial"/>
          <w:sz w:val="24"/>
          <w:szCs w:val="24"/>
          <w:vertAlign w:val="superscript"/>
        </w:rPr>
        <w:instrText>ADDIN CSL_CITATION {"citationItems":[{"id":"ITEM-1","itemData":{"DOI":"10.1002/jor.23414.Mechanisms","author":[{"dropping-particle":"","family":"Hewett","given":"TE","non-dropping-particle":"","parse-names":false,"suffix":""},{"dropping-particle":"","family":"Myer","given":"GD","non-dropping-particle":"","parse-names":false,"suffix":""},{"dropping-particle":"","family":"Ford","given":"KR","non-dropping-particle":"","parse-names":false,"suffix":""},{"dropping-particle":"","family":"Paterno","given":"MV","non-dropping-particle":"","parse-names":false,"suffix":""},{"dropping-particle":"","family":"Quatman","given":"CE","non-dropping-particle":"","parse-names":false,"suffix":""}],"container-title":"J Orthop Res","id":"ITEM-1","issue":"11","issued":{"date-parts":[["2016"]]},"page":"1843-55","title":"Mechanisms, Prediction, and Prevention of ACL Injuries: Cut Risk With Three Sharpened and Validated Tools","type":"article-journal","volume":"34"},"uris":["http://www.mendeley.com/documents/?uuid=d283b8b9-3fae-41fd-944d-f7d3334fd91e"]},{"id":"ITEM-2","itemData":{"DOI":"10.1007/s00167-013-2725-3","ISBN":"1433-7347 (Electronic)\\r0942-2056 (Linking)","ISSN":"09422056","PMID":"24162718","abstract":"PURPOSE: To synthesize the results of systematic literature review focused on the effectiveness of anterior cruciate ligament (ACL) injury prevention programmes in male athletes. METHODS: All abstracts and articles of potential interest identified through the systematic literature search were reviewed in detail to determine on inclusion status. Information regarding prevention programmes to reduce ACL injuries or to modify risk factors for ACL injuries in male athletes was systematically extracted and included intervention and study design, characteristics of participants, sport and level of competition, characteristics of prevention programmes, results, and conclusions. All studies were evaluated for methodological quality to assess the risk of bias. RESULTS: The principal findings of this systematic review are as follows: (1) most of the studies applied prevention programmes that utilized risk factors as outcomes of interest as opposed to ACL injury incidence (5 and 2 studies, respectively); (2) the effectiveness of prevention programmes to reduce ACL injuries in male athletes is equivocal (1 in favour, 1 against) and only refers to soccer players; (3) the effectiveness of prevention programmes to modify risk factors for ACL injuries in male athletes is controversial (2 in favour, 3 against) and outcome data are limited to cutting manoeuvres. CONCLUSION: Data regarding the effectiveness of prevention programmes to reduce ACL injuries or to modify risk factors for ACL injuries in male athletes are scarce and not conclusive. Future research to better determine the most effective approaches to optimize the effectiveness of prevention programmes targeted to reduce ACL injuries in male athletes is warranted.","author":[{"dropping-particle":"","family":"Alentorn-Geli","given":"Eduard","non-dropping-particle":"","parse-names":false,"suffix":""},{"dropping-particle":"","family":"Mendiguchía","given":"Jurdan","non-dropping-particle":"","parse-names":false,"suffix":""},{"dropping-particle":"","family":"Samuelsson","given":"Kristian","non-dropping-particle":"","parse-names":false,"suffix":""},{"dropping-particle":"","family":"Musahl","given":"Volker","non-dropping-particle":"","parse-names":false,"suffix":""},{"dropping-particle":"","family":"Karlsson","given":"Jon","non-dropping-particle":"","parse-names":false,"suffix":""},{"dropping-particle":"","family":"Cugat","given":"Ramon","non-dropping-particle":"","parse-names":false,"suffix":""},{"dropping-particle":"","family":"Myer","given":"Gregory D.","non-dropping-particle":"","parse-names":false,"suffix":""}],"container-title":"Knee Surg Sports Traumatol Arthrosc","id":"ITEM-2","issue":"1","issued":{"date-parts":[["2014"]]},"page":"3-15","title":"Prevention of anterior cruciate ligament injuries in sports-Part I: Systematic review of risk factors in male athletes","type":"article-journal","volume":"22"},"uris":["http://www.mendeley.com/documents/?uuid=5c2d3ed8-867d-4f84-b7d1-0e285cf82a7c"]},{"id":"ITEM-3","itemData":{"DOI":"10.1177/0363546506286866","ISBN":"0363-5465 (Print)\\n0363-5465 (Linking)","ISSN":"03635465","PMID":"16905673","abstract":"The incidence of noncontact anterior cruciate ligament injuries in young to middle-aged athletes remains high. Despite early diagnosis and appropriate operative and nonoperative treatments, posttraumatic degenerative arthritis may develop. In a meeting in Atlanta, Georgia (January 2005), sponsored by the American Orthopaedic Society for Sports Medicine, a group of physicians, physical therapists, athletic trainers, biomechanists, epidemiologists, and other scientists interested in this area of research met to review current knowledge on risk factors associated with noncontact anterior cruciate ligament injuries, anterior cruciate ligament injury biomechanics, and existing anterior cruciate ligament prevention programs. This article reports on the presentations, discussions, and recommendations of this group.","author":[{"dropping-particle":"","family":"Griffin","given":"Letha Y.","non-dropping-particle":"","parse-names":false,"suffix":""},{"dropping-particle":"","family":"Albohm","given":"Marjorie J.","non-dropping-particle":"","parse-names":false,"suffix":""},{"dropping-particle":"","family":"Arendt","given":"Elizabeth A.","non-dropping-particle":"","parse-names":false,"suffix":""},{"dropping-particle":"","family":"Bahr","given":"Roald","non-dropping-particle":"","parse-names":false,"suffix":""},{"dropping-particle":"","family":"Beynnon","given":"Bruce D.","non-dropping-particle":"","parse-names":false,"suffix":""},{"dropping-particle":"","family":"DeMaio","given":"Marlene","non-dropping-particle":"","parse-names":false,"suffix":""},{"dropping-particle":"","family":"Dick","given":"Randall W.","non-dropping-particle":"","parse-names":false,"suffix":""},{"dropping-particle":"","family":"Engebretsen","given":"Lars","non-dropping-particle":"","parse-names":false,"suffix":""},{"dropping-particle":"","family":"Garrett","given":"William E.","non-dropping-particle":"","parse-names":false,"suffix":""},{"dropping-particle":"","family":"Hannafin","given":"Jo A.","non-dropping-particle":"","parse-names":false,"suffix":""},{"dropping-particle":"","family":"Hewett","given":"Tim E.","non-dropping-particle":"","parse-names":false,"suffix":""},{"dropping-particle":"","family":"Huston","given":"Laura J.","non-dropping-particle":"","parse-names":false,"suffix":""},{"dropping-particle":"","family":"Ireland","given":"Mary Lloyd","non-dropping-particle":"","parse-names":false,"suffix":""},{"dropping-particle":"","family":"Johnson","given":"Robert J.","non-dropping-particle":"","parse-names":false,"suffix":""},{"dropping-particle":"","family":"Lephart","given":"Scott","non-dropping-particle":"","parse-names":false,"suffix":""},{"dropping-particle":"","family":"Mandelbaum","given":"Bert R.","non-dropping-particle":"","parse-names":false,"suffix":""},{"dropping-particle":"","family":"Mann","given":"Barton J.","non-dropping-particle":"","parse-names":false,"suffix":""},{"dropping-particle":"","family":"Marks","given":"Paul H.","non-dropping-particle":"","parse-names":false,"suffix":""},{"dropping-particle":"","family":"Marshall","given":"Stephen W.","non-dropping-particle":"","parse-names":false,"suffix":""},{"dropping-particle":"","family":"Myklebust","given":"Grethe","non-dropping-particle":"","parse-names":false,"suffix":""},{"dropping-particle":"","family":"Noyes","given":"Frank R.","non-dropping-particle":"","parse-names":false,"suffix":""},{"dropping-particle":"","family":"Powers","given":"Christopher","non-dropping-particle":"","parse-names":false,"suffix":""},{"dropping-particle":"","family":"Shields","given":"Clarence","non-dropping-particle":"","parse-names":false,"suffix":""},{"dropping-particle":"","family":"Shultz","given":"Sandra J.","non-dropping-particle":"","parse-names":false,"suffix":""},{"dropping-particle":"","family":"Silvers","given":"Holly","non-dropping-particle":"","parse-names":false,"suffix":""},{"dropping-particle":"","family":"Slauterbeck","given":"James","non-dropping-particle":"","parse-names":false,"suffix":""},{"dropping-particle":"","family":"Taylor","given":"Dean C.","non-dropping-particle":"","parse-names":false,"suffix":""},{"dropping-particle":"","family":"Teitz","given":"Carol C.","non-dropping-particle":"","parse-names":false,"suffix":""},{"dropping-particle":"","family":"Wojtys","given":"Edward M.","non-dropping-particle":"","parse-names":false,"suffix":""},{"dropping-particle":"","family":"Yu","given":"Bing","non-dropping-particle":"","parse-names":false,"suffix":""}],"container-title":"Am J Sports Med","id":"ITEM-3","issue":"9","issued":{"date-parts":[["2006"]]},"page":"1512-32","title":"Understanding and preventing noncontact anterior cruciate ligament injuries: A review of the Hunt Valley II Meeting, January 2005","type":"article-journal","volume":"34"},"uris":["http://www.mendeley.com/documents/?uuid=9160ced7-80e7-40ee-8e9c-fab4fa3c1dd0"]}],"mendeley":{"formattedCitation":"(7,11,12)","manualFormatting":"7,11,12","plainTextFormattedCitation":"(7,11,12)","previouslyFormattedCitation":"(7,11,12)"},"properties":{"noteIndex":0},"schema":"https://github.com/citation-style-language/schema/raw/master/csl-citation.json"}</w:instrText>
      </w:r>
      <w:r w:rsidR="00DF48AA" w:rsidRPr="003D1FBA">
        <w:rPr>
          <w:rFonts w:ascii="Arial" w:hAnsi="Arial" w:cs="Arial"/>
          <w:sz w:val="24"/>
          <w:szCs w:val="24"/>
          <w:vertAlign w:val="superscript"/>
        </w:rPr>
        <w:fldChar w:fldCharType="separate"/>
      </w:r>
      <w:r w:rsidR="00DF48AA" w:rsidRPr="003D1FBA">
        <w:rPr>
          <w:rFonts w:ascii="Arial" w:hAnsi="Arial" w:cs="Arial"/>
          <w:noProof/>
          <w:sz w:val="24"/>
          <w:szCs w:val="24"/>
          <w:vertAlign w:val="superscript"/>
        </w:rPr>
        <w:t>7,11,12</w:t>
      </w:r>
      <w:r w:rsidR="00DF48AA" w:rsidRPr="003D1FBA">
        <w:rPr>
          <w:rFonts w:ascii="Arial" w:hAnsi="Arial" w:cs="Arial"/>
          <w:sz w:val="24"/>
          <w:szCs w:val="24"/>
          <w:vertAlign w:val="superscript"/>
        </w:rPr>
        <w:fldChar w:fldCharType="end"/>
      </w:r>
      <w:r w:rsidR="00874C4D" w:rsidRPr="003D1FBA">
        <w:rPr>
          <w:rFonts w:ascii="Arial" w:hAnsi="Arial" w:cs="Arial"/>
          <w:sz w:val="24"/>
          <w:szCs w:val="24"/>
        </w:rPr>
        <w:t xml:space="preserve">, b) </w:t>
      </w:r>
      <w:r w:rsidR="00212E4E" w:rsidRPr="003D1FBA">
        <w:rPr>
          <w:rFonts w:ascii="Arial" w:hAnsi="Arial" w:cs="Arial"/>
          <w:sz w:val="24"/>
          <w:szCs w:val="24"/>
        </w:rPr>
        <w:t>R</w:t>
      </w:r>
      <w:r>
        <w:rPr>
          <w:rFonts w:ascii="Arial" w:hAnsi="Arial" w:cs="Arial"/>
          <w:sz w:val="24"/>
          <w:szCs w:val="24"/>
        </w:rPr>
        <w:t>a</w:t>
      </w:r>
      <w:r w:rsidR="00212E4E" w:rsidRPr="003D1FBA">
        <w:rPr>
          <w:rFonts w:ascii="Arial" w:hAnsi="Arial" w:cs="Arial"/>
          <w:sz w:val="24"/>
          <w:szCs w:val="24"/>
        </w:rPr>
        <w:t>tio Isquiosural</w:t>
      </w:r>
      <w:r>
        <w:rPr>
          <w:rFonts w:ascii="Arial" w:hAnsi="Arial" w:cs="Arial"/>
          <w:sz w:val="24"/>
          <w:szCs w:val="24"/>
        </w:rPr>
        <w:t>e</w:t>
      </w:r>
      <w:r w:rsidR="00212E4E" w:rsidRPr="003D1FBA">
        <w:rPr>
          <w:rFonts w:ascii="Arial" w:hAnsi="Arial" w:cs="Arial"/>
          <w:sz w:val="24"/>
          <w:szCs w:val="24"/>
        </w:rPr>
        <w:t>s/</w:t>
      </w:r>
      <w:r>
        <w:rPr>
          <w:rFonts w:ascii="Arial" w:hAnsi="Arial" w:cs="Arial"/>
          <w:sz w:val="24"/>
          <w:szCs w:val="24"/>
        </w:rPr>
        <w:t>C</w:t>
      </w:r>
      <w:r w:rsidR="00212E4E" w:rsidRPr="003D1FBA">
        <w:rPr>
          <w:rFonts w:ascii="Arial" w:hAnsi="Arial" w:cs="Arial"/>
          <w:sz w:val="24"/>
          <w:szCs w:val="24"/>
        </w:rPr>
        <w:t>u</w:t>
      </w:r>
      <w:r>
        <w:rPr>
          <w:rFonts w:ascii="Arial" w:hAnsi="Arial" w:cs="Arial"/>
          <w:sz w:val="24"/>
          <w:szCs w:val="24"/>
        </w:rPr>
        <w:t>á</w:t>
      </w:r>
      <w:r w:rsidR="00212E4E" w:rsidRPr="003D1FBA">
        <w:rPr>
          <w:rFonts w:ascii="Arial" w:hAnsi="Arial" w:cs="Arial"/>
          <w:sz w:val="24"/>
          <w:szCs w:val="24"/>
        </w:rPr>
        <w:t>driceps (R</w:t>
      </w:r>
      <w:r>
        <w:rPr>
          <w:rFonts w:ascii="Arial" w:hAnsi="Arial" w:cs="Arial"/>
          <w:sz w:val="24"/>
          <w:szCs w:val="24"/>
        </w:rPr>
        <w:t>a</w:t>
      </w:r>
      <w:r w:rsidR="00212E4E" w:rsidRPr="003D1FBA">
        <w:rPr>
          <w:rFonts w:ascii="Arial" w:hAnsi="Arial" w:cs="Arial"/>
          <w:sz w:val="24"/>
          <w:szCs w:val="24"/>
        </w:rPr>
        <w:t>tio I/Q)</w:t>
      </w:r>
      <w:r w:rsidR="00874C4D" w:rsidRPr="003D1FBA">
        <w:rPr>
          <w:rFonts w:ascii="Arial" w:hAnsi="Arial" w:cs="Arial"/>
          <w:sz w:val="24"/>
          <w:szCs w:val="24"/>
        </w:rPr>
        <w:t xml:space="preserve"> m</w:t>
      </w:r>
      <w:r w:rsidR="00B81796">
        <w:rPr>
          <w:rFonts w:ascii="Arial" w:hAnsi="Arial" w:cs="Arial"/>
          <w:sz w:val="24"/>
          <w:szCs w:val="24"/>
        </w:rPr>
        <w:t>uy</w:t>
      </w:r>
      <w:r w:rsidR="00874C4D" w:rsidRPr="003D1FBA">
        <w:rPr>
          <w:rFonts w:ascii="Arial" w:hAnsi="Arial" w:cs="Arial"/>
          <w:sz w:val="24"/>
          <w:szCs w:val="24"/>
        </w:rPr>
        <w:t xml:space="preserve"> descompensad</w:t>
      </w:r>
      <w:r w:rsidR="00B81796">
        <w:rPr>
          <w:rFonts w:ascii="Arial" w:hAnsi="Arial" w:cs="Arial"/>
          <w:sz w:val="24"/>
          <w:szCs w:val="24"/>
        </w:rPr>
        <w:t>a</w:t>
      </w:r>
      <w:r w:rsidR="00874C4D" w:rsidRPr="003D1FBA">
        <w:rPr>
          <w:rFonts w:ascii="Arial" w:hAnsi="Arial" w:cs="Arial"/>
          <w:sz w:val="24"/>
          <w:szCs w:val="24"/>
        </w:rPr>
        <w:t>s</w:t>
      </w:r>
      <w:r w:rsidR="00253B5A" w:rsidRPr="003D1FBA">
        <w:rPr>
          <w:rFonts w:ascii="Arial" w:hAnsi="Arial" w:cs="Arial"/>
          <w:sz w:val="24"/>
          <w:szCs w:val="24"/>
        </w:rPr>
        <w:t xml:space="preserve"> </w:t>
      </w:r>
      <w:r w:rsidR="00253B5A" w:rsidRPr="003D1FBA">
        <w:rPr>
          <w:rFonts w:ascii="Arial" w:hAnsi="Arial" w:cs="Arial"/>
          <w:sz w:val="24"/>
          <w:szCs w:val="24"/>
          <w:vertAlign w:val="superscript"/>
        </w:rPr>
        <w:fldChar w:fldCharType="begin" w:fldLock="1"/>
      </w:r>
      <w:r w:rsidR="00B573BB" w:rsidRPr="003D1FBA">
        <w:rPr>
          <w:rFonts w:ascii="Arial" w:hAnsi="Arial" w:cs="Arial"/>
          <w:sz w:val="24"/>
          <w:szCs w:val="24"/>
          <w:vertAlign w:val="superscript"/>
        </w:rPr>
        <w:instrText>ADDIN CSL_CITATION {"citationItems":[{"id":"ITEM-1","itemData":{"DOI":"10.1080/02640414.2017.1412245","ISSN":"1466447X","PMID":"29212413","abstract":"This study aimed to provide a comprehensive strength-based physiological profile of women's NCAA Division I basketball and gymnastic athletes; and to make sport-specific comparisons for various strength characteristics of the knee flexor and extensor muscles. A focus on antagonist muscle balance (hamstrings-to-quadriceps ratios, H:Q) was used to elucidate vulnerabilities in these at-risk female athletes. Fourteen NCAA Division I women's basketball and 13 gymnastics athletes performed strength testing of the knee extensors and flexors. Outcome measures included absolute and relative (body mass normalised) peak torque (PT), rate of torque development at 50, 100, 200 ms (RTD50 etc.) and H:Q ratios of all variables. The basketball athletes had greater absolute strength for all variables except for isokinetic PT at 240 degrees s(-1) and isometric RTD50 for the knee extensors. Gymnasts showed ~20% weaker body mass relative concentric PT for the knee flexors at 60 and 120 degrees .s(-1), and decreased conventional H:Q ratios at 60 and 240 degrees .s(-1) (~15%). These findings suggest that collegiate level gymnastics athletes may be prone to increased ACL injury risk due to deficient knee flexor strength and H:Q strength imbalance. Coaches may use these findings when implementing injury prevention screening and/or for individualised strength training programming centered around an athletes strength-related deficits.","author":[{"dropping-particle":"","family":"Thompson","given":"Brennan J.","non-dropping-particle":"","parse-names":false,"suffix":""},{"dropping-particle":"","family":"Cazier","given":"Curtis S.","non-dropping-particle":"","parse-names":false,"suffix":""},{"dropping-particle":"","family":"Bressel","given":"Eadric","non-dropping-particle":"","parse-names":false,"suffix":""},{"dropping-particle":"","family":"Dolny","given":"Dennis G.","non-dropping-particle":"","parse-names":false,"suffix":""}],"container-title":"J Sports Sci","id":"ITEM-1","issue":"15","issued":{"date-parts":[["2018"]]},"page":"1749-56","publisher":"Routledge","title":"A lower extremity strength-based profile of NCAA Division I women’s basketball and gymnastics athletes: implications for knee joint injury risk assessment","type":"article-journal","volume":"36"},"uris":["http://www.mendeley.com/documents/?uuid=e95b87bc-7393-47e5-850e-b93393394741"]}],"mendeley":{"formattedCitation":"(13)","manualFormatting":"13","plainTextFormattedCitation":"(13)","previouslyFormattedCitation":"(13)"},"properties":{"noteIndex":0},"schema":"https://github.com/citation-style-language/schema/raw/master/csl-citation.json"}</w:instrText>
      </w:r>
      <w:r w:rsidR="00253B5A" w:rsidRPr="003D1FBA">
        <w:rPr>
          <w:rFonts w:ascii="Arial" w:hAnsi="Arial" w:cs="Arial"/>
          <w:sz w:val="24"/>
          <w:szCs w:val="24"/>
          <w:vertAlign w:val="superscript"/>
        </w:rPr>
        <w:fldChar w:fldCharType="separate"/>
      </w:r>
      <w:r w:rsidR="00253B5A" w:rsidRPr="003D1FBA">
        <w:rPr>
          <w:rFonts w:ascii="Arial" w:hAnsi="Arial" w:cs="Arial"/>
          <w:noProof/>
          <w:sz w:val="24"/>
          <w:szCs w:val="24"/>
          <w:vertAlign w:val="superscript"/>
        </w:rPr>
        <w:t>13</w:t>
      </w:r>
      <w:r w:rsidR="00253B5A" w:rsidRPr="003D1FBA">
        <w:rPr>
          <w:rFonts w:ascii="Arial" w:hAnsi="Arial" w:cs="Arial"/>
          <w:sz w:val="24"/>
          <w:szCs w:val="24"/>
          <w:vertAlign w:val="superscript"/>
        </w:rPr>
        <w:fldChar w:fldCharType="end"/>
      </w:r>
      <w:r w:rsidR="00212E4E" w:rsidRPr="003D1FBA">
        <w:rPr>
          <w:rFonts w:ascii="Arial" w:hAnsi="Arial" w:cs="Arial"/>
          <w:sz w:val="24"/>
          <w:szCs w:val="24"/>
        </w:rPr>
        <w:t xml:space="preserve">,  </w:t>
      </w:r>
      <w:r w:rsidR="00874C4D" w:rsidRPr="003D1FBA">
        <w:rPr>
          <w:rFonts w:ascii="Arial" w:hAnsi="Arial" w:cs="Arial"/>
          <w:sz w:val="24"/>
          <w:szCs w:val="24"/>
        </w:rPr>
        <w:t>c</w:t>
      </w:r>
      <w:r w:rsidR="00212E4E" w:rsidRPr="003D1FBA">
        <w:rPr>
          <w:rFonts w:ascii="Arial" w:hAnsi="Arial" w:cs="Arial"/>
          <w:sz w:val="24"/>
          <w:szCs w:val="24"/>
        </w:rPr>
        <w:t>) d</w:t>
      </w:r>
      <w:r w:rsidR="00B81796">
        <w:rPr>
          <w:rFonts w:ascii="Arial" w:hAnsi="Arial" w:cs="Arial"/>
          <w:sz w:val="24"/>
          <w:szCs w:val="24"/>
        </w:rPr>
        <w:t>é</w:t>
      </w:r>
      <w:r w:rsidR="00212E4E" w:rsidRPr="003D1FBA">
        <w:rPr>
          <w:rFonts w:ascii="Arial" w:hAnsi="Arial" w:cs="Arial"/>
          <w:sz w:val="24"/>
          <w:szCs w:val="24"/>
        </w:rPr>
        <w:t>ficits de f</w:t>
      </w:r>
      <w:r w:rsidR="00B81796">
        <w:rPr>
          <w:rFonts w:ascii="Arial" w:hAnsi="Arial" w:cs="Arial"/>
          <w:sz w:val="24"/>
          <w:szCs w:val="24"/>
        </w:rPr>
        <w:t>uerz</w:t>
      </w:r>
      <w:r w:rsidR="00212E4E" w:rsidRPr="003D1FBA">
        <w:rPr>
          <w:rFonts w:ascii="Arial" w:hAnsi="Arial" w:cs="Arial"/>
          <w:sz w:val="24"/>
          <w:szCs w:val="24"/>
        </w:rPr>
        <w:t xml:space="preserve">a muscular </w:t>
      </w:r>
      <w:r w:rsidR="00B81796">
        <w:rPr>
          <w:rFonts w:ascii="Arial" w:hAnsi="Arial" w:cs="Arial"/>
          <w:sz w:val="24"/>
          <w:szCs w:val="24"/>
        </w:rPr>
        <w:t>en</w:t>
      </w:r>
      <w:r w:rsidR="00874C4D" w:rsidRPr="003D1FBA">
        <w:rPr>
          <w:rFonts w:ascii="Arial" w:hAnsi="Arial" w:cs="Arial"/>
          <w:sz w:val="24"/>
          <w:szCs w:val="24"/>
        </w:rPr>
        <w:t xml:space="preserve"> l</w:t>
      </w:r>
      <w:r w:rsidR="00B81796">
        <w:rPr>
          <w:rFonts w:ascii="Arial" w:hAnsi="Arial" w:cs="Arial"/>
          <w:sz w:val="24"/>
          <w:szCs w:val="24"/>
        </w:rPr>
        <w:t xml:space="preserve">a </w:t>
      </w:r>
      <w:r w:rsidR="00874C4D" w:rsidRPr="003D1FBA">
        <w:rPr>
          <w:rFonts w:ascii="Arial" w:hAnsi="Arial" w:cs="Arial"/>
          <w:sz w:val="24"/>
          <w:szCs w:val="24"/>
        </w:rPr>
        <w:t>extremi</w:t>
      </w:r>
      <w:r w:rsidR="00B81796">
        <w:rPr>
          <w:rFonts w:ascii="Arial" w:hAnsi="Arial" w:cs="Arial"/>
          <w:sz w:val="24"/>
          <w:szCs w:val="24"/>
        </w:rPr>
        <w:t>d</w:t>
      </w:r>
      <w:r w:rsidR="00874C4D" w:rsidRPr="003D1FBA">
        <w:rPr>
          <w:rFonts w:ascii="Arial" w:hAnsi="Arial" w:cs="Arial"/>
          <w:sz w:val="24"/>
          <w:szCs w:val="24"/>
        </w:rPr>
        <w:t>a</w:t>
      </w:r>
      <w:r w:rsidR="00B81796">
        <w:rPr>
          <w:rFonts w:ascii="Arial" w:hAnsi="Arial" w:cs="Arial"/>
          <w:sz w:val="24"/>
          <w:szCs w:val="24"/>
        </w:rPr>
        <w:t>d</w:t>
      </w:r>
      <w:r w:rsidR="00874C4D" w:rsidRPr="003D1FBA">
        <w:rPr>
          <w:rFonts w:ascii="Arial" w:hAnsi="Arial" w:cs="Arial"/>
          <w:sz w:val="24"/>
          <w:szCs w:val="24"/>
        </w:rPr>
        <w:t xml:space="preserve"> inferior</w:t>
      </w:r>
      <w:r w:rsidR="00253B5A" w:rsidRPr="003D1FBA">
        <w:rPr>
          <w:rFonts w:ascii="Arial" w:hAnsi="Arial" w:cs="Arial"/>
          <w:sz w:val="24"/>
          <w:szCs w:val="24"/>
        </w:rPr>
        <w:t xml:space="preserve"> </w:t>
      </w:r>
      <w:r w:rsidR="00253B5A" w:rsidRPr="003D1FBA">
        <w:rPr>
          <w:rFonts w:ascii="Arial" w:hAnsi="Arial" w:cs="Arial"/>
          <w:sz w:val="24"/>
          <w:szCs w:val="24"/>
          <w:vertAlign w:val="superscript"/>
        </w:rPr>
        <w:fldChar w:fldCharType="begin" w:fldLock="1"/>
      </w:r>
      <w:r w:rsidR="00B573BB" w:rsidRPr="003D1FBA">
        <w:rPr>
          <w:rFonts w:ascii="Arial" w:hAnsi="Arial" w:cs="Arial"/>
          <w:sz w:val="24"/>
          <w:szCs w:val="24"/>
          <w:vertAlign w:val="superscript"/>
        </w:rPr>
        <w:instrText>ADDIN CSL_CITATION {"citationItems":[{"id":"ITEM-1","itemData":{"DOI":"10.1002/jor.23414.Mechanisms","author":[{"dropping-particle":"","family":"Hewett","given":"TE","non-dropping-particle":"","parse-names":false,"suffix":""},{"dropping-particle":"","family":"Myer","given":"GD","non-dropping-particle":"","parse-names":false,"suffix":""},{"dropping-particle":"","family":"Ford","given":"KR","non-dropping-particle":"","parse-names":false,"suffix":""},{"dropping-particle":"","family":"Paterno","given":"MV","non-dropping-particle":"","parse-names":false,"suffix":""},{"dropping-particle":"","family":"Quatman","given":"CE","non-dropping-particle":"","parse-names":false,"suffix":""}],"container-title":"J Orthop Res","id":"ITEM-1","issue":"11","issued":{"date-parts":[["2016"]]},"page":"1843-55","title":"Mechanisms, Prediction, and Prevention of ACL Injuries: Cut Risk With Three Sharpened and Validated Tools","type":"article-journal","volume":"34"},"uris":["http://www.mendeley.com/documents/?uuid=d283b8b9-3fae-41fd-944d-f7d3334fd91e"]}],"mendeley":{"formattedCitation":"(7)","manualFormatting":"7","plainTextFormattedCitation":"(7)","previouslyFormattedCitation":"(7)"},"properties":{"noteIndex":0},"schema":"https://github.com/citation-style-language/schema/raw/master/csl-citation.json"}</w:instrText>
      </w:r>
      <w:r w:rsidR="00253B5A" w:rsidRPr="003D1FBA">
        <w:rPr>
          <w:rFonts w:ascii="Arial" w:hAnsi="Arial" w:cs="Arial"/>
          <w:sz w:val="24"/>
          <w:szCs w:val="24"/>
          <w:vertAlign w:val="superscript"/>
        </w:rPr>
        <w:fldChar w:fldCharType="separate"/>
      </w:r>
      <w:r w:rsidR="00253B5A" w:rsidRPr="003D1FBA">
        <w:rPr>
          <w:rFonts w:ascii="Arial" w:hAnsi="Arial" w:cs="Arial"/>
          <w:noProof/>
          <w:sz w:val="24"/>
          <w:szCs w:val="24"/>
          <w:vertAlign w:val="superscript"/>
        </w:rPr>
        <w:t>7</w:t>
      </w:r>
      <w:r w:rsidR="00253B5A" w:rsidRPr="003D1FBA">
        <w:rPr>
          <w:rFonts w:ascii="Arial" w:hAnsi="Arial" w:cs="Arial"/>
          <w:sz w:val="24"/>
          <w:szCs w:val="24"/>
          <w:vertAlign w:val="superscript"/>
        </w:rPr>
        <w:fldChar w:fldCharType="end"/>
      </w:r>
      <w:r w:rsidR="00212E4E" w:rsidRPr="003D1FBA">
        <w:rPr>
          <w:rFonts w:ascii="Arial" w:hAnsi="Arial" w:cs="Arial"/>
          <w:sz w:val="24"/>
          <w:szCs w:val="24"/>
        </w:rPr>
        <w:t xml:space="preserve">, </w:t>
      </w:r>
      <w:r w:rsidR="00874C4D" w:rsidRPr="003D1FBA">
        <w:rPr>
          <w:rFonts w:ascii="Arial" w:hAnsi="Arial" w:cs="Arial"/>
          <w:sz w:val="24"/>
          <w:szCs w:val="24"/>
        </w:rPr>
        <w:t>d</w:t>
      </w:r>
      <w:r w:rsidR="00212E4E" w:rsidRPr="003D1FBA">
        <w:rPr>
          <w:rFonts w:ascii="Arial" w:hAnsi="Arial" w:cs="Arial"/>
          <w:sz w:val="24"/>
          <w:szCs w:val="24"/>
        </w:rPr>
        <w:t>) la fatiga neuromuscular</w:t>
      </w:r>
      <w:r w:rsidR="00076131" w:rsidRPr="003D1FBA">
        <w:rPr>
          <w:rFonts w:ascii="Arial" w:hAnsi="Arial" w:cs="Arial"/>
          <w:sz w:val="24"/>
          <w:szCs w:val="24"/>
        </w:rPr>
        <w:t xml:space="preserve"> </w:t>
      </w:r>
      <w:r w:rsidR="00253B5A" w:rsidRPr="003D1FBA">
        <w:rPr>
          <w:rFonts w:ascii="Arial" w:hAnsi="Arial" w:cs="Arial"/>
          <w:sz w:val="24"/>
          <w:szCs w:val="24"/>
          <w:vertAlign w:val="superscript"/>
        </w:rPr>
        <w:fldChar w:fldCharType="begin" w:fldLock="1"/>
      </w:r>
      <w:r w:rsidR="00B573BB" w:rsidRPr="003D1FBA">
        <w:rPr>
          <w:rFonts w:ascii="Arial" w:hAnsi="Arial" w:cs="Arial"/>
          <w:sz w:val="24"/>
          <w:szCs w:val="24"/>
          <w:vertAlign w:val="superscript"/>
        </w:rPr>
        <w:instrText>ADDIN CSL_CITATION {"citationItems":[{"id":"ITEM-1","itemData":{"DOI":"10.1016/j.clinbiomech.2007.08.008","ISSN":"02680033","abstract":"Background: In spite of ongoing prevention developments, anterior cruciate ligament injury rates and the associated sex-disparity have remained, suggesting an incomplete understanding of the injury mechanism. While both fatigue and decision making are known in isolation to directly impact anterior cruciate ligament injury risk, their combined manifestations remain unknown. We thus examined the combined effects of fatigue and decision making on lower limb kinematics during sports relevant landings. Methods: Twenty five female National College Athletic Association athletes had initial contact and peak stance phase 3D lower limb joint kinematics quantified during anticipated and unanticipated single (left and right) leg landings, both before and during the accumulation of fatigue. Jump direction was governed by light stimuli activated prior to and during the pre-land phase of respective anticipated and unanticipated trials. To induce fatigue, subjects performed repetitive squat (n = 5) and randomly ordered jump sequences, until squats were no longer possible. Subject-based measures of each dependent factor were then calculated across pre-fatigue trials, and for those denoting 100% and 50% fatigue, and submitted to a 3-way mixed design analysis of covariance to test for the main effects of fatigue time, decision and leg. Findings: Fatigue caused significant increases in initial contact hip extension and internal rotation, and in peak stance knee abduction and internal rotation and ankle supination angles. Fatigue-induced increases in initial contact hip rotations and in peak knee abduction angle were also significantly more pronounced during unanticipated compared to anticipated landings. Interpretation: The integrative effects of fatigue and decision making may represent a worst case scenario in terms of anterior cruciate ligament injury risk during dynamic single leg landings, by perpetuating substantial degradation and overload of central control mechanisms. © 2007 Elsevier Ltd. All rights reserved.","author":[{"dropping-particle":"","family":"Borotikar","given":"Bhushan S.","non-dropping-particle":"","parse-names":false,"suffix":""},{"dropping-particle":"","family":"Newcomer","given":"Rhonda","non-dropping-particle":"","parse-names":false,"suffix":""},{"dropping-particle":"","family":"Koppes","given":"Ryan","non-dropping-particle":"","parse-names":false,"suffix":""},{"dropping-particle":"","family":"McLean","given":"Scott G.","non-dropping-particle":"","parse-names":false,"suffix":""}],"container-title":"Clin Biomech","id":"ITEM-1","issue":"1","issued":{"date-parts":[["2008"]]},"page":"81-92","title":"Combined effects of fatigue and decision making on female lower limb landing postures: Central and peripheral contributions to ACL injury risk","type":"article-journal","volume":"23"},"uris":["http://www.mendeley.com/documents/?uuid=aca36a87-b862-4373-8a1c-bb36db033a67"]},{"id":"ITEM-2","itemData":{"DOI":"10.1080/0264041031000140428","ISBN":"0264-0414 (Print)\\r0264-0414 (Linking)","ISSN":"02640414","PMID":"14626373","abstract":"Fatigue represents a reduction in the capability of muscle to generate force. The aim of the present study was to establish the effects of exercise that simulates the work rate of competitive soccer players on the strength of the knee extensors and knee flexors. Thirteen amateur soccer players (age 23.3+/-3.9 years, height 1.78+/-0.05 m, body mass 74.8+/-3.6 kg; mean+/-s) were tested during the 2000-2001 soccer season. Muscle strength of the quadriceps and hamstrings was measured on an isokinetic dynamometer. A 90 min soccer-specific intermittent exercise protocol, incorporating a 15 min half-time intermission, was developed to provide fatiguing exercise corresponding in work rate to a game of soccer. The exercise protocol, performed on a programmable motorized treadmill, consisted of the different intensities observed during soccer match-play (e.g. walking, jogging, running, sprinting). Muscle strength was assessed before exercise, at half-time and immediately after exercise. A repeated-measures analysis of variance showed significant reductions (P &lt; 0.001) in peak torque for both the quadriceps and hamstrings at all angular velocities (concentric: 1.05, 2.09, 5.23 rad x s(-1); eccentric: 2.09 rad x s(-1)). The peak torque of the knee extensors (KE) and knee flexors (KF) was greater before exercise [KE: 232+/-37, 182+/-34, 129+/-27, 219+/-41 N x m at 1.05, 2.09 and 5.23 rad x s(-1) (concentric) and 2.09 rad x s(-1) (eccentric), respectively; KF: 126+/-20, 112+/-19, 101+/-16, 137+/-23 N x m] than at half-time (KE: 209+/-45, 177+/-35, 125+/-36, 214+/-43 N x m; KF: 114+/-31, 102+/-20, 92+/-15, 125+/-25 N x m) and greater at half-time than after exercise (KE: 196+/-43, 167+/-35, 118+/-24, 204+/-43 N x m; KF: 104+/-25, 95+/-21, 87+/-13, 114+/-27 N x m). For the hamstrings:quadriceps ratio, significant changes were found (P &lt; 0.05) for both legs, the ratio being greater before than after exercise. For fast:slow speed and left:right ratios, no significant changes were found. We conclude that there is a progressive reduction in muscle strength that applies across a range of functional characteristics during exercise that mimics the work rate in soccer.","author":[{"dropping-particle":"","family":"Rahnama","given":"Nader","non-dropping-particle":"","parse-names":false,"suffix":""},{"dropping-particle":"","family":"Reilly","given":"T.","non-dropping-particle":"","parse-names":false,"suffix":""},{"dropping-particle":"","family":"Lees","given":"A.","non-dropping-particle":"","parse-names":false,"suffix":""},{"dropping-particle":"","family":"Graham-Smith","given":"P.","non-dropping-particle":"","parse-names":false,"suffix":""}],"container-title":"J Sports Sci","id":"ITEM-2","issue":"11","issued":{"date-parts":[["2003"]]},"page":"933-42","title":"Muscle fatigue induced by exercise simulating the work rate of competitive soccer","type":"article-journal","volume":"21"},"uris":["http://www.mendeley.com/documents/?uuid=90482cd4-c6c5-43ff-aeb7-45af4e0e6ff3"]}],"mendeley":{"formattedCitation":"(14,15)","manualFormatting":"14,15","plainTextFormattedCitation":"(14,15)","previouslyFormattedCitation":"(14,15)"},"properties":{"noteIndex":0},"schema":"https://github.com/citation-style-language/schema/raw/master/csl-citation.json"}</w:instrText>
      </w:r>
      <w:r w:rsidR="00253B5A" w:rsidRPr="003D1FBA">
        <w:rPr>
          <w:rFonts w:ascii="Arial" w:hAnsi="Arial" w:cs="Arial"/>
          <w:sz w:val="24"/>
          <w:szCs w:val="24"/>
          <w:vertAlign w:val="superscript"/>
        </w:rPr>
        <w:fldChar w:fldCharType="separate"/>
      </w:r>
      <w:r w:rsidR="00B21161" w:rsidRPr="003D1FBA">
        <w:rPr>
          <w:rFonts w:ascii="Arial" w:hAnsi="Arial" w:cs="Arial"/>
          <w:noProof/>
          <w:sz w:val="24"/>
          <w:szCs w:val="24"/>
          <w:vertAlign w:val="superscript"/>
        </w:rPr>
        <w:t>14,15</w:t>
      </w:r>
      <w:r w:rsidR="00253B5A" w:rsidRPr="003D1FBA">
        <w:rPr>
          <w:rFonts w:ascii="Arial" w:hAnsi="Arial" w:cs="Arial"/>
          <w:sz w:val="24"/>
          <w:szCs w:val="24"/>
          <w:vertAlign w:val="superscript"/>
        </w:rPr>
        <w:fldChar w:fldCharType="end"/>
      </w:r>
      <w:r w:rsidR="00212E4E" w:rsidRPr="003D1FBA">
        <w:rPr>
          <w:rFonts w:ascii="Arial" w:hAnsi="Arial" w:cs="Arial"/>
          <w:sz w:val="24"/>
          <w:szCs w:val="24"/>
        </w:rPr>
        <w:t xml:space="preserve"> </w:t>
      </w:r>
      <w:r w:rsidR="00B81796">
        <w:rPr>
          <w:rFonts w:ascii="Arial" w:hAnsi="Arial" w:cs="Arial"/>
          <w:sz w:val="24"/>
          <w:szCs w:val="24"/>
        </w:rPr>
        <w:t>y</w:t>
      </w:r>
      <w:r w:rsidR="00212E4E" w:rsidRPr="003D1FBA">
        <w:rPr>
          <w:rFonts w:ascii="Arial" w:hAnsi="Arial" w:cs="Arial"/>
          <w:sz w:val="24"/>
          <w:szCs w:val="24"/>
        </w:rPr>
        <w:t xml:space="preserve"> </w:t>
      </w:r>
      <w:r w:rsidR="00874C4D" w:rsidRPr="003D1FBA">
        <w:rPr>
          <w:rFonts w:ascii="Arial" w:hAnsi="Arial" w:cs="Arial"/>
          <w:sz w:val="24"/>
          <w:szCs w:val="24"/>
        </w:rPr>
        <w:t>e</w:t>
      </w:r>
      <w:r w:rsidR="00212E4E" w:rsidRPr="003D1FBA">
        <w:rPr>
          <w:rFonts w:ascii="Arial" w:hAnsi="Arial" w:cs="Arial"/>
          <w:sz w:val="24"/>
          <w:szCs w:val="24"/>
        </w:rPr>
        <w:t>) l</w:t>
      </w:r>
      <w:r w:rsidR="00B81796">
        <w:rPr>
          <w:rFonts w:ascii="Arial" w:hAnsi="Arial" w:cs="Arial"/>
          <w:sz w:val="24"/>
          <w:szCs w:val="24"/>
        </w:rPr>
        <w:t>a</w:t>
      </w:r>
      <w:r w:rsidR="00212E4E" w:rsidRPr="003D1FBA">
        <w:rPr>
          <w:rFonts w:ascii="Arial" w:hAnsi="Arial" w:cs="Arial"/>
          <w:sz w:val="24"/>
          <w:szCs w:val="24"/>
        </w:rPr>
        <w:t xml:space="preserve">s </w:t>
      </w:r>
      <w:r w:rsidR="00C2275F" w:rsidRPr="003D1FBA">
        <w:rPr>
          <w:rFonts w:ascii="Arial" w:hAnsi="Arial" w:cs="Arial"/>
          <w:sz w:val="24"/>
          <w:szCs w:val="24"/>
        </w:rPr>
        <w:t>asimetr</w:t>
      </w:r>
      <w:r w:rsidR="00B81796">
        <w:rPr>
          <w:rFonts w:ascii="Arial" w:hAnsi="Arial" w:cs="Arial"/>
          <w:sz w:val="24"/>
          <w:szCs w:val="24"/>
        </w:rPr>
        <w:t>ía</w:t>
      </w:r>
      <w:r w:rsidR="00C2275F" w:rsidRPr="003D1FBA">
        <w:rPr>
          <w:rFonts w:ascii="Arial" w:hAnsi="Arial" w:cs="Arial"/>
          <w:sz w:val="24"/>
          <w:szCs w:val="24"/>
        </w:rPr>
        <w:t>s</w:t>
      </w:r>
      <w:r w:rsidR="00212E4E" w:rsidRPr="003D1FBA">
        <w:rPr>
          <w:rFonts w:ascii="Arial" w:hAnsi="Arial" w:cs="Arial"/>
          <w:sz w:val="24"/>
          <w:szCs w:val="24"/>
        </w:rPr>
        <w:t xml:space="preserve"> neuromuscular</w:t>
      </w:r>
      <w:r w:rsidR="00B81796">
        <w:rPr>
          <w:rFonts w:ascii="Arial" w:hAnsi="Arial" w:cs="Arial"/>
          <w:sz w:val="24"/>
          <w:szCs w:val="24"/>
        </w:rPr>
        <w:t>e</w:t>
      </w:r>
      <w:r w:rsidR="00212E4E" w:rsidRPr="003D1FBA">
        <w:rPr>
          <w:rFonts w:ascii="Arial" w:hAnsi="Arial" w:cs="Arial"/>
          <w:sz w:val="24"/>
          <w:szCs w:val="24"/>
        </w:rPr>
        <w:t>s entre l</w:t>
      </w:r>
      <w:r w:rsidR="00B81796">
        <w:rPr>
          <w:rFonts w:ascii="Arial" w:hAnsi="Arial" w:cs="Arial"/>
          <w:sz w:val="24"/>
          <w:szCs w:val="24"/>
        </w:rPr>
        <w:t>a</w:t>
      </w:r>
      <w:r w:rsidR="00212E4E" w:rsidRPr="003D1FBA">
        <w:rPr>
          <w:rFonts w:ascii="Arial" w:hAnsi="Arial" w:cs="Arial"/>
          <w:sz w:val="24"/>
          <w:szCs w:val="24"/>
        </w:rPr>
        <w:t>s extremi</w:t>
      </w:r>
      <w:r w:rsidR="00B81796">
        <w:rPr>
          <w:rFonts w:ascii="Arial" w:hAnsi="Arial" w:cs="Arial"/>
          <w:sz w:val="24"/>
          <w:szCs w:val="24"/>
        </w:rPr>
        <w:t>d</w:t>
      </w:r>
      <w:r w:rsidR="00212E4E" w:rsidRPr="003D1FBA">
        <w:rPr>
          <w:rFonts w:ascii="Arial" w:hAnsi="Arial" w:cs="Arial"/>
          <w:sz w:val="24"/>
          <w:szCs w:val="24"/>
        </w:rPr>
        <w:t>a</w:t>
      </w:r>
      <w:r w:rsidR="00B81796">
        <w:rPr>
          <w:rFonts w:ascii="Arial" w:hAnsi="Arial" w:cs="Arial"/>
          <w:sz w:val="24"/>
          <w:szCs w:val="24"/>
        </w:rPr>
        <w:t>de</w:t>
      </w:r>
      <w:r w:rsidR="00212E4E" w:rsidRPr="003D1FBA">
        <w:rPr>
          <w:rFonts w:ascii="Arial" w:hAnsi="Arial" w:cs="Arial"/>
          <w:sz w:val="24"/>
          <w:szCs w:val="24"/>
        </w:rPr>
        <w:t>s</w:t>
      </w:r>
      <w:r w:rsidR="00076131" w:rsidRPr="003D1FBA">
        <w:rPr>
          <w:rFonts w:ascii="Arial" w:hAnsi="Arial" w:cs="Arial"/>
          <w:sz w:val="24"/>
          <w:szCs w:val="24"/>
        </w:rPr>
        <w:t>.</w:t>
      </w:r>
      <w:r w:rsidR="00253B5A" w:rsidRPr="003D1FBA">
        <w:rPr>
          <w:rFonts w:ascii="Arial" w:hAnsi="Arial" w:cs="Arial"/>
          <w:sz w:val="24"/>
          <w:szCs w:val="24"/>
          <w:vertAlign w:val="superscript"/>
        </w:rPr>
        <w:fldChar w:fldCharType="begin" w:fldLock="1"/>
      </w:r>
      <w:r w:rsidR="00EE7DE8" w:rsidRPr="003D1FBA">
        <w:rPr>
          <w:rFonts w:ascii="Arial" w:hAnsi="Arial" w:cs="Arial"/>
          <w:sz w:val="24"/>
          <w:szCs w:val="24"/>
          <w:vertAlign w:val="superscript"/>
        </w:rPr>
        <w:instrText>ADDIN CSL_CITATION {"citationItems":[{"id":"ITEM-1","itemData":{"ISBN":"1558-6170 (Electronic)\\n1558-6162 (Linking)","ISSN":"1558-6170","PMID":"21655382","abstract":"This invited clinical commentary summarizes the current state of knowledge in the area of prevention of anterior cruciate ligament (ACL) injuries. ACL injuries occur with a four to six fold greater incidence in female compared to male athletes playing the same high risk sports. The combination of increased risk of ACL injury and a 10-fold increase in sports participation since the enactment of Title IX in 1972 has led to an almost epidemic rise in ACL injuries in female athletes. Examination of the mechanisms responsible for this sex disparity in ACL rupture accelerated in the last two decades. A summary of these findings and a synthesis and framework for understanding the results of the intense investigation of this research are detailed herein. This clinical commentary focuses on the current understanding, identification and interventional targeting of the primary neuromuscular and biomechanical risk factors associated with the ACL injury mechanism in high-risk individuals.","author":[{"dropping-particle":"","family":"Hewett","given":"Timothy E","non-dropping-particle":"","parse-names":false,"suffix":""},{"dropping-particle":"","family":"Ford","given":"Kevin R","non-dropping-particle":"","parse-names":false,"suffix":""},{"dropping-particle":"","family":"Hoogenboom","given":"Barbara J","non-dropping-particle":"","parse-names":false,"suffix":""}],"container-title":"N Am J Sports Phys Ther","id":"ITEM-1","issue":"4","issued":{"date-parts":[["2010"]]},"page":"234-51","title":"Understanding and Preventing Acl Injuries: Current Biomechanical and Epidemiologic Considerations - Update 2010","type":"article-journal","volume":"5"},"uris":["http://www.mendeley.com/documents/?uuid=f5603b4a-2943-4d9d-84fe-46f5f04ce4ab"]}],"mendeley":{"formattedCitation":"(16)","manualFormatting":"16","plainTextFormattedCitation":"(16)","previouslyFormattedCitation":"(16)"},"properties":{"noteIndex":0},"schema":"https://github.com/citation-style-language/schema/raw/master/csl-citation.json"}</w:instrText>
      </w:r>
      <w:r w:rsidR="00253B5A" w:rsidRPr="003D1FBA">
        <w:rPr>
          <w:rFonts w:ascii="Arial" w:hAnsi="Arial" w:cs="Arial"/>
          <w:sz w:val="24"/>
          <w:szCs w:val="24"/>
          <w:vertAlign w:val="superscript"/>
        </w:rPr>
        <w:fldChar w:fldCharType="separate"/>
      </w:r>
      <w:r w:rsidR="00B21161" w:rsidRPr="003D1FBA">
        <w:rPr>
          <w:rFonts w:ascii="Arial" w:hAnsi="Arial" w:cs="Arial"/>
          <w:noProof/>
          <w:sz w:val="24"/>
          <w:szCs w:val="24"/>
          <w:vertAlign w:val="superscript"/>
        </w:rPr>
        <w:t>16</w:t>
      </w:r>
      <w:r w:rsidR="00253B5A" w:rsidRPr="003D1FBA">
        <w:rPr>
          <w:rFonts w:ascii="Arial" w:hAnsi="Arial" w:cs="Arial"/>
          <w:sz w:val="24"/>
          <w:szCs w:val="24"/>
          <w:vertAlign w:val="superscript"/>
        </w:rPr>
        <w:fldChar w:fldCharType="end"/>
      </w:r>
    </w:p>
    <w:p w:rsidR="00A90F3E" w:rsidRPr="003D1FBA" w:rsidRDefault="00B81796" w:rsidP="00270DA1">
      <w:pPr>
        <w:spacing w:line="360" w:lineRule="auto"/>
        <w:jc w:val="both"/>
        <w:rPr>
          <w:rFonts w:ascii="Arial" w:hAnsi="Arial" w:cs="Arial"/>
          <w:sz w:val="24"/>
        </w:rPr>
      </w:pPr>
      <w:r>
        <w:rPr>
          <w:rFonts w:ascii="Arial" w:hAnsi="Arial" w:cs="Arial"/>
          <w:sz w:val="24"/>
          <w:szCs w:val="24"/>
        </w:rPr>
        <w:t>Respecto</w:t>
      </w:r>
      <w:r w:rsidR="008D5D10" w:rsidRPr="003D1FBA">
        <w:rPr>
          <w:rFonts w:ascii="Arial" w:hAnsi="Arial" w:cs="Arial"/>
          <w:sz w:val="24"/>
          <w:szCs w:val="24"/>
        </w:rPr>
        <w:t xml:space="preserve"> a la</w:t>
      </w:r>
      <w:r w:rsidR="006F2D40" w:rsidRPr="003D1FBA">
        <w:rPr>
          <w:rFonts w:ascii="Arial" w:hAnsi="Arial" w:cs="Arial"/>
          <w:sz w:val="24"/>
          <w:szCs w:val="24"/>
        </w:rPr>
        <w:t xml:space="preserve"> </w:t>
      </w:r>
      <w:r w:rsidR="0090596B" w:rsidRPr="003D1FBA">
        <w:rPr>
          <w:rFonts w:ascii="Arial" w:hAnsi="Arial" w:cs="Arial"/>
          <w:sz w:val="24"/>
          <w:szCs w:val="24"/>
        </w:rPr>
        <w:t>R</w:t>
      </w:r>
      <w:r>
        <w:rPr>
          <w:rFonts w:ascii="Arial" w:hAnsi="Arial" w:cs="Arial"/>
          <w:sz w:val="24"/>
          <w:szCs w:val="24"/>
        </w:rPr>
        <w:t>a</w:t>
      </w:r>
      <w:r w:rsidR="006F2D40" w:rsidRPr="003D1FBA">
        <w:rPr>
          <w:rFonts w:ascii="Arial" w:hAnsi="Arial" w:cs="Arial"/>
          <w:sz w:val="24"/>
          <w:szCs w:val="24"/>
        </w:rPr>
        <w:t>tio I/Q</w:t>
      </w:r>
      <w:r w:rsidR="008D5D10" w:rsidRPr="003D1FBA">
        <w:rPr>
          <w:rFonts w:ascii="Arial" w:hAnsi="Arial" w:cs="Arial"/>
          <w:sz w:val="24"/>
          <w:szCs w:val="24"/>
        </w:rPr>
        <w:t xml:space="preserve">, </w:t>
      </w:r>
      <w:r>
        <w:rPr>
          <w:rFonts w:ascii="Arial" w:hAnsi="Arial" w:cs="Arial"/>
          <w:sz w:val="24"/>
          <w:szCs w:val="24"/>
        </w:rPr>
        <w:t>lo</w:t>
      </w:r>
      <w:r w:rsidR="008D5D10" w:rsidRPr="003D1FBA">
        <w:rPr>
          <w:rFonts w:ascii="Arial" w:hAnsi="Arial" w:cs="Arial"/>
          <w:sz w:val="24"/>
          <w:szCs w:val="24"/>
        </w:rPr>
        <w:t>s estudi</w:t>
      </w:r>
      <w:r>
        <w:rPr>
          <w:rFonts w:ascii="Arial" w:hAnsi="Arial" w:cs="Arial"/>
          <w:sz w:val="24"/>
          <w:szCs w:val="24"/>
        </w:rPr>
        <w:t>o</w:t>
      </w:r>
      <w:r w:rsidR="008D5D10" w:rsidRPr="003D1FBA">
        <w:rPr>
          <w:rFonts w:ascii="Arial" w:hAnsi="Arial" w:cs="Arial"/>
          <w:sz w:val="24"/>
          <w:szCs w:val="24"/>
        </w:rPr>
        <w:t>s la calcul</w:t>
      </w:r>
      <w:r>
        <w:rPr>
          <w:rFonts w:ascii="Arial" w:hAnsi="Arial" w:cs="Arial"/>
          <w:sz w:val="24"/>
          <w:szCs w:val="24"/>
        </w:rPr>
        <w:t>a</w:t>
      </w:r>
      <w:r w:rsidR="008D5D10" w:rsidRPr="003D1FBA">
        <w:rPr>
          <w:rFonts w:ascii="Arial" w:hAnsi="Arial" w:cs="Arial"/>
          <w:sz w:val="24"/>
          <w:szCs w:val="24"/>
        </w:rPr>
        <w:t xml:space="preserve">n </w:t>
      </w:r>
      <w:r w:rsidR="006F2D40" w:rsidRPr="003D1FBA">
        <w:rPr>
          <w:rFonts w:ascii="Arial" w:hAnsi="Arial" w:cs="Arial"/>
          <w:sz w:val="24"/>
          <w:szCs w:val="24"/>
        </w:rPr>
        <w:t>m</w:t>
      </w:r>
      <w:r>
        <w:rPr>
          <w:rFonts w:ascii="Arial" w:hAnsi="Arial" w:cs="Arial"/>
          <w:sz w:val="24"/>
          <w:szCs w:val="24"/>
        </w:rPr>
        <w:t>edian</w:t>
      </w:r>
      <w:r w:rsidR="006F2D40" w:rsidRPr="003D1FBA">
        <w:rPr>
          <w:rFonts w:ascii="Arial" w:hAnsi="Arial" w:cs="Arial"/>
          <w:sz w:val="24"/>
          <w:szCs w:val="24"/>
        </w:rPr>
        <w:t>t</w:t>
      </w:r>
      <w:r>
        <w:rPr>
          <w:rFonts w:ascii="Arial" w:hAnsi="Arial" w:cs="Arial"/>
          <w:sz w:val="24"/>
          <w:szCs w:val="24"/>
        </w:rPr>
        <w:t>e</w:t>
      </w:r>
      <w:r w:rsidR="006F2D40" w:rsidRPr="003D1FBA">
        <w:rPr>
          <w:rFonts w:ascii="Arial" w:hAnsi="Arial" w:cs="Arial"/>
          <w:sz w:val="24"/>
          <w:szCs w:val="24"/>
        </w:rPr>
        <w:t xml:space="preserve"> </w:t>
      </w:r>
      <w:r w:rsidRPr="003D1FBA">
        <w:rPr>
          <w:rFonts w:ascii="Arial" w:hAnsi="Arial" w:cs="Arial"/>
          <w:sz w:val="24"/>
          <w:szCs w:val="24"/>
        </w:rPr>
        <w:t>test</w:t>
      </w:r>
      <w:r w:rsidR="008D5D10" w:rsidRPr="003D1FBA">
        <w:rPr>
          <w:rFonts w:ascii="Arial" w:hAnsi="Arial" w:cs="Arial"/>
          <w:sz w:val="24"/>
          <w:szCs w:val="24"/>
        </w:rPr>
        <w:t xml:space="preserve"> de f</w:t>
      </w:r>
      <w:r>
        <w:rPr>
          <w:rFonts w:ascii="Arial" w:hAnsi="Arial" w:cs="Arial"/>
          <w:sz w:val="24"/>
          <w:szCs w:val="24"/>
        </w:rPr>
        <w:t>uerza</w:t>
      </w:r>
      <w:r w:rsidR="006F2D40" w:rsidRPr="003D1FBA">
        <w:rPr>
          <w:rFonts w:ascii="Arial" w:hAnsi="Arial" w:cs="Arial"/>
          <w:sz w:val="24"/>
          <w:szCs w:val="24"/>
        </w:rPr>
        <w:t xml:space="preserve"> isocin</w:t>
      </w:r>
      <w:r>
        <w:rPr>
          <w:rFonts w:ascii="Arial" w:hAnsi="Arial" w:cs="Arial"/>
          <w:sz w:val="24"/>
          <w:szCs w:val="24"/>
        </w:rPr>
        <w:t>é</w:t>
      </w:r>
      <w:r w:rsidR="006F2D40" w:rsidRPr="003D1FBA">
        <w:rPr>
          <w:rFonts w:ascii="Arial" w:hAnsi="Arial" w:cs="Arial"/>
          <w:sz w:val="24"/>
          <w:szCs w:val="24"/>
        </w:rPr>
        <w:t>tic</w:t>
      </w:r>
      <w:r>
        <w:rPr>
          <w:rFonts w:ascii="Arial" w:hAnsi="Arial" w:cs="Arial"/>
          <w:sz w:val="24"/>
          <w:szCs w:val="24"/>
        </w:rPr>
        <w:t>o</w:t>
      </w:r>
      <w:r w:rsidR="006F2D40" w:rsidRPr="003D1FBA">
        <w:rPr>
          <w:rFonts w:ascii="Arial" w:hAnsi="Arial" w:cs="Arial"/>
          <w:sz w:val="24"/>
          <w:szCs w:val="24"/>
        </w:rPr>
        <w:t>s</w:t>
      </w:r>
      <w:r w:rsidR="00270DA1" w:rsidRPr="003D1FBA">
        <w:rPr>
          <w:rFonts w:ascii="Arial" w:hAnsi="Arial" w:cs="Arial"/>
          <w:sz w:val="24"/>
          <w:szCs w:val="24"/>
        </w:rPr>
        <w:t xml:space="preserve"> </w:t>
      </w:r>
      <w:r>
        <w:rPr>
          <w:rFonts w:ascii="Arial" w:hAnsi="Arial" w:cs="Arial"/>
          <w:sz w:val="24"/>
          <w:szCs w:val="24"/>
        </w:rPr>
        <w:t>y</w:t>
      </w:r>
      <w:r w:rsidR="008D5D10" w:rsidRPr="003D1FBA">
        <w:rPr>
          <w:rFonts w:ascii="Arial" w:hAnsi="Arial" w:cs="Arial"/>
          <w:sz w:val="24"/>
          <w:szCs w:val="24"/>
        </w:rPr>
        <w:t xml:space="preserve"> estable</w:t>
      </w:r>
      <w:r>
        <w:rPr>
          <w:rFonts w:ascii="Arial" w:hAnsi="Arial" w:cs="Arial"/>
          <w:sz w:val="24"/>
          <w:szCs w:val="24"/>
        </w:rPr>
        <w:t>ce</w:t>
      </w:r>
      <w:r w:rsidR="008D5D10" w:rsidRPr="003D1FBA">
        <w:rPr>
          <w:rFonts w:ascii="Arial" w:hAnsi="Arial" w:cs="Arial"/>
          <w:sz w:val="24"/>
          <w:szCs w:val="24"/>
        </w:rPr>
        <w:t xml:space="preserve">n </w:t>
      </w:r>
      <w:r w:rsidR="00A96D35" w:rsidRPr="003D1FBA">
        <w:rPr>
          <w:rFonts w:ascii="Arial" w:hAnsi="Arial" w:cs="Arial"/>
          <w:sz w:val="24"/>
          <w:szCs w:val="24"/>
        </w:rPr>
        <w:t>que,</w:t>
      </w:r>
      <w:r w:rsidR="006F2D40" w:rsidRPr="003D1FBA">
        <w:rPr>
          <w:rFonts w:ascii="Arial" w:hAnsi="Arial" w:cs="Arial"/>
          <w:sz w:val="24"/>
          <w:szCs w:val="24"/>
        </w:rPr>
        <w:t xml:space="preserve"> </w:t>
      </w:r>
      <w:r w:rsidR="001C2800" w:rsidRPr="003D1FBA">
        <w:rPr>
          <w:rFonts w:ascii="Arial" w:hAnsi="Arial" w:cs="Arial"/>
          <w:sz w:val="24"/>
          <w:szCs w:val="24"/>
        </w:rPr>
        <w:t xml:space="preserve">en </w:t>
      </w:r>
      <w:r>
        <w:rPr>
          <w:rFonts w:ascii="Arial" w:hAnsi="Arial" w:cs="Arial"/>
          <w:sz w:val="24"/>
          <w:szCs w:val="24"/>
        </w:rPr>
        <w:t>de</w:t>
      </w:r>
      <w:r w:rsidR="001C2800" w:rsidRPr="003D1FBA">
        <w:rPr>
          <w:rFonts w:ascii="Arial" w:hAnsi="Arial" w:cs="Arial"/>
          <w:sz w:val="24"/>
          <w:szCs w:val="24"/>
        </w:rPr>
        <w:t>portist</w:t>
      </w:r>
      <w:r>
        <w:rPr>
          <w:rFonts w:ascii="Arial" w:hAnsi="Arial" w:cs="Arial"/>
          <w:sz w:val="24"/>
          <w:szCs w:val="24"/>
        </w:rPr>
        <w:t>a</w:t>
      </w:r>
      <w:r w:rsidR="001C2800" w:rsidRPr="003D1FBA">
        <w:rPr>
          <w:rFonts w:ascii="Arial" w:hAnsi="Arial" w:cs="Arial"/>
          <w:sz w:val="24"/>
          <w:szCs w:val="24"/>
        </w:rPr>
        <w:t xml:space="preserve">s, </w:t>
      </w:r>
      <w:r>
        <w:rPr>
          <w:rFonts w:ascii="Arial" w:hAnsi="Arial" w:cs="Arial"/>
          <w:sz w:val="24"/>
          <w:szCs w:val="24"/>
        </w:rPr>
        <w:t>los</w:t>
      </w:r>
      <w:r w:rsidR="006F2D40" w:rsidRPr="003D1FBA">
        <w:rPr>
          <w:rFonts w:ascii="Arial" w:hAnsi="Arial" w:cs="Arial"/>
          <w:sz w:val="24"/>
          <w:szCs w:val="24"/>
        </w:rPr>
        <w:t xml:space="preserve"> valor</w:t>
      </w:r>
      <w:r>
        <w:rPr>
          <w:rFonts w:ascii="Arial" w:hAnsi="Arial" w:cs="Arial"/>
          <w:sz w:val="24"/>
          <w:szCs w:val="24"/>
        </w:rPr>
        <w:t>es</w:t>
      </w:r>
      <w:r w:rsidR="006F2D40" w:rsidRPr="003D1FBA">
        <w:rPr>
          <w:rFonts w:ascii="Arial" w:hAnsi="Arial" w:cs="Arial"/>
          <w:sz w:val="24"/>
          <w:szCs w:val="24"/>
        </w:rPr>
        <w:t xml:space="preserve"> de normali</w:t>
      </w:r>
      <w:r>
        <w:rPr>
          <w:rFonts w:ascii="Arial" w:hAnsi="Arial" w:cs="Arial"/>
          <w:sz w:val="24"/>
          <w:szCs w:val="24"/>
        </w:rPr>
        <w:t>d</w:t>
      </w:r>
      <w:r w:rsidR="006F2D40" w:rsidRPr="003D1FBA">
        <w:rPr>
          <w:rFonts w:ascii="Arial" w:hAnsi="Arial" w:cs="Arial"/>
          <w:sz w:val="24"/>
          <w:szCs w:val="24"/>
        </w:rPr>
        <w:t>a</w:t>
      </w:r>
      <w:r>
        <w:rPr>
          <w:rFonts w:ascii="Arial" w:hAnsi="Arial" w:cs="Arial"/>
          <w:sz w:val="24"/>
          <w:szCs w:val="24"/>
        </w:rPr>
        <w:t>d</w:t>
      </w:r>
      <w:r w:rsidR="006F2D40" w:rsidRPr="003D1FBA">
        <w:rPr>
          <w:rFonts w:ascii="Arial" w:hAnsi="Arial" w:cs="Arial"/>
          <w:sz w:val="24"/>
          <w:szCs w:val="24"/>
        </w:rPr>
        <w:t xml:space="preserve"> </w:t>
      </w:r>
      <w:r>
        <w:rPr>
          <w:rFonts w:ascii="Arial" w:hAnsi="Arial" w:cs="Arial"/>
          <w:sz w:val="24"/>
          <w:szCs w:val="24"/>
        </w:rPr>
        <w:t>se</w:t>
      </w:r>
      <w:r w:rsidR="006F2D40" w:rsidRPr="003D1FBA">
        <w:rPr>
          <w:rFonts w:ascii="Arial" w:hAnsi="Arial" w:cs="Arial"/>
          <w:sz w:val="24"/>
          <w:szCs w:val="24"/>
        </w:rPr>
        <w:t xml:space="preserve"> </w:t>
      </w:r>
      <w:r>
        <w:rPr>
          <w:rFonts w:ascii="Arial" w:hAnsi="Arial" w:cs="Arial"/>
          <w:sz w:val="24"/>
          <w:szCs w:val="24"/>
        </w:rPr>
        <w:t>encuentran</w:t>
      </w:r>
      <w:r w:rsidR="00A96D35">
        <w:rPr>
          <w:rFonts w:ascii="Arial" w:hAnsi="Arial" w:cs="Arial"/>
          <w:sz w:val="24"/>
          <w:szCs w:val="24"/>
        </w:rPr>
        <w:t xml:space="preserve"> entre 0.</w:t>
      </w:r>
      <w:r w:rsidR="006F2D40" w:rsidRPr="003D1FBA">
        <w:rPr>
          <w:rFonts w:ascii="Arial" w:hAnsi="Arial" w:cs="Arial"/>
          <w:sz w:val="24"/>
          <w:szCs w:val="24"/>
        </w:rPr>
        <w:t xml:space="preserve">5 </w:t>
      </w:r>
      <w:r>
        <w:rPr>
          <w:rFonts w:ascii="Arial" w:hAnsi="Arial" w:cs="Arial"/>
          <w:sz w:val="24"/>
          <w:szCs w:val="24"/>
        </w:rPr>
        <w:t>y</w:t>
      </w:r>
      <w:r w:rsidR="00A96D35">
        <w:rPr>
          <w:rFonts w:ascii="Arial" w:hAnsi="Arial" w:cs="Arial"/>
          <w:sz w:val="24"/>
          <w:szCs w:val="24"/>
        </w:rPr>
        <w:t xml:space="preserve"> 0.</w:t>
      </w:r>
      <w:r w:rsidR="006F2D40" w:rsidRPr="003D1FBA">
        <w:rPr>
          <w:rFonts w:ascii="Arial" w:hAnsi="Arial" w:cs="Arial"/>
          <w:sz w:val="24"/>
          <w:szCs w:val="24"/>
        </w:rPr>
        <w:t xml:space="preserve">8 </w:t>
      </w:r>
      <w:r>
        <w:rPr>
          <w:rFonts w:ascii="Arial" w:hAnsi="Arial" w:cs="Arial"/>
          <w:sz w:val="24"/>
          <w:szCs w:val="24"/>
        </w:rPr>
        <w:t>según</w:t>
      </w:r>
      <w:r w:rsidR="006F2D40" w:rsidRPr="003D1FBA">
        <w:rPr>
          <w:rFonts w:ascii="Arial" w:hAnsi="Arial" w:cs="Arial"/>
          <w:sz w:val="24"/>
          <w:szCs w:val="24"/>
        </w:rPr>
        <w:t xml:space="preserve"> la veloci</w:t>
      </w:r>
      <w:r>
        <w:rPr>
          <w:rFonts w:ascii="Arial" w:hAnsi="Arial" w:cs="Arial"/>
          <w:sz w:val="24"/>
          <w:szCs w:val="24"/>
        </w:rPr>
        <w:t>d</w:t>
      </w:r>
      <w:r w:rsidR="006F2D40" w:rsidRPr="003D1FBA">
        <w:rPr>
          <w:rFonts w:ascii="Arial" w:hAnsi="Arial" w:cs="Arial"/>
          <w:sz w:val="24"/>
          <w:szCs w:val="24"/>
        </w:rPr>
        <w:t>a</w:t>
      </w:r>
      <w:r>
        <w:rPr>
          <w:rFonts w:ascii="Arial" w:hAnsi="Arial" w:cs="Arial"/>
          <w:sz w:val="24"/>
          <w:szCs w:val="24"/>
        </w:rPr>
        <w:t>d</w:t>
      </w:r>
      <w:r w:rsidR="006F2D40" w:rsidRPr="003D1FBA">
        <w:rPr>
          <w:rFonts w:ascii="Arial" w:hAnsi="Arial" w:cs="Arial"/>
          <w:sz w:val="24"/>
          <w:szCs w:val="24"/>
        </w:rPr>
        <w:t xml:space="preserve"> angular</w:t>
      </w:r>
      <w:r w:rsidR="00A37D3B" w:rsidRPr="003D1FBA">
        <w:rPr>
          <w:rFonts w:ascii="Arial" w:hAnsi="Arial" w:cs="Arial"/>
          <w:sz w:val="24"/>
          <w:szCs w:val="24"/>
        </w:rPr>
        <w:t xml:space="preserve"> d</w:t>
      </w:r>
      <w:r>
        <w:rPr>
          <w:rFonts w:ascii="Arial" w:hAnsi="Arial" w:cs="Arial"/>
          <w:sz w:val="24"/>
          <w:szCs w:val="24"/>
        </w:rPr>
        <w:t>e ej</w:t>
      </w:r>
      <w:r w:rsidR="00A37D3B" w:rsidRPr="003D1FBA">
        <w:rPr>
          <w:rFonts w:ascii="Arial" w:hAnsi="Arial" w:cs="Arial"/>
          <w:sz w:val="24"/>
          <w:szCs w:val="24"/>
        </w:rPr>
        <w:t>ecució</w:t>
      </w:r>
      <w:r>
        <w:rPr>
          <w:rFonts w:ascii="Arial" w:hAnsi="Arial" w:cs="Arial"/>
          <w:sz w:val="24"/>
          <w:szCs w:val="24"/>
        </w:rPr>
        <w:t>n</w:t>
      </w:r>
      <w:r w:rsidR="00A37D3B" w:rsidRPr="003D1FBA">
        <w:rPr>
          <w:rFonts w:ascii="Arial" w:hAnsi="Arial" w:cs="Arial"/>
          <w:sz w:val="24"/>
          <w:szCs w:val="24"/>
        </w:rPr>
        <w:t xml:space="preserve"> del </w:t>
      </w:r>
      <w:r w:rsidR="00A37D3B" w:rsidRPr="005356C7">
        <w:rPr>
          <w:rFonts w:ascii="Arial" w:hAnsi="Arial" w:cs="Arial"/>
          <w:sz w:val="24"/>
          <w:szCs w:val="24"/>
        </w:rPr>
        <w:t>test</w:t>
      </w:r>
      <w:r w:rsidR="005C7778" w:rsidRPr="005356C7">
        <w:rPr>
          <w:rFonts w:ascii="Arial" w:hAnsi="Arial" w:cs="Arial"/>
          <w:sz w:val="24"/>
          <w:szCs w:val="24"/>
        </w:rPr>
        <w:t>.</w:t>
      </w:r>
      <w:r w:rsidR="00253B5A" w:rsidRPr="005356C7">
        <w:rPr>
          <w:rFonts w:ascii="Arial" w:hAnsi="Arial" w:cs="Arial"/>
          <w:sz w:val="24"/>
          <w:szCs w:val="24"/>
          <w:vertAlign w:val="superscript"/>
        </w:rPr>
        <w:fldChar w:fldCharType="begin" w:fldLock="1"/>
      </w:r>
      <w:r w:rsidR="00B573BB" w:rsidRPr="005356C7">
        <w:rPr>
          <w:rFonts w:ascii="Arial" w:hAnsi="Arial" w:cs="Arial"/>
          <w:sz w:val="24"/>
          <w:szCs w:val="24"/>
          <w:vertAlign w:val="superscript"/>
        </w:rPr>
        <w:instrText>ADDIN CSL_CITATION {"citationItems":[{"id":"ITEM-1","itemData":{"ISBN":"1938-162X (Electronic)\\r1062-6050 (Linking)","ISSN":"10626050","PMID":"12937479","abstract":"OBJECTIVE: To compare the differences in the concentric hamstrings:quadriceps (H:Q) ratio among athletes in different sports at 3 velocities. DESIGN AND SETTING: We measured the H:Q ratio of both knees using the Biodex Pro Isokinetic Device. SUBJECTS: Eighty-one male and female collegiate athletes. MEASUREMENTS: We performed analyses for sport, velocity, and side of body for each sex. To compare the means of the concentric H:Q ratios for mean peak torque and mean total work, a 2 x 3 x 4 mixed-factorial analysis of variance was computed for women and a 2 x 2 x 3 mixed-factorial analysis of variance was computed for men. RESULTS: We observed no significant interactions for men and women for the concentric H:Q ratio for mean peak torque. There was a significant mean difference among velocity conditions and a significant difference for men with respect to velocity. No significant differences were found for side of body or sport. CONCLUSIONS: The H:Q ratio increased as velocity increased. No differences existed for the H:Q ratio for sport or side of body.","author":[{"dropping-particle":"","family":"Rosene","given":"John M.","non-dropping-particle":"","parse-names":false,"suffix":""},{"dropping-particle":"","family":"Fogarty","given":"Tracey D.","non-dropping-particle":"","parse-names":false,"suffix":""},{"dropping-particle":"","family":"Mahaffey","given":"Brian L.","non-dropping-particle":"","parse-names":false,"suffix":""}],"container-title":"J Athl Train","id":"ITEM-1","issue":"4","issued":{"date-parts":[["2001"]]},"page":"378-83","title":"Isokinetic Hamstrings:Quadriceps Ratios in Intercollegiate Athletes","type":"article-journal","volume":"36"},"uris":["http://www.mendeley.com/documents/?uuid=86426988-3201-4779-a66b-838f3f35ae4b"]},{"id":"ITEM-2","itemData":{"DOI":"10.1371/journal.pone.0191077","ISBN":"1111111111","ISSN":"19326203","PMID":"29315348","abstract":"Knee strength ratios are related to the movement patterns, sport-specific training and knee injuries in athletes. The purpose of this study was to determine the ratios in the concentric isokinetic strength of the hamstrings and quadriceps and the isometric strength of the knee extensors. In female basketball players (n = 14) and female volleyball players (n = 12) were evaluated: the hamstrings to quadriceps peak torque ratio (H/Q) and side-to-side peak torque ratio (TR) for hamstrings and quadriceps; the ratio of the maximal bilateral strength to the summed maximal unilateral strength (B/U) and side-to-side maximal strength ratio (SR) for knee extensors. For the H/Q values, a 2 x 2 x 3 mixed-factorial analysis of variance and Bonferroni post hoc test were computed. The H/Q values increased from 48.0 (3.9)% at 60 degrees /s to 70.4 (7.9)% at 300 degrees /s. Furthermore, there were significant differences in the H/Q values between 300 degrees /s and 180 degrees /s, 300 degrees /s and 60 degrees /s in basketball and volleyball athletes, and between 180 degrees /s and 60 degrees /s only in basketball athletes (p &lt; .05). Significantly higher H/Q results at 60 degrees /s demonstrated basketball players than volleyball players (p &lt; .05). Differences in the TR and SR mean values ranged from 4.4% to 8.6% and indicated no significant side-to-side strength deficits (p &gt; .05). In both groups, greater isometric strength developed bilaterally was found (B/U &gt; 100%). The findings revealed the magnitude of knee strength ratios in female athletes determined by sport-specific movements in basketball and volleyball. This study highlighted the importance of the bilateral strength deficit and muscular balance between the hamstrings and quadriceps in basketball and volleyball athletes in activities related to their movement patterns and specific training.","author":[{"dropping-particle":"","family":"Kabacinski","given":"Jaroslaw","non-dropping-particle":"","parse-names":false,"suffix":""},{"dropping-particle":"","family":"Murawa","given":"Michal","non-dropping-particle":"","parse-names":false,"suffix":""},{"dropping-particle":"","family":"Mackala","given":"Krzysztof","non-dropping-particle":"","parse-names":false,"suffix":""},{"dropping-particle":"","family":"Dworak","given":"Lechoslaw Bogdan","non-dropping-particle":"","parse-names":false,"suffix":""}],"container-title":"PLoS ONE","id":"ITEM-2","issue":"1","issued":{"date-parts":[["2018"]]},"page":"1-12","title":"Knee strength ratios in competitive female athletes","type":"article-journal","volume":"13"},"uris":["http://www.mendeley.com/documents/?uuid=83fe6295-6150-4b87-a99e-a6b1dbb4900d"]},{"id":"ITEM-3","itemData":{"DOI":"10.1016/j.jsams.2012.01.003","ISBN":"1878-1861 (Electronic)","ISSN":"14402440","PMID":"22424705","abstract":"Objectives: Describe inter-rater reliability of, and correlations between a novel method of isometric knee extension and flexion and eccentric knee flexion strength using hand-held dynamometry and isokinetic testing for flexion/extension in the knees of athletic participants. Document strength data normalized to the individual's limb muscle mass. Design: Observational and reliability study. Methods: Inter-rater reliability for each of the hand-held dynamometry measures was established in both legs of 10 volunteers (6 male). During routine annual screening, 216 male professional football (soccer) players were examined using these same measures in addition to performing an isokinetic evaluation of knee flexion and extension strength. Intra-class correlation coefficients for inter-rater reliability, Pearson r correlations between hand-held dynamometry and isokinetic dynamometry were calculated. Peak torque, peak torque normalized to: body weight; lean body mass; and lean limb mass were documented. Results: Excellent inter-rater reliability was demonstrated with intra-class correlation(2,1)values of 0.90, 0.91, and 0.96, for the eccentric hamstrings, isometric hamstrings, and isometric quadriceps measures respectively. Medium to high correlations (r=0.322-0.617) which were all significant (p&lt;0.001) were found for the comparisons between the hand-held dynamometry and isokinetic measures. Conclusions: We present 3 novel and reliable methods of examining knee flexion and extension strength using hand-held dynamometry which require less skill and strength on the part of the examiner than previous measures. Correlations between these measures and isokinetic dynamometry are documented. The hand-held dynamometry examinations took less than 4. min per player to conduct and may be useful in clinical practice where isokinetic examination can be difficult to implement. © 2012 Sports Medicine Australia.","author":[{"dropping-particle":"","family":"Whiteley","given":"Rod","non-dropping-particle":"","parse-names":false,"suffix":""},{"dropping-particle":"","family":"Jacobsen","given":"Phillip","non-dropping-particle":"","parse-names":false,"suffix":""},{"dropping-particle":"","family":"Prior","given":"Simon","non-dropping-particle":"","parse-names":false,"suffix":""},{"dropping-particle":"","family":"Skazalski","given":"Christopher","non-dropping-particle":"","parse-names":false,"suffix":""},{"dropping-particle":"","family":"Otten","given":"Roald","non-dropping-particle":"","parse-names":false,"suffix":""},{"dropping-particle":"","family":"Johnson","given":"Amanda","non-dropping-particle":"","parse-names":false,"suffix":""}],"container-title":"J Sci Med Sport","id":"ITEM-3","issue":"5","issued":{"date-parts":[["2012"]]},"page":"444-50","publisher":"Sports Medicine Australia","title":"Correlation of isokinetic and novel hand-held dynamometry measures of knee flexion and extension strength testing","type":"article-journal","volume":"15"},"uris":["http://www.mendeley.com/documents/?uuid=62b7cf7b-780d-45b1-8e0d-9a8c1eaf497a"]},{"id":"ITEM-4","itemData":{"DOI":"10.1080/15438627.2018.1447475","ISBN":"0023-6837","ISSN":"15438635","PMID":"29506423","abstract":"Acetaldehyde has been proposed as one of the mediators of liver injury in alcoholic liver disease. We investigated whether increased acetaldehyde levels affected the development of alcoholic liver injury. Male Wistar rats were fed a liquid diet containing fish oil and ethanol by intragastric infusion. Sustained elevations of acetaldehyde were achieved by daily treatment with two inhibitors of aldehyde dehydrogenase (ALDH): disulfiram and benzcoprine. Pathologic changes, plasma and river acetaldehyde, nuclear factor-kappa B (NF-kappa B) and I kappa B alpha (I kappa B alpha) protein, tumor necrosis factor-alpha (TNF-alpha) and cyclooxygenase 2 (COX-2) mRNA were evaluated. Treatment with the ALDH inhibitors led to increased acetaldehyde in liver and plasma but prevented necrosis and inflammation. Steatosis was not affected. Both inhibitors decreased activation of NF-kappa B and down-regulated TNF-alpha and COX-2 expression. Decreased activation of NF-kappa B was accompanied by I kappa B alpha preservation. Acetaldehyde probably inhibits NF-kappa B activation through I kappa B alpha preservation. Down-regulation of TNF-alpha and COX-2 occur secondary to inhibition of NF-kappa B and account for the absence of necrosis and inflammation in the ALDH inhibitor-treated groups.","author":[{"dropping-particle":"","family":"Peek","given":"Kerry","non-dropping-particle":"","parse-names":false,"suffix":""},{"dropping-particle":"","family":"Gatherer","given":"Don","non-dropping-particle":"","parse-names":false,"suffix":""},{"dropping-particle":"","family":"Bennett","given":"Kyle J.M.","non-dropping-particle":"","parse-names":false,"suffix":""},{"dropping-particle":"","family":"Fransen","given":"Job","non-dropping-particle":"","parse-names":false,"suffix":""},{"dropping-particle":"","family":"Watsford","given":"Mark","non-dropping-particle":"","parse-names":false,"suffix":""}],"container-title":"Res Sports Med","id":"ITEM-4","issue":"3","issued":{"date-parts":[["2018"]]},"page":"276-88","publisher":"Routledge","title":"Muscle strength characteristics of the hamstrings and quadriceps in players from a high-level youth football (soccer) Academy","type":"article-journal","volume":"26"},"uris":["http://www.mendeley.com/documents/?uuid=ea0619c5-34c3-4b8e-8246-41af53103ab1"]}],"mendeley":{"formattedCitation":"(17–20)","manualFormatting":"17–20","plainTextFormattedCitation":"(17–20)","previouslyFormattedCitation":"(17–20)"},"properties":{"noteIndex":0},"schema":"https://github.com/citation-style-language/schema/raw/master/csl-citation.json"}</w:instrText>
      </w:r>
      <w:r w:rsidR="00253B5A" w:rsidRPr="005356C7">
        <w:rPr>
          <w:rFonts w:ascii="Arial" w:hAnsi="Arial" w:cs="Arial"/>
          <w:sz w:val="24"/>
          <w:szCs w:val="24"/>
          <w:vertAlign w:val="superscript"/>
        </w:rPr>
        <w:fldChar w:fldCharType="separate"/>
      </w:r>
      <w:r w:rsidR="00B21161" w:rsidRPr="005356C7">
        <w:rPr>
          <w:rFonts w:ascii="Arial" w:hAnsi="Arial" w:cs="Arial"/>
          <w:noProof/>
          <w:sz w:val="24"/>
          <w:szCs w:val="24"/>
          <w:vertAlign w:val="superscript"/>
        </w:rPr>
        <w:t>17–20</w:t>
      </w:r>
      <w:r w:rsidR="00253B5A" w:rsidRPr="005356C7">
        <w:rPr>
          <w:rFonts w:ascii="Arial" w:hAnsi="Arial" w:cs="Arial"/>
          <w:sz w:val="24"/>
          <w:szCs w:val="24"/>
          <w:vertAlign w:val="superscript"/>
        </w:rPr>
        <w:fldChar w:fldCharType="end"/>
      </w:r>
      <w:r w:rsidR="00A90F3E" w:rsidRPr="003D1FBA">
        <w:rPr>
          <w:rFonts w:ascii="Arial" w:hAnsi="Arial" w:cs="Arial"/>
          <w:sz w:val="24"/>
          <w:szCs w:val="24"/>
        </w:rPr>
        <w:t xml:space="preserve"> </w:t>
      </w:r>
      <w:r>
        <w:rPr>
          <w:rFonts w:ascii="Arial" w:hAnsi="Arial" w:cs="Arial"/>
          <w:sz w:val="24"/>
        </w:rPr>
        <w:t>Sin embargo</w:t>
      </w:r>
      <w:r w:rsidR="005125A3" w:rsidRPr="003D1FBA">
        <w:rPr>
          <w:rFonts w:ascii="Arial" w:hAnsi="Arial" w:cs="Arial"/>
          <w:sz w:val="24"/>
        </w:rPr>
        <w:t>, l</w:t>
      </w:r>
      <w:r>
        <w:rPr>
          <w:rFonts w:ascii="Arial" w:hAnsi="Arial" w:cs="Arial"/>
          <w:sz w:val="24"/>
        </w:rPr>
        <w:t xml:space="preserve">a </w:t>
      </w:r>
      <w:r w:rsidR="005125A3" w:rsidRPr="003D1FBA">
        <w:rPr>
          <w:rFonts w:ascii="Arial" w:hAnsi="Arial" w:cs="Arial"/>
          <w:sz w:val="24"/>
        </w:rPr>
        <w:t>avaluació</w:t>
      </w:r>
      <w:r>
        <w:rPr>
          <w:rFonts w:ascii="Arial" w:hAnsi="Arial" w:cs="Arial"/>
          <w:sz w:val="24"/>
        </w:rPr>
        <w:t>n</w:t>
      </w:r>
      <w:r w:rsidR="005125A3" w:rsidRPr="003D1FBA">
        <w:rPr>
          <w:rFonts w:ascii="Arial" w:hAnsi="Arial" w:cs="Arial"/>
          <w:sz w:val="24"/>
        </w:rPr>
        <w:t xml:space="preserve"> de la f</w:t>
      </w:r>
      <w:r>
        <w:rPr>
          <w:rFonts w:ascii="Arial" w:hAnsi="Arial" w:cs="Arial"/>
          <w:sz w:val="24"/>
        </w:rPr>
        <w:t>uerza</w:t>
      </w:r>
      <w:r w:rsidR="005125A3" w:rsidRPr="003D1FBA">
        <w:rPr>
          <w:rFonts w:ascii="Arial" w:hAnsi="Arial" w:cs="Arial"/>
          <w:sz w:val="24"/>
        </w:rPr>
        <w:t xml:space="preserve"> </w:t>
      </w:r>
      <w:r w:rsidRPr="003D1FBA">
        <w:rPr>
          <w:rFonts w:ascii="Arial" w:hAnsi="Arial" w:cs="Arial"/>
          <w:sz w:val="24"/>
        </w:rPr>
        <w:t>utilizand</w:t>
      </w:r>
      <w:r>
        <w:rPr>
          <w:rFonts w:ascii="Arial" w:hAnsi="Arial" w:cs="Arial"/>
          <w:sz w:val="24"/>
        </w:rPr>
        <w:t>o</w:t>
      </w:r>
      <w:r w:rsidR="005125A3" w:rsidRPr="003D1FBA">
        <w:rPr>
          <w:rFonts w:ascii="Arial" w:hAnsi="Arial" w:cs="Arial"/>
          <w:sz w:val="24"/>
        </w:rPr>
        <w:t xml:space="preserve"> un dinam</w:t>
      </w:r>
      <w:r>
        <w:rPr>
          <w:rFonts w:ascii="Arial" w:hAnsi="Arial" w:cs="Arial"/>
          <w:sz w:val="24"/>
        </w:rPr>
        <w:t>ó</w:t>
      </w:r>
      <w:r w:rsidR="005125A3" w:rsidRPr="003D1FBA">
        <w:rPr>
          <w:rFonts w:ascii="Arial" w:hAnsi="Arial" w:cs="Arial"/>
          <w:sz w:val="24"/>
        </w:rPr>
        <w:t>metr</w:t>
      </w:r>
      <w:r>
        <w:rPr>
          <w:rFonts w:ascii="Arial" w:hAnsi="Arial" w:cs="Arial"/>
          <w:sz w:val="24"/>
        </w:rPr>
        <w:t>o</w:t>
      </w:r>
      <w:r w:rsidR="005125A3" w:rsidRPr="003D1FBA">
        <w:rPr>
          <w:rFonts w:ascii="Arial" w:hAnsi="Arial" w:cs="Arial"/>
          <w:sz w:val="24"/>
        </w:rPr>
        <w:t xml:space="preserve"> isocin</w:t>
      </w:r>
      <w:r>
        <w:rPr>
          <w:rFonts w:ascii="Arial" w:hAnsi="Arial" w:cs="Arial"/>
          <w:sz w:val="24"/>
        </w:rPr>
        <w:t>é</w:t>
      </w:r>
      <w:r w:rsidR="005125A3" w:rsidRPr="003D1FBA">
        <w:rPr>
          <w:rFonts w:ascii="Arial" w:hAnsi="Arial" w:cs="Arial"/>
          <w:sz w:val="24"/>
        </w:rPr>
        <w:t>tic</w:t>
      </w:r>
      <w:r>
        <w:rPr>
          <w:rFonts w:ascii="Arial" w:hAnsi="Arial" w:cs="Arial"/>
          <w:sz w:val="24"/>
        </w:rPr>
        <w:t>o a menudo</w:t>
      </w:r>
      <w:r w:rsidR="005125A3" w:rsidRPr="003D1FBA">
        <w:rPr>
          <w:rFonts w:ascii="Arial" w:hAnsi="Arial" w:cs="Arial"/>
          <w:sz w:val="24"/>
        </w:rPr>
        <w:t xml:space="preserve"> </w:t>
      </w:r>
      <w:r>
        <w:rPr>
          <w:rFonts w:ascii="Arial" w:hAnsi="Arial" w:cs="Arial"/>
          <w:sz w:val="24"/>
        </w:rPr>
        <w:t>e</w:t>
      </w:r>
      <w:r w:rsidR="005125A3" w:rsidRPr="003D1FBA">
        <w:rPr>
          <w:rFonts w:ascii="Arial" w:hAnsi="Arial" w:cs="Arial"/>
          <w:sz w:val="24"/>
        </w:rPr>
        <w:t xml:space="preserve">s inaccesible </w:t>
      </w:r>
      <w:r>
        <w:rPr>
          <w:rFonts w:ascii="Arial" w:hAnsi="Arial" w:cs="Arial"/>
          <w:sz w:val="24"/>
        </w:rPr>
        <w:t>debido a</w:t>
      </w:r>
      <w:r w:rsidR="005125A3" w:rsidRPr="003D1FBA">
        <w:rPr>
          <w:rFonts w:ascii="Arial" w:hAnsi="Arial" w:cs="Arial"/>
          <w:sz w:val="24"/>
        </w:rPr>
        <w:t xml:space="preserve"> su eleva</w:t>
      </w:r>
      <w:r>
        <w:rPr>
          <w:rFonts w:ascii="Arial" w:hAnsi="Arial" w:cs="Arial"/>
          <w:sz w:val="24"/>
        </w:rPr>
        <w:t>do</w:t>
      </w:r>
      <w:r w:rsidR="005125A3" w:rsidRPr="003D1FBA">
        <w:rPr>
          <w:rFonts w:ascii="Arial" w:hAnsi="Arial" w:cs="Arial"/>
          <w:sz w:val="24"/>
        </w:rPr>
        <w:t xml:space="preserve"> cost</w:t>
      </w:r>
      <w:r>
        <w:rPr>
          <w:rFonts w:ascii="Arial" w:hAnsi="Arial" w:cs="Arial"/>
          <w:sz w:val="24"/>
        </w:rPr>
        <w:t>e</w:t>
      </w:r>
      <w:r w:rsidR="005125A3" w:rsidRPr="003D1FBA">
        <w:rPr>
          <w:rFonts w:ascii="Arial" w:hAnsi="Arial" w:cs="Arial"/>
          <w:sz w:val="24"/>
        </w:rPr>
        <w:t xml:space="preserve">. </w:t>
      </w:r>
      <w:r>
        <w:rPr>
          <w:rFonts w:ascii="Arial" w:hAnsi="Arial" w:cs="Arial"/>
          <w:sz w:val="24"/>
        </w:rPr>
        <w:t>Esto</w:t>
      </w:r>
      <w:r w:rsidR="005125A3" w:rsidRPr="003D1FBA">
        <w:rPr>
          <w:rFonts w:ascii="Arial" w:hAnsi="Arial" w:cs="Arial"/>
          <w:sz w:val="24"/>
        </w:rPr>
        <w:t xml:space="preserve"> ha</w:t>
      </w:r>
      <w:r w:rsidR="00753464">
        <w:rPr>
          <w:rFonts w:ascii="Arial" w:hAnsi="Arial" w:cs="Arial"/>
          <w:sz w:val="24"/>
        </w:rPr>
        <w:t xml:space="preserve"> hecho que</w:t>
      </w:r>
      <w:r w:rsidR="00212812" w:rsidRPr="003D1FBA">
        <w:rPr>
          <w:rFonts w:ascii="Arial" w:hAnsi="Arial" w:cs="Arial"/>
          <w:sz w:val="24"/>
        </w:rPr>
        <w:t xml:space="preserve"> </w:t>
      </w:r>
      <w:r w:rsidR="005125A3" w:rsidRPr="003D1FBA">
        <w:rPr>
          <w:rFonts w:ascii="Arial" w:hAnsi="Arial" w:cs="Arial"/>
          <w:sz w:val="24"/>
        </w:rPr>
        <w:t>m</w:t>
      </w:r>
      <w:r w:rsidR="00753464">
        <w:rPr>
          <w:rFonts w:ascii="Arial" w:hAnsi="Arial" w:cs="Arial"/>
          <w:sz w:val="24"/>
        </w:rPr>
        <w:t>uchos</w:t>
      </w:r>
      <w:r w:rsidR="005125A3" w:rsidRPr="003D1FBA">
        <w:rPr>
          <w:rFonts w:ascii="Arial" w:hAnsi="Arial" w:cs="Arial"/>
          <w:sz w:val="24"/>
        </w:rPr>
        <w:t xml:space="preserve"> autor</w:t>
      </w:r>
      <w:r w:rsidR="00753464">
        <w:rPr>
          <w:rFonts w:ascii="Arial" w:hAnsi="Arial" w:cs="Arial"/>
          <w:sz w:val="24"/>
        </w:rPr>
        <w:t>e</w:t>
      </w:r>
      <w:r w:rsidR="005125A3" w:rsidRPr="003D1FBA">
        <w:rPr>
          <w:rFonts w:ascii="Arial" w:hAnsi="Arial" w:cs="Arial"/>
          <w:sz w:val="24"/>
        </w:rPr>
        <w:t xml:space="preserve">s </w:t>
      </w:r>
      <w:r w:rsidR="00212812" w:rsidRPr="003D1FBA">
        <w:rPr>
          <w:rFonts w:ascii="Arial" w:hAnsi="Arial" w:cs="Arial"/>
          <w:sz w:val="24"/>
        </w:rPr>
        <w:t>uti</w:t>
      </w:r>
      <w:r w:rsidR="00753464">
        <w:rPr>
          <w:rFonts w:ascii="Arial" w:hAnsi="Arial" w:cs="Arial"/>
          <w:sz w:val="24"/>
        </w:rPr>
        <w:t>licen el</w:t>
      </w:r>
      <w:r w:rsidR="005125A3" w:rsidRPr="003D1FBA">
        <w:rPr>
          <w:rFonts w:ascii="Arial" w:hAnsi="Arial" w:cs="Arial"/>
          <w:sz w:val="24"/>
        </w:rPr>
        <w:t xml:space="preserve"> dinam</w:t>
      </w:r>
      <w:r w:rsidR="00753464">
        <w:rPr>
          <w:rFonts w:ascii="Arial" w:hAnsi="Arial" w:cs="Arial"/>
          <w:sz w:val="24"/>
        </w:rPr>
        <w:t>ó</w:t>
      </w:r>
      <w:r w:rsidR="005125A3" w:rsidRPr="003D1FBA">
        <w:rPr>
          <w:rFonts w:ascii="Arial" w:hAnsi="Arial" w:cs="Arial"/>
          <w:sz w:val="24"/>
        </w:rPr>
        <w:t>metr</w:t>
      </w:r>
      <w:r w:rsidR="00753464">
        <w:rPr>
          <w:rFonts w:ascii="Arial" w:hAnsi="Arial" w:cs="Arial"/>
          <w:sz w:val="24"/>
        </w:rPr>
        <w:t>o</w:t>
      </w:r>
      <w:r w:rsidR="005125A3" w:rsidRPr="003D1FBA">
        <w:rPr>
          <w:rFonts w:ascii="Arial" w:hAnsi="Arial" w:cs="Arial"/>
          <w:sz w:val="24"/>
        </w:rPr>
        <w:t xml:space="preserve"> manual com</w:t>
      </w:r>
      <w:r w:rsidR="00753464">
        <w:rPr>
          <w:rFonts w:ascii="Arial" w:hAnsi="Arial" w:cs="Arial"/>
          <w:sz w:val="24"/>
        </w:rPr>
        <w:t>o una</w:t>
      </w:r>
      <w:r w:rsidR="005125A3" w:rsidRPr="003D1FBA">
        <w:rPr>
          <w:rFonts w:ascii="Arial" w:hAnsi="Arial" w:cs="Arial"/>
          <w:sz w:val="24"/>
        </w:rPr>
        <w:t xml:space="preserve"> solució</w:t>
      </w:r>
      <w:r w:rsidR="00753464">
        <w:rPr>
          <w:rFonts w:ascii="Arial" w:hAnsi="Arial" w:cs="Arial"/>
          <w:sz w:val="24"/>
        </w:rPr>
        <w:t>n</w:t>
      </w:r>
      <w:r w:rsidR="005125A3" w:rsidRPr="003D1FBA">
        <w:rPr>
          <w:rFonts w:ascii="Arial" w:hAnsi="Arial" w:cs="Arial"/>
          <w:sz w:val="24"/>
        </w:rPr>
        <w:t xml:space="preserve"> v</w:t>
      </w:r>
      <w:r w:rsidR="00753464">
        <w:rPr>
          <w:rFonts w:ascii="Arial" w:hAnsi="Arial" w:cs="Arial"/>
          <w:sz w:val="24"/>
        </w:rPr>
        <w:t>á</w:t>
      </w:r>
      <w:r w:rsidR="005125A3" w:rsidRPr="003D1FBA">
        <w:rPr>
          <w:rFonts w:ascii="Arial" w:hAnsi="Arial" w:cs="Arial"/>
          <w:sz w:val="24"/>
        </w:rPr>
        <w:t xml:space="preserve">lida </w:t>
      </w:r>
      <w:r w:rsidR="00753464">
        <w:rPr>
          <w:rFonts w:ascii="Arial" w:hAnsi="Arial" w:cs="Arial"/>
          <w:sz w:val="24"/>
        </w:rPr>
        <w:t>y</w:t>
      </w:r>
      <w:r w:rsidR="005125A3" w:rsidRPr="003D1FBA">
        <w:rPr>
          <w:rFonts w:ascii="Arial" w:hAnsi="Arial" w:cs="Arial"/>
          <w:sz w:val="24"/>
        </w:rPr>
        <w:t xml:space="preserve"> fiable </w:t>
      </w:r>
      <w:r w:rsidR="00753464">
        <w:rPr>
          <w:rFonts w:ascii="Arial" w:hAnsi="Arial" w:cs="Arial"/>
          <w:sz w:val="24"/>
        </w:rPr>
        <w:t>con</w:t>
      </w:r>
      <w:r w:rsidR="005125A3" w:rsidRPr="003D1FBA">
        <w:rPr>
          <w:rFonts w:ascii="Arial" w:hAnsi="Arial" w:cs="Arial"/>
          <w:sz w:val="24"/>
        </w:rPr>
        <w:t xml:space="preserve"> moderada-alta correlació</w:t>
      </w:r>
      <w:r w:rsidR="00753464">
        <w:rPr>
          <w:rFonts w:ascii="Arial" w:hAnsi="Arial" w:cs="Arial"/>
          <w:sz w:val="24"/>
        </w:rPr>
        <w:t>n</w:t>
      </w:r>
      <w:r w:rsidR="005125A3" w:rsidRPr="003D1FBA">
        <w:rPr>
          <w:rFonts w:ascii="Arial" w:hAnsi="Arial" w:cs="Arial"/>
          <w:sz w:val="24"/>
        </w:rPr>
        <w:t xml:space="preserve"> </w:t>
      </w:r>
      <w:r w:rsidR="00753464">
        <w:rPr>
          <w:rFonts w:ascii="Arial" w:hAnsi="Arial" w:cs="Arial"/>
          <w:sz w:val="24"/>
        </w:rPr>
        <w:t xml:space="preserve">con </w:t>
      </w:r>
      <w:r w:rsidR="005125A3" w:rsidRPr="003D1FBA">
        <w:rPr>
          <w:rFonts w:ascii="Arial" w:hAnsi="Arial" w:cs="Arial"/>
          <w:sz w:val="24"/>
        </w:rPr>
        <w:t>l</w:t>
      </w:r>
      <w:r w:rsidR="00753464">
        <w:rPr>
          <w:rFonts w:ascii="Arial" w:hAnsi="Arial" w:cs="Arial"/>
          <w:sz w:val="24"/>
        </w:rPr>
        <w:t>o</w:t>
      </w:r>
      <w:r w:rsidR="005125A3" w:rsidRPr="003D1FBA">
        <w:rPr>
          <w:rFonts w:ascii="Arial" w:hAnsi="Arial" w:cs="Arial"/>
          <w:sz w:val="24"/>
        </w:rPr>
        <w:t>s test isocin</w:t>
      </w:r>
      <w:r w:rsidR="00753464">
        <w:rPr>
          <w:rFonts w:ascii="Arial" w:hAnsi="Arial" w:cs="Arial"/>
          <w:sz w:val="24"/>
        </w:rPr>
        <w:t>é</w:t>
      </w:r>
      <w:r w:rsidR="005125A3" w:rsidRPr="003D1FBA">
        <w:rPr>
          <w:rFonts w:ascii="Arial" w:hAnsi="Arial" w:cs="Arial"/>
          <w:sz w:val="24"/>
        </w:rPr>
        <w:t>ti</w:t>
      </w:r>
      <w:r w:rsidR="00753464">
        <w:rPr>
          <w:rFonts w:ascii="Arial" w:hAnsi="Arial" w:cs="Arial"/>
          <w:sz w:val="24"/>
        </w:rPr>
        <w:t>co</w:t>
      </w:r>
      <w:r w:rsidR="005125A3" w:rsidRPr="003D1FBA">
        <w:rPr>
          <w:rFonts w:ascii="Arial" w:hAnsi="Arial" w:cs="Arial"/>
          <w:sz w:val="24"/>
        </w:rPr>
        <w:t>s de f</w:t>
      </w:r>
      <w:r w:rsidR="00753464">
        <w:rPr>
          <w:rFonts w:ascii="Arial" w:hAnsi="Arial" w:cs="Arial"/>
          <w:sz w:val="24"/>
        </w:rPr>
        <w:t>uerz</w:t>
      </w:r>
      <w:r w:rsidR="005125A3" w:rsidRPr="003D1FBA">
        <w:rPr>
          <w:rFonts w:ascii="Arial" w:hAnsi="Arial" w:cs="Arial"/>
          <w:sz w:val="24"/>
        </w:rPr>
        <w:t>a d</w:t>
      </w:r>
      <w:r w:rsidR="005A7A2D" w:rsidRPr="003D1FBA">
        <w:rPr>
          <w:rFonts w:ascii="Arial" w:hAnsi="Arial" w:cs="Arial"/>
          <w:sz w:val="24"/>
        </w:rPr>
        <w:t>e</w:t>
      </w:r>
      <w:r w:rsidR="00F87479" w:rsidRPr="003D1FBA">
        <w:rPr>
          <w:rFonts w:ascii="Arial" w:hAnsi="Arial" w:cs="Arial"/>
          <w:sz w:val="24"/>
        </w:rPr>
        <w:t xml:space="preserve"> </w:t>
      </w:r>
      <w:r w:rsidR="00753464">
        <w:rPr>
          <w:rFonts w:ascii="Arial" w:hAnsi="Arial" w:cs="Arial"/>
          <w:sz w:val="24"/>
        </w:rPr>
        <w:t>cuá</w:t>
      </w:r>
      <w:r w:rsidR="00F87479" w:rsidRPr="003D1FBA">
        <w:rPr>
          <w:rFonts w:ascii="Arial" w:hAnsi="Arial" w:cs="Arial"/>
          <w:sz w:val="24"/>
        </w:rPr>
        <w:t>driceps</w:t>
      </w:r>
      <w:r w:rsidR="005A7A2D" w:rsidRPr="003D1FBA">
        <w:rPr>
          <w:rFonts w:ascii="Arial" w:hAnsi="Arial" w:cs="Arial"/>
          <w:sz w:val="24"/>
        </w:rPr>
        <w:t xml:space="preserve"> </w:t>
      </w:r>
      <w:r w:rsidR="00A96D35">
        <w:rPr>
          <w:rFonts w:ascii="Arial" w:hAnsi="Arial" w:cs="Arial"/>
          <w:sz w:val="24"/>
        </w:rPr>
        <w:t>y</w:t>
      </w:r>
      <w:r w:rsidR="00A96D35" w:rsidRPr="003D1FBA">
        <w:rPr>
          <w:rFonts w:ascii="Arial" w:hAnsi="Arial" w:cs="Arial"/>
          <w:sz w:val="24"/>
        </w:rPr>
        <w:t xml:space="preserve"> de</w:t>
      </w:r>
      <w:r w:rsidR="00753464">
        <w:rPr>
          <w:rFonts w:ascii="Arial" w:hAnsi="Arial" w:cs="Arial"/>
          <w:sz w:val="24"/>
        </w:rPr>
        <w:t xml:space="preserve"> </w:t>
      </w:r>
      <w:r w:rsidR="005A7A2D" w:rsidRPr="003D1FBA">
        <w:rPr>
          <w:rFonts w:ascii="Arial" w:hAnsi="Arial" w:cs="Arial"/>
          <w:sz w:val="24"/>
        </w:rPr>
        <w:t>isquiosural</w:t>
      </w:r>
      <w:r w:rsidR="00753464">
        <w:rPr>
          <w:rFonts w:ascii="Arial" w:hAnsi="Arial" w:cs="Arial"/>
          <w:sz w:val="24"/>
        </w:rPr>
        <w:t>e</w:t>
      </w:r>
      <w:r w:rsidR="005A7A2D" w:rsidRPr="003D1FBA">
        <w:rPr>
          <w:rFonts w:ascii="Arial" w:hAnsi="Arial" w:cs="Arial"/>
          <w:sz w:val="24"/>
        </w:rPr>
        <w:t>s</w:t>
      </w:r>
      <w:r w:rsidR="005C7778" w:rsidRPr="003D1FBA">
        <w:rPr>
          <w:rFonts w:ascii="Arial" w:hAnsi="Arial" w:cs="Arial"/>
          <w:sz w:val="24"/>
        </w:rPr>
        <w:t>.</w:t>
      </w:r>
      <w:r w:rsidR="00757310" w:rsidRPr="003D1FBA">
        <w:rPr>
          <w:rFonts w:ascii="Arial" w:hAnsi="Arial" w:cs="Arial"/>
          <w:sz w:val="24"/>
          <w:vertAlign w:val="superscript"/>
        </w:rPr>
        <w:fldChar w:fldCharType="begin" w:fldLock="1"/>
      </w:r>
      <w:r w:rsidR="00B573BB" w:rsidRPr="003D1FBA">
        <w:rPr>
          <w:rFonts w:ascii="Arial" w:hAnsi="Arial" w:cs="Arial"/>
          <w:sz w:val="24"/>
          <w:vertAlign w:val="superscript"/>
        </w:rPr>
        <w:instrText>ADDIN CSL_CITATION {"citationItems":[{"id":"ITEM-1","itemData":{"DOI":"10.1080/02640414.2017.1412245","ISSN":"1466447X","PMID":"29212413","abstract":"This study aimed to provide a comprehensive strength-based physiological profile of women's NCAA Division I basketball and gymnastic athletes; and to make sport-specific comparisons for various strength characteristics of the knee flexor and extensor muscles. A focus on antagonist muscle balance (hamstrings-to-quadriceps ratios, H:Q) was used to elucidate vulnerabilities in these at-risk female athletes. Fourteen NCAA Division I women's basketball and 13 gymnastics athletes performed strength testing of the knee extensors and flexors. Outcome measures included absolute and relative (body mass normalised) peak torque (PT), rate of torque development at 50, 100, 200 ms (RTD50 etc.) and H:Q ratios of all variables. The basketball athletes had greater absolute strength for all variables except for isokinetic PT at 240 degrees s(-1) and isometric RTD50 for the knee extensors. Gymnasts showed ~20% weaker body mass relative concentric PT for the knee flexors at 60 and 120 degrees .s(-1), and decreased conventional H:Q ratios at 60 and 240 degrees .s(-1) (~15%). These findings suggest that collegiate level gymnastics athletes may be prone to increased ACL injury risk due to deficient knee flexor strength and H:Q strength imbalance. Coaches may use these findings when implementing injury prevention screening and/or for individualised strength training programming centered around an athletes strength-related deficits.","author":[{"dropping-particle":"","family":"Thompson","given":"Brennan J.","non-dropping-particle":"","parse-names":false,"suffix":""},{"dropping-particle":"","family":"Cazier","given":"Curtis S.","non-dropping-particle":"","parse-names":false,"suffix":""},{"dropping-particle":"","family":"Bressel","given":"Eadric","non-dropping-particle":"","parse-names":false,"suffix":""},{"dropping-particle":"","family":"Dolny","given":"Dennis G.","non-dropping-particle":"","parse-names":false,"suffix":""}],"container-title":"J Sports Sci","id":"ITEM-1","issue":"15","issued":{"date-parts":[["2018"]]},"page":"1749-56","publisher":"Routledge","title":"A lower extremity strength-based profile of NCAA Division I women’s basketball and gymnastics athletes: implications for knee joint injury risk assessment","type":"article-journal","volume":"36"},"uris":["http://www.mendeley.com/documents/?uuid=e95b87bc-7393-47e5-850e-b93393394741"]},{"id":"ITEM-2","itemData":{"DOI":"10.1016/j.jsams.2012.01.003","ISBN":"1878-1861 (Electronic)","ISSN":"14402440","PMID":"22424705","abstract":"Objectives: Describe inter-rater reliability of, and correlations between a novel method of isometric knee extension and flexion and eccentric knee flexion strength using hand-held dynamometry and isokinetic testing for flexion/extension in the knees of athletic participants. Document strength data normalized to the individual's limb muscle mass. Design: Observational and reliability study. Methods: Inter-rater reliability for each of the hand-held dynamometry measures was established in both legs of 10 volunteers (6 male). During routine annual screening, 216 male professional football (soccer) players were examined using these same measures in addition to performing an isokinetic evaluation of knee flexion and extension strength. Intra-class correlation coefficients for inter-rater reliability, Pearson r correlations between hand-held dynamometry and isokinetic dynamometry were calculated. Peak torque, peak torque normalized to: body weight; lean body mass; and lean limb mass were documented. Results: Excellent inter-rater reliability was demonstrated with intra-class correlation(2,1)values of 0.90, 0.91, and 0.96, for the eccentric hamstrings, isometric hamstrings, and isometric quadriceps measures respectively. Medium to high correlations (r=0.322-0.617) which were all significant (p&lt;0.001) were found for the comparisons between the hand-held dynamometry and isokinetic measures. Conclusions: We present 3 novel and reliable methods of examining knee flexion and extension strength using hand-held dynamometry which require less skill and strength on the part of the examiner than previous measures. Correlations between these measures and isokinetic dynamometry are documented. The hand-held dynamometry examinations took less than 4. min per player to conduct and may be useful in clinical practice where isokinetic examination can be difficult to implement. © 2012 Sports Medicine Australia.","author":[{"dropping-particle":"","family":"Whiteley","given":"Rod","non-dropping-particle":"","parse-names":false,"suffix":""},{"dropping-particle":"","family":"Jacobsen","given":"Phillip","non-dropping-particle":"","parse-names":false,"suffix":""},{"dropping-particle":"","family":"Prior","given":"Simon","non-dropping-particle":"","parse-names":false,"suffix":""},{"dropping-particle":"","family":"Skazalski","given":"Christopher","non-dropping-particle":"","parse-names":false,"suffix":""},{"dropping-particle":"","family":"Otten","given":"Roald","non-dropping-particle":"","parse-names":false,"suffix":""},{"dropping-particle":"","family":"Johnson","given":"Amanda","non-dropping-particle":"","parse-names":false,"suffix":""}],"container-title":"J Sci Med Sport","id":"ITEM-2","issue":"5","issued":{"date-parts":[["2012"]]},"page":"444-50","publisher":"Sports Medicine Australia","title":"Correlation of isokinetic and novel hand-held dynamometry measures of knee flexion and extension strength testing","type":"article-journal","volume":"15"},"uris":["http://www.mendeley.com/documents/?uuid=62b7cf7b-780d-45b1-8e0d-9a8c1eaf497a"]},{"id":"ITEM-3","itemData":{"DOI":"10.1080/15438627.2018.1447475","ISBN":"0023-6837","ISSN":"15438635","PMID":"29506423","abstract":"Acetaldehyde has been proposed as one of the mediators of liver injury in alcoholic liver disease. We investigated whether increased acetaldehyde levels affected the development of alcoholic liver injury. Male Wistar rats were fed a liquid diet containing fish oil and ethanol by intragastric infusion. Sustained elevations of acetaldehyde were achieved by daily treatment with two inhibitors of aldehyde dehydrogenase (ALDH): disulfiram and benzcoprine. Pathologic changes, plasma and river acetaldehyde, nuclear factor-kappa B (NF-kappa B) and I kappa B alpha (I kappa B alpha) protein, tumor necrosis factor-alpha (TNF-alpha) and cyclooxygenase 2 (COX-2) mRNA were evaluated. Treatment with the ALDH inhibitors led to increased acetaldehyde in liver and plasma but prevented necrosis and inflammation. Steatosis was not affected. Both inhibitors decreased activation of NF-kappa B and down-regulated TNF-alpha and COX-2 expression. Decreased activation of NF-kappa B was accompanied by I kappa B alpha preservation. Acetaldehyde probably inhibits NF-kappa B activation through I kappa B alpha preservation. Down-regulation of TNF-alpha and COX-2 occur secondary to inhibition of NF-kappa B and account for the absence of necrosis and inflammation in the ALDH inhibitor-treated groups.","author":[{"dropping-particle":"","family":"Peek","given":"Kerry","non-dropping-particle":"","parse-names":false,"suffix":""},{"dropping-particle":"","family":"Gatherer","given":"Don","non-dropping-particle":"","parse-names":false,"suffix":""},{"dropping-particle":"","family":"Bennett","given":"Kyle J.M.","non-dropping-particle":"","parse-names":false,"suffix":""},{"dropping-particle":"","family":"Fransen","given":"Job","non-dropping-particle":"","parse-names":false,"suffix":""},{"dropping-particle":"","family":"Watsford","given":"Mark","non-dropping-particle":"","parse-names":false,"suffix":""}],"container-title":"Res Sports Med","id":"ITEM-3","issue":"3","issued":{"date-parts":[["2018"]]},"page":"276-88","publisher":"Routledge","title":"Muscle strength characteristics of the hamstrings and quadriceps in players from a high-level youth football (soccer) Academy","type":"article-journal","volume":"26"},"uris":["http://www.mendeley.com/documents/?uuid=ea0619c5-34c3-4b8e-8246-41af53103ab1"]}],"mendeley":{"formattedCitation":"(13,19,20)","manualFormatting":"13,19,20","plainTextFormattedCitation":"(13,19,20)","previouslyFormattedCitation":"(13,19,20)"},"properties":{"noteIndex":0},"schema":"https://github.com/citation-style-language/schema/raw/master/csl-citation.json"}</w:instrText>
      </w:r>
      <w:r w:rsidR="00757310" w:rsidRPr="003D1FBA">
        <w:rPr>
          <w:rFonts w:ascii="Arial" w:hAnsi="Arial" w:cs="Arial"/>
          <w:sz w:val="24"/>
          <w:vertAlign w:val="superscript"/>
        </w:rPr>
        <w:fldChar w:fldCharType="separate"/>
      </w:r>
      <w:r w:rsidR="00B21161" w:rsidRPr="003D1FBA">
        <w:rPr>
          <w:rFonts w:ascii="Arial" w:hAnsi="Arial" w:cs="Arial"/>
          <w:noProof/>
          <w:sz w:val="24"/>
          <w:vertAlign w:val="superscript"/>
        </w:rPr>
        <w:t>13,19,20</w:t>
      </w:r>
      <w:r w:rsidR="00757310" w:rsidRPr="003D1FBA">
        <w:rPr>
          <w:rFonts w:ascii="Arial" w:hAnsi="Arial" w:cs="Arial"/>
          <w:sz w:val="24"/>
          <w:vertAlign w:val="superscript"/>
        </w:rPr>
        <w:fldChar w:fldCharType="end"/>
      </w:r>
      <w:r w:rsidR="00A90F3E" w:rsidRPr="003D1FBA">
        <w:rPr>
          <w:rFonts w:ascii="Arial" w:hAnsi="Arial" w:cs="Arial"/>
          <w:sz w:val="24"/>
        </w:rPr>
        <w:t xml:space="preserve"> </w:t>
      </w:r>
      <w:r w:rsidR="00753464">
        <w:rPr>
          <w:rFonts w:ascii="Arial" w:hAnsi="Arial" w:cs="Arial"/>
          <w:sz w:val="24"/>
        </w:rPr>
        <w:t xml:space="preserve">Aunque </w:t>
      </w:r>
      <w:r w:rsidR="00E95ECB" w:rsidRPr="003D1FBA">
        <w:rPr>
          <w:rFonts w:ascii="Arial" w:hAnsi="Arial" w:cs="Arial"/>
          <w:sz w:val="24"/>
        </w:rPr>
        <w:t>alg</w:t>
      </w:r>
      <w:r w:rsidR="00753464">
        <w:rPr>
          <w:rFonts w:ascii="Arial" w:hAnsi="Arial" w:cs="Arial"/>
          <w:sz w:val="24"/>
        </w:rPr>
        <w:t>ú</w:t>
      </w:r>
      <w:r w:rsidR="00E95ECB" w:rsidRPr="003D1FBA">
        <w:rPr>
          <w:rFonts w:ascii="Arial" w:hAnsi="Arial" w:cs="Arial"/>
          <w:sz w:val="24"/>
        </w:rPr>
        <w:t>n estudi</w:t>
      </w:r>
      <w:r w:rsidR="00753464">
        <w:rPr>
          <w:rFonts w:ascii="Arial" w:hAnsi="Arial" w:cs="Arial"/>
          <w:sz w:val="24"/>
        </w:rPr>
        <w:t>o</w:t>
      </w:r>
      <w:r w:rsidR="005125A3" w:rsidRPr="003D1FBA">
        <w:rPr>
          <w:rFonts w:ascii="Arial" w:hAnsi="Arial" w:cs="Arial"/>
          <w:sz w:val="24"/>
        </w:rPr>
        <w:t xml:space="preserve"> </w:t>
      </w:r>
      <w:r w:rsidR="00753464">
        <w:rPr>
          <w:rFonts w:ascii="Arial" w:hAnsi="Arial" w:cs="Arial"/>
          <w:sz w:val="24"/>
        </w:rPr>
        <w:t>habl</w:t>
      </w:r>
      <w:r w:rsidR="00E95ECB" w:rsidRPr="003D1FBA">
        <w:rPr>
          <w:rFonts w:ascii="Arial" w:hAnsi="Arial" w:cs="Arial"/>
          <w:sz w:val="24"/>
        </w:rPr>
        <w:t xml:space="preserve">a de </w:t>
      </w:r>
      <w:r w:rsidR="005125A3" w:rsidRPr="003D1FBA">
        <w:rPr>
          <w:rFonts w:ascii="Arial" w:hAnsi="Arial" w:cs="Arial"/>
          <w:sz w:val="24"/>
        </w:rPr>
        <w:t>r</w:t>
      </w:r>
      <w:r w:rsidR="00753464">
        <w:rPr>
          <w:rFonts w:ascii="Arial" w:hAnsi="Arial" w:cs="Arial"/>
          <w:sz w:val="24"/>
        </w:rPr>
        <w:t>a</w:t>
      </w:r>
      <w:r w:rsidR="005125A3" w:rsidRPr="003D1FBA">
        <w:rPr>
          <w:rFonts w:ascii="Arial" w:hAnsi="Arial" w:cs="Arial"/>
          <w:sz w:val="24"/>
        </w:rPr>
        <w:t>tios de 0,48 en sedestació</w:t>
      </w:r>
      <w:r w:rsidR="00753464">
        <w:rPr>
          <w:rFonts w:ascii="Arial" w:hAnsi="Arial" w:cs="Arial"/>
          <w:sz w:val="24"/>
        </w:rPr>
        <w:t>n</w:t>
      </w:r>
      <w:r w:rsidR="005125A3" w:rsidRPr="003D1FBA">
        <w:rPr>
          <w:rFonts w:ascii="Arial" w:hAnsi="Arial" w:cs="Arial"/>
          <w:sz w:val="24"/>
        </w:rPr>
        <w:t xml:space="preserve"> </w:t>
      </w:r>
      <w:r w:rsidR="00EE1C0C">
        <w:rPr>
          <w:rFonts w:ascii="Arial" w:hAnsi="Arial" w:cs="Arial"/>
          <w:sz w:val="24"/>
        </w:rPr>
        <w:t>con</w:t>
      </w:r>
      <w:r w:rsidR="005125A3" w:rsidRPr="003D1FBA">
        <w:rPr>
          <w:rFonts w:ascii="Arial" w:hAnsi="Arial" w:cs="Arial"/>
          <w:sz w:val="24"/>
        </w:rPr>
        <w:t xml:space="preserve"> </w:t>
      </w:r>
      <w:r w:rsidR="00EE1C0C">
        <w:rPr>
          <w:rFonts w:ascii="Arial" w:hAnsi="Arial" w:cs="Arial"/>
          <w:sz w:val="24"/>
        </w:rPr>
        <w:t>la</w:t>
      </w:r>
      <w:r w:rsidR="005125A3" w:rsidRPr="003D1FBA">
        <w:rPr>
          <w:rFonts w:ascii="Arial" w:hAnsi="Arial" w:cs="Arial"/>
          <w:sz w:val="24"/>
        </w:rPr>
        <w:t xml:space="preserve"> </w:t>
      </w:r>
      <w:r w:rsidR="00EE1C0C">
        <w:rPr>
          <w:rFonts w:ascii="Arial" w:hAnsi="Arial" w:cs="Arial"/>
          <w:sz w:val="24"/>
        </w:rPr>
        <w:t>rodi</w:t>
      </w:r>
      <w:r w:rsidR="005125A3" w:rsidRPr="003D1FBA">
        <w:rPr>
          <w:rFonts w:ascii="Arial" w:hAnsi="Arial" w:cs="Arial"/>
          <w:sz w:val="24"/>
        </w:rPr>
        <w:t>ll</w:t>
      </w:r>
      <w:r w:rsidR="00EE1C0C">
        <w:rPr>
          <w:rFonts w:ascii="Arial" w:hAnsi="Arial" w:cs="Arial"/>
          <w:sz w:val="24"/>
        </w:rPr>
        <w:t>a</w:t>
      </w:r>
      <w:r w:rsidR="005125A3" w:rsidRPr="003D1FBA">
        <w:rPr>
          <w:rFonts w:ascii="Arial" w:hAnsi="Arial" w:cs="Arial"/>
          <w:sz w:val="24"/>
        </w:rPr>
        <w:t xml:space="preserve"> a 120º</w:t>
      </w:r>
      <w:r w:rsidR="00757310" w:rsidRPr="003D1FBA">
        <w:rPr>
          <w:rFonts w:ascii="Arial" w:hAnsi="Arial" w:cs="Arial"/>
          <w:sz w:val="24"/>
          <w:vertAlign w:val="superscript"/>
        </w:rPr>
        <w:fldChar w:fldCharType="begin" w:fldLock="1"/>
      </w:r>
      <w:r w:rsidR="00B573BB" w:rsidRPr="003D1FBA">
        <w:rPr>
          <w:rFonts w:ascii="Arial" w:hAnsi="Arial" w:cs="Arial"/>
          <w:sz w:val="24"/>
          <w:vertAlign w:val="superscript"/>
        </w:rPr>
        <w:instrText>ADDIN CSL_CITATION {"citationItems":[{"id":"ITEM-1","itemData":{"DOI":"10.1016/j.jsams.2012.01.003","ISBN":"1878-1861 (Electronic)","ISSN":"14402440","PMID":"22424705","abstract":"Objectives: Describe inter-rater reliability of, and correlations between a novel method of isometric knee extension and flexion and eccentric knee flexion strength using hand-held dynamometry and isokinetic testing for flexion/extension in the knees of athletic participants. Document strength data normalized to the individual's limb muscle mass. Design: Observational and reliability study. Methods: Inter-rater reliability for each of the hand-held dynamometry measures was established in both legs of 10 volunteers (6 male). During routine annual screening, 216 male professional football (soccer) players were examined using these same measures in addition to performing an isokinetic evaluation of knee flexion and extension strength. Intra-class correlation coefficients for inter-rater reliability, Pearson r correlations between hand-held dynamometry and isokinetic dynamometry were calculated. Peak torque, peak torque normalized to: body weight; lean body mass; and lean limb mass were documented. Results: Excellent inter-rater reliability was demonstrated with intra-class correlation(2,1)values of 0.90, 0.91, and 0.96, for the eccentric hamstrings, isometric hamstrings, and isometric quadriceps measures respectively. Medium to high correlations (r=0.322-0.617) which were all significant (p&lt;0.001) were found for the comparisons between the hand-held dynamometry and isokinetic measures. Conclusions: We present 3 novel and reliable methods of examining knee flexion and extension strength using hand-held dynamometry which require less skill and strength on the part of the examiner than previous measures. Correlations between these measures and isokinetic dynamometry are documented. The hand-held dynamometry examinations took less than 4. min per player to conduct and may be useful in clinical practice where isokinetic examination can be difficult to implement. © 2012 Sports Medicine Australia.","author":[{"dropping-particle":"","family":"Whiteley","given":"Rod","non-dropping-particle":"","parse-names":false,"suffix":""},{"dropping-particle":"","family":"Jacobsen","given":"Phillip","non-dropping-particle":"","parse-names":false,"suffix":""},{"dropping-particle":"","family":"Prior","given":"Simon","non-dropping-particle":"","parse-names":false,"suffix":""},{"dropping-particle":"","family":"Skazalski","given":"Christopher","non-dropping-particle":"","parse-names":false,"suffix":""},{"dropping-particle":"","family":"Otten","given":"Roald","non-dropping-particle":"","parse-names":false,"suffix":""},{"dropping-particle":"","family":"Johnson","given":"Amanda","non-dropping-particle":"","parse-names":false,"suffix":""}],"container-title":"J Sci Med Sport","id":"ITEM-1","issue":"5","issued":{"date-parts":[["2012"]]},"page":"444-50","publisher":"Sports Medicine Australia","title":"Correlation of isokinetic and novel hand-held dynamometry measures of knee flexion and extension strength testing","type":"article-journal","volume":"15"},"uris":["http://www.mendeley.com/documents/?uuid=62b7cf7b-780d-45b1-8e0d-9a8c1eaf497a"]}],"mendeley":{"formattedCitation":"(19)","manualFormatting":" 19","plainTextFormattedCitation":"(19)","previouslyFormattedCitation":"(19)"},"properties":{"noteIndex":0},"schema":"https://github.com/citation-style-language/schema/raw/master/csl-citation.json"}</w:instrText>
      </w:r>
      <w:r w:rsidR="00757310" w:rsidRPr="003D1FBA">
        <w:rPr>
          <w:rFonts w:ascii="Arial" w:hAnsi="Arial" w:cs="Arial"/>
          <w:sz w:val="24"/>
          <w:vertAlign w:val="superscript"/>
        </w:rPr>
        <w:fldChar w:fldCharType="separate"/>
      </w:r>
      <w:r w:rsidR="00B573BB" w:rsidRPr="003D1FBA">
        <w:rPr>
          <w:rFonts w:ascii="Arial" w:hAnsi="Arial" w:cs="Arial"/>
          <w:noProof/>
          <w:sz w:val="24"/>
          <w:vertAlign w:val="superscript"/>
        </w:rPr>
        <w:t xml:space="preserve"> </w:t>
      </w:r>
      <w:r w:rsidR="00B21161" w:rsidRPr="003D1FBA">
        <w:rPr>
          <w:rFonts w:ascii="Arial" w:hAnsi="Arial" w:cs="Arial"/>
          <w:noProof/>
          <w:sz w:val="24"/>
          <w:vertAlign w:val="superscript"/>
        </w:rPr>
        <w:t>19</w:t>
      </w:r>
      <w:r w:rsidR="00757310" w:rsidRPr="003D1FBA">
        <w:rPr>
          <w:rFonts w:ascii="Arial" w:hAnsi="Arial" w:cs="Arial"/>
          <w:sz w:val="24"/>
          <w:vertAlign w:val="superscript"/>
        </w:rPr>
        <w:fldChar w:fldCharType="end"/>
      </w:r>
      <w:r w:rsidR="005125A3" w:rsidRPr="003D1FBA">
        <w:rPr>
          <w:rFonts w:ascii="Arial" w:hAnsi="Arial" w:cs="Arial"/>
          <w:sz w:val="24"/>
        </w:rPr>
        <w:t xml:space="preserve">, Peek et al. </w:t>
      </w:r>
      <w:r w:rsidR="00EE1C0C">
        <w:rPr>
          <w:rFonts w:ascii="Arial" w:hAnsi="Arial" w:cs="Arial"/>
          <w:sz w:val="24"/>
        </w:rPr>
        <w:t xml:space="preserve">en </w:t>
      </w:r>
      <w:r w:rsidR="005125A3" w:rsidRPr="003D1FBA">
        <w:rPr>
          <w:rFonts w:ascii="Arial" w:hAnsi="Arial" w:cs="Arial"/>
          <w:sz w:val="24"/>
        </w:rPr>
        <w:t>2018 conclu</w:t>
      </w:r>
      <w:r w:rsidR="00EE1C0C">
        <w:rPr>
          <w:rFonts w:ascii="Arial" w:hAnsi="Arial" w:cs="Arial"/>
          <w:sz w:val="24"/>
        </w:rPr>
        <w:t>yen</w:t>
      </w:r>
      <w:r w:rsidR="005125A3" w:rsidRPr="003D1FBA">
        <w:rPr>
          <w:rFonts w:ascii="Arial" w:hAnsi="Arial" w:cs="Arial"/>
          <w:sz w:val="24"/>
        </w:rPr>
        <w:t xml:space="preserve"> que falt</w:t>
      </w:r>
      <w:r w:rsidR="00EE1C0C">
        <w:rPr>
          <w:rFonts w:ascii="Arial" w:hAnsi="Arial" w:cs="Arial"/>
          <w:sz w:val="24"/>
        </w:rPr>
        <w:t>a</w:t>
      </w:r>
      <w:r w:rsidR="005125A3" w:rsidRPr="003D1FBA">
        <w:rPr>
          <w:rFonts w:ascii="Arial" w:hAnsi="Arial" w:cs="Arial"/>
          <w:sz w:val="24"/>
        </w:rPr>
        <w:t>n estudi</w:t>
      </w:r>
      <w:r w:rsidR="00EE1C0C">
        <w:rPr>
          <w:rFonts w:ascii="Arial" w:hAnsi="Arial" w:cs="Arial"/>
          <w:sz w:val="24"/>
        </w:rPr>
        <w:t>o</w:t>
      </w:r>
      <w:r w:rsidR="005125A3" w:rsidRPr="003D1FBA">
        <w:rPr>
          <w:rFonts w:ascii="Arial" w:hAnsi="Arial" w:cs="Arial"/>
          <w:sz w:val="24"/>
        </w:rPr>
        <w:t>s que estable</w:t>
      </w:r>
      <w:r w:rsidR="00EE1C0C">
        <w:rPr>
          <w:rFonts w:ascii="Arial" w:hAnsi="Arial" w:cs="Arial"/>
          <w:sz w:val="24"/>
        </w:rPr>
        <w:t xml:space="preserve">zcan </w:t>
      </w:r>
      <w:r w:rsidR="005125A3" w:rsidRPr="003D1FBA">
        <w:rPr>
          <w:rFonts w:ascii="Arial" w:hAnsi="Arial" w:cs="Arial"/>
          <w:sz w:val="24"/>
        </w:rPr>
        <w:t>valor</w:t>
      </w:r>
      <w:r w:rsidR="00EE1C0C">
        <w:rPr>
          <w:rFonts w:ascii="Arial" w:hAnsi="Arial" w:cs="Arial"/>
          <w:sz w:val="24"/>
        </w:rPr>
        <w:t>e</w:t>
      </w:r>
      <w:r w:rsidR="005125A3" w:rsidRPr="003D1FBA">
        <w:rPr>
          <w:rFonts w:ascii="Arial" w:hAnsi="Arial" w:cs="Arial"/>
          <w:sz w:val="24"/>
        </w:rPr>
        <w:t>s de normali</w:t>
      </w:r>
      <w:r w:rsidR="00EE1C0C">
        <w:rPr>
          <w:rFonts w:ascii="Arial" w:hAnsi="Arial" w:cs="Arial"/>
          <w:sz w:val="24"/>
        </w:rPr>
        <w:t>d</w:t>
      </w:r>
      <w:r w:rsidR="005125A3" w:rsidRPr="003D1FBA">
        <w:rPr>
          <w:rFonts w:ascii="Arial" w:hAnsi="Arial" w:cs="Arial"/>
          <w:sz w:val="24"/>
        </w:rPr>
        <w:t>a</w:t>
      </w:r>
      <w:r w:rsidR="00EE1C0C">
        <w:rPr>
          <w:rFonts w:ascii="Arial" w:hAnsi="Arial" w:cs="Arial"/>
          <w:sz w:val="24"/>
        </w:rPr>
        <w:t>d</w:t>
      </w:r>
      <w:r w:rsidR="005125A3" w:rsidRPr="003D1FBA">
        <w:rPr>
          <w:rFonts w:ascii="Arial" w:hAnsi="Arial" w:cs="Arial"/>
          <w:sz w:val="24"/>
        </w:rPr>
        <w:t xml:space="preserve"> de </w:t>
      </w:r>
      <w:r w:rsidR="0090596B" w:rsidRPr="003D1FBA">
        <w:rPr>
          <w:rFonts w:ascii="Arial" w:hAnsi="Arial" w:cs="Arial"/>
          <w:sz w:val="24"/>
        </w:rPr>
        <w:t>R</w:t>
      </w:r>
      <w:r w:rsidR="00EE1C0C">
        <w:rPr>
          <w:rFonts w:ascii="Arial" w:hAnsi="Arial" w:cs="Arial"/>
          <w:sz w:val="24"/>
        </w:rPr>
        <w:t>a</w:t>
      </w:r>
      <w:r w:rsidR="005125A3" w:rsidRPr="003D1FBA">
        <w:rPr>
          <w:rFonts w:ascii="Arial" w:hAnsi="Arial" w:cs="Arial"/>
          <w:sz w:val="24"/>
        </w:rPr>
        <w:t>tio I/Q me</w:t>
      </w:r>
      <w:r w:rsidR="00EE1C0C">
        <w:rPr>
          <w:rFonts w:ascii="Arial" w:hAnsi="Arial" w:cs="Arial"/>
          <w:sz w:val="24"/>
        </w:rPr>
        <w:t>didos</w:t>
      </w:r>
      <w:r w:rsidR="005125A3" w:rsidRPr="003D1FBA">
        <w:rPr>
          <w:rFonts w:ascii="Arial" w:hAnsi="Arial" w:cs="Arial"/>
          <w:sz w:val="24"/>
        </w:rPr>
        <w:t xml:space="preserve"> en isometria</w:t>
      </w:r>
      <w:r w:rsidR="005C7778" w:rsidRPr="003D1FBA">
        <w:rPr>
          <w:rFonts w:ascii="Arial" w:hAnsi="Arial" w:cs="Arial"/>
          <w:sz w:val="24"/>
        </w:rPr>
        <w:t>.</w:t>
      </w:r>
      <w:r w:rsidR="00757310" w:rsidRPr="003D1FBA">
        <w:rPr>
          <w:rFonts w:ascii="Arial" w:hAnsi="Arial" w:cs="Arial"/>
          <w:sz w:val="24"/>
          <w:vertAlign w:val="superscript"/>
        </w:rPr>
        <w:fldChar w:fldCharType="begin" w:fldLock="1"/>
      </w:r>
      <w:r w:rsidR="00EE7DE8" w:rsidRPr="003D1FBA">
        <w:rPr>
          <w:rFonts w:ascii="Arial" w:hAnsi="Arial" w:cs="Arial"/>
          <w:sz w:val="24"/>
          <w:vertAlign w:val="superscript"/>
        </w:rPr>
        <w:instrText>ADDIN CSL_CITATION {"citationItems":[{"id":"ITEM-1","itemData":{"DOI":"10.1080/15438627.2018.1447475","ISBN":"0023-6837","ISSN":"15438635","PMID":"29506423","abstract":"Acetaldehyde has been proposed as one of the mediators of liver injury in alcoholic liver disease. We investigated whether increased acetaldehyde levels affected the development of alcoholic liver injury. Male Wistar rats were fed a liquid diet containing fish oil and ethanol by intragastric infusion. Sustained elevations of acetaldehyde were achieved by daily treatment with two inhibitors of aldehyde dehydrogenase (ALDH): disulfiram and benzcoprine. Pathologic changes, plasma and river acetaldehyde, nuclear factor-kappa B (NF-kappa B) and I kappa B alpha (I kappa B alpha) protein, tumor necrosis factor-alpha (TNF-alpha) and cyclooxygenase 2 (COX-2) mRNA were evaluated. Treatment with the ALDH inhibitors led to increased acetaldehyde in liver and plasma but prevented necrosis and inflammation. Steatosis was not affected. Both inhibitors decreased activation of NF-kappa B and down-regulated TNF-alpha and COX-2 expression. Decreased activation of NF-kappa B was accompanied by I kappa B alpha preservation. Acetaldehyde probably inhibits NF-kappa B activation through I kappa B alpha preservation. Down-regulation of TNF-alpha and COX-2 occur secondary to inhibition of NF-kappa B and account for the absence of necrosis and inflammation in the ALDH inhibitor-treated groups.","author":[{"dropping-particle":"","family":"Peek","given":"Kerry","non-dropping-particle":"","parse-names":false,"suffix":""},{"dropping-particle":"","family":"Gatherer","given":"Don","non-dropping-particle":"","parse-names":false,"suffix":""},{"dropping-particle":"","family":"Bennett","given":"Kyle J.M.","non-dropping-particle":"","parse-names":false,"suffix":""},{"dropping-particle":"","family":"Fransen","given":"Job","non-dropping-particle":"","parse-names":false,"suffix":""},{"dropping-particle":"","family":"Watsford","given":"Mark","non-dropping-particle":"","parse-names":false,"suffix":""}],"container-title":"Res Sports Med","id":"ITEM-1","issue":"3","issued":{"date-parts":[["2018"]]},"page":"276-88","publisher":"Routledge","title":"Muscle strength characteristics of the hamstrings and quadriceps in players from a high-level youth football (soccer) Academy","type":"article-journal","volume":"26"},"uris":["http://www.mendeley.com/documents/?uuid=ea0619c5-34c3-4b8e-8246-41af53103ab1"]}],"mendeley":{"formattedCitation":"(20)","manualFormatting":"20","plainTextFormattedCitation":"(20)","previouslyFormattedCitation":"(20)"},"properties":{"noteIndex":0},"schema":"https://github.com/citation-style-language/schema/raw/master/csl-citation.json"}</w:instrText>
      </w:r>
      <w:r w:rsidR="00757310" w:rsidRPr="003D1FBA">
        <w:rPr>
          <w:rFonts w:ascii="Arial" w:hAnsi="Arial" w:cs="Arial"/>
          <w:sz w:val="24"/>
          <w:vertAlign w:val="superscript"/>
        </w:rPr>
        <w:fldChar w:fldCharType="separate"/>
      </w:r>
      <w:r w:rsidR="00B21161" w:rsidRPr="003D1FBA">
        <w:rPr>
          <w:rFonts w:ascii="Arial" w:hAnsi="Arial" w:cs="Arial"/>
          <w:noProof/>
          <w:sz w:val="24"/>
          <w:vertAlign w:val="superscript"/>
        </w:rPr>
        <w:t>20</w:t>
      </w:r>
      <w:r w:rsidR="00757310" w:rsidRPr="003D1FBA">
        <w:rPr>
          <w:rFonts w:ascii="Arial" w:hAnsi="Arial" w:cs="Arial"/>
          <w:sz w:val="24"/>
          <w:vertAlign w:val="superscript"/>
        </w:rPr>
        <w:fldChar w:fldCharType="end"/>
      </w:r>
    </w:p>
    <w:p w:rsidR="005125A3" w:rsidRPr="003D1FBA" w:rsidRDefault="002B505A" w:rsidP="00270DA1">
      <w:pPr>
        <w:spacing w:line="360" w:lineRule="auto"/>
        <w:jc w:val="both"/>
        <w:rPr>
          <w:rFonts w:ascii="Arial" w:hAnsi="Arial" w:cs="Arial"/>
          <w:sz w:val="24"/>
        </w:rPr>
      </w:pPr>
      <w:r>
        <w:rPr>
          <w:rFonts w:ascii="Arial" w:hAnsi="Arial" w:cs="Arial"/>
          <w:sz w:val="24"/>
        </w:rPr>
        <w:lastRenderedPageBreak/>
        <w:t>Respecto</w:t>
      </w:r>
      <w:r w:rsidR="00CB75ED" w:rsidRPr="003D1FBA">
        <w:rPr>
          <w:rFonts w:ascii="Arial" w:hAnsi="Arial" w:cs="Arial"/>
          <w:sz w:val="24"/>
        </w:rPr>
        <w:t xml:space="preserve"> a l</w:t>
      </w:r>
      <w:r>
        <w:rPr>
          <w:rFonts w:ascii="Arial" w:hAnsi="Arial" w:cs="Arial"/>
          <w:sz w:val="24"/>
        </w:rPr>
        <w:t>a fuerza</w:t>
      </w:r>
      <w:r w:rsidR="00CB75ED" w:rsidRPr="003D1FBA">
        <w:rPr>
          <w:rFonts w:ascii="Arial" w:hAnsi="Arial" w:cs="Arial"/>
          <w:sz w:val="24"/>
        </w:rPr>
        <w:t>, d</w:t>
      </w:r>
      <w:r w:rsidR="00CD301C" w:rsidRPr="003D1FBA">
        <w:rPr>
          <w:rFonts w:ascii="Arial" w:hAnsi="Arial" w:cs="Arial"/>
          <w:sz w:val="24"/>
        </w:rPr>
        <w:t>urant</w:t>
      </w:r>
      <w:r>
        <w:rPr>
          <w:rFonts w:ascii="Arial" w:hAnsi="Arial" w:cs="Arial"/>
          <w:sz w:val="24"/>
        </w:rPr>
        <w:t>e</w:t>
      </w:r>
      <w:r w:rsidR="00CD301C" w:rsidRPr="003D1FBA">
        <w:rPr>
          <w:rFonts w:ascii="Arial" w:hAnsi="Arial" w:cs="Arial"/>
          <w:sz w:val="24"/>
        </w:rPr>
        <w:t xml:space="preserve"> la pu</w:t>
      </w:r>
      <w:r>
        <w:rPr>
          <w:rFonts w:ascii="Arial" w:hAnsi="Arial" w:cs="Arial"/>
          <w:sz w:val="24"/>
        </w:rPr>
        <w:t>ber</w:t>
      </w:r>
      <w:r w:rsidR="00CD301C" w:rsidRPr="003D1FBA">
        <w:rPr>
          <w:rFonts w:ascii="Arial" w:hAnsi="Arial" w:cs="Arial"/>
          <w:sz w:val="24"/>
        </w:rPr>
        <w:t>ta</w:t>
      </w:r>
      <w:r>
        <w:rPr>
          <w:rFonts w:ascii="Arial" w:hAnsi="Arial" w:cs="Arial"/>
          <w:sz w:val="24"/>
        </w:rPr>
        <w:t>d</w:t>
      </w:r>
      <w:r w:rsidR="00CD301C" w:rsidRPr="003D1FBA">
        <w:rPr>
          <w:rFonts w:ascii="Arial" w:hAnsi="Arial" w:cs="Arial"/>
          <w:sz w:val="24"/>
        </w:rPr>
        <w:t xml:space="preserve">, en </w:t>
      </w:r>
      <w:r>
        <w:rPr>
          <w:rFonts w:ascii="Arial" w:hAnsi="Arial" w:cs="Arial"/>
          <w:sz w:val="24"/>
        </w:rPr>
        <w:t>chicos</w:t>
      </w:r>
      <w:r w:rsidR="00CD301C" w:rsidRPr="003D1FBA">
        <w:rPr>
          <w:rFonts w:ascii="Arial" w:hAnsi="Arial" w:cs="Arial"/>
          <w:sz w:val="24"/>
        </w:rPr>
        <w:t xml:space="preserve"> la de </w:t>
      </w:r>
      <w:r>
        <w:rPr>
          <w:rFonts w:ascii="Arial" w:hAnsi="Arial" w:cs="Arial"/>
          <w:sz w:val="24"/>
        </w:rPr>
        <w:t>c</w:t>
      </w:r>
      <w:r w:rsidR="00A5238B" w:rsidRPr="003D1FBA">
        <w:rPr>
          <w:rFonts w:ascii="Arial" w:hAnsi="Arial" w:cs="Arial"/>
          <w:sz w:val="24"/>
        </w:rPr>
        <w:t>u</w:t>
      </w:r>
      <w:r>
        <w:rPr>
          <w:rFonts w:ascii="Arial" w:hAnsi="Arial" w:cs="Arial"/>
          <w:sz w:val="24"/>
        </w:rPr>
        <w:t>á</w:t>
      </w:r>
      <w:r w:rsidR="00A5238B" w:rsidRPr="003D1FBA">
        <w:rPr>
          <w:rFonts w:ascii="Arial" w:hAnsi="Arial" w:cs="Arial"/>
          <w:sz w:val="24"/>
        </w:rPr>
        <w:t>driceps</w:t>
      </w:r>
      <w:r w:rsidR="00CD301C" w:rsidRPr="003D1FBA">
        <w:rPr>
          <w:rFonts w:ascii="Arial" w:hAnsi="Arial" w:cs="Arial"/>
          <w:sz w:val="24"/>
        </w:rPr>
        <w:t xml:space="preserve"> aumenta un 148% </w:t>
      </w:r>
      <w:r>
        <w:rPr>
          <w:rFonts w:ascii="Arial" w:hAnsi="Arial" w:cs="Arial"/>
          <w:sz w:val="24"/>
        </w:rPr>
        <w:t>y</w:t>
      </w:r>
      <w:r w:rsidR="005A7A2D" w:rsidRPr="003D1FBA">
        <w:rPr>
          <w:rFonts w:ascii="Arial" w:hAnsi="Arial" w:cs="Arial"/>
          <w:sz w:val="24"/>
        </w:rPr>
        <w:t xml:space="preserve"> la </w:t>
      </w:r>
      <w:r w:rsidR="00CD301C" w:rsidRPr="003D1FBA">
        <w:rPr>
          <w:rFonts w:ascii="Arial" w:hAnsi="Arial" w:cs="Arial"/>
          <w:sz w:val="24"/>
        </w:rPr>
        <w:t>d</w:t>
      </w:r>
      <w:r>
        <w:rPr>
          <w:rFonts w:ascii="Arial" w:hAnsi="Arial" w:cs="Arial"/>
          <w:sz w:val="24"/>
        </w:rPr>
        <w:t xml:space="preserve">e </w:t>
      </w:r>
      <w:r w:rsidR="00A5238B" w:rsidRPr="003D1FBA">
        <w:rPr>
          <w:rFonts w:ascii="Arial" w:hAnsi="Arial" w:cs="Arial"/>
          <w:sz w:val="24"/>
        </w:rPr>
        <w:t>isquiosural</w:t>
      </w:r>
      <w:r>
        <w:rPr>
          <w:rFonts w:ascii="Arial" w:hAnsi="Arial" w:cs="Arial"/>
          <w:sz w:val="24"/>
        </w:rPr>
        <w:t>e</w:t>
      </w:r>
      <w:r w:rsidR="00A5238B" w:rsidRPr="003D1FBA">
        <w:rPr>
          <w:rFonts w:ascii="Arial" w:hAnsi="Arial" w:cs="Arial"/>
          <w:sz w:val="24"/>
        </w:rPr>
        <w:t>s</w:t>
      </w:r>
      <w:r w:rsidR="00CD301C" w:rsidRPr="003D1FBA">
        <w:rPr>
          <w:rFonts w:ascii="Arial" w:hAnsi="Arial" w:cs="Arial"/>
          <w:sz w:val="24"/>
        </w:rPr>
        <w:t xml:space="preserve"> un 179%, </w:t>
      </w:r>
      <w:r>
        <w:rPr>
          <w:rFonts w:ascii="Arial" w:hAnsi="Arial" w:cs="Arial"/>
          <w:sz w:val="24"/>
        </w:rPr>
        <w:t>por otro lado,</w:t>
      </w:r>
      <w:r w:rsidR="00CD301C" w:rsidRPr="003D1FBA">
        <w:rPr>
          <w:rFonts w:ascii="Arial" w:hAnsi="Arial" w:cs="Arial"/>
          <w:sz w:val="24"/>
        </w:rPr>
        <w:t xml:space="preserve"> en </w:t>
      </w:r>
      <w:r>
        <w:rPr>
          <w:rFonts w:ascii="Arial" w:hAnsi="Arial" w:cs="Arial"/>
          <w:sz w:val="24"/>
        </w:rPr>
        <w:t>chicas</w:t>
      </w:r>
      <w:r w:rsidR="00CD301C" w:rsidRPr="003D1FBA">
        <w:rPr>
          <w:rFonts w:ascii="Arial" w:hAnsi="Arial" w:cs="Arial"/>
          <w:sz w:val="24"/>
        </w:rPr>
        <w:t xml:space="preserve"> </w:t>
      </w:r>
      <w:r w:rsidR="001C2800" w:rsidRPr="003D1FBA">
        <w:rPr>
          <w:rFonts w:ascii="Arial" w:hAnsi="Arial" w:cs="Arial"/>
          <w:sz w:val="24"/>
        </w:rPr>
        <w:t>aument</w:t>
      </w:r>
      <w:r>
        <w:rPr>
          <w:rFonts w:ascii="Arial" w:hAnsi="Arial" w:cs="Arial"/>
          <w:sz w:val="24"/>
        </w:rPr>
        <w:t>a</w:t>
      </w:r>
      <w:r w:rsidR="001C2800" w:rsidRPr="003D1FBA">
        <w:rPr>
          <w:rFonts w:ascii="Arial" w:hAnsi="Arial" w:cs="Arial"/>
          <w:sz w:val="24"/>
        </w:rPr>
        <w:t xml:space="preserve">n </w:t>
      </w:r>
      <w:r w:rsidR="00CD301C" w:rsidRPr="003D1FBA">
        <w:rPr>
          <w:rFonts w:ascii="Arial" w:hAnsi="Arial" w:cs="Arial"/>
          <w:sz w:val="24"/>
        </w:rPr>
        <w:t xml:space="preserve">un 44% </w:t>
      </w:r>
      <w:r>
        <w:rPr>
          <w:rFonts w:ascii="Arial" w:hAnsi="Arial" w:cs="Arial"/>
          <w:sz w:val="24"/>
        </w:rPr>
        <w:t>y</w:t>
      </w:r>
      <w:r w:rsidR="00CD301C" w:rsidRPr="003D1FBA">
        <w:rPr>
          <w:rFonts w:ascii="Arial" w:hAnsi="Arial" w:cs="Arial"/>
          <w:sz w:val="24"/>
        </w:rPr>
        <w:t xml:space="preserve"> un 27%</w:t>
      </w:r>
      <w:r w:rsidR="001C2800" w:rsidRPr="003D1FBA">
        <w:rPr>
          <w:rFonts w:ascii="Arial" w:hAnsi="Arial" w:cs="Arial"/>
          <w:sz w:val="24"/>
        </w:rPr>
        <w:t xml:space="preserve"> respectivament</w:t>
      </w:r>
      <w:r>
        <w:rPr>
          <w:rFonts w:ascii="Arial" w:hAnsi="Arial" w:cs="Arial"/>
          <w:sz w:val="24"/>
        </w:rPr>
        <w:t>e</w:t>
      </w:r>
      <w:r w:rsidR="001C2800" w:rsidRPr="003D1FBA">
        <w:rPr>
          <w:rFonts w:ascii="Arial" w:hAnsi="Arial" w:cs="Arial"/>
          <w:sz w:val="24"/>
        </w:rPr>
        <w:t>.</w:t>
      </w:r>
      <w:r w:rsidR="00CD301C" w:rsidRPr="003D1FBA">
        <w:rPr>
          <w:rFonts w:ascii="Arial" w:hAnsi="Arial" w:cs="Arial"/>
          <w:sz w:val="24"/>
        </w:rPr>
        <w:t xml:space="preserve"> </w:t>
      </w:r>
      <w:r w:rsidR="001C2800" w:rsidRPr="003D1FBA">
        <w:rPr>
          <w:rFonts w:ascii="Arial" w:hAnsi="Arial" w:cs="Arial"/>
          <w:sz w:val="24"/>
        </w:rPr>
        <w:t>D</w:t>
      </w:r>
      <w:r>
        <w:rPr>
          <w:rFonts w:ascii="Arial" w:hAnsi="Arial" w:cs="Arial"/>
          <w:sz w:val="24"/>
        </w:rPr>
        <w:t>e esta</w:t>
      </w:r>
      <w:r w:rsidR="001C2800" w:rsidRPr="003D1FBA">
        <w:rPr>
          <w:rFonts w:ascii="Arial" w:hAnsi="Arial" w:cs="Arial"/>
          <w:sz w:val="24"/>
        </w:rPr>
        <w:t xml:space="preserve"> manera</w:t>
      </w:r>
      <w:r w:rsidR="00CD301C" w:rsidRPr="003D1FBA">
        <w:rPr>
          <w:rFonts w:ascii="Arial" w:hAnsi="Arial" w:cs="Arial"/>
          <w:sz w:val="24"/>
        </w:rPr>
        <w:t xml:space="preserve"> </w:t>
      </w:r>
      <w:r w:rsidR="004837F6" w:rsidRPr="003D1FBA">
        <w:rPr>
          <w:rFonts w:ascii="Arial" w:hAnsi="Arial" w:cs="Arial"/>
          <w:sz w:val="24"/>
        </w:rPr>
        <w:t xml:space="preserve">en </w:t>
      </w:r>
      <w:r>
        <w:rPr>
          <w:rFonts w:ascii="Arial" w:hAnsi="Arial" w:cs="Arial"/>
          <w:sz w:val="24"/>
        </w:rPr>
        <w:t>chicas</w:t>
      </w:r>
      <w:r w:rsidR="004837F6" w:rsidRPr="003D1FBA">
        <w:rPr>
          <w:rFonts w:ascii="Arial" w:hAnsi="Arial" w:cs="Arial"/>
          <w:sz w:val="24"/>
        </w:rPr>
        <w:t xml:space="preserve"> </w:t>
      </w:r>
      <w:r>
        <w:rPr>
          <w:rFonts w:ascii="Arial" w:hAnsi="Arial" w:cs="Arial"/>
          <w:sz w:val="24"/>
        </w:rPr>
        <w:t>lo</w:t>
      </w:r>
      <w:r w:rsidR="00CD301C" w:rsidRPr="003D1FBA">
        <w:rPr>
          <w:rFonts w:ascii="Arial" w:hAnsi="Arial" w:cs="Arial"/>
          <w:sz w:val="24"/>
        </w:rPr>
        <w:t>s valor</w:t>
      </w:r>
      <w:r>
        <w:rPr>
          <w:rFonts w:ascii="Arial" w:hAnsi="Arial" w:cs="Arial"/>
          <w:sz w:val="24"/>
        </w:rPr>
        <w:t>e</w:t>
      </w:r>
      <w:r w:rsidR="00CD301C" w:rsidRPr="003D1FBA">
        <w:rPr>
          <w:rFonts w:ascii="Arial" w:hAnsi="Arial" w:cs="Arial"/>
          <w:sz w:val="24"/>
        </w:rPr>
        <w:t xml:space="preserve">s de </w:t>
      </w:r>
      <w:r w:rsidR="0090596B" w:rsidRPr="003D1FBA">
        <w:rPr>
          <w:rFonts w:ascii="Arial" w:hAnsi="Arial" w:cs="Arial"/>
          <w:sz w:val="24"/>
        </w:rPr>
        <w:t>R</w:t>
      </w:r>
      <w:r>
        <w:rPr>
          <w:rFonts w:ascii="Arial" w:hAnsi="Arial" w:cs="Arial"/>
          <w:sz w:val="24"/>
        </w:rPr>
        <w:t>a</w:t>
      </w:r>
      <w:r w:rsidR="00CD301C" w:rsidRPr="003D1FBA">
        <w:rPr>
          <w:rFonts w:ascii="Arial" w:hAnsi="Arial" w:cs="Arial"/>
          <w:sz w:val="24"/>
        </w:rPr>
        <w:t>tio I/Q ba</w:t>
      </w:r>
      <w:r>
        <w:rPr>
          <w:rFonts w:ascii="Arial" w:hAnsi="Arial" w:cs="Arial"/>
          <w:sz w:val="24"/>
        </w:rPr>
        <w:t>ja</w:t>
      </w:r>
      <w:r w:rsidR="00CD301C" w:rsidRPr="003D1FBA">
        <w:rPr>
          <w:rFonts w:ascii="Arial" w:hAnsi="Arial" w:cs="Arial"/>
          <w:sz w:val="24"/>
        </w:rPr>
        <w:t xml:space="preserve">n </w:t>
      </w:r>
      <w:r>
        <w:rPr>
          <w:rFonts w:ascii="Arial" w:hAnsi="Arial" w:cs="Arial"/>
          <w:sz w:val="24"/>
        </w:rPr>
        <w:t>y</w:t>
      </w:r>
      <w:r w:rsidR="00CD301C" w:rsidRPr="003D1FBA">
        <w:rPr>
          <w:rFonts w:ascii="Arial" w:hAnsi="Arial" w:cs="Arial"/>
          <w:sz w:val="24"/>
        </w:rPr>
        <w:t xml:space="preserve"> aument</w:t>
      </w:r>
      <w:r w:rsidR="001C2800" w:rsidRPr="003D1FBA">
        <w:rPr>
          <w:rFonts w:ascii="Arial" w:hAnsi="Arial" w:cs="Arial"/>
          <w:sz w:val="24"/>
        </w:rPr>
        <w:t>a</w:t>
      </w:r>
      <w:r w:rsidR="00CD301C" w:rsidRPr="003D1FBA">
        <w:rPr>
          <w:rFonts w:ascii="Arial" w:hAnsi="Arial" w:cs="Arial"/>
          <w:sz w:val="24"/>
        </w:rPr>
        <w:t xml:space="preserve"> el ri</w:t>
      </w:r>
      <w:r>
        <w:rPr>
          <w:rFonts w:ascii="Arial" w:hAnsi="Arial" w:cs="Arial"/>
          <w:sz w:val="24"/>
        </w:rPr>
        <w:t>esgo</w:t>
      </w:r>
      <w:r w:rsidR="00CD301C" w:rsidRPr="003D1FBA">
        <w:rPr>
          <w:rFonts w:ascii="Arial" w:hAnsi="Arial" w:cs="Arial"/>
          <w:sz w:val="24"/>
        </w:rPr>
        <w:t xml:space="preserve"> de </w:t>
      </w:r>
      <w:r>
        <w:rPr>
          <w:rFonts w:ascii="Arial" w:hAnsi="Arial" w:cs="Arial"/>
          <w:sz w:val="24"/>
        </w:rPr>
        <w:t>sufrir</w:t>
      </w:r>
      <w:r w:rsidR="00CD301C" w:rsidRPr="003D1FBA">
        <w:rPr>
          <w:rFonts w:ascii="Arial" w:hAnsi="Arial" w:cs="Arial"/>
          <w:sz w:val="24"/>
        </w:rPr>
        <w:t xml:space="preserve"> una lesió</w:t>
      </w:r>
      <w:r>
        <w:rPr>
          <w:rFonts w:ascii="Arial" w:hAnsi="Arial" w:cs="Arial"/>
          <w:sz w:val="24"/>
        </w:rPr>
        <w:t>n</w:t>
      </w:r>
      <w:r w:rsidR="00CD301C" w:rsidRPr="003D1FBA">
        <w:rPr>
          <w:rFonts w:ascii="Arial" w:hAnsi="Arial" w:cs="Arial"/>
          <w:sz w:val="24"/>
        </w:rPr>
        <w:t xml:space="preserve"> de</w:t>
      </w:r>
      <w:r>
        <w:rPr>
          <w:rFonts w:ascii="Arial" w:hAnsi="Arial" w:cs="Arial"/>
          <w:sz w:val="24"/>
        </w:rPr>
        <w:t>l</w:t>
      </w:r>
      <w:r w:rsidR="00CD301C" w:rsidRPr="003D1FBA">
        <w:rPr>
          <w:rFonts w:ascii="Arial" w:hAnsi="Arial" w:cs="Arial"/>
          <w:sz w:val="24"/>
        </w:rPr>
        <w:t xml:space="preserve"> L</w:t>
      </w:r>
      <w:r>
        <w:rPr>
          <w:rFonts w:ascii="Arial" w:hAnsi="Arial" w:cs="Arial"/>
          <w:sz w:val="24"/>
        </w:rPr>
        <w:t>C</w:t>
      </w:r>
      <w:r w:rsidR="00CD301C" w:rsidRPr="003D1FBA">
        <w:rPr>
          <w:rFonts w:ascii="Arial" w:hAnsi="Arial" w:cs="Arial"/>
          <w:sz w:val="24"/>
        </w:rPr>
        <w:t>A</w:t>
      </w:r>
      <w:r w:rsidR="005C7778" w:rsidRPr="003D1FBA">
        <w:rPr>
          <w:rFonts w:ascii="Arial" w:hAnsi="Arial" w:cs="Arial"/>
          <w:sz w:val="24"/>
        </w:rPr>
        <w:t>.</w:t>
      </w:r>
      <w:r w:rsidR="00757310" w:rsidRPr="003D1FBA">
        <w:rPr>
          <w:rFonts w:ascii="Arial" w:hAnsi="Arial" w:cs="Arial"/>
          <w:sz w:val="24"/>
          <w:vertAlign w:val="superscript"/>
        </w:rPr>
        <w:fldChar w:fldCharType="begin" w:fldLock="1"/>
      </w:r>
      <w:r w:rsidR="00B573BB" w:rsidRPr="003D1FBA">
        <w:rPr>
          <w:rFonts w:ascii="Arial" w:hAnsi="Arial" w:cs="Arial"/>
          <w:sz w:val="24"/>
          <w:vertAlign w:val="superscript"/>
        </w:rPr>
        <w:instrText>ADDIN CSL_CITATION {"citationItems":[{"id":"ITEM-1","itemData":{"DOI":"10.1177/0363546505280426","ISBN":"0363-5465 (Print)\\r0363-5465 (Linking)","ISSN":"03635465","PMID":"16210574","abstract":"BACKGROUND: Exercise programs have been introduced to reduce the ACL injury risk in female athletes. The most effective age at which to start these programs is not known. HYPOTHESIS: Age and gender affect ligament laxity and quadriceps-to-hamstring strength ratio. STUDY DESIGN: Cross-sectional study; Level of evidence, 3. METHODS: Fifty-three female and 70 male recreational soccer players, 10 to 18 years of age, were studied with physical examination, KT-1000 arthrometry, and manual maximum quadriceps and hamstring strength using a handheld dynamometer. The subjects were separated into 4 groups to examine maturity-related intergender differences: group G1, premenarchal girls (n = 24); group B1, boys 13 years and younger (n = 38); group G2, girls 2 or more years after menarche (n = 29); and group B2, boys 14 years and older (n = 32). RESULTS: Both knees of 123 soccer players were evaluated. The mean ages for groups G1, B1, G2, and B2 were 11.50 +/- 1.69, 10.63 +/- 1.85, 15.5 +/- 1.43, and 15.59 +/- 1.24 years, respectively, and the mean laxity measurements were 8.84 +/- 2.12, 8.51 +/- 1.61, 8.85 +/- 1.86, and 7.33 +/- 1.27 mm, respectively. Laxity was significantly less for the mature boys (P = .0015) than for the immature boys, mature girls, and immature girls. With increasing maturity, significant increases in both quadriceps and hamstring muscle strength were observed for both boys and girls (P &lt; .05). Boys demonstrated a greater percentage increase in hamstring strength with maturity (179%) compared with girls (27%) (P &lt; .05). Mature girls (2.06) had significantly greater quadriceps-to-hamstring ratio when compared with immature girls (1.74), immature boys (1.58), and mature boys (1.48) (P &lt; .05). CONCLUSION: Female athletes after menarche increase their quadriceps strength greater than their hamstring strength, putting them at risk for anterior cruciate ligament injury. Anterior cruciate ligament-prevention programs based on improving dynamic control of the knee by emphasizing hamstring strengthening should be instituted for girls after menarche.","author":[{"dropping-particle":"","family":"Ahmad","given":"Christopher S.","non-dropping-particle":"","parse-names":false,"suffix":""},{"dropping-particle":"","family":"Clark","given":"A. Martin","non-dropping-particle":"","parse-names":false,"suffix":""},{"dropping-particle":"","family":"Heilmann","given":"Niels","non-dropping-particle":"","parse-names":false,"suffix":""},{"dropping-particle":"","family":"Schoeb","given":"J. Scott","non-dropping-particle":"","parse-names":false,"suffix":""},{"dropping-particle":"","family":"Gardner","given":"Thomas R.","non-dropping-particle":"","parse-names":false,"suffix":""},{"dropping-particle":"","family":"Levine","given":"William N.","non-dropping-particle":"","parse-names":false,"suffix":""}],"container-title":"Am J Sports Med","id":"ITEM-1","issue":"3","issued":{"date-parts":[["2006"]]},"page":"370-4","title":"Effect of gender and maturity on quadriceps-to-hamstring strength ratio and anterior cruciate ligament laxity","type":"article-journal","volume":"34"},"uris":["http://www.mendeley.com/documents/?uuid=0a8cc4fd-b067-4a57-bc95-5d05b21bfd6c"]}],"mendeley":{"formattedCitation":"(21)","manualFormatting":"21","plainTextFormattedCitation":"(21)","previouslyFormattedCitation":"(21)"},"properties":{"noteIndex":0},"schema":"https://github.com/citation-style-language/schema/raw/master/csl-citation.json"}</w:instrText>
      </w:r>
      <w:r w:rsidR="00757310" w:rsidRPr="003D1FBA">
        <w:rPr>
          <w:rFonts w:ascii="Arial" w:hAnsi="Arial" w:cs="Arial"/>
          <w:sz w:val="24"/>
          <w:vertAlign w:val="superscript"/>
        </w:rPr>
        <w:fldChar w:fldCharType="separate"/>
      </w:r>
      <w:r w:rsidR="00B21161" w:rsidRPr="003D1FBA">
        <w:rPr>
          <w:rFonts w:ascii="Arial" w:hAnsi="Arial" w:cs="Arial"/>
          <w:noProof/>
          <w:sz w:val="24"/>
          <w:vertAlign w:val="superscript"/>
        </w:rPr>
        <w:t>21</w:t>
      </w:r>
      <w:r w:rsidR="00757310" w:rsidRPr="003D1FBA">
        <w:rPr>
          <w:rFonts w:ascii="Arial" w:hAnsi="Arial" w:cs="Arial"/>
          <w:sz w:val="24"/>
          <w:vertAlign w:val="superscript"/>
        </w:rPr>
        <w:fldChar w:fldCharType="end"/>
      </w:r>
    </w:p>
    <w:p w:rsidR="00A90F3E" w:rsidRPr="003D1FBA" w:rsidRDefault="002B505A" w:rsidP="00300A4D">
      <w:pPr>
        <w:spacing w:line="360" w:lineRule="auto"/>
        <w:jc w:val="both"/>
        <w:rPr>
          <w:rFonts w:ascii="Arial" w:hAnsi="Arial" w:cs="Arial"/>
          <w:noProof/>
          <w:sz w:val="24"/>
        </w:rPr>
      </w:pPr>
      <w:r>
        <w:rPr>
          <w:rFonts w:ascii="Arial" w:hAnsi="Arial" w:cs="Arial"/>
          <w:sz w:val="24"/>
        </w:rPr>
        <w:t>Con referencia</w:t>
      </w:r>
      <w:r w:rsidR="00872FE5" w:rsidRPr="003D1FBA">
        <w:rPr>
          <w:rFonts w:ascii="Arial" w:hAnsi="Arial" w:cs="Arial"/>
          <w:sz w:val="24"/>
        </w:rPr>
        <w:t xml:space="preserve"> a la fatiga, l</w:t>
      </w:r>
      <w:r>
        <w:rPr>
          <w:rFonts w:ascii="Arial" w:hAnsi="Arial" w:cs="Arial"/>
          <w:sz w:val="24"/>
        </w:rPr>
        <w:t>o</w:t>
      </w:r>
      <w:r w:rsidR="00872FE5" w:rsidRPr="003D1FBA">
        <w:rPr>
          <w:rFonts w:ascii="Arial" w:hAnsi="Arial" w:cs="Arial"/>
          <w:sz w:val="24"/>
        </w:rPr>
        <w:t>s estudi</w:t>
      </w:r>
      <w:r>
        <w:rPr>
          <w:rFonts w:ascii="Arial" w:hAnsi="Arial" w:cs="Arial"/>
          <w:sz w:val="24"/>
        </w:rPr>
        <w:t>o</w:t>
      </w:r>
      <w:r w:rsidR="00872FE5" w:rsidRPr="003D1FBA">
        <w:rPr>
          <w:rFonts w:ascii="Arial" w:hAnsi="Arial" w:cs="Arial"/>
          <w:sz w:val="24"/>
        </w:rPr>
        <w:t xml:space="preserve">s </w:t>
      </w:r>
      <w:r w:rsidR="00CB75ED" w:rsidRPr="003D1FBA">
        <w:rPr>
          <w:rFonts w:ascii="Arial" w:hAnsi="Arial" w:cs="Arial"/>
          <w:sz w:val="24"/>
        </w:rPr>
        <w:t>epidemiol</w:t>
      </w:r>
      <w:r>
        <w:rPr>
          <w:rFonts w:ascii="Arial" w:hAnsi="Arial" w:cs="Arial"/>
          <w:sz w:val="24"/>
        </w:rPr>
        <w:t>ó</w:t>
      </w:r>
      <w:r w:rsidR="00CB75ED" w:rsidRPr="003D1FBA">
        <w:rPr>
          <w:rFonts w:ascii="Arial" w:hAnsi="Arial" w:cs="Arial"/>
          <w:sz w:val="24"/>
        </w:rPr>
        <w:t>gic</w:t>
      </w:r>
      <w:r>
        <w:rPr>
          <w:rFonts w:ascii="Arial" w:hAnsi="Arial" w:cs="Arial"/>
          <w:sz w:val="24"/>
        </w:rPr>
        <w:t>o</w:t>
      </w:r>
      <w:r w:rsidR="00CB75ED" w:rsidRPr="003D1FBA">
        <w:rPr>
          <w:rFonts w:ascii="Arial" w:hAnsi="Arial" w:cs="Arial"/>
          <w:sz w:val="24"/>
        </w:rPr>
        <w:t xml:space="preserve">s </w:t>
      </w:r>
      <w:r w:rsidR="00872FE5" w:rsidRPr="003D1FBA">
        <w:rPr>
          <w:rFonts w:ascii="Arial" w:hAnsi="Arial" w:cs="Arial"/>
          <w:sz w:val="24"/>
        </w:rPr>
        <w:t>re</w:t>
      </w:r>
      <w:r>
        <w:rPr>
          <w:rFonts w:ascii="Arial" w:hAnsi="Arial" w:cs="Arial"/>
          <w:sz w:val="24"/>
        </w:rPr>
        <w:t>cog</w:t>
      </w:r>
      <w:r w:rsidR="00872FE5" w:rsidRPr="003D1FBA">
        <w:rPr>
          <w:rFonts w:ascii="Arial" w:hAnsi="Arial" w:cs="Arial"/>
          <w:sz w:val="24"/>
        </w:rPr>
        <w:t>en una elevada incid</w:t>
      </w:r>
      <w:r>
        <w:rPr>
          <w:rFonts w:ascii="Arial" w:hAnsi="Arial" w:cs="Arial"/>
          <w:sz w:val="24"/>
        </w:rPr>
        <w:t>e</w:t>
      </w:r>
      <w:r w:rsidR="00872FE5" w:rsidRPr="003D1FBA">
        <w:rPr>
          <w:rFonts w:ascii="Arial" w:hAnsi="Arial" w:cs="Arial"/>
          <w:sz w:val="24"/>
        </w:rPr>
        <w:t xml:space="preserve">ncia </w:t>
      </w:r>
      <w:r>
        <w:rPr>
          <w:rFonts w:ascii="Arial" w:hAnsi="Arial" w:cs="Arial"/>
          <w:sz w:val="24"/>
        </w:rPr>
        <w:t>durante los</w:t>
      </w:r>
      <w:r w:rsidR="00C2275F" w:rsidRPr="003D1FBA">
        <w:rPr>
          <w:rFonts w:ascii="Arial" w:hAnsi="Arial" w:cs="Arial"/>
          <w:sz w:val="24"/>
        </w:rPr>
        <w:t xml:space="preserve"> últim</w:t>
      </w:r>
      <w:r>
        <w:rPr>
          <w:rFonts w:ascii="Arial" w:hAnsi="Arial" w:cs="Arial"/>
          <w:sz w:val="24"/>
        </w:rPr>
        <w:t>o</w:t>
      </w:r>
      <w:r w:rsidR="00C2275F" w:rsidRPr="003D1FBA">
        <w:rPr>
          <w:rFonts w:ascii="Arial" w:hAnsi="Arial" w:cs="Arial"/>
          <w:sz w:val="24"/>
        </w:rPr>
        <w:t>s minut</w:t>
      </w:r>
      <w:r>
        <w:rPr>
          <w:rFonts w:ascii="Arial" w:hAnsi="Arial" w:cs="Arial"/>
          <w:sz w:val="24"/>
        </w:rPr>
        <w:t>o</w:t>
      </w:r>
      <w:r w:rsidR="00C2275F" w:rsidRPr="003D1FBA">
        <w:rPr>
          <w:rFonts w:ascii="Arial" w:hAnsi="Arial" w:cs="Arial"/>
          <w:sz w:val="24"/>
        </w:rPr>
        <w:t>s de cada part</w:t>
      </w:r>
      <w:r>
        <w:rPr>
          <w:rFonts w:ascii="Arial" w:hAnsi="Arial" w:cs="Arial"/>
          <w:sz w:val="24"/>
        </w:rPr>
        <w:t>e</w:t>
      </w:r>
      <w:r w:rsidR="00C2275F" w:rsidRPr="003D1FBA">
        <w:rPr>
          <w:rFonts w:ascii="Arial" w:hAnsi="Arial" w:cs="Arial"/>
          <w:sz w:val="24"/>
        </w:rPr>
        <w:t xml:space="preserve"> de</w:t>
      </w:r>
      <w:r>
        <w:rPr>
          <w:rFonts w:ascii="Arial" w:hAnsi="Arial" w:cs="Arial"/>
          <w:sz w:val="24"/>
        </w:rPr>
        <w:t xml:space="preserve"> </w:t>
      </w:r>
      <w:r w:rsidR="00C2275F" w:rsidRPr="003D1FBA">
        <w:rPr>
          <w:rFonts w:ascii="Arial" w:hAnsi="Arial" w:cs="Arial"/>
          <w:sz w:val="24"/>
        </w:rPr>
        <w:t>l</w:t>
      </w:r>
      <w:r>
        <w:rPr>
          <w:rFonts w:ascii="Arial" w:hAnsi="Arial" w:cs="Arial"/>
          <w:sz w:val="24"/>
        </w:rPr>
        <w:t>o</w:t>
      </w:r>
      <w:r w:rsidR="00C2275F" w:rsidRPr="003D1FBA">
        <w:rPr>
          <w:rFonts w:ascii="Arial" w:hAnsi="Arial" w:cs="Arial"/>
          <w:sz w:val="24"/>
        </w:rPr>
        <w:t>s parti</w:t>
      </w:r>
      <w:r>
        <w:rPr>
          <w:rFonts w:ascii="Arial" w:hAnsi="Arial" w:cs="Arial"/>
          <w:sz w:val="24"/>
        </w:rPr>
        <w:t>do</w:t>
      </w:r>
      <w:r w:rsidR="00C2275F" w:rsidRPr="003D1FBA">
        <w:rPr>
          <w:rFonts w:ascii="Arial" w:hAnsi="Arial" w:cs="Arial"/>
          <w:sz w:val="24"/>
        </w:rPr>
        <w:t>s</w:t>
      </w:r>
      <w:r w:rsidR="00B21161" w:rsidRPr="003D1FBA">
        <w:rPr>
          <w:rFonts w:ascii="Arial" w:hAnsi="Arial" w:cs="Arial"/>
          <w:sz w:val="24"/>
          <w:vertAlign w:val="superscript"/>
        </w:rPr>
        <w:fldChar w:fldCharType="begin" w:fldLock="1"/>
      </w:r>
      <w:r w:rsidR="00B573BB" w:rsidRPr="003D1FBA">
        <w:rPr>
          <w:rFonts w:ascii="Arial" w:hAnsi="Arial" w:cs="Arial"/>
          <w:sz w:val="24"/>
          <w:vertAlign w:val="superscript"/>
        </w:rPr>
        <w:instrText>ADDIN CSL_CITATION {"citationItems":[{"id":"ITEM-1","itemData":{"DOI":"10.1136/bjsm.2009.060582","author":[{"dropping-particle":"","family":"Ekstrand","given":"J","non-dropping-particle":"","parse-names":false,"suffix":""},{"dropping-particle":"","family":"Hägglund","given":"M","non-dropping-particle":"","parse-names":false,"suffix":""},{"dropping-particle":"","family":"Waldén","given":"M","non-dropping-particle":"","parse-names":false,"suffix":""}],"container-title":"Br J Sports Med","id":"ITEM-1","issue":"7","issued":{"date-parts":[["2011"]]},"page":"553-8","title":"Injury incidence and injury patterns in professional football : the UEFA injury study","type":"article-journal","volume":"45"},"uris":["http://www.mendeley.com/documents/?uuid=fed01c4f-f45b-4c73-a780-b0b51c9dd293"]}],"mendeley":{"formattedCitation":"(22)","manualFormatting":" 22","plainTextFormattedCitation":"(22)","previouslyFormattedCitation":"(22)"},"properties":{"noteIndex":0},"schema":"https://github.com/citation-style-language/schema/raw/master/csl-citation.json"}</w:instrText>
      </w:r>
      <w:r w:rsidR="00B21161" w:rsidRPr="003D1FBA">
        <w:rPr>
          <w:rFonts w:ascii="Arial" w:hAnsi="Arial" w:cs="Arial"/>
          <w:sz w:val="24"/>
          <w:vertAlign w:val="superscript"/>
        </w:rPr>
        <w:fldChar w:fldCharType="separate"/>
      </w:r>
      <w:r w:rsidR="00B573BB" w:rsidRPr="003D1FBA">
        <w:rPr>
          <w:rFonts w:ascii="Arial" w:hAnsi="Arial" w:cs="Arial"/>
          <w:noProof/>
          <w:sz w:val="24"/>
          <w:vertAlign w:val="superscript"/>
        </w:rPr>
        <w:t xml:space="preserve"> </w:t>
      </w:r>
      <w:r w:rsidR="00B21161" w:rsidRPr="003D1FBA">
        <w:rPr>
          <w:rFonts w:ascii="Arial" w:hAnsi="Arial" w:cs="Arial"/>
          <w:noProof/>
          <w:sz w:val="24"/>
          <w:vertAlign w:val="superscript"/>
        </w:rPr>
        <w:t>22</w:t>
      </w:r>
      <w:r w:rsidR="00B21161" w:rsidRPr="003D1FBA">
        <w:rPr>
          <w:rFonts w:ascii="Arial" w:hAnsi="Arial" w:cs="Arial"/>
          <w:sz w:val="24"/>
          <w:vertAlign w:val="superscript"/>
        </w:rPr>
        <w:fldChar w:fldCharType="end"/>
      </w:r>
      <w:r w:rsidR="00872FE5" w:rsidRPr="003D1FBA">
        <w:rPr>
          <w:rFonts w:ascii="Arial" w:hAnsi="Arial" w:cs="Arial"/>
          <w:sz w:val="24"/>
        </w:rPr>
        <w:t xml:space="preserve">, </w:t>
      </w:r>
      <w:r>
        <w:rPr>
          <w:rFonts w:ascii="Arial" w:hAnsi="Arial" w:cs="Arial"/>
          <w:sz w:val="24"/>
        </w:rPr>
        <w:t>echo</w:t>
      </w:r>
      <w:r w:rsidR="00872FE5" w:rsidRPr="003D1FBA">
        <w:rPr>
          <w:rFonts w:ascii="Arial" w:hAnsi="Arial" w:cs="Arial"/>
          <w:sz w:val="24"/>
        </w:rPr>
        <w:t xml:space="preserve"> que a</w:t>
      </w:r>
      <w:r>
        <w:rPr>
          <w:rFonts w:ascii="Arial" w:hAnsi="Arial" w:cs="Arial"/>
          <w:sz w:val="24"/>
        </w:rPr>
        <w:t>tribuyen</w:t>
      </w:r>
      <w:r w:rsidR="00872FE5" w:rsidRPr="003D1FBA">
        <w:rPr>
          <w:rFonts w:ascii="Arial" w:hAnsi="Arial" w:cs="Arial"/>
          <w:sz w:val="24"/>
        </w:rPr>
        <w:t xml:space="preserve"> a est</w:t>
      </w:r>
      <w:r>
        <w:rPr>
          <w:rFonts w:ascii="Arial" w:hAnsi="Arial" w:cs="Arial"/>
          <w:sz w:val="24"/>
        </w:rPr>
        <w:t>e</w:t>
      </w:r>
      <w:r w:rsidR="00872FE5" w:rsidRPr="003D1FBA">
        <w:rPr>
          <w:rFonts w:ascii="Arial" w:hAnsi="Arial" w:cs="Arial"/>
          <w:sz w:val="24"/>
        </w:rPr>
        <w:t xml:space="preserve"> </w:t>
      </w:r>
      <w:r w:rsidR="00872FE5" w:rsidRPr="005356C7">
        <w:rPr>
          <w:rFonts w:ascii="Arial" w:hAnsi="Arial" w:cs="Arial"/>
          <w:sz w:val="24"/>
        </w:rPr>
        <w:t>factor</w:t>
      </w:r>
      <w:r w:rsidR="00B573BB" w:rsidRPr="005356C7">
        <w:rPr>
          <w:rFonts w:ascii="Arial" w:hAnsi="Arial" w:cs="Arial"/>
          <w:sz w:val="24"/>
        </w:rPr>
        <w:t>.</w:t>
      </w:r>
      <w:r w:rsidR="00B21161" w:rsidRPr="005356C7">
        <w:rPr>
          <w:rFonts w:ascii="Arial" w:hAnsi="Arial" w:cs="Arial"/>
          <w:sz w:val="24"/>
          <w:vertAlign w:val="superscript"/>
        </w:rPr>
        <w:fldChar w:fldCharType="begin" w:fldLock="1"/>
      </w:r>
      <w:r w:rsidR="00B573BB" w:rsidRPr="005356C7">
        <w:rPr>
          <w:rFonts w:ascii="Arial" w:hAnsi="Arial" w:cs="Arial"/>
          <w:sz w:val="24"/>
          <w:vertAlign w:val="superscript"/>
        </w:rPr>
        <w:instrText>ADDIN CSL_CITATION {"citationItems":[{"id":"ITEM-1","itemData":{"DOI":"10.1080/0264041031000140428","ISBN":"0264-0414 (Print)\\r0264-0414 (Linking)","ISSN":"02640414","PMID":"14626373","abstract":"Fatigue represents a reduction in the capability of muscle to generate force. The aim of the present study was to establish the effects of exercise that simulates the work rate of competitive soccer players on the strength of the knee extensors and knee flexors. Thirteen amateur soccer players (age 23.3+/-3.9 years, height 1.78+/-0.05 m, body mass 74.8+/-3.6 kg; mean+/-s) were tested during the 2000-2001 soccer season. Muscle strength of the quadriceps and hamstrings was measured on an isokinetic dynamometer. A 90 min soccer-specific intermittent exercise protocol, incorporating a 15 min half-time intermission, was developed to provide fatiguing exercise corresponding in work rate to a game of soccer. The exercise protocol, performed on a programmable motorized treadmill, consisted of the different intensities observed during soccer match-play (e.g. walking, jogging, running, sprinting). Muscle strength was assessed before exercise, at half-time and immediately after exercise. A repeated-measures analysis of variance showed significant reductions (P &lt; 0.001) in peak torque for both the quadriceps and hamstrings at all angular velocities (concentric: 1.05, 2.09, 5.23 rad x s(-1); eccentric: 2.09 rad x s(-1)). The peak torque of the knee extensors (KE) and knee flexors (KF) was greater before exercise [KE: 232+/-37, 182+/-34, 129+/-27, 219+/-41 N x m at 1.05, 2.09 and 5.23 rad x s(-1) (concentric) and 2.09 rad x s(-1) (eccentric), respectively; KF: 126+/-20, 112+/-19, 101+/-16, 137+/-23 N x m] than at half-time (KE: 209+/-45, 177+/-35, 125+/-36, 214+/-43 N x m; KF: 114+/-31, 102+/-20, 92+/-15, 125+/-25 N x m) and greater at half-time than after exercise (KE: 196+/-43, 167+/-35, 118+/-24, 204+/-43 N x m; KF: 104+/-25, 95+/-21, 87+/-13, 114+/-27 N x m). For the hamstrings:quadriceps ratio, significant changes were found (P &lt; 0.05) for both legs, the ratio being greater before than after exercise. For fast:slow speed and left:right ratios, no significant changes were found. We conclude that there is a progressive reduction in muscle strength that applies across a range of functional characteristics during exercise that mimics the work rate in soccer.","author":[{"dropping-particle":"","family":"Rahnama","given":"Nader","non-dropping-particle":"","parse-names":false,"suffix":""},{"dropping-particle":"","family":"Reilly","given":"T.","non-dropping-particle":"","parse-names":false,"suffix":""},{"dropping-particle":"","family":"Lees","given":"A.","non-dropping-particle":"","parse-names":false,"suffix":""},{"dropping-particle":"","family":"Graham-Smith","given":"P.","non-dropping-particle":"","parse-names":false,"suffix":""}],"container-title":"J Sports Sci","id":"ITEM-1","issue":"11","issued":{"date-parts":[["2003"]]},"page":"933-42","title":"Muscle fatigue induced by exercise simulating the work rate of competitive soccer","type":"article-journal","volume":"21"},"uris":["http://www.mendeley.com/documents/?uuid=90482cd4-c6c5-43ff-aeb7-45af4e0e6ff3"]}],"mendeley":{"formattedCitation":"(15)","manualFormatting":"15","plainTextFormattedCitation":"(15)","previouslyFormattedCitation":"(15)"},"properties":{"noteIndex":0},"schema":"https://github.com/citation-style-language/schema/raw/master/csl-citation.json"}</w:instrText>
      </w:r>
      <w:r w:rsidR="00B21161" w:rsidRPr="005356C7">
        <w:rPr>
          <w:rFonts w:ascii="Arial" w:hAnsi="Arial" w:cs="Arial"/>
          <w:sz w:val="24"/>
          <w:vertAlign w:val="superscript"/>
        </w:rPr>
        <w:fldChar w:fldCharType="separate"/>
      </w:r>
      <w:r w:rsidR="00B21161" w:rsidRPr="005356C7">
        <w:rPr>
          <w:rFonts w:ascii="Arial" w:hAnsi="Arial" w:cs="Arial"/>
          <w:noProof/>
          <w:sz w:val="24"/>
          <w:vertAlign w:val="superscript"/>
        </w:rPr>
        <w:t>15</w:t>
      </w:r>
      <w:r w:rsidR="00B21161" w:rsidRPr="005356C7">
        <w:rPr>
          <w:rFonts w:ascii="Arial" w:hAnsi="Arial" w:cs="Arial"/>
          <w:sz w:val="24"/>
          <w:vertAlign w:val="superscript"/>
        </w:rPr>
        <w:fldChar w:fldCharType="end"/>
      </w:r>
      <w:r w:rsidR="003E6E5C" w:rsidRPr="003D1FBA">
        <w:rPr>
          <w:rFonts w:ascii="Arial" w:hAnsi="Arial" w:cs="Arial"/>
          <w:sz w:val="24"/>
        </w:rPr>
        <w:t xml:space="preserve"> </w:t>
      </w:r>
      <w:r w:rsidR="00976106" w:rsidRPr="003D1FBA">
        <w:rPr>
          <w:rFonts w:ascii="Arial" w:hAnsi="Arial" w:cs="Arial"/>
          <w:sz w:val="24"/>
        </w:rPr>
        <w:t xml:space="preserve"> </w:t>
      </w:r>
      <w:r>
        <w:rPr>
          <w:rFonts w:ascii="Arial" w:hAnsi="Arial" w:cs="Arial"/>
          <w:sz w:val="24"/>
        </w:rPr>
        <w:t>Aun</w:t>
      </w:r>
      <w:r w:rsidR="00976106" w:rsidRPr="003D1FBA">
        <w:rPr>
          <w:rFonts w:ascii="Arial" w:hAnsi="Arial" w:cs="Arial"/>
          <w:sz w:val="24"/>
        </w:rPr>
        <w:t>que falt</w:t>
      </w:r>
      <w:r>
        <w:rPr>
          <w:rFonts w:ascii="Arial" w:hAnsi="Arial" w:cs="Arial"/>
          <w:sz w:val="24"/>
        </w:rPr>
        <w:t>a</w:t>
      </w:r>
      <w:r w:rsidR="00976106" w:rsidRPr="003D1FBA">
        <w:rPr>
          <w:rFonts w:ascii="Arial" w:hAnsi="Arial" w:cs="Arial"/>
          <w:sz w:val="24"/>
        </w:rPr>
        <w:t>n estudi</w:t>
      </w:r>
      <w:r>
        <w:rPr>
          <w:rFonts w:ascii="Arial" w:hAnsi="Arial" w:cs="Arial"/>
          <w:sz w:val="24"/>
        </w:rPr>
        <w:t>o</w:t>
      </w:r>
      <w:r w:rsidR="00976106" w:rsidRPr="003D1FBA">
        <w:rPr>
          <w:rFonts w:ascii="Arial" w:hAnsi="Arial" w:cs="Arial"/>
          <w:sz w:val="24"/>
        </w:rPr>
        <w:t>s, algun</w:t>
      </w:r>
      <w:r>
        <w:rPr>
          <w:rFonts w:ascii="Arial" w:hAnsi="Arial" w:cs="Arial"/>
          <w:sz w:val="24"/>
        </w:rPr>
        <w:t>o</w:t>
      </w:r>
      <w:r w:rsidR="00976106" w:rsidRPr="003D1FBA">
        <w:rPr>
          <w:rFonts w:ascii="Arial" w:hAnsi="Arial" w:cs="Arial"/>
          <w:sz w:val="24"/>
        </w:rPr>
        <w:t>s autor</w:t>
      </w:r>
      <w:r>
        <w:rPr>
          <w:rFonts w:ascii="Arial" w:hAnsi="Arial" w:cs="Arial"/>
          <w:sz w:val="24"/>
        </w:rPr>
        <w:t>e</w:t>
      </w:r>
      <w:r w:rsidR="00976106" w:rsidRPr="003D1FBA">
        <w:rPr>
          <w:rFonts w:ascii="Arial" w:hAnsi="Arial" w:cs="Arial"/>
          <w:sz w:val="24"/>
        </w:rPr>
        <w:t>s dem</w:t>
      </w:r>
      <w:r>
        <w:rPr>
          <w:rFonts w:ascii="Arial" w:hAnsi="Arial" w:cs="Arial"/>
          <w:sz w:val="24"/>
        </w:rPr>
        <w:t>ue</w:t>
      </w:r>
      <w:r w:rsidR="00976106" w:rsidRPr="003D1FBA">
        <w:rPr>
          <w:rFonts w:ascii="Arial" w:hAnsi="Arial" w:cs="Arial"/>
          <w:sz w:val="24"/>
        </w:rPr>
        <w:t>str</w:t>
      </w:r>
      <w:r>
        <w:rPr>
          <w:rFonts w:ascii="Arial" w:hAnsi="Arial" w:cs="Arial"/>
          <w:sz w:val="24"/>
        </w:rPr>
        <w:t>a</w:t>
      </w:r>
      <w:r w:rsidR="00976106" w:rsidRPr="003D1FBA">
        <w:rPr>
          <w:rFonts w:ascii="Arial" w:hAnsi="Arial" w:cs="Arial"/>
          <w:sz w:val="24"/>
        </w:rPr>
        <w:t xml:space="preserve">n que </w:t>
      </w:r>
      <w:r w:rsidR="003E6E5C" w:rsidRPr="003D1FBA">
        <w:rPr>
          <w:rFonts w:ascii="Arial" w:hAnsi="Arial" w:cs="Arial"/>
          <w:sz w:val="24"/>
        </w:rPr>
        <w:t>en pres</w:t>
      </w:r>
      <w:r>
        <w:rPr>
          <w:rFonts w:ascii="Arial" w:hAnsi="Arial" w:cs="Arial"/>
          <w:sz w:val="24"/>
        </w:rPr>
        <w:t>e</w:t>
      </w:r>
      <w:r w:rsidR="003E6E5C" w:rsidRPr="003D1FBA">
        <w:rPr>
          <w:rFonts w:ascii="Arial" w:hAnsi="Arial" w:cs="Arial"/>
          <w:sz w:val="24"/>
        </w:rPr>
        <w:t>ncia de fatiga l</w:t>
      </w:r>
      <w:r>
        <w:rPr>
          <w:rFonts w:ascii="Arial" w:hAnsi="Arial" w:cs="Arial"/>
          <w:sz w:val="24"/>
        </w:rPr>
        <w:t>a</w:t>
      </w:r>
      <w:r w:rsidR="003E6E5C" w:rsidRPr="003D1FBA">
        <w:rPr>
          <w:rFonts w:ascii="Arial" w:hAnsi="Arial" w:cs="Arial"/>
          <w:sz w:val="24"/>
        </w:rPr>
        <w:t>s jugador</w:t>
      </w:r>
      <w:r>
        <w:rPr>
          <w:rFonts w:ascii="Arial" w:hAnsi="Arial" w:cs="Arial"/>
          <w:sz w:val="24"/>
        </w:rPr>
        <w:t>a</w:t>
      </w:r>
      <w:r w:rsidR="003E6E5C" w:rsidRPr="003D1FBA">
        <w:rPr>
          <w:rFonts w:ascii="Arial" w:hAnsi="Arial" w:cs="Arial"/>
          <w:sz w:val="24"/>
        </w:rPr>
        <w:t xml:space="preserve">s </w:t>
      </w:r>
      <w:r w:rsidR="00872FE5" w:rsidRPr="003D1FBA">
        <w:rPr>
          <w:rFonts w:ascii="Arial" w:hAnsi="Arial" w:cs="Arial"/>
          <w:sz w:val="24"/>
        </w:rPr>
        <w:t>present</w:t>
      </w:r>
      <w:r>
        <w:rPr>
          <w:rFonts w:ascii="Arial" w:hAnsi="Arial" w:cs="Arial"/>
          <w:sz w:val="24"/>
        </w:rPr>
        <w:t>a</w:t>
      </w:r>
      <w:r w:rsidR="00872FE5" w:rsidRPr="003D1FBA">
        <w:rPr>
          <w:rFonts w:ascii="Arial" w:hAnsi="Arial" w:cs="Arial"/>
          <w:sz w:val="24"/>
        </w:rPr>
        <w:t>n</w:t>
      </w:r>
      <w:r w:rsidR="003E6E5C" w:rsidRPr="003D1FBA">
        <w:rPr>
          <w:rFonts w:ascii="Arial" w:hAnsi="Arial" w:cs="Arial"/>
          <w:sz w:val="24"/>
        </w:rPr>
        <w:t xml:space="preserve"> valor</w:t>
      </w:r>
      <w:r>
        <w:rPr>
          <w:rFonts w:ascii="Arial" w:hAnsi="Arial" w:cs="Arial"/>
          <w:sz w:val="24"/>
        </w:rPr>
        <w:t>e</w:t>
      </w:r>
      <w:r w:rsidR="003E6E5C" w:rsidRPr="003D1FBA">
        <w:rPr>
          <w:rFonts w:ascii="Arial" w:hAnsi="Arial" w:cs="Arial"/>
          <w:sz w:val="24"/>
        </w:rPr>
        <w:t>s de f</w:t>
      </w:r>
      <w:r>
        <w:rPr>
          <w:rFonts w:ascii="Arial" w:hAnsi="Arial" w:cs="Arial"/>
          <w:sz w:val="24"/>
        </w:rPr>
        <w:t>uerza</w:t>
      </w:r>
      <w:r w:rsidR="003E6E5C" w:rsidRPr="003D1FBA">
        <w:rPr>
          <w:rFonts w:ascii="Arial" w:hAnsi="Arial" w:cs="Arial"/>
          <w:sz w:val="24"/>
        </w:rPr>
        <w:t xml:space="preserve"> muscular</w:t>
      </w:r>
      <w:r w:rsidR="00872FE5" w:rsidRPr="003D1FBA">
        <w:rPr>
          <w:rFonts w:ascii="Arial" w:hAnsi="Arial" w:cs="Arial"/>
          <w:sz w:val="24"/>
        </w:rPr>
        <w:t xml:space="preserve"> m</w:t>
      </w:r>
      <w:r>
        <w:rPr>
          <w:rFonts w:ascii="Arial" w:hAnsi="Arial" w:cs="Arial"/>
          <w:sz w:val="24"/>
        </w:rPr>
        <w:t>á</w:t>
      </w:r>
      <w:r w:rsidR="00872FE5" w:rsidRPr="003D1FBA">
        <w:rPr>
          <w:rFonts w:ascii="Arial" w:hAnsi="Arial" w:cs="Arial"/>
          <w:sz w:val="24"/>
        </w:rPr>
        <w:t>s ba</w:t>
      </w:r>
      <w:r>
        <w:rPr>
          <w:rFonts w:ascii="Arial" w:hAnsi="Arial" w:cs="Arial"/>
          <w:sz w:val="24"/>
        </w:rPr>
        <w:t>j</w:t>
      </w:r>
      <w:r w:rsidR="00872FE5" w:rsidRPr="003D1FBA">
        <w:rPr>
          <w:rFonts w:ascii="Arial" w:hAnsi="Arial" w:cs="Arial"/>
          <w:sz w:val="24"/>
        </w:rPr>
        <w:t>os</w:t>
      </w:r>
      <w:r w:rsidR="00B36AAE" w:rsidRPr="003D1FBA">
        <w:rPr>
          <w:rFonts w:ascii="Arial" w:hAnsi="Arial" w:cs="Arial"/>
          <w:sz w:val="24"/>
        </w:rPr>
        <w:t xml:space="preserve"> </w:t>
      </w:r>
      <w:r w:rsidR="00B36AAE" w:rsidRPr="003D1FBA">
        <w:rPr>
          <w:rFonts w:ascii="Arial" w:hAnsi="Arial" w:cs="Arial"/>
          <w:sz w:val="24"/>
          <w:vertAlign w:val="superscript"/>
        </w:rPr>
        <w:fldChar w:fldCharType="begin" w:fldLock="1"/>
      </w:r>
      <w:r w:rsidR="00B573BB" w:rsidRPr="003D1FBA">
        <w:rPr>
          <w:rFonts w:ascii="Arial" w:hAnsi="Arial" w:cs="Arial"/>
          <w:sz w:val="24"/>
          <w:vertAlign w:val="superscript"/>
        </w:rPr>
        <w:instrText>ADDIN CSL_CITATION {"citationItems":[{"id":"ITEM-1","itemData":{"DOI":"10.1111/sms.13261","ISSN":"16000838","PMID":"29981192","abstract":"The effect of football-specific fatigue on explosive neuromuscular performance and dynamic balance has received little attention in the literature despite the potential consequences for injury risk. This study aimed to investigate the effect of fatigue induced by simulated football match play on maximal and explosive knee flexor (KF) and knee extensor (KE) torque, and thus the maximal and explosive KF/KE ratio, as well as the effect of fatigue induced by simulated football match play on whole-body response to disturbances in balance. Fifteen male team sports players (mean +/- SD: age 24.2 +/- 4.2 years; stature 1.79 +/- 0.09 m; body mass, 77.3 +/- 10.7 kg) underwent ~90 minutes of the modified Loughborough Intermittent Shuttle Test (LIST; fatiguing exercise condition) or seated rest (control condition) on separate days. Maximal and explosive isometric KF and KE voluntary torque (MVT/EVT) were assessed pre- and post-condition. Maximal and explosive KF/KE ratios were calculated. Center of mass (COM) response (displacement) to unexpected anterior and posterior platform perturbations were also assessed pre- and post-condition. Football simulated fatigue resulted in reduced KF (15%) and KE (12%) MVT (P &lt;/= 0.002) but was not found to reduce EVT of either muscle group, or explosive KF/KE ratio. Football simulated fatigue resulted in impaired balance response (11% increase in COM displacement) to unexpected perturbation in the posterior (P = 0.002) but not the anterior direction. Impaired response to dynamic disturbances in balance, rather than explosive torque or changes in muscle balance (H/Q ratios), may be a contributory factor toward increased injury risk in the latter portion of football games, and likely highlights the influence of fatigue on sensory/proprioceptive processes.","author":[{"dropping-particle":"","family":"Behan","given":"Fearghal P.","non-dropping-particle":"","parse-names":false,"suffix":""},{"dropping-particle":"","family":"Willis","given":"Scott","non-dropping-particle":"","parse-names":false,"suffix":""},{"dropping-particle":"","family":"Pain","given":"Matt T.G.","non-dropping-particle":"","parse-names":false,"suffix":""},{"dropping-particle":"","family":"Folland","given":"Jonathan P.","non-dropping-particle":"","parse-names":false,"suffix":""}],"container-title":"Scand J Med Sci Sports","id":"ITEM-1","issue":"12","issued":{"date-parts":[["2018"]]},"page":"2547-57","title":"Effects of football simulated fatigue on neuromuscular function and whole-body response to disturbances in balance","type":"article-journal","volume":"28"},"uris":["http://www.mendeley.com/documents/?uuid=84dbcb29-0f43-45ea-a567-d6ec073cb5f5"]},{"id":"ITEM-2","itemData":{"DOI":"10.1111/ijlh.12426","ISBN":"0000000154871","ISSN":"18196608","PMID":"27935037","author":[{"dropping-particle":"","family":"Pinto","given":"MD","non-dropping-particle":"","parse-names":false,"suffix":""},{"dropping-particle":"","family":"Blazevich","given":"AJ","non-dropping-particle":"","parse-names":false,"suffix":""},{"dropping-particle":"","family":"Andersen","given":"LL","non-dropping-particle":"","parse-names":false,"suffix":""},{"dropping-particle":"","family":"Mil-Homens","given":"P","non-dropping-particle":"","parse-names":false,"suffix":""},{"dropping-particle":"","family":"Pinto","given":"RS","non-dropping-particle":"","parse-names":false,"suffix":""}],"container-title":"Scand J Med Sci Sports","id":"ITEM-2","issue":"1","issued":{"date-parts":[["2017"]]},"page":"282-93","title":"Hamstring-to-quadriceps fatigue ratio offers new and different muscle function information than the conventional non-fatigued ratio.","type":"article-journal","volume":"28"},"uris":["http://www.mendeley.com/documents/?uuid=a608714a-9cb8-4efa-b84a-84d04532d17a"]}],"mendeley":{"formattedCitation":"(23,24)","manualFormatting":"23,24","plainTextFormattedCitation":"(23,24)","previouslyFormattedCitation":"(23,24)"},"properties":{"noteIndex":0},"schema":"https://github.com/citation-style-language/schema/raw/master/csl-citation.json"}</w:instrText>
      </w:r>
      <w:r w:rsidR="00B36AAE" w:rsidRPr="003D1FBA">
        <w:rPr>
          <w:rFonts w:ascii="Arial" w:hAnsi="Arial" w:cs="Arial"/>
          <w:sz w:val="24"/>
          <w:vertAlign w:val="superscript"/>
        </w:rPr>
        <w:fldChar w:fldCharType="separate"/>
      </w:r>
      <w:r w:rsidR="00B36AAE" w:rsidRPr="003D1FBA">
        <w:rPr>
          <w:rFonts w:ascii="Arial" w:hAnsi="Arial" w:cs="Arial"/>
          <w:noProof/>
          <w:sz w:val="24"/>
          <w:vertAlign w:val="superscript"/>
        </w:rPr>
        <w:t>23,24</w:t>
      </w:r>
      <w:r w:rsidR="00B36AAE" w:rsidRPr="003D1FBA">
        <w:rPr>
          <w:rFonts w:ascii="Arial" w:hAnsi="Arial" w:cs="Arial"/>
          <w:sz w:val="24"/>
          <w:vertAlign w:val="superscript"/>
        </w:rPr>
        <w:fldChar w:fldCharType="end"/>
      </w:r>
      <w:r w:rsidR="003E6E5C" w:rsidRPr="003D1FBA">
        <w:rPr>
          <w:rFonts w:ascii="Arial" w:hAnsi="Arial" w:cs="Arial"/>
          <w:sz w:val="24"/>
        </w:rPr>
        <w:t xml:space="preserve"> </w:t>
      </w:r>
      <w:r>
        <w:rPr>
          <w:rFonts w:ascii="Arial" w:hAnsi="Arial" w:cs="Arial"/>
          <w:sz w:val="24"/>
        </w:rPr>
        <w:t>y</w:t>
      </w:r>
      <w:r w:rsidR="00976106" w:rsidRPr="003D1FBA">
        <w:rPr>
          <w:rFonts w:ascii="Arial" w:hAnsi="Arial" w:cs="Arial"/>
          <w:sz w:val="24"/>
        </w:rPr>
        <w:t xml:space="preserve"> </w:t>
      </w:r>
      <w:r>
        <w:rPr>
          <w:rFonts w:ascii="Arial" w:hAnsi="Arial" w:cs="Arial"/>
          <w:sz w:val="24"/>
        </w:rPr>
        <w:t>asimismo</w:t>
      </w:r>
      <w:r w:rsidR="00872FE5" w:rsidRPr="003D1FBA">
        <w:rPr>
          <w:rFonts w:ascii="Arial" w:hAnsi="Arial" w:cs="Arial"/>
          <w:sz w:val="24"/>
        </w:rPr>
        <w:t>, disminucion</w:t>
      </w:r>
      <w:r>
        <w:rPr>
          <w:rFonts w:ascii="Arial" w:hAnsi="Arial" w:cs="Arial"/>
          <w:sz w:val="24"/>
        </w:rPr>
        <w:t>e</w:t>
      </w:r>
      <w:r w:rsidR="00872FE5" w:rsidRPr="003D1FBA">
        <w:rPr>
          <w:rFonts w:ascii="Arial" w:hAnsi="Arial" w:cs="Arial"/>
          <w:sz w:val="24"/>
        </w:rPr>
        <w:t xml:space="preserve">s de </w:t>
      </w:r>
      <w:r w:rsidR="00976106" w:rsidRPr="003D1FBA">
        <w:rPr>
          <w:rFonts w:ascii="Arial" w:hAnsi="Arial" w:cs="Arial"/>
          <w:sz w:val="24"/>
        </w:rPr>
        <w:t xml:space="preserve">la </w:t>
      </w:r>
      <w:r w:rsidR="0090596B" w:rsidRPr="003D1FBA">
        <w:rPr>
          <w:rFonts w:ascii="Arial" w:hAnsi="Arial" w:cs="Arial"/>
          <w:sz w:val="24"/>
        </w:rPr>
        <w:t>R</w:t>
      </w:r>
      <w:r>
        <w:rPr>
          <w:rFonts w:ascii="Arial" w:hAnsi="Arial" w:cs="Arial"/>
          <w:sz w:val="24"/>
        </w:rPr>
        <w:t>a</w:t>
      </w:r>
      <w:r w:rsidR="00976106" w:rsidRPr="003D1FBA">
        <w:rPr>
          <w:rFonts w:ascii="Arial" w:hAnsi="Arial" w:cs="Arial"/>
          <w:sz w:val="24"/>
        </w:rPr>
        <w:t xml:space="preserve">tio </w:t>
      </w:r>
      <w:r w:rsidR="00976106" w:rsidRPr="005356C7">
        <w:rPr>
          <w:rFonts w:ascii="Arial" w:hAnsi="Arial" w:cs="Arial"/>
          <w:sz w:val="24"/>
        </w:rPr>
        <w:t>I/Q</w:t>
      </w:r>
      <w:r w:rsidR="00B573BB" w:rsidRPr="005356C7">
        <w:rPr>
          <w:rFonts w:ascii="Arial" w:hAnsi="Arial" w:cs="Arial"/>
          <w:sz w:val="24"/>
        </w:rPr>
        <w:t>.</w:t>
      </w:r>
      <w:r w:rsidR="00B36AAE" w:rsidRPr="005356C7">
        <w:rPr>
          <w:rFonts w:ascii="Arial" w:hAnsi="Arial" w:cs="Arial"/>
          <w:sz w:val="24"/>
          <w:vertAlign w:val="superscript"/>
        </w:rPr>
        <w:fldChar w:fldCharType="begin" w:fldLock="1"/>
      </w:r>
      <w:r w:rsidR="00B573BB" w:rsidRPr="005356C7">
        <w:rPr>
          <w:rFonts w:ascii="Arial" w:hAnsi="Arial" w:cs="Arial"/>
          <w:sz w:val="24"/>
          <w:vertAlign w:val="superscript"/>
        </w:rPr>
        <w:instrText>ADDIN CSL_CITATION {"citationItems":[{"id":"ITEM-1","itemData":{"DOI":"10.1111/ijlh.12426","ISBN":"0000000154871","ISSN":"18196608","PMID":"27935037","author":[{"dropping-particle":"","family":"Pinto","given":"MD","non-dropping-particle":"","parse-names":false,"suffix":""},{"dropping-particle":"","family":"Blazevich","given":"AJ","non-dropping-particle":"","parse-names":false,"suffix":""},{"dropping-particle":"","family":"Andersen","given":"LL","non-dropping-particle":"","parse-names":false,"suffix":""},{"dropping-particle":"","family":"Mil-Homens","given":"P","non-dropping-particle":"","parse-names":false,"suffix":""},{"dropping-particle":"","family":"Pinto","given":"RS","non-dropping-particle":"","parse-names":false,"suffix":""}],"container-title":"Scand J Med Sci Sports","id":"ITEM-1","issue":"1","issued":{"date-parts":[["2017"]]},"page":"282-93","title":"Hamstring-to-quadriceps fatigue ratio offers new and different muscle function information than the conventional non-fatigued ratio.","type":"article-journal","volume":"28"},"uris":["http://www.mendeley.com/documents/?uuid=a608714a-9cb8-4efa-b84a-84d04532d17a"]},{"id":"ITEM-2","itemData":{"DOI":"10.1080/0264041031000140428","ISBN":"0264-0414 (Print)\\r0264-0414 (Linking)","ISSN":"02640414","PMID":"14626373","abstract":"Fatigue represents a reduction in the capability of muscle to generate force. The aim of the present study was to establish the effects of exercise that simulates the work rate of competitive soccer players on the strength of the knee extensors and knee flexors. Thirteen amateur soccer players (age 23.3+/-3.9 years, height 1.78+/-0.05 m, body mass 74.8+/-3.6 kg; mean+/-s) were tested during the 2000-2001 soccer season. Muscle strength of the quadriceps and hamstrings was measured on an isokinetic dynamometer. A 90 min soccer-specific intermittent exercise protocol, incorporating a 15 min half-time intermission, was developed to provide fatiguing exercise corresponding in work rate to a game of soccer. The exercise protocol, performed on a programmable motorized treadmill, consisted of the different intensities observed during soccer match-play (e.g. walking, jogging, running, sprinting). Muscle strength was assessed before exercise, at half-time and immediately after exercise. A repeated-measures analysis of variance showed significant reductions (P &lt; 0.001) in peak torque for both the quadriceps and hamstrings at all angular velocities (concentric: 1.05, 2.09, 5.23 rad x s(-1); eccentric: 2.09 rad x s(-1)). The peak torque of the knee extensors (KE) and knee flexors (KF) was greater before exercise [KE: 232+/-37, 182+/-34, 129+/-27, 219+/-41 N x m at 1.05, 2.09 and 5.23 rad x s(-1) (concentric) and 2.09 rad x s(-1) (eccentric), respectively; KF: 126+/-20, 112+/-19, 101+/-16, 137+/-23 N x m] than at half-time (KE: 209+/-45, 177+/-35, 125+/-36, 214+/-43 N x m; KF: 114+/-31, 102+/-20, 92+/-15, 125+/-25 N x m) and greater at half-time than after exercise (KE: 196+/-43, 167+/-35, 118+/-24, 204+/-43 N x m; KF: 104+/-25, 95+/-21, 87+/-13, 114+/-27 N x m). For the hamstrings:quadriceps ratio, significant changes were found (P &lt; 0.05) for both legs, the ratio being greater before than after exercise. For fast:slow speed and left:right ratios, no significant changes were found. We conclude that there is a progressive reduction in muscle strength that applies across a range of functional characteristics during exercise that mimics the work rate in soccer.","author":[{"dropping-particle":"","family":"Rahnama","given":"Nader","non-dropping-particle":"","parse-names":false,"suffix":""},{"dropping-particle":"","family":"Reilly","given":"T.","non-dropping-particle":"","parse-names":false,"suffix":""},{"dropping-particle":"","family":"Lees","given":"A.","non-dropping-particle":"","parse-names":false,"suffix":""},{"dropping-particle":"","family":"Graham-Smith","given":"P.","non-dropping-particle":"","parse-names":false,"suffix":""}],"container-title":"J Sports Sci","id":"ITEM-2","issue":"11","issued":{"date-parts":[["2003"]]},"page":"933-42","title":"Muscle fatigue induced by exercise simulating the work rate of competitive soccer","type":"article-journal","volume":"21"},"uris":["http://www.mendeley.com/documents/?uuid=90482cd4-c6c5-43ff-aeb7-45af4e0e6ff3"]}],"mendeley":{"formattedCitation":"(15,24)","manualFormatting":"15,24","plainTextFormattedCitation":"(15,24)","previouslyFormattedCitation":"(15,24)"},"properties":{"noteIndex":0},"schema":"https://github.com/citation-style-language/schema/raw/master/csl-citation.json"}</w:instrText>
      </w:r>
      <w:r w:rsidR="00B36AAE" w:rsidRPr="005356C7">
        <w:rPr>
          <w:rFonts w:ascii="Arial" w:hAnsi="Arial" w:cs="Arial"/>
          <w:sz w:val="24"/>
          <w:vertAlign w:val="superscript"/>
        </w:rPr>
        <w:fldChar w:fldCharType="separate"/>
      </w:r>
      <w:r w:rsidR="00B36AAE" w:rsidRPr="005356C7">
        <w:rPr>
          <w:rFonts w:ascii="Arial" w:hAnsi="Arial" w:cs="Arial"/>
          <w:noProof/>
          <w:sz w:val="24"/>
          <w:vertAlign w:val="superscript"/>
        </w:rPr>
        <w:t>15,24</w:t>
      </w:r>
      <w:r w:rsidR="00B36AAE" w:rsidRPr="005356C7">
        <w:rPr>
          <w:rFonts w:ascii="Arial" w:hAnsi="Arial" w:cs="Arial"/>
          <w:sz w:val="24"/>
          <w:vertAlign w:val="superscript"/>
        </w:rPr>
        <w:fldChar w:fldCharType="end"/>
      </w:r>
      <w:r w:rsidR="00872FE5" w:rsidRPr="003D1FBA">
        <w:rPr>
          <w:rFonts w:ascii="Arial" w:hAnsi="Arial" w:cs="Arial"/>
          <w:sz w:val="24"/>
        </w:rPr>
        <w:t xml:space="preserve"> </w:t>
      </w:r>
      <w:r w:rsidR="00976106" w:rsidRPr="003D1FBA">
        <w:rPr>
          <w:rFonts w:ascii="Arial" w:hAnsi="Arial" w:cs="Arial"/>
          <w:sz w:val="24"/>
        </w:rPr>
        <w:t xml:space="preserve">Pinto et </w:t>
      </w:r>
      <w:r w:rsidR="00A74BE8">
        <w:rPr>
          <w:rFonts w:ascii="Arial" w:hAnsi="Arial" w:cs="Arial"/>
          <w:sz w:val="24"/>
        </w:rPr>
        <w:t>al. e</w:t>
      </w:r>
      <w:r>
        <w:rPr>
          <w:rFonts w:ascii="Arial" w:hAnsi="Arial" w:cs="Arial"/>
          <w:sz w:val="24"/>
        </w:rPr>
        <w:t>n</w:t>
      </w:r>
      <w:r w:rsidR="00A74BE8">
        <w:rPr>
          <w:rFonts w:ascii="Arial" w:hAnsi="Arial" w:cs="Arial"/>
          <w:sz w:val="24"/>
        </w:rPr>
        <w:t xml:space="preserve"> </w:t>
      </w:r>
      <w:r w:rsidR="00976106" w:rsidRPr="003D1FBA">
        <w:rPr>
          <w:rFonts w:ascii="Arial" w:hAnsi="Arial" w:cs="Arial"/>
          <w:sz w:val="24"/>
        </w:rPr>
        <w:t xml:space="preserve"> 2017 </w:t>
      </w:r>
      <w:r>
        <w:rPr>
          <w:rFonts w:ascii="Arial" w:hAnsi="Arial" w:cs="Arial"/>
          <w:sz w:val="24"/>
        </w:rPr>
        <w:t>hizo</w:t>
      </w:r>
      <w:r w:rsidR="00976106" w:rsidRPr="003D1FBA">
        <w:rPr>
          <w:rFonts w:ascii="Arial" w:hAnsi="Arial" w:cs="Arial"/>
          <w:sz w:val="24"/>
        </w:rPr>
        <w:t xml:space="preserve"> un test fatigant</w:t>
      </w:r>
      <w:r>
        <w:rPr>
          <w:rFonts w:ascii="Arial" w:hAnsi="Arial" w:cs="Arial"/>
          <w:sz w:val="24"/>
        </w:rPr>
        <w:t>e</w:t>
      </w:r>
      <w:r w:rsidR="00976106" w:rsidRPr="003D1FBA">
        <w:rPr>
          <w:rFonts w:ascii="Arial" w:hAnsi="Arial" w:cs="Arial"/>
          <w:sz w:val="24"/>
        </w:rPr>
        <w:t xml:space="preserve"> </w:t>
      </w:r>
      <w:r>
        <w:rPr>
          <w:rFonts w:ascii="Arial" w:hAnsi="Arial" w:cs="Arial"/>
          <w:sz w:val="24"/>
        </w:rPr>
        <w:t>y observó</w:t>
      </w:r>
      <w:r w:rsidR="00976106" w:rsidRPr="003D1FBA">
        <w:rPr>
          <w:rFonts w:ascii="Arial" w:hAnsi="Arial" w:cs="Arial"/>
          <w:sz w:val="24"/>
        </w:rPr>
        <w:t xml:space="preserve"> com</w:t>
      </w:r>
      <w:r>
        <w:rPr>
          <w:rFonts w:ascii="Arial" w:hAnsi="Arial" w:cs="Arial"/>
          <w:sz w:val="24"/>
        </w:rPr>
        <w:t>o</w:t>
      </w:r>
      <w:r w:rsidR="00976106" w:rsidRPr="003D1FBA">
        <w:rPr>
          <w:rFonts w:ascii="Arial" w:hAnsi="Arial" w:cs="Arial"/>
          <w:sz w:val="24"/>
        </w:rPr>
        <w:t xml:space="preserve"> l</w:t>
      </w:r>
      <w:r>
        <w:rPr>
          <w:rFonts w:ascii="Arial" w:hAnsi="Arial" w:cs="Arial"/>
          <w:sz w:val="24"/>
        </w:rPr>
        <w:t>o</w:t>
      </w:r>
      <w:r w:rsidR="00976106" w:rsidRPr="003D1FBA">
        <w:rPr>
          <w:rFonts w:ascii="Arial" w:hAnsi="Arial" w:cs="Arial"/>
          <w:sz w:val="24"/>
        </w:rPr>
        <w:t>s valor</w:t>
      </w:r>
      <w:r>
        <w:rPr>
          <w:rFonts w:ascii="Arial" w:hAnsi="Arial" w:cs="Arial"/>
          <w:sz w:val="24"/>
        </w:rPr>
        <w:t>e</w:t>
      </w:r>
      <w:r w:rsidR="00976106" w:rsidRPr="003D1FBA">
        <w:rPr>
          <w:rFonts w:ascii="Arial" w:hAnsi="Arial" w:cs="Arial"/>
          <w:sz w:val="24"/>
        </w:rPr>
        <w:t>s de f</w:t>
      </w:r>
      <w:r>
        <w:rPr>
          <w:rFonts w:ascii="Arial" w:hAnsi="Arial" w:cs="Arial"/>
          <w:sz w:val="24"/>
        </w:rPr>
        <w:t>uerz</w:t>
      </w:r>
      <w:r w:rsidR="00976106" w:rsidRPr="003D1FBA">
        <w:rPr>
          <w:rFonts w:ascii="Arial" w:hAnsi="Arial" w:cs="Arial"/>
          <w:sz w:val="24"/>
        </w:rPr>
        <w:t xml:space="preserve">a </w:t>
      </w:r>
      <w:r>
        <w:rPr>
          <w:rFonts w:ascii="Arial" w:hAnsi="Arial" w:cs="Arial"/>
          <w:sz w:val="24"/>
        </w:rPr>
        <w:t>y</w:t>
      </w:r>
      <w:r w:rsidR="00976106" w:rsidRPr="003D1FBA">
        <w:rPr>
          <w:rFonts w:ascii="Arial" w:hAnsi="Arial" w:cs="Arial"/>
          <w:sz w:val="24"/>
        </w:rPr>
        <w:t xml:space="preserve"> </w:t>
      </w:r>
      <w:r w:rsidR="0090596B" w:rsidRPr="003D1FBA">
        <w:rPr>
          <w:rFonts w:ascii="Arial" w:hAnsi="Arial" w:cs="Arial"/>
          <w:sz w:val="24"/>
        </w:rPr>
        <w:t>R</w:t>
      </w:r>
      <w:r>
        <w:rPr>
          <w:rFonts w:ascii="Arial" w:hAnsi="Arial" w:cs="Arial"/>
          <w:sz w:val="24"/>
        </w:rPr>
        <w:t>a</w:t>
      </w:r>
      <w:r w:rsidR="00976106" w:rsidRPr="003D1FBA">
        <w:rPr>
          <w:rFonts w:ascii="Arial" w:hAnsi="Arial" w:cs="Arial"/>
          <w:sz w:val="24"/>
        </w:rPr>
        <w:t>tio I/Q disminu</w:t>
      </w:r>
      <w:r>
        <w:rPr>
          <w:rFonts w:ascii="Arial" w:hAnsi="Arial" w:cs="Arial"/>
          <w:sz w:val="24"/>
        </w:rPr>
        <w:t>ían</w:t>
      </w:r>
      <w:r w:rsidR="00976106" w:rsidRPr="003D1FBA">
        <w:rPr>
          <w:rFonts w:ascii="Arial" w:hAnsi="Arial" w:cs="Arial"/>
          <w:sz w:val="24"/>
        </w:rPr>
        <w:t>, concl</w:t>
      </w:r>
      <w:r w:rsidR="00F558B9">
        <w:rPr>
          <w:rFonts w:ascii="Arial" w:hAnsi="Arial" w:cs="Arial"/>
          <w:sz w:val="24"/>
        </w:rPr>
        <w:t>uyó</w:t>
      </w:r>
      <w:r w:rsidR="00976106" w:rsidRPr="003D1FBA">
        <w:rPr>
          <w:rFonts w:ascii="Arial" w:hAnsi="Arial" w:cs="Arial"/>
          <w:sz w:val="24"/>
        </w:rPr>
        <w:t xml:space="preserve"> que </w:t>
      </w:r>
      <w:r w:rsidR="00F558B9">
        <w:rPr>
          <w:rFonts w:ascii="Arial" w:hAnsi="Arial" w:cs="Arial"/>
          <w:sz w:val="24"/>
        </w:rPr>
        <w:t>lo</w:t>
      </w:r>
      <w:r w:rsidR="00976106" w:rsidRPr="003D1FBA">
        <w:rPr>
          <w:rFonts w:ascii="Arial" w:hAnsi="Arial" w:cs="Arial"/>
          <w:sz w:val="24"/>
        </w:rPr>
        <w:t>s isquiosural</w:t>
      </w:r>
      <w:r w:rsidR="00F558B9">
        <w:rPr>
          <w:rFonts w:ascii="Arial" w:hAnsi="Arial" w:cs="Arial"/>
          <w:sz w:val="24"/>
        </w:rPr>
        <w:t>e</w:t>
      </w:r>
      <w:r w:rsidR="00976106" w:rsidRPr="003D1FBA">
        <w:rPr>
          <w:rFonts w:ascii="Arial" w:hAnsi="Arial" w:cs="Arial"/>
          <w:sz w:val="24"/>
        </w:rPr>
        <w:t xml:space="preserve">s </w:t>
      </w:r>
      <w:r w:rsidR="00F558B9">
        <w:rPr>
          <w:rFonts w:ascii="Arial" w:hAnsi="Arial" w:cs="Arial"/>
          <w:sz w:val="24"/>
        </w:rPr>
        <w:t xml:space="preserve">se </w:t>
      </w:r>
      <w:r w:rsidR="00976106" w:rsidRPr="003D1FBA">
        <w:rPr>
          <w:rFonts w:ascii="Arial" w:hAnsi="Arial" w:cs="Arial"/>
          <w:sz w:val="24"/>
        </w:rPr>
        <w:t>fatig</w:t>
      </w:r>
      <w:r w:rsidR="00F558B9">
        <w:rPr>
          <w:rFonts w:ascii="Arial" w:hAnsi="Arial" w:cs="Arial"/>
          <w:sz w:val="24"/>
        </w:rPr>
        <w:t>a</w:t>
      </w:r>
      <w:r w:rsidR="00976106" w:rsidRPr="003D1FBA">
        <w:rPr>
          <w:rFonts w:ascii="Arial" w:hAnsi="Arial" w:cs="Arial"/>
          <w:sz w:val="24"/>
        </w:rPr>
        <w:t>n a</w:t>
      </w:r>
      <w:r w:rsidR="00F558B9">
        <w:rPr>
          <w:rFonts w:ascii="Arial" w:hAnsi="Arial" w:cs="Arial"/>
          <w:sz w:val="24"/>
        </w:rPr>
        <w:t>nte</w:t>
      </w:r>
      <w:r w:rsidR="00976106" w:rsidRPr="003D1FBA">
        <w:rPr>
          <w:rFonts w:ascii="Arial" w:hAnsi="Arial" w:cs="Arial"/>
          <w:sz w:val="24"/>
        </w:rPr>
        <w:t>s que l</w:t>
      </w:r>
      <w:r w:rsidR="00F558B9">
        <w:rPr>
          <w:rFonts w:ascii="Arial" w:hAnsi="Arial" w:cs="Arial"/>
          <w:sz w:val="24"/>
        </w:rPr>
        <w:t>o</w:t>
      </w:r>
      <w:r w:rsidR="00976106" w:rsidRPr="003D1FBA">
        <w:rPr>
          <w:rFonts w:ascii="Arial" w:hAnsi="Arial" w:cs="Arial"/>
          <w:sz w:val="24"/>
        </w:rPr>
        <w:t xml:space="preserve">s </w:t>
      </w:r>
      <w:r w:rsidR="00F558B9">
        <w:rPr>
          <w:rFonts w:ascii="Arial" w:hAnsi="Arial" w:cs="Arial"/>
          <w:sz w:val="24"/>
        </w:rPr>
        <w:t>c</w:t>
      </w:r>
      <w:r w:rsidR="00976106" w:rsidRPr="003D1FBA">
        <w:rPr>
          <w:rFonts w:ascii="Arial" w:hAnsi="Arial" w:cs="Arial"/>
          <w:sz w:val="24"/>
        </w:rPr>
        <w:t>u</w:t>
      </w:r>
      <w:r w:rsidR="00F558B9">
        <w:rPr>
          <w:rFonts w:ascii="Arial" w:hAnsi="Arial" w:cs="Arial"/>
          <w:sz w:val="24"/>
        </w:rPr>
        <w:t>á</w:t>
      </w:r>
      <w:r w:rsidR="00976106" w:rsidRPr="003D1FBA">
        <w:rPr>
          <w:rFonts w:ascii="Arial" w:hAnsi="Arial" w:cs="Arial"/>
          <w:sz w:val="24"/>
        </w:rPr>
        <w:t xml:space="preserve">driceps </w:t>
      </w:r>
      <w:r w:rsidR="00F558B9">
        <w:rPr>
          <w:rFonts w:ascii="Arial" w:hAnsi="Arial" w:cs="Arial"/>
          <w:sz w:val="24"/>
        </w:rPr>
        <w:t>y</w:t>
      </w:r>
      <w:r w:rsidR="00976106" w:rsidRPr="003D1FBA">
        <w:rPr>
          <w:rFonts w:ascii="Arial" w:hAnsi="Arial" w:cs="Arial"/>
          <w:sz w:val="24"/>
        </w:rPr>
        <w:t xml:space="preserve"> p</w:t>
      </w:r>
      <w:r w:rsidR="00F558B9">
        <w:rPr>
          <w:rFonts w:ascii="Arial" w:hAnsi="Arial" w:cs="Arial"/>
          <w:sz w:val="24"/>
        </w:rPr>
        <w:t xml:space="preserve">or lo </w:t>
      </w:r>
      <w:r w:rsidR="00976106" w:rsidRPr="003D1FBA">
        <w:rPr>
          <w:rFonts w:ascii="Arial" w:hAnsi="Arial" w:cs="Arial"/>
          <w:sz w:val="24"/>
        </w:rPr>
        <w:t>tant</w:t>
      </w:r>
      <w:r w:rsidR="00F558B9">
        <w:rPr>
          <w:rFonts w:ascii="Arial" w:hAnsi="Arial" w:cs="Arial"/>
          <w:sz w:val="24"/>
        </w:rPr>
        <w:t>o</w:t>
      </w:r>
      <w:r w:rsidR="00053D76" w:rsidRPr="003D1FBA">
        <w:rPr>
          <w:rFonts w:ascii="Arial" w:hAnsi="Arial" w:cs="Arial"/>
          <w:sz w:val="24"/>
        </w:rPr>
        <w:t>,</w:t>
      </w:r>
      <w:r w:rsidR="00976106" w:rsidRPr="003D1FBA">
        <w:rPr>
          <w:rFonts w:ascii="Arial" w:hAnsi="Arial" w:cs="Arial"/>
          <w:sz w:val="24"/>
        </w:rPr>
        <w:t xml:space="preserve"> ha</w:t>
      </w:r>
      <w:r w:rsidR="00F558B9">
        <w:rPr>
          <w:rFonts w:ascii="Arial" w:hAnsi="Arial" w:cs="Arial"/>
          <w:sz w:val="24"/>
        </w:rPr>
        <w:t>y</w:t>
      </w:r>
      <w:r w:rsidR="00976106" w:rsidRPr="003D1FBA">
        <w:rPr>
          <w:rFonts w:ascii="Arial" w:hAnsi="Arial" w:cs="Arial"/>
          <w:sz w:val="24"/>
        </w:rPr>
        <w:t xml:space="preserve"> ri</w:t>
      </w:r>
      <w:r w:rsidR="00F558B9">
        <w:rPr>
          <w:rFonts w:ascii="Arial" w:hAnsi="Arial" w:cs="Arial"/>
          <w:sz w:val="24"/>
        </w:rPr>
        <w:t>esgo</w:t>
      </w:r>
      <w:r w:rsidR="00976106" w:rsidRPr="003D1FBA">
        <w:rPr>
          <w:rFonts w:ascii="Arial" w:hAnsi="Arial" w:cs="Arial"/>
          <w:sz w:val="24"/>
        </w:rPr>
        <w:t xml:space="preserve"> de </w:t>
      </w:r>
      <w:r w:rsidR="00F558B9">
        <w:rPr>
          <w:rFonts w:ascii="Arial" w:hAnsi="Arial" w:cs="Arial"/>
          <w:sz w:val="24"/>
        </w:rPr>
        <w:t>sufri</w:t>
      </w:r>
      <w:r w:rsidR="00976106" w:rsidRPr="003D1FBA">
        <w:rPr>
          <w:rFonts w:ascii="Arial" w:hAnsi="Arial" w:cs="Arial"/>
          <w:sz w:val="24"/>
        </w:rPr>
        <w:t>r una lesió</w:t>
      </w:r>
      <w:r w:rsidR="00F558B9">
        <w:rPr>
          <w:rFonts w:ascii="Arial" w:hAnsi="Arial" w:cs="Arial"/>
          <w:sz w:val="24"/>
        </w:rPr>
        <w:t>n</w:t>
      </w:r>
      <w:r w:rsidR="00976106" w:rsidRPr="003D1FBA">
        <w:rPr>
          <w:rFonts w:ascii="Arial" w:hAnsi="Arial" w:cs="Arial"/>
          <w:sz w:val="24"/>
        </w:rPr>
        <w:t xml:space="preserve"> de</w:t>
      </w:r>
      <w:r w:rsidR="00F558B9">
        <w:rPr>
          <w:rFonts w:ascii="Arial" w:hAnsi="Arial" w:cs="Arial"/>
          <w:sz w:val="24"/>
        </w:rPr>
        <w:t>l</w:t>
      </w:r>
      <w:r w:rsidR="00976106" w:rsidRPr="003D1FBA">
        <w:rPr>
          <w:rFonts w:ascii="Arial" w:hAnsi="Arial" w:cs="Arial"/>
          <w:sz w:val="24"/>
        </w:rPr>
        <w:t xml:space="preserve"> L</w:t>
      </w:r>
      <w:r w:rsidR="00F558B9">
        <w:rPr>
          <w:rFonts w:ascii="Arial" w:hAnsi="Arial" w:cs="Arial"/>
          <w:sz w:val="24"/>
        </w:rPr>
        <w:t>C</w:t>
      </w:r>
      <w:r w:rsidR="00E1144E" w:rsidRPr="003D1FBA">
        <w:rPr>
          <w:rFonts w:ascii="Arial" w:hAnsi="Arial" w:cs="Arial"/>
          <w:sz w:val="24"/>
        </w:rPr>
        <w:t>A</w:t>
      </w:r>
      <w:r w:rsidR="005C7778" w:rsidRPr="003D1FBA">
        <w:rPr>
          <w:rFonts w:ascii="Arial" w:hAnsi="Arial" w:cs="Arial"/>
          <w:sz w:val="24"/>
        </w:rPr>
        <w:t>.</w:t>
      </w:r>
      <w:r w:rsidR="00B36AAE" w:rsidRPr="003D1FBA">
        <w:rPr>
          <w:rFonts w:ascii="Arial" w:hAnsi="Arial" w:cs="Arial"/>
          <w:noProof/>
          <w:sz w:val="24"/>
        </w:rPr>
        <w:fldChar w:fldCharType="begin" w:fldLock="1"/>
      </w:r>
      <w:r w:rsidR="00B573BB" w:rsidRPr="003D1FBA">
        <w:rPr>
          <w:rFonts w:ascii="Arial" w:hAnsi="Arial" w:cs="Arial"/>
          <w:noProof/>
          <w:sz w:val="24"/>
        </w:rPr>
        <w:instrText>ADDIN CSL_CITATION {"citationItems":[{"id":"ITEM-1","itemData":{"DOI":"10.1111/ijlh.12426","ISBN":"0000000154871","ISSN":"18196608","PMID":"27935037","author":[{"dropping-particle":"","family":"Pinto","given":"MD","non-dropping-particle":"","parse-names":false,"suffix":""},{"dropping-particle":"","family":"Blazevich","given":"AJ","non-dropping-particle":"","parse-names":false,"suffix":""},{"dropping-particle":"","family":"Andersen","given":"LL","non-dropping-particle":"","parse-names":false,"suffix":""},{"dropping-particle":"","family":"Mil-Homens","given":"P","non-dropping-particle":"","parse-names":false,"suffix":""},{"dropping-particle":"","family":"Pinto","given":"RS","non-dropping-particle":"","parse-names":false,"suffix":""}],"container-title":"Scand J Med Sci Sports","id":"ITEM-1","issue":"1","issued":{"date-parts":[["2017"]]},"page":"282-93","title":"Hamstring-to-quadriceps fatigue ratio offers new and different muscle function information than the conventional non-fatigued ratio.","type":"article-journal","volume":"28"},"uris":["http://www.mendeley.com/documents/?uuid=a608714a-9cb8-4efa-b84a-84d04532d17a"]}],"mendeley":{"formattedCitation":"(24)","manualFormatting":"24","plainTextFormattedCitation":"(24)","previouslyFormattedCitation":"(24)"},"properties":{"noteIndex":0},"schema":"https://github.com/citation-style-language/schema/raw/master/csl-citation.json"}</w:instrText>
      </w:r>
      <w:r w:rsidR="00B36AAE" w:rsidRPr="003D1FBA">
        <w:rPr>
          <w:rFonts w:ascii="Arial" w:hAnsi="Arial" w:cs="Arial"/>
          <w:noProof/>
          <w:sz w:val="24"/>
        </w:rPr>
        <w:fldChar w:fldCharType="separate"/>
      </w:r>
      <w:r w:rsidR="00B36AAE" w:rsidRPr="003D1FBA">
        <w:rPr>
          <w:rFonts w:ascii="Arial" w:hAnsi="Arial" w:cs="Arial"/>
          <w:noProof/>
          <w:sz w:val="24"/>
          <w:vertAlign w:val="superscript"/>
        </w:rPr>
        <w:t>24</w:t>
      </w:r>
      <w:r w:rsidR="00B36AAE" w:rsidRPr="003D1FBA">
        <w:rPr>
          <w:rFonts w:ascii="Arial" w:hAnsi="Arial" w:cs="Arial"/>
          <w:noProof/>
          <w:sz w:val="24"/>
        </w:rPr>
        <w:fldChar w:fldCharType="end"/>
      </w:r>
    </w:p>
    <w:p w:rsidR="00FC4616" w:rsidRPr="003D1FBA" w:rsidRDefault="009F139E" w:rsidP="00300A4D">
      <w:pPr>
        <w:spacing w:line="360" w:lineRule="auto"/>
        <w:jc w:val="both"/>
        <w:rPr>
          <w:rFonts w:ascii="Arial" w:hAnsi="Arial" w:cs="Arial"/>
          <w:sz w:val="24"/>
        </w:rPr>
      </w:pPr>
      <w:r w:rsidRPr="003D1FBA">
        <w:rPr>
          <w:rFonts w:ascii="Arial" w:eastAsiaTheme="majorEastAsia" w:hAnsi="Arial" w:cstheme="majorBidi"/>
          <w:sz w:val="24"/>
          <w:szCs w:val="24"/>
        </w:rPr>
        <w:t>Co</w:t>
      </w:r>
      <w:r w:rsidR="00F558B9">
        <w:rPr>
          <w:rFonts w:ascii="Arial" w:eastAsiaTheme="majorEastAsia" w:hAnsi="Arial" w:cstheme="majorBidi"/>
          <w:sz w:val="24"/>
          <w:szCs w:val="24"/>
        </w:rPr>
        <w:t>mo se ha podido observar</w:t>
      </w:r>
      <w:r w:rsidR="00560C52" w:rsidRPr="003D1FBA">
        <w:rPr>
          <w:rFonts w:ascii="Arial" w:eastAsiaTheme="majorEastAsia" w:hAnsi="Arial" w:cstheme="majorBidi"/>
          <w:sz w:val="24"/>
          <w:szCs w:val="24"/>
        </w:rPr>
        <w:t>,</w:t>
      </w:r>
      <w:r w:rsidRPr="003D1FBA">
        <w:rPr>
          <w:rFonts w:ascii="Arial" w:eastAsiaTheme="majorEastAsia" w:hAnsi="Arial" w:cstheme="majorBidi"/>
          <w:sz w:val="24"/>
          <w:szCs w:val="24"/>
        </w:rPr>
        <w:t xml:space="preserve"> la </w:t>
      </w:r>
      <w:r w:rsidR="0090596B" w:rsidRPr="003D1FBA">
        <w:rPr>
          <w:rFonts w:ascii="Arial" w:eastAsiaTheme="majorEastAsia" w:hAnsi="Arial" w:cstheme="majorBidi"/>
          <w:sz w:val="24"/>
          <w:szCs w:val="24"/>
        </w:rPr>
        <w:t>R</w:t>
      </w:r>
      <w:r w:rsidR="00F558B9">
        <w:rPr>
          <w:rFonts w:ascii="Arial" w:eastAsiaTheme="majorEastAsia" w:hAnsi="Arial" w:cstheme="majorBidi"/>
          <w:sz w:val="24"/>
          <w:szCs w:val="24"/>
        </w:rPr>
        <w:t>a</w:t>
      </w:r>
      <w:r w:rsidRPr="003D1FBA">
        <w:rPr>
          <w:rFonts w:ascii="Arial" w:eastAsiaTheme="majorEastAsia" w:hAnsi="Arial" w:cstheme="majorBidi"/>
          <w:sz w:val="24"/>
          <w:szCs w:val="24"/>
        </w:rPr>
        <w:t>tio I/Q</w:t>
      </w:r>
      <w:r w:rsidR="004837F6" w:rsidRPr="003D1FBA">
        <w:rPr>
          <w:rFonts w:ascii="Arial" w:eastAsiaTheme="majorEastAsia" w:hAnsi="Arial" w:cstheme="majorBidi"/>
          <w:sz w:val="24"/>
          <w:szCs w:val="24"/>
        </w:rPr>
        <w:t>, la f</w:t>
      </w:r>
      <w:r w:rsidR="00F558B9">
        <w:rPr>
          <w:rFonts w:ascii="Arial" w:eastAsiaTheme="majorEastAsia" w:hAnsi="Arial" w:cstheme="majorBidi"/>
          <w:sz w:val="24"/>
          <w:szCs w:val="24"/>
        </w:rPr>
        <w:t>uerza</w:t>
      </w:r>
      <w:r w:rsidR="004837F6" w:rsidRPr="003D1FBA">
        <w:rPr>
          <w:rFonts w:ascii="Arial" w:eastAsiaTheme="majorEastAsia" w:hAnsi="Arial" w:cstheme="majorBidi"/>
          <w:sz w:val="24"/>
          <w:szCs w:val="24"/>
        </w:rPr>
        <w:t xml:space="preserve"> muscular </w:t>
      </w:r>
      <w:r w:rsidR="00F558B9">
        <w:rPr>
          <w:rFonts w:ascii="Arial" w:eastAsiaTheme="majorEastAsia" w:hAnsi="Arial" w:cstheme="majorBidi"/>
          <w:sz w:val="24"/>
          <w:szCs w:val="24"/>
        </w:rPr>
        <w:t>y</w:t>
      </w:r>
      <w:r w:rsidRPr="003D1FBA">
        <w:rPr>
          <w:rFonts w:ascii="Arial" w:eastAsiaTheme="majorEastAsia" w:hAnsi="Arial" w:cstheme="majorBidi"/>
          <w:sz w:val="24"/>
          <w:szCs w:val="24"/>
        </w:rPr>
        <w:t xml:space="preserve"> la fatiga neuromuscular s</w:t>
      </w:r>
      <w:r w:rsidR="00F558B9">
        <w:rPr>
          <w:rFonts w:ascii="Arial" w:eastAsiaTheme="majorEastAsia" w:hAnsi="Arial" w:cstheme="majorBidi"/>
          <w:sz w:val="24"/>
          <w:szCs w:val="24"/>
        </w:rPr>
        <w:t>o</w:t>
      </w:r>
      <w:r w:rsidRPr="003D1FBA">
        <w:rPr>
          <w:rFonts w:ascii="Arial" w:eastAsiaTheme="majorEastAsia" w:hAnsi="Arial" w:cstheme="majorBidi"/>
          <w:sz w:val="24"/>
          <w:szCs w:val="24"/>
        </w:rPr>
        <w:t xml:space="preserve">n </w:t>
      </w:r>
      <w:r w:rsidR="004837F6" w:rsidRPr="003D1FBA">
        <w:rPr>
          <w:rFonts w:ascii="Arial" w:eastAsiaTheme="majorEastAsia" w:hAnsi="Arial" w:cstheme="majorBidi"/>
          <w:sz w:val="24"/>
          <w:szCs w:val="24"/>
        </w:rPr>
        <w:t xml:space="preserve">tres </w:t>
      </w:r>
      <w:r w:rsidRPr="003D1FBA">
        <w:rPr>
          <w:rFonts w:ascii="Arial" w:eastAsiaTheme="majorEastAsia" w:hAnsi="Arial" w:cstheme="majorBidi"/>
          <w:sz w:val="24"/>
          <w:szCs w:val="24"/>
        </w:rPr>
        <w:t>factor</w:t>
      </w:r>
      <w:r w:rsidR="00F558B9">
        <w:rPr>
          <w:rFonts w:ascii="Arial" w:eastAsiaTheme="majorEastAsia" w:hAnsi="Arial" w:cstheme="majorBidi"/>
          <w:sz w:val="24"/>
          <w:szCs w:val="24"/>
        </w:rPr>
        <w:t>e</w:t>
      </w:r>
      <w:r w:rsidRPr="003D1FBA">
        <w:rPr>
          <w:rFonts w:ascii="Arial" w:eastAsiaTheme="majorEastAsia" w:hAnsi="Arial" w:cstheme="majorBidi"/>
          <w:sz w:val="24"/>
          <w:szCs w:val="24"/>
        </w:rPr>
        <w:t>s de ri</w:t>
      </w:r>
      <w:r w:rsidR="00F558B9">
        <w:rPr>
          <w:rFonts w:ascii="Arial" w:eastAsiaTheme="majorEastAsia" w:hAnsi="Arial" w:cstheme="majorBidi"/>
          <w:sz w:val="24"/>
          <w:szCs w:val="24"/>
        </w:rPr>
        <w:t>esgo</w:t>
      </w:r>
      <w:r w:rsidRPr="003D1FBA">
        <w:rPr>
          <w:rFonts w:ascii="Arial" w:eastAsiaTheme="majorEastAsia" w:hAnsi="Arial" w:cstheme="majorBidi"/>
          <w:sz w:val="24"/>
          <w:szCs w:val="24"/>
        </w:rPr>
        <w:t xml:space="preserve"> de lesió</w:t>
      </w:r>
      <w:r w:rsidR="00F558B9">
        <w:rPr>
          <w:rFonts w:ascii="Arial" w:eastAsiaTheme="majorEastAsia" w:hAnsi="Arial" w:cstheme="majorBidi"/>
          <w:sz w:val="24"/>
          <w:szCs w:val="24"/>
        </w:rPr>
        <w:t>n</w:t>
      </w:r>
      <w:r w:rsidRPr="003D1FBA">
        <w:rPr>
          <w:rFonts w:ascii="Arial" w:eastAsiaTheme="majorEastAsia" w:hAnsi="Arial" w:cstheme="majorBidi"/>
          <w:sz w:val="24"/>
          <w:szCs w:val="24"/>
        </w:rPr>
        <w:t xml:space="preserve"> m</w:t>
      </w:r>
      <w:r w:rsidR="00F558B9">
        <w:rPr>
          <w:rFonts w:ascii="Arial" w:eastAsiaTheme="majorEastAsia" w:hAnsi="Arial" w:cstheme="majorBidi"/>
          <w:sz w:val="24"/>
          <w:szCs w:val="24"/>
        </w:rPr>
        <w:t>uy</w:t>
      </w:r>
      <w:r w:rsidRPr="003D1FBA">
        <w:rPr>
          <w:rFonts w:ascii="Arial" w:eastAsiaTheme="majorEastAsia" w:hAnsi="Arial" w:cstheme="majorBidi"/>
          <w:sz w:val="24"/>
          <w:szCs w:val="24"/>
        </w:rPr>
        <w:t xml:space="preserve"> </w:t>
      </w:r>
      <w:r w:rsidRPr="005356C7">
        <w:rPr>
          <w:rFonts w:ascii="Arial" w:eastAsiaTheme="majorEastAsia" w:hAnsi="Arial" w:cstheme="majorBidi"/>
          <w:sz w:val="24"/>
          <w:szCs w:val="24"/>
        </w:rPr>
        <w:t>important</w:t>
      </w:r>
      <w:r w:rsidR="00F558B9" w:rsidRPr="005356C7">
        <w:rPr>
          <w:rFonts w:ascii="Arial" w:eastAsiaTheme="majorEastAsia" w:hAnsi="Arial" w:cstheme="majorBidi"/>
          <w:sz w:val="24"/>
          <w:szCs w:val="24"/>
        </w:rPr>
        <w:t>e</w:t>
      </w:r>
      <w:r w:rsidR="0069473C" w:rsidRPr="005356C7">
        <w:rPr>
          <w:rFonts w:ascii="Arial" w:eastAsiaTheme="majorEastAsia" w:hAnsi="Arial" w:cstheme="majorBidi"/>
          <w:sz w:val="24"/>
          <w:szCs w:val="24"/>
        </w:rPr>
        <w:t>s</w:t>
      </w:r>
      <w:r w:rsidR="005356C7">
        <w:rPr>
          <w:rFonts w:ascii="Arial" w:eastAsiaTheme="majorEastAsia" w:hAnsi="Arial" w:cstheme="majorBidi"/>
          <w:sz w:val="24"/>
          <w:szCs w:val="24"/>
        </w:rPr>
        <w:t>.</w:t>
      </w:r>
      <w:r w:rsidR="00B36AAE" w:rsidRPr="005356C7">
        <w:rPr>
          <w:rFonts w:ascii="Arial" w:eastAsiaTheme="majorEastAsia" w:hAnsi="Arial" w:cstheme="majorBidi"/>
          <w:sz w:val="24"/>
          <w:szCs w:val="24"/>
          <w:vertAlign w:val="superscript"/>
        </w:rPr>
        <w:fldChar w:fldCharType="begin" w:fldLock="1"/>
      </w:r>
      <w:r w:rsidR="00B573BB" w:rsidRPr="005356C7">
        <w:rPr>
          <w:rFonts w:ascii="Arial" w:eastAsiaTheme="majorEastAsia" w:hAnsi="Arial" w:cstheme="majorBidi"/>
          <w:sz w:val="24"/>
          <w:szCs w:val="24"/>
          <w:vertAlign w:val="superscript"/>
        </w:rPr>
        <w:instrText>ADDIN CSL_CITATION {"citationItems":[{"id":"ITEM-1","itemData":{"DOI":"10.1177/0363546506286866","ISBN":"0363-5465 (Print)\\n0363-5465 (Linking)","ISSN":"03635465","PMID":"16905673","abstract":"The incidence of noncontact anterior cruciate ligament injuries in young to middle-aged athletes remains high. Despite early diagnosis and appropriate operative and nonoperative treatments, posttraumatic degenerative arthritis may develop. In a meeting in Atlanta, Georgia (January 2005), sponsored by the American Orthopaedic Society for Sports Medicine, a group of physicians, physical therapists, athletic trainers, biomechanists, epidemiologists, and other scientists interested in this area of research met to review current knowledge on risk factors associated with noncontact anterior cruciate ligament injuries, anterior cruciate ligament injury biomechanics, and existing anterior cruciate ligament prevention programs. This article reports on the presentations, discussions, and recommendations of this group.","author":[{"dropping-particle":"","family":"Griffin","given":"Letha Y.","non-dropping-particle":"","parse-names":false,"suffix":""},{"dropping-particle":"","family":"Albohm","given":"Marjorie J.","non-dropping-particle":"","parse-names":false,"suffix":""},{"dropping-particle":"","family":"Arendt","given":"Elizabeth A.","non-dropping-particle":"","parse-names":false,"suffix":""},{"dropping-particle":"","family":"Bahr","given":"Roald","non-dropping-particle":"","parse-names":false,"suffix":""},{"dropping-particle":"","family":"Beynnon","given":"Bruce D.","non-dropping-particle":"","parse-names":false,"suffix":""},{"dropping-particle":"","family":"DeMaio","given":"Marlene","non-dropping-particle":"","parse-names":false,"suffix":""},{"dropping-particle":"","family":"Dick","given":"Randall W.","non-dropping-particle":"","parse-names":false,"suffix":""},{"dropping-particle":"","family":"Engebretsen","given":"Lars","non-dropping-particle":"","parse-names":false,"suffix":""},{"dropping-particle":"","family":"Garrett","given":"William E.","non-dropping-particle":"","parse-names":false,"suffix":""},{"dropping-particle":"","family":"Hannafin","given":"Jo A.","non-dropping-particle":"","parse-names":false,"suffix":""},{"dropping-particle":"","family":"Hewett","given":"Tim E.","non-dropping-particle":"","parse-names":false,"suffix":""},{"dropping-particle":"","family":"Huston","given":"Laura J.","non-dropping-particle":"","parse-names":false,"suffix":""},{"dropping-particle":"","family":"Ireland","given":"Mary Lloyd","non-dropping-particle":"","parse-names":false,"suffix":""},{"dropping-particle":"","family":"Johnson","given":"Robert J.","non-dropping-particle":"","parse-names":false,"suffix":""},{"dropping-particle":"","family":"Lephart","given":"Scott","non-dropping-particle":"","parse-names":false,"suffix":""},{"dropping-particle":"","family":"Mandelbaum","given":"Bert R.","non-dropping-particle":"","parse-names":false,"suffix":""},{"dropping-particle":"","family":"Mann","given":"Barton J.","non-dropping-particle":"","parse-names":false,"suffix":""},{"dropping-particle":"","family":"Marks","given":"Paul H.","non-dropping-particle":"","parse-names":false,"suffix":""},{"dropping-particle":"","family":"Marshall","given":"Stephen W.","non-dropping-particle":"","parse-names":false,"suffix":""},{"dropping-particle":"","family":"Myklebust","given":"Grethe","non-dropping-particle":"","parse-names":false,"suffix":""},{"dropping-particle":"","family":"Noyes","given":"Frank R.","non-dropping-particle":"","parse-names":false,"suffix":""},{"dropping-particle":"","family":"Powers","given":"Christopher","non-dropping-particle":"","parse-names":false,"suffix":""},{"dropping-particle":"","family":"Shields","given":"Clarence","non-dropping-particle":"","parse-names":false,"suffix":""},{"dropping-particle":"","family":"Shultz","given":"Sandra J.","non-dropping-particle":"","parse-names":false,"suffix":""},{"dropping-particle":"","family":"Silvers","given":"Holly","non-dropping-particle":"","parse-names":false,"suffix":""},{"dropping-particle":"","family":"Slauterbeck","given":"James","non-dropping-particle":"","parse-names":false,"suffix":""},{"dropping-particle":"","family":"Taylor","given":"Dean C.","non-dropping-particle":"","parse-names":false,"suffix":""},{"dropping-particle":"","family":"Teitz","given":"Carol C.","non-dropping-particle":"","parse-names":false,"suffix":""},{"dropping-particle":"","family":"Wojtys","given":"Edward M.","non-dropping-particle":"","parse-names":false,"suffix":""},{"dropping-particle":"","family":"Yu","given":"Bing","non-dropping-particle":"","parse-names":false,"suffix":""}],"container-title":"Am J Sports Med","id":"ITEM-1","issue":"9","issued":{"date-parts":[["2006"]]},"page":"1512-32","title":"Understanding and preventing noncontact anterior cruciate ligament injuries: A review of the Hunt Valley II Meeting, January 2005","type":"article-journal","volume":"34"},"uris":["http://www.mendeley.com/documents/?uuid=9160ced7-80e7-40ee-8e9c-fab4fa3c1dd0"]}],"mendeley":{"formattedCitation":"(12)","manualFormatting":"12","plainTextFormattedCitation":"(12)","previouslyFormattedCitation":"(12)"},"properties":{"noteIndex":0},"schema":"https://github.com/citation-style-language/schema/raw/master/csl-citation.json"}</w:instrText>
      </w:r>
      <w:r w:rsidR="00B36AAE" w:rsidRPr="005356C7">
        <w:rPr>
          <w:rFonts w:ascii="Arial" w:eastAsiaTheme="majorEastAsia" w:hAnsi="Arial" w:cstheme="majorBidi"/>
          <w:sz w:val="24"/>
          <w:szCs w:val="24"/>
          <w:vertAlign w:val="superscript"/>
        </w:rPr>
        <w:fldChar w:fldCharType="separate"/>
      </w:r>
      <w:r w:rsidR="00B36AAE" w:rsidRPr="005356C7">
        <w:rPr>
          <w:rFonts w:ascii="Arial" w:eastAsiaTheme="majorEastAsia" w:hAnsi="Arial" w:cstheme="majorBidi"/>
          <w:noProof/>
          <w:sz w:val="24"/>
          <w:szCs w:val="24"/>
          <w:vertAlign w:val="superscript"/>
        </w:rPr>
        <w:t>12</w:t>
      </w:r>
      <w:r w:rsidR="00B36AAE" w:rsidRPr="005356C7">
        <w:rPr>
          <w:rFonts w:ascii="Arial" w:eastAsiaTheme="majorEastAsia" w:hAnsi="Arial" w:cstheme="majorBidi"/>
          <w:sz w:val="24"/>
          <w:szCs w:val="24"/>
          <w:vertAlign w:val="superscript"/>
        </w:rPr>
        <w:fldChar w:fldCharType="end"/>
      </w:r>
      <w:r w:rsidRPr="003D1FBA">
        <w:rPr>
          <w:rFonts w:ascii="Arial" w:eastAsiaTheme="majorEastAsia" w:hAnsi="Arial" w:cstheme="majorBidi"/>
          <w:sz w:val="24"/>
          <w:szCs w:val="24"/>
        </w:rPr>
        <w:t xml:space="preserve"> </w:t>
      </w:r>
      <w:r w:rsidR="00F558B9">
        <w:rPr>
          <w:rFonts w:ascii="Arial" w:eastAsiaTheme="majorEastAsia" w:hAnsi="Arial" w:cstheme="majorBidi"/>
          <w:sz w:val="24"/>
          <w:szCs w:val="24"/>
        </w:rPr>
        <w:t>E</w:t>
      </w:r>
      <w:r w:rsidRPr="003D1FBA">
        <w:rPr>
          <w:rFonts w:ascii="Arial" w:eastAsiaTheme="majorEastAsia" w:hAnsi="Arial" w:cstheme="majorBidi"/>
          <w:sz w:val="24"/>
          <w:szCs w:val="24"/>
        </w:rPr>
        <w:t>l</w:t>
      </w:r>
      <w:r w:rsidR="00F558B9">
        <w:rPr>
          <w:rFonts w:ascii="Arial" w:eastAsiaTheme="majorEastAsia" w:hAnsi="Arial" w:cstheme="majorBidi"/>
          <w:sz w:val="24"/>
          <w:szCs w:val="24"/>
        </w:rPr>
        <w:t xml:space="preserve"> </w:t>
      </w:r>
      <w:r w:rsidRPr="003D1FBA">
        <w:rPr>
          <w:rFonts w:ascii="Arial" w:eastAsiaTheme="majorEastAsia" w:hAnsi="Arial" w:cstheme="majorBidi"/>
          <w:sz w:val="24"/>
          <w:szCs w:val="24"/>
        </w:rPr>
        <w:t>estudi</w:t>
      </w:r>
      <w:r w:rsidR="00F558B9">
        <w:rPr>
          <w:rFonts w:ascii="Arial" w:eastAsiaTheme="majorEastAsia" w:hAnsi="Arial" w:cstheme="majorBidi"/>
          <w:sz w:val="24"/>
          <w:szCs w:val="24"/>
        </w:rPr>
        <w:t>o</w:t>
      </w:r>
      <w:r w:rsidRPr="003D1FBA">
        <w:rPr>
          <w:rFonts w:ascii="Arial" w:eastAsiaTheme="majorEastAsia" w:hAnsi="Arial" w:cstheme="majorBidi"/>
          <w:sz w:val="24"/>
          <w:szCs w:val="24"/>
        </w:rPr>
        <w:t xml:space="preserve"> d</w:t>
      </w:r>
      <w:r w:rsidR="00F558B9">
        <w:rPr>
          <w:rFonts w:ascii="Arial" w:eastAsiaTheme="majorEastAsia" w:hAnsi="Arial" w:cstheme="majorBidi"/>
          <w:sz w:val="24"/>
          <w:szCs w:val="24"/>
        </w:rPr>
        <w:t xml:space="preserve">e </w:t>
      </w:r>
      <w:r w:rsidRPr="003D1FBA">
        <w:rPr>
          <w:rFonts w:ascii="Arial" w:eastAsiaTheme="majorEastAsia" w:hAnsi="Arial" w:cstheme="majorBidi"/>
          <w:sz w:val="24"/>
          <w:szCs w:val="24"/>
        </w:rPr>
        <w:t>est</w:t>
      </w:r>
      <w:r w:rsidR="00F558B9">
        <w:rPr>
          <w:rFonts w:ascii="Arial" w:eastAsiaTheme="majorEastAsia" w:hAnsi="Arial" w:cstheme="majorBidi"/>
          <w:sz w:val="24"/>
          <w:szCs w:val="24"/>
        </w:rPr>
        <w:t>o</w:t>
      </w:r>
      <w:r w:rsidRPr="003D1FBA">
        <w:rPr>
          <w:rFonts w:ascii="Arial" w:eastAsiaTheme="majorEastAsia" w:hAnsi="Arial" w:cstheme="majorBidi"/>
          <w:sz w:val="24"/>
          <w:szCs w:val="24"/>
        </w:rPr>
        <w:t>s</w:t>
      </w:r>
      <w:r w:rsidR="00F558B9">
        <w:rPr>
          <w:rFonts w:ascii="Arial" w:eastAsiaTheme="majorEastAsia" w:hAnsi="Arial" w:cstheme="majorBidi"/>
          <w:sz w:val="24"/>
          <w:szCs w:val="24"/>
        </w:rPr>
        <w:t>,</w:t>
      </w:r>
      <w:r w:rsidRPr="003D1FBA">
        <w:rPr>
          <w:rFonts w:ascii="Arial" w:eastAsiaTheme="majorEastAsia" w:hAnsi="Arial" w:cstheme="majorBidi"/>
          <w:sz w:val="24"/>
          <w:szCs w:val="24"/>
        </w:rPr>
        <w:t xml:space="preserve"> podr</w:t>
      </w:r>
      <w:r w:rsidR="00F558B9">
        <w:rPr>
          <w:rFonts w:ascii="Arial" w:eastAsiaTheme="majorEastAsia" w:hAnsi="Arial" w:cstheme="majorBidi"/>
          <w:sz w:val="24"/>
          <w:szCs w:val="24"/>
        </w:rPr>
        <w:t>í</w:t>
      </w:r>
      <w:r w:rsidRPr="003D1FBA">
        <w:rPr>
          <w:rFonts w:ascii="Arial" w:eastAsiaTheme="majorEastAsia" w:hAnsi="Arial" w:cstheme="majorBidi"/>
          <w:sz w:val="24"/>
          <w:szCs w:val="24"/>
        </w:rPr>
        <w:t>a a</w:t>
      </w:r>
      <w:r w:rsidR="00F558B9">
        <w:rPr>
          <w:rFonts w:ascii="Arial" w:eastAsiaTheme="majorEastAsia" w:hAnsi="Arial" w:cstheme="majorBidi"/>
          <w:sz w:val="24"/>
          <w:szCs w:val="24"/>
        </w:rPr>
        <w:t>y</w:t>
      </w:r>
      <w:r w:rsidRPr="003D1FBA">
        <w:rPr>
          <w:rFonts w:ascii="Arial" w:eastAsiaTheme="majorEastAsia" w:hAnsi="Arial" w:cstheme="majorBidi"/>
          <w:sz w:val="24"/>
          <w:szCs w:val="24"/>
        </w:rPr>
        <w:t>udar a disminuir l</w:t>
      </w:r>
      <w:r w:rsidR="00F558B9">
        <w:rPr>
          <w:rFonts w:ascii="Arial" w:eastAsiaTheme="majorEastAsia" w:hAnsi="Arial" w:cstheme="majorBidi"/>
          <w:sz w:val="24"/>
          <w:szCs w:val="24"/>
        </w:rPr>
        <w:t xml:space="preserve">a </w:t>
      </w:r>
      <w:r w:rsidRPr="003D1FBA">
        <w:rPr>
          <w:rFonts w:ascii="Arial" w:eastAsiaTheme="majorEastAsia" w:hAnsi="Arial" w:cstheme="majorBidi"/>
          <w:sz w:val="24"/>
          <w:szCs w:val="24"/>
        </w:rPr>
        <w:t>exposició</w:t>
      </w:r>
      <w:r w:rsidR="00F558B9">
        <w:rPr>
          <w:rFonts w:ascii="Arial" w:eastAsiaTheme="majorEastAsia" w:hAnsi="Arial" w:cstheme="majorBidi"/>
          <w:sz w:val="24"/>
          <w:szCs w:val="24"/>
        </w:rPr>
        <w:t>n</w:t>
      </w:r>
      <w:r w:rsidRPr="003D1FBA">
        <w:rPr>
          <w:rFonts w:ascii="Arial" w:eastAsiaTheme="majorEastAsia" w:hAnsi="Arial" w:cstheme="majorBidi"/>
          <w:sz w:val="24"/>
          <w:szCs w:val="24"/>
        </w:rPr>
        <w:t xml:space="preserve"> a </w:t>
      </w:r>
      <w:r w:rsidR="00F558B9">
        <w:rPr>
          <w:rFonts w:ascii="Arial" w:eastAsiaTheme="majorEastAsia" w:hAnsi="Arial" w:cstheme="majorBidi"/>
          <w:sz w:val="24"/>
          <w:szCs w:val="24"/>
        </w:rPr>
        <w:t>sufr</w:t>
      </w:r>
      <w:r w:rsidRPr="003D1FBA">
        <w:rPr>
          <w:rFonts w:ascii="Arial" w:eastAsiaTheme="majorEastAsia" w:hAnsi="Arial" w:cstheme="majorBidi"/>
          <w:sz w:val="24"/>
          <w:szCs w:val="24"/>
        </w:rPr>
        <w:t>ir c</w:t>
      </w:r>
      <w:r w:rsidR="00F558B9">
        <w:rPr>
          <w:rFonts w:ascii="Arial" w:eastAsiaTheme="majorEastAsia" w:hAnsi="Arial" w:cstheme="majorBidi"/>
          <w:sz w:val="24"/>
          <w:szCs w:val="24"/>
        </w:rPr>
        <w:t>ier</w:t>
      </w:r>
      <w:r w:rsidRPr="003D1FBA">
        <w:rPr>
          <w:rFonts w:ascii="Arial" w:eastAsiaTheme="majorEastAsia" w:hAnsi="Arial" w:cstheme="majorBidi"/>
          <w:sz w:val="24"/>
          <w:szCs w:val="24"/>
        </w:rPr>
        <w:t>t</w:t>
      </w:r>
      <w:r w:rsidR="00F558B9">
        <w:rPr>
          <w:rFonts w:ascii="Arial" w:eastAsiaTheme="majorEastAsia" w:hAnsi="Arial" w:cstheme="majorBidi"/>
          <w:sz w:val="24"/>
          <w:szCs w:val="24"/>
        </w:rPr>
        <w:t>a</w:t>
      </w:r>
      <w:r w:rsidRPr="003D1FBA">
        <w:rPr>
          <w:rFonts w:ascii="Arial" w:eastAsiaTheme="majorEastAsia" w:hAnsi="Arial" w:cstheme="majorBidi"/>
          <w:sz w:val="24"/>
          <w:szCs w:val="24"/>
        </w:rPr>
        <w:t>s lesion</w:t>
      </w:r>
      <w:r w:rsidR="00F558B9">
        <w:rPr>
          <w:rFonts w:ascii="Arial" w:eastAsiaTheme="majorEastAsia" w:hAnsi="Arial" w:cstheme="majorBidi"/>
          <w:sz w:val="24"/>
          <w:szCs w:val="24"/>
        </w:rPr>
        <w:t>e</w:t>
      </w:r>
      <w:r w:rsidRPr="003D1FBA">
        <w:rPr>
          <w:rFonts w:ascii="Arial" w:eastAsiaTheme="majorEastAsia" w:hAnsi="Arial" w:cstheme="majorBidi"/>
          <w:sz w:val="24"/>
          <w:szCs w:val="24"/>
        </w:rPr>
        <w:t>s com</w:t>
      </w:r>
      <w:r w:rsidR="00F558B9">
        <w:rPr>
          <w:rFonts w:ascii="Arial" w:eastAsiaTheme="majorEastAsia" w:hAnsi="Arial" w:cstheme="majorBidi"/>
          <w:sz w:val="24"/>
          <w:szCs w:val="24"/>
        </w:rPr>
        <w:t>o</w:t>
      </w:r>
      <w:r w:rsidRPr="003D1FBA">
        <w:rPr>
          <w:rFonts w:ascii="Arial" w:eastAsiaTheme="majorEastAsia" w:hAnsi="Arial" w:cstheme="majorBidi"/>
          <w:sz w:val="24"/>
          <w:szCs w:val="24"/>
        </w:rPr>
        <w:t xml:space="preserve"> la de</w:t>
      </w:r>
      <w:r w:rsidR="009D731B" w:rsidRPr="003D1FBA">
        <w:rPr>
          <w:rFonts w:ascii="Arial" w:eastAsiaTheme="majorEastAsia" w:hAnsi="Arial" w:cstheme="majorBidi"/>
          <w:sz w:val="24"/>
          <w:szCs w:val="24"/>
        </w:rPr>
        <w:t>l</w:t>
      </w:r>
      <w:r w:rsidRPr="003D1FBA">
        <w:rPr>
          <w:rFonts w:ascii="Arial" w:eastAsiaTheme="majorEastAsia" w:hAnsi="Arial" w:cstheme="majorBidi"/>
          <w:sz w:val="24"/>
          <w:szCs w:val="24"/>
        </w:rPr>
        <w:t xml:space="preserve"> L</w:t>
      </w:r>
      <w:r w:rsidR="00F558B9">
        <w:rPr>
          <w:rFonts w:ascii="Arial" w:eastAsiaTheme="majorEastAsia" w:hAnsi="Arial" w:cstheme="majorBidi"/>
          <w:sz w:val="24"/>
          <w:szCs w:val="24"/>
        </w:rPr>
        <w:t>C</w:t>
      </w:r>
      <w:r w:rsidRPr="003D1FBA">
        <w:rPr>
          <w:rFonts w:ascii="Arial" w:eastAsiaTheme="majorEastAsia" w:hAnsi="Arial" w:cstheme="majorBidi"/>
          <w:sz w:val="24"/>
          <w:szCs w:val="24"/>
        </w:rPr>
        <w:t xml:space="preserve">A. </w:t>
      </w:r>
      <w:r w:rsidR="00F558B9">
        <w:rPr>
          <w:rFonts w:ascii="Arial" w:eastAsiaTheme="majorEastAsia" w:hAnsi="Arial" w:cstheme="majorBidi"/>
          <w:sz w:val="24"/>
          <w:szCs w:val="24"/>
        </w:rPr>
        <w:t>Actualmente</w:t>
      </w:r>
      <w:r w:rsidR="006F1D3F" w:rsidRPr="003D1FBA">
        <w:rPr>
          <w:rFonts w:ascii="Arial" w:eastAsiaTheme="majorEastAsia" w:hAnsi="Arial" w:cstheme="majorBidi"/>
          <w:sz w:val="24"/>
          <w:szCs w:val="24"/>
        </w:rPr>
        <w:t>, fa</w:t>
      </w:r>
      <w:r w:rsidRPr="003D1FBA">
        <w:rPr>
          <w:rFonts w:ascii="Arial" w:eastAsiaTheme="majorEastAsia" w:hAnsi="Arial" w:cstheme="majorBidi"/>
          <w:sz w:val="24"/>
          <w:szCs w:val="24"/>
        </w:rPr>
        <w:t>lta evid</w:t>
      </w:r>
      <w:r w:rsidR="00F558B9">
        <w:rPr>
          <w:rFonts w:ascii="Arial" w:eastAsiaTheme="majorEastAsia" w:hAnsi="Arial" w:cstheme="majorBidi"/>
          <w:sz w:val="24"/>
          <w:szCs w:val="24"/>
        </w:rPr>
        <w:t>e</w:t>
      </w:r>
      <w:r w:rsidRPr="003D1FBA">
        <w:rPr>
          <w:rFonts w:ascii="Arial" w:eastAsiaTheme="majorEastAsia" w:hAnsi="Arial" w:cstheme="majorBidi"/>
          <w:sz w:val="24"/>
          <w:szCs w:val="24"/>
        </w:rPr>
        <w:t xml:space="preserve">ncia </w:t>
      </w:r>
      <w:r w:rsidR="00F558B9">
        <w:rPr>
          <w:rFonts w:ascii="Arial" w:eastAsiaTheme="majorEastAsia" w:hAnsi="Arial" w:cstheme="majorBidi"/>
          <w:sz w:val="24"/>
          <w:szCs w:val="24"/>
        </w:rPr>
        <w:t xml:space="preserve">científica </w:t>
      </w:r>
      <w:r w:rsidRPr="003D1FBA">
        <w:rPr>
          <w:rFonts w:ascii="Arial" w:eastAsiaTheme="majorEastAsia" w:hAnsi="Arial" w:cstheme="majorBidi"/>
          <w:sz w:val="24"/>
          <w:szCs w:val="24"/>
        </w:rPr>
        <w:t xml:space="preserve">sobre la </w:t>
      </w:r>
      <w:r w:rsidR="0090596B" w:rsidRPr="003D1FBA">
        <w:rPr>
          <w:rFonts w:ascii="Arial" w:eastAsiaTheme="majorEastAsia" w:hAnsi="Arial" w:cstheme="majorBidi"/>
          <w:sz w:val="24"/>
          <w:szCs w:val="24"/>
        </w:rPr>
        <w:t>R</w:t>
      </w:r>
      <w:r w:rsidR="00F558B9">
        <w:rPr>
          <w:rFonts w:ascii="Arial" w:eastAsiaTheme="majorEastAsia" w:hAnsi="Arial" w:cstheme="majorBidi"/>
          <w:sz w:val="24"/>
          <w:szCs w:val="24"/>
        </w:rPr>
        <w:t>a</w:t>
      </w:r>
      <w:r w:rsidRPr="003D1FBA">
        <w:rPr>
          <w:rFonts w:ascii="Arial" w:eastAsiaTheme="majorEastAsia" w:hAnsi="Arial" w:cstheme="majorBidi"/>
          <w:sz w:val="24"/>
          <w:szCs w:val="24"/>
        </w:rPr>
        <w:t>tio I/Q en jugador</w:t>
      </w:r>
      <w:r w:rsidR="00F558B9">
        <w:rPr>
          <w:rFonts w:ascii="Arial" w:eastAsiaTheme="majorEastAsia" w:hAnsi="Arial" w:cstheme="majorBidi"/>
          <w:sz w:val="24"/>
          <w:szCs w:val="24"/>
        </w:rPr>
        <w:t>a</w:t>
      </w:r>
      <w:r w:rsidRPr="003D1FBA">
        <w:rPr>
          <w:rFonts w:ascii="Arial" w:eastAsiaTheme="majorEastAsia" w:hAnsi="Arial" w:cstheme="majorBidi"/>
          <w:sz w:val="24"/>
          <w:szCs w:val="24"/>
        </w:rPr>
        <w:t>s de b</w:t>
      </w:r>
      <w:r w:rsidR="00F558B9">
        <w:rPr>
          <w:rFonts w:ascii="Arial" w:eastAsiaTheme="majorEastAsia" w:hAnsi="Arial" w:cstheme="majorBidi"/>
          <w:sz w:val="24"/>
          <w:szCs w:val="24"/>
        </w:rPr>
        <w:t>aloncesto</w:t>
      </w:r>
      <w:r w:rsidRPr="003D1FBA">
        <w:rPr>
          <w:rFonts w:ascii="Arial" w:eastAsiaTheme="majorEastAsia" w:hAnsi="Arial" w:cstheme="majorBidi"/>
          <w:sz w:val="24"/>
          <w:szCs w:val="24"/>
        </w:rPr>
        <w:t xml:space="preserve"> </w:t>
      </w:r>
      <w:r w:rsidR="00F558B9">
        <w:rPr>
          <w:rFonts w:ascii="Arial" w:eastAsiaTheme="majorEastAsia" w:hAnsi="Arial" w:cstheme="majorBidi"/>
          <w:sz w:val="24"/>
          <w:szCs w:val="24"/>
        </w:rPr>
        <w:t>y</w:t>
      </w:r>
      <w:r w:rsidRPr="003D1FBA">
        <w:rPr>
          <w:rFonts w:ascii="Arial" w:eastAsiaTheme="majorEastAsia" w:hAnsi="Arial" w:cstheme="majorBidi"/>
          <w:sz w:val="24"/>
          <w:szCs w:val="24"/>
        </w:rPr>
        <w:t xml:space="preserve"> </w:t>
      </w:r>
      <w:r w:rsidR="00A74BE8">
        <w:rPr>
          <w:rFonts w:ascii="Arial" w:eastAsiaTheme="majorEastAsia" w:hAnsi="Arial" w:cstheme="majorBidi"/>
          <w:sz w:val="24"/>
          <w:szCs w:val="24"/>
        </w:rPr>
        <w:t>balonmano</w:t>
      </w:r>
      <w:r w:rsidRPr="003D1FBA">
        <w:rPr>
          <w:rFonts w:ascii="Arial" w:eastAsiaTheme="majorEastAsia" w:hAnsi="Arial" w:cstheme="majorBidi"/>
          <w:sz w:val="24"/>
          <w:szCs w:val="24"/>
        </w:rPr>
        <w:t xml:space="preserve"> adolescent</w:t>
      </w:r>
      <w:r w:rsidR="00F558B9">
        <w:rPr>
          <w:rFonts w:ascii="Arial" w:eastAsiaTheme="majorEastAsia" w:hAnsi="Arial" w:cstheme="majorBidi"/>
          <w:sz w:val="24"/>
          <w:szCs w:val="24"/>
        </w:rPr>
        <w:t>e</w:t>
      </w:r>
      <w:r w:rsidRPr="003D1FBA">
        <w:rPr>
          <w:rFonts w:ascii="Arial" w:eastAsiaTheme="majorEastAsia" w:hAnsi="Arial" w:cstheme="majorBidi"/>
          <w:sz w:val="24"/>
          <w:szCs w:val="24"/>
        </w:rPr>
        <w:t xml:space="preserve">s, </w:t>
      </w:r>
      <w:r w:rsidR="00F558B9">
        <w:rPr>
          <w:rFonts w:ascii="Arial" w:eastAsiaTheme="majorEastAsia" w:hAnsi="Arial" w:cstheme="majorBidi"/>
          <w:sz w:val="24"/>
          <w:szCs w:val="24"/>
        </w:rPr>
        <w:t>ya</w:t>
      </w:r>
      <w:r w:rsidRPr="003D1FBA">
        <w:rPr>
          <w:rFonts w:ascii="Arial" w:eastAsiaTheme="majorEastAsia" w:hAnsi="Arial" w:cstheme="majorBidi"/>
          <w:sz w:val="24"/>
          <w:szCs w:val="24"/>
        </w:rPr>
        <w:t xml:space="preserve"> que no existen valor</w:t>
      </w:r>
      <w:r w:rsidR="00F558B9">
        <w:rPr>
          <w:rFonts w:ascii="Arial" w:eastAsiaTheme="majorEastAsia" w:hAnsi="Arial" w:cstheme="majorBidi"/>
          <w:sz w:val="24"/>
          <w:szCs w:val="24"/>
        </w:rPr>
        <w:t>e</w:t>
      </w:r>
      <w:r w:rsidRPr="003D1FBA">
        <w:rPr>
          <w:rFonts w:ascii="Arial" w:eastAsiaTheme="majorEastAsia" w:hAnsi="Arial" w:cstheme="majorBidi"/>
          <w:sz w:val="24"/>
          <w:szCs w:val="24"/>
        </w:rPr>
        <w:t>s normaliza</w:t>
      </w:r>
      <w:r w:rsidR="00F558B9">
        <w:rPr>
          <w:rFonts w:ascii="Arial" w:eastAsiaTheme="majorEastAsia" w:hAnsi="Arial" w:cstheme="majorBidi"/>
          <w:sz w:val="24"/>
          <w:szCs w:val="24"/>
        </w:rPr>
        <w:t>do</w:t>
      </w:r>
      <w:r w:rsidRPr="003D1FBA">
        <w:rPr>
          <w:rFonts w:ascii="Arial" w:eastAsiaTheme="majorEastAsia" w:hAnsi="Arial" w:cstheme="majorBidi"/>
          <w:sz w:val="24"/>
          <w:szCs w:val="24"/>
        </w:rPr>
        <w:t xml:space="preserve">s </w:t>
      </w:r>
      <w:r w:rsidR="00F558B9">
        <w:rPr>
          <w:rFonts w:ascii="Arial" w:eastAsiaTheme="majorEastAsia" w:hAnsi="Arial" w:cstheme="majorBidi"/>
          <w:sz w:val="24"/>
          <w:szCs w:val="24"/>
        </w:rPr>
        <w:t>en esta población</w:t>
      </w:r>
      <w:r w:rsidRPr="003D1FBA">
        <w:rPr>
          <w:rFonts w:ascii="Arial" w:eastAsiaTheme="majorEastAsia" w:hAnsi="Arial" w:cstheme="majorBidi"/>
          <w:sz w:val="24"/>
          <w:szCs w:val="24"/>
        </w:rPr>
        <w:t xml:space="preserve"> </w:t>
      </w:r>
      <w:r w:rsidR="00F558B9">
        <w:rPr>
          <w:rFonts w:ascii="Arial" w:eastAsiaTheme="majorEastAsia" w:hAnsi="Arial" w:cstheme="majorBidi"/>
          <w:sz w:val="24"/>
          <w:szCs w:val="24"/>
        </w:rPr>
        <w:t>donde</w:t>
      </w:r>
      <w:r w:rsidRPr="003D1FBA">
        <w:rPr>
          <w:rFonts w:ascii="Arial" w:eastAsiaTheme="majorEastAsia" w:hAnsi="Arial" w:cstheme="majorBidi"/>
          <w:sz w:val="24"/>
          <w:szCs w:val="24"/>
        </w:rPr>
        <w:t xml:space="preserve"> </w:t>
      </w:r>
      <w:r w:rsidR="00F558B9">
        <w:rPr>
          <w:rFonts w:ascii="Arial" w:eastAsiaTheme="majorEastAsia" w:hAnsi="Arial" w:cstheme="majorBidi"/>
          <w:sz w:val="24"/>
          <w:szCs w:val="24"/>
        </w:rPr>
        <w:t>lo</w:t>
      </w:r>
      <w:r w:rsidRPr="003D1FBA">
        <w:rPr>
          <w:rFonts w:ascii="Arial" w:eastAsiaTheme="majorEastAsia" w:hAnsi="Arial" w:cstheme="majorBidi"/>
          <w:sz w:val="24"/>
          <w:szCs w:val="24"/>
        </w:rPr>
        <w:t>s valor</w:t>
      </w:r>
      <w:r w:rsidR="00F558B9">
        <w:rPr>
          <w:rFonts w:ascii="Arial" w:eastAsiaTheme="majorEastAsia" w:hAnsi="Arial" w:cstheme="majorBidi"/>
          <w:sz w:val="24"/>
          <w:szCs w:val="24"/>
        </w:rPr>
        <w:t>e</w:t>
      </w:r>
      <w:r w:rsidRPr="003D1FBA">
        <w:rPr>
          <w:rFonts w:ascii="Arial" w:eastAsiaTheme="majorEastAsia" w:hAnsi="Arial" w:cstheme="majorBidi"/>
          <w:sz w:val="24"/>
          <w:szCs w:val="24"/>
        </w:rPr>
        <w:t>s de f</w:t>
      </w:r>
      <w:r w:rsidR="00F558B9">
        <w:rPr>
          <w:rFonts w:ascii="Arial" w:eastAsiaTheme="majorEastAsia" w:hAnsi="Arial" w:cstheme="majorBidi"/>
          <w:sz w:val="24"/>
          <w:szCs w:val="24"/>
        </w:rPr>
        <w:t>uerz</w:t>
      </w:r>
      <w:r w:rsidRPr="003D1FBA">
        <w:rPr>
          <w:rFonts w:ascii="Arial" w:eastAsiaTheme="majorEastAsia" w:hAnsi="Arial" w:cstheme="majorBidi"/>
          <w:sz w:val="24"/>
          <w:szCs w:val="24"/>
        </w:rPr>
        <w:t>a s</w:t>
      </w:r>
      <w:r w:rsidR="00F558B9">
        <w:rPr>
          <w:rFonts w:ascii="Arial" w:eastAsiaTheme="majorEastAsia" w:hAnsi="Arial" w:cstheme="majorBidi"/>
          <w:sz w:val="24"/>
          <w:szCs w:val="24"/>
        </w:rPr>
        <w:t xml:space="preserve">e </w:t>
      </w:r>
      <w:r w:rsidRPr="003D1FBA">
        <w:rPr>
          <w:rFonts w:ascii="Arial" w:eastAsiaTheme="majorEastAsia" w:hAnsi="Arial" w:cstheme="majorBidi"/>
          <w:sz w:val="24"/>
          <w:szCs w:val="24"/>
        </w:rPr>
        <w:t>obt</w:t>
      </w:r>
      <w:r w:rsidR="00F558B9">
        <w:rPr>
          <w:rFonts w:ascii="Arial" w:eastAsiaTheme="majorEastAsia" w:hAnsi="Arial" w:cstheme="majorBidi"/>
          <w:sz w:val="24"/>
          <w:szCs w:val="24"/>
        </w:rPr>
        <w:t>e</w:t>
      </w:r>
      <w:r w:rsidRPr="003D1FBA">
        <w:rPr>
          <w:rFonts w:ascii="Arial" w:eastAsiaTheme="majorEastAsia" w:hAnsi="Arial" w:cstheme="majorBidi"/>
          <w:sz w:val="24"/>
          <w:szCs w:val="24"/>
        </w:rPr>
        <w:t>ng</w:t>
      </w:r>
      <w:r w:rsidR="00F558B9">
        <w:rPr>
          <w:rFonts w:ascii="Arial" w:eastAsiaTheme="majorEastAsia" w:hAnsi="Arial" w:cstheme="majorBidi"/>
          <w:sz w:val="24"/>
          <w:szCs w:val="24"/>
        </w:rPr>
        <w:t>a</w:t>
      </w:r>
      <w:r w:rsidRPr="003D1FBA">
        <w:rPr>
          <w:rFonts w:ascii="Arial" w:eastAsiaTheme="majorEastAsia" w:hAnsi="Arial" w:cstheme="majorBidi"/>
          <w:sz w:val="24"/>
          <w:szCs w:val="24"/>
        </w:rPr>
        <w:t>n en isometr</w:t>
      </w:r>
      <w:r w:rsidR="00F558B9">
        <w:rPr>
          <w:rFonts w:ascii="Arial" w:eastAsiaTheme="majorEastAsia" w:hAnsi="Arial" w:cstheme="majorBidi"/>
          <w:sz w:val="24"/>
          <w:szCs w:val="24"/>
        </w:rPr>
        <w:t>í</w:t>
      </w:r>
      <w:r w:rsidRPr="003D1FBA">
        <w:rPr>
          <w:rFonts w:ascii="Arial" w:eastAsiaTheme="majorEastAsia" w:hAnsi="Arial" w:cstheme="majorBidi"/>
          <w:sz w:val="24"/>
          <w:szCs w:val="24"/>
        </w:rPr>
        <w:t>a utilizan</w:t>
      </w:r>
      <w:r w:rsidR="00F558B9">
        <w:rPr>
          <w:rFonts w:ascii="Arial" w:eastAsiaTheme="majorEastAsia" w:hAnsi="Arial" w:cstheme="majorBidi"/>
          <w:sz w:val="24"/>
          <w:szCs w:val="24"/>
        </w:rPr>
        <w:t>do</w:t>
      </w:r>
      <w:r w:rsidRPr="003D1FBA">
        <w:rPr>
          <w:rFonts w:ascii="Arial" w:eastAsiaTheme="majorEastAsia" w:hAnsi="Arial" w:cstheme="majorBidi"/>
          <w:sz w:val="24"/>
          <w:szCs w:val="24"/>
        </w:rPr>
        <w:t xml:space="preserve"> un </w:t>
      </w:r>
      <w:r w:rsidR="00F558B9" w:rsidRPr="003D1FBA">
        <w:rPr>
          <w:rFonts w:ascii="Arial" w:eastAsiaTheme="majorEastAsia" w:hAnsi="Arial" w:cstheme="majorBidi"/>
          <w:sz w:val="24"/>
          <w:szCs w:val="24"/>
        </w:rPr>
        <w:t>dinam</w:t>
      </w:r>
      <w:r w:rsidR="00F558B9">
        <w:rPr>
          <w:rFonts w:ascii="Arial" w:eastAsiaTheme="majorEastAsia" w:hAnsi="Arial" w:cstheme="majorBidi"/>
          <w:sz w:val="24"/>
          <w:szCs w:val="24"/>
        </w:rPr>
        <w:t>ó</w:t>
      </w:r>
      <w:r w:rsidR="00F558B9" w:rsidRPr="003D1FBA">
        <w:rPr>
          <w:rFonts w:ascii="Arial" w:eastAsiaTheme="majorEastAsia" w:hAnsi="Arial" w:cstheme="majorBidi"/>
          <w:sz w:val="24"/>
          <w:szCs w:val="24"/>
        </w:rPr>
        <w:t>metr</w:t>
      </w:r>
      <w:r w:rsidR="00F558B9">
        <w:rPr>
          <w:rFonts w:ascii="Arial" w:eastAsiaTheme="majorEastAsia" w:hAnsi="Arial" w:cstheme="majorBidi"/>
          <w:sz w:val="24"/>
          <w:szCs w:val="24"/>
        </w:rPr>
        <w:t>o</w:t>
      </w:r>
      <w:r w:rsidRPr="003D1FBA">
        <w:rPr>
          <w:rFonts w:ascii="Arial" w:eastAsiaTheme="majorEastAsia" w:hAnsi="Arial" w:cstheme="majorBidi"/>
          <w:sz w:val="24"/>
          <w:szCs w:val="24"/>
        </w:rPr>
        <w:t xml:space="preserve"> manual. </w:t>
      </w:r>
      <w:r w:rsidR="00F558B9">
        <w:rPr>
          <w:rFonts w:ascii="Arial" w:eastAsiaTheme="majorEastAsia" w:hAnsi="Arial" w:cstheme="majorBidi"/>
          <w:sz w:val="24"/>
          <w:szCs w:val="24"/>
        </w:rPr>
        <w:t>Asimismo,</w:t>
      </w:r>
      <w:r w:rsidRPr="003D1FBA">
        <w:rPr>
          <w:rFonts w:ascii="Arial" w:eastAsiaTheme="majorEastAsia" w:hAnsi="Arial" w:cstheme="majorBidi"/>
          <w:sz w:val="24"/>
          <w:szCs w:val="24"/>
        </w:rPr>
        <w:t xml:space="preserve"> falt</w:t>
      </w:r>
      <w:r w:rsidR="00F558B9">
        <w:rPr>
          <w:rFonts w:ascii="Arial" w:eastAsiaTheme="majorEastAsia" w:hAnsi="Arial" w:cstheme="majorBidi"/>
          <w:sz w:val="24"/>
          <w:szCs w:val="24"/>
        </w:rPr>
        <w:t>a</w:t>
      </w:r>
      <w:r w:rsidRPr="003D1FBA">
        <w:rPr>
          <w:rFonts w:ascii="Arial" w:eastAsiaTheme="majorEastAsia" w:hAnsi="Arial" w:cstheme="majorBidi"/>
          <w:sz w:val="24"/>
          <w:szCs w:val="24"/>
        </w:rPr>
        <w:t>n estudi</w:t>
      </w:r>
      <w:r w:rsidR="00F558B9">
        <w:rPr>
          <w:rFonts w:ascii="Arial" w:eastAsiaTheme="majorEastAsia" w:hAnsi="Arial" w:cstheme="majorBidi"/>
          <w:sz w:val="24"/>
          <w:szCs w:val="24"/>
        </w:rPr>
        <w:t>o</w:t>
      </w:r>
      <w:r w:rsidRPr="003D1FBA">
        <w:rPr>
          <w:rFonts w:ascii="Arial" w:eastAsiaTheme="majorEastAsia" w:hAnsi="Arial" w:cstheme="majorBidi"/>
          <w:sz w:val="24"/>
          <w:szCs w:val="24"/>
        </w:rPr>
        <w:t>s que observ</w:t>
      </w:r>
      <w:r w:rsidR="00F558B9">
        <w:rPr>
          <w:rFonts w:ascii="Arial" w:eastAsiaTheme="majorEastAsia" w:hAnsi="Arial" w:cstheme="majorBidi"/>
          <w:sz w:val="24"/>
          <w:szCs w:val="24"/>
        </w:rPr>
        <w:t>e</w:t>
      </w:r>
      <w:r w:rsidRPr="003D1FBA">
        <w:rPr>
          <w:rFonts w:ascii="Arial" w:eastAsiaTheme="majorEastAsia" w:hAnsi="Arial" w:cstheme="majorBidi"/>
          <w:sz w:val="24"/>
          <w:szCs w:val="24"/>
        </w:rPr>
        <w:t>n c</w:t>
      </w:r>
      <w:r w:rsidR="00F558B9">
        <w:rPr>
          <w:rFonts w:ascii="Arial" w:eastAsiaTheme="majorEastAsia" w:hAnsi="Arial" w:cstheme="majorBidi"/>
          <w:sz w:val="24"/>
          <w:szCs w:val="24"/>
        </w:rPr>
        <w:t>ó</w:t>
      </w:r>
      <w:r w:rsidRPr="003D1FBA">
        <w:rPr>
          <w:rFonts w:ascii="Arial" w:eastAsiaTheme="majorEastAsia" w:hAnsi="Arial" w:cstheme="majorBidi"/>
          <w:sz w:val="24"/>
          <w:szCs w:val="24"/>
        </w:rPr>
        <w:t>m</w:t>
      </w:r>
      <w:r w:rsidR="00F558B9">
        <w:rPr>
          <w:rFonts w:ascii="Arial" w:eastAsiaTheme="majorEastAsia" w:hAnsi="Arial" w:cstheme="majorBidi"/>
          <w:sz w:val="24"/>
          <w:szCs w:val="24"/>
        </w:rPr>
        <w:t>o</w:t>
      </w:r>
      <w:r w:rsidRPr="003D1FBA">
        <w:rPr>
          <w:rFonts w:ascii="Arial" w:eastAsiaTheme="majorEastAsia" w:hAnsi="Arial" w:cstheme="majorBidi"/>
          <w:sz w:val="24"/>
          <w:szCs w:val="24"/>
        </w:rPr>
        <w:t xml:space="preserve"> s</w:t>
      </w:r>
      <w:r w:rsidR="00F558B9">
        <w:rPr>
          <w:rFonts w:ascii="Arial" w:eastAsiaTheme="majorEastAsia" w:hAnsi="Arial" w:cstheme="majorBidi"/>
          <w:sz w:val="24"/>
          <w:szCs w:val="24"/>
        </w:rPr>
        <w:t>e</w:t>
      </w:r>
      <w:r w:rsidRPr="003D1FBA">
        <w:rPr>
          <w:rFonts w:ascii="Arial" w:eastAsiaTheme="majorEastAsia" w:hAnsi="Arial" w:cstheme="majorBidi"/>
          <w:sz w:val="24"/>
          <w:szCs w:val="24"/>
        </w:rPr>
        <w:t xml:space="preserve"> comporta </w:t>
      </w:r>
      <w:r w:rsidR="00F558B9">
        <w:rPr>
          <w:rFonts w:ascii="Arial" w:eastAsiaTheme="majorEastAsia" w:hAnsi="Arial" w:cstheme="majorBidi"/>
          <w:sz w:val="24"/>
          <w:szCs w:val="24"/>
        </w:rPr>
        <w:t>la</w:t>
      </w:r>
      <w:r w:rsidRPr="003D1FBA">
        <w:rPr>
          <w:rFonts w:ascii="Arial" w:eastAsiaTheme="majorEastAsia" w:hAnsi="Arial" w:cstheme="majorBidi"/>
          <w:sz w:val="24"/>
          <w:szCs w:val="24"/>
        </w:rPr>
        <w:t xml:space="preserve"> </w:t>
      </w:r>
      <w:r w:rsidR="00560C52" w:rsidRPr="003D1FBA">
        <w:rPr>
          <w:rFonts w:ascii="Arial" w:eastAsiaTheme="majorEastAsia" w:hAnsi="Arial" w:cstheme="majorBidi"/>
          <w:sz w:val="24"/>
          <w:szCs w:val="24"/>
        </w:rPr>
        <w:t>R</w:t>
      </w:r>
      <w:r w:rsidR="00F558B9">
        <w:rPr>
          <w:rFonts w:ascii="Arial" w:eastAsiaTheme="majorEastAsia" w:hAnsi="Arial" w:cstheme="majorBidi"/>
          <w:sz w:val="24"/>
          <w:szCs w:val="24"/>
        </w:rPr>
        <w:t>a</w:t>
      </w:r>
      <w:r w:rsidRPr="003D1FBA">
        <w:rPr>
          <w:rFonts w:ascii="Arial" w:eastAsiaTheme="majorEastAsia" w:hAnsi="Arial" w:cstheme="majorBidi"/>
          <w:sz w:val="24"/>
          <w:szCs w:val="24"/>
        </w:rPr>
        <w:t xml:space="preserve">tio </w:t>
      </w:r>
      <w:r w:rsidR="00F558B9">
        <w:rPr>
          <w:rFonts w:ascii="Arial" w:eastAsiaTheme="majorEastAsia" w:hAnsi="Arial" w:cstheme="majorBidi"/>
          <w:sz w:val="24"/>
          <w:szCs w:val="24"/>
        </w:rPr>
        <w:t xml:space="preserve">I/Q </w:t>
      </w:r>
      <w:r w:rsidRPr="003D1FBA">
        <w:rPr>
          <w:rFonts w:ascii="Arial" w:eastAsiaTheme="majorEastAsia" w:hAnsi="Arial" w:cstheme="majorBidi"/>
          <w:sz w:val="24"/>
          <w:szCs w:val="24"/>
        </w:rPr>
        <w:t xml:space="preserve">en </w:t>
      </w:r>
      <w:r w:rsidR="00BB41FE" w:rsidRPr="003D1FBA">
        <w:rPr>
          <w:rFonts w:ascii="Arial" w:eastAsiaTheme="majorEastAsia" w:hAnsi="Arial" w:cstheme="majorBidi"/>
          <w:sz w:val="24"/>
          <w:szCs w:val="24"/>
        </w:rPr>
        <w:t>condicion</w:t>
      </w:r>
      <w:r w:rsidR="00F558B9">
        <w:rPr>
          <w:rFonts w:ascii="Arial" w:eastAsiaTheme="majorEastAsia" w:hAnsi="Arial" w:cstheme="majorBidi"/>
          <w:sz w:val="24"/>
          <w:szCs w:val="24"/>
        </w:rPr>
        <w:t>e</w:t>
      </w:r>
      <w:r w:rsidR="00BB41FE" w:rsidRPr="003D1FBA">
        <w:rPr>
          <w:rFonts w:ascii="Arial" w:eastAsiaTheme="majorEastAsia" w:hAnsi="Arial" w:cstheme="majorBidi"/>
          <w:sz w:val="24"/>
          <w:szCs w:val="24"/>
        </w:rPr>
        <w:t>s de fatiga</w:t>
      </w:r>
      <w:bookmarkStart w:id="8" w:name="_Hlk18581450"/>
      <w:bookmarkEnd w:id="2"/>
      <w:r w:rsidR="005C7778" w:rsidRPr="003D1FBA">
        <w:rPr>
          <w:rFonts w:ascii="Arial" w:eastAsiaTheme="majorEastAsia" w:hAnsi="Arial" w:cstheme="majorBidi"/>
          <w:sz w:val="24"/>
          <w:szCs w:val="24"/>
        </w:rPr>
        <w:t>.</w:t>
      </w:r>
    </w:p>
    <w:p w:rsidR="00103453" w:rsidRPr="003D1FBA" w:rsidRDefault="00F558B9" w:rsidP="00103453">
      <w:pPr>
        <w:spacing w:line="360" w:lineRule="auto"/>
        <w:jc w:val="both"/>
        <w:rPr>
          <w:rFonts w:ascii="Arial" w:eastAsiaTheme="majorEastAsia" w:hAnsi="Arial" w:cstheme="majorBidi"/>
          <w:sz w:val="24"/>
          <w:szCs w:val="24"/>
        </w:rPr>
      </w:pPr>
      <w:r>
        <w:rPr>
          <w:rFonts w:ascii="Arial" w:eastAsiaTheme="majorEastAsia" w:hAnsi="Arial" w:cstheme="majorBidi"/>
          <w:sz w:val="24"/>
          <w:szCs w:val="24"/>
        </w:rPr>
        <w:t xml:space="preserve">El </w:t>
      </w:r>
      <w:r w:rsidR="006F1D3F" w:rsidRPr="003D1FBA">
        <w:rPr>
          <w:rFonts w:ascii="Arial" w:eastAsiaTheme="majorEastAsia" w:hAnsi="Arial" w:cstheme="majorBidi"/>
          <w:sz w:val="24"/>
          <w:szCs w:val="24"/>
        </w:rPr>
        <w:t>objeti</w:t>
      </w:r>
      <w:r>
        <w:rPr>
          <w:rFonts w:ascii="Arial" w:eastAsiaTheme="majorEastAsia" w:hAnsi="Arial" w:cstheme="majorBidi"/>
          <w:sz w:val="24"/>
          <w:szCs w:val="24"/>
        </w:rPr>
        <w:t>vo</w:t>
      </w:r>
      <w:r w:rsidR="006F1D3F" w:rsidRPr="003D1FBA">
        <w:rPr>
          <w:rFonts w:ascii="Arial" w:eastAsiaTheme="majorEastAsia" w:hAnsi="Arial" w:cstheme="majorBidi"/>
          <w:sz w:val="24"/>
          <w:szCs w:val="24"/>
        </w:rPr>
        <w:t xml:space="preserve"> principal d</w:t>
      </w:r>
      <w:r>
        <w:rPr>
          <w:rFonts w:ascii="Arial" w:eastAsiaTheme="majorEastAsia" w:hAnsi="Arial" w:cstheme="majorBidi"/>
          <w:sz w:val="24"/>
          <w:szCs w:val="24"/>
        </w:rPr>
        <w:t xml:space="preserve">e </w:t>
      </w:r>
      <w:r w:rsidR="006F1D3F" w:rsidRPr="003D1FBA">
        <w:rPr>
          <w:rFonts w:ascii="Arial" w:eastAsiaTheme="majorEastAsia" w:hAnsi="Arial" w:cstheme="majorBidi"/>
          <w:sz w:val="24"/>
          <w:szCs w:val="24"/>
        </w:rPr>
        <w:t>est</w:t>
      </w:r>
      <w:r w:rsidR="006D204E" w:rsidRPr="003D1FBA">
        <w:rPr>
          <w:rFonts w:ascii="Arial" w:eastAsiaTheme="majorEastAsia" w:hAnsi="Arial" w:cstheme="majorBidi"/>
          <w:sz w:val="24"/>
          <w:szCs w:val="24"/>
        </w:rPr>
        <w:t>a</w:t>
      </w:r>
      <w:r w:rsidR="006F1D3F" w:rsidRPr="003D1FBA">
        <w:rPr>
          <w:rFonts w:ascii="Arial" w:eastAsiaTheme="majorEastAsia" w:hAnsi="Arial" w:cstheme="majorBidi"/>
          <w:sz w:val="24"/>
          <w:szCs w:val="24"/>
        </w:rPr>
        <w:t xml:space="preserve"> </w:t>
      </w:r>
      <w:r w:rsidR="006D204E" w:rsidRPr="003D1FBA">
        <w:rPr>
          <w:rFonts w:ascii="Arial" w:eastAsiaTheme="majorEastAsia" w:hAnsi="Arial" w:cstheme="majorBidi"/>
          <w:sz w:val="24"/>
          <w:szCs w:val="24"/>
        </w:rPr>
        <w:t>investigació</w:t>
      </w:r>
      <w:r>
        <w:rPr>
          <w:rFonts w:ascii="Arial" w:eastAsiaTheme="majorEastAsia" w:hAnsi="Arial" w:cstheme="majorBidi"/>
          <w:sz w:val="24"/>
          <w:szCs w:val="24"/>
        </w:rPr>
        <w:t>n</w:t>
      </w:r>
      <w:r w:rsidR="006F1D3F" w:rsidRPr="003D1FBA">
        <w:rPr>
          <w:rFonts w:ascii="Arial" w:eastAsiaTheme="majorEastAsia" w:hAnsi="Arial" w:cstheme="majorBidi"/>
          <w:sz w:val="24"/>
          <w:szCs w:val="24"/>
        </w:rPr>
        <w:t xml:space="preserve"> </w:t>
      </w:r>
      <w:r>
        <w:rPr>
          <w:rFonts w:ascii="Arial" w:eastAsiaTheme="majorEastAsia" w:hAnsi="Arial" w:cstheme="majorBidi"/>
          <w:sz w:val="24"/>
          <w:szCs w:val="24"/>
        </w:rPr>
        <w:t>e</w:t>
      </w:r>
      <w:r w:rsidR="00FC4616" w:rsidRPr="003D1FBA">
        <w:rPr>
          <w:rFonts w:ascii="Arial" w:eastAsiaTheme="majorEastAsia" w:hAnsi="Arial" w:cstheme="majorBidi"/>
          <w:sz w:val="24"/>
          <w:szCs w:val="24"/>
        </w:rPr>
        <w:t>s</w:t>
      </w:r>
      <w:r w:rsidR="006F1D3F" w:rsidRPr="003D1FBA">
        <w:rPr>
          <w:rFonts w:ascii="Arial" w:eastAsiaTheme="majorEastAsia" w:hAnsi="Arial" w:cstheme="majorBidi"/>
          <w:sz w:val="24"/>
          <w:szCs w:val="24"/>
        </w:rPr>
        <w:t xml:space="preserve"> estudiar </w:t>
      </w:r>
      <w:r>
        <w:rPr>
          <w:rFonts w:ascii="Arial" w:eastAsiaTheme="majorEastAsia" w:hAnsi="Arial" w:cstheme="majorBidi"/>
          <w:sz w:val="24"/>
          <w:szCs w:val="24"/>
        </w:rPr>
        <w:t>e</w:t>
      </w:r>
      <w:r w:rsidR="006F1D3F" w:rsidRPr="003D1FBA">
        <w:rPr>
          <w:rFonts w:ascii="Arial" w:eastAsiaTheme="majorEastAsia" w:hAnsi="Arial" w:cstheme="majorBidi"/>
          <w:sz w:val="24"/>
          <w:szCs w:val="24"/>
        </w:rPr>
        <w:t>l</w:t>
      </w:r>
      <w:r>
        <w:rPr>
          <w:rFonts w:ascii="Arial" w:eastAsiaTheme="majorEastAsia" w:hAnsi="Arial" w:cstheme="majorBidi"/>
          <w:sz w:val="24"/>
          <w:szCs w:val="24"/>
        </w:rPr>
        <w:t xml:space="preserve"> </w:t>
      </w:r>
      <w:r w:rsidR="006F1D3F" w:rsidRPr="003D1FBA">
        <w:rPr>
          <w:rFonts w:ascii="Arial" w:eastAsiaTheme="majorEastAsia" w:hAnsi="Arial" w:cstheme="majorBidi"/>
          <w:sz w:val="24"/>
          <w:szCs w:val="24"/>
        </w:rPr>
        <w:t>efect</w:t>
      </w:r>
      <w:r>
        <w:rPr>
          <w:rFonts w:ascii="Arial" w:eastAsiaTheme="majorEastAsia" w:hAnsi="Arial" w:cstheme="majorBidi"/>
          <w:sz w:val="24"/>
          <w:szCs w:val="24"/>
        </w:rPr>
        <w:t>o</w:t>
      </w:r>
      <w:r w:rsidR="006F1D3F" w:rsidRPr="003D1FBA">
        <w:rPr>
          <w:rFonts w:ascii="Arial" w:eastAsiaTheme="majorEastAsia" w:hAnsi="Arial" w:cstheme="majorBidi"/>
          <w:sz w:val="24"/>
          <w:szCs w:val="24"/>
        </w:rPr>
        <w:t xml:space="preserve"> de la fatiga neuromuscular </w:t>
      </w:r>
      <w:r w:rsidR="004A1DD7" w:rsidRPr="003D1FBA">
        <w:rPr>
          <w:rFonts w:ascii="Arial" w:eastAsiaTheme="majorEastAsia" w:hAnsi="Arial" w:cstheme="majorBidi"/>
          <w:sz w:val="24"/>
          <w:szCs w:val="24"/>
        </w:rPr>
        <w:t xml:space="preserve">en la </w:t>
      </w:r>
      <w:r>
        <w:rPr>
          <w:rFonts w:ascii="Arial" w:eastAsiaTheme="majorEastAsia" w:hAnsi="Arial" w:cstheme="majorBidi"/>
          <w:sz w:val="24"/>
          <w:szCs w:val="24"/>
        </w:rPr>
        <w:t>Ra</w:t>
      </w:r>
      <w:r w:rsidR="004A1DD7" w:rsidRPr="003D1FBA">
        <w:rPr>
          <w:rFonts w:ascii="Arial" w:eastAsiaTheme="majorEastAsia" w:hAnsi="Arial" w:cstheme="majorBidi"/>
          <w:sz w:val="24"/>
          <w:szCs w:val="24"/>
        </w:rPr>
        <w:t xml:space="preserve">tio I/Q </w:t>
      </w:r>
      <w:r w:rsidR="006F1D3F" w:rsidRPr="003D1FBA">
        <w:rPr>
          <w:rFonts w:ascii="Arial" w:eastAsiaTheme="majorEastAsia" w:hAnsi="Arial" w:cstheme="majorBidi"/>
          <w:sz w:val="24"/>
          <w:szCs w:val="24"/>
        </w:rPr>
        <w:t>en jugador</w:t>
      </w:r>
      <w:r>
        <w:rPr>
          <w:rFonts w:ascii="Arial" w:eastAsiaTheme="majorEastAsia" w:hAnsi="Arial" w:cstheme="majorBidi"/>
          <w:sz w:val="24"/>
          <w:szCs w:val="24"/>
        </w:rPr>
        <w:t>a</w:t>
      </w:r>
      <w:r w:rsidR="006F1D3F" w:rsidRPr="003D1FBA">
        <w:rPr>
          <w:rFonts w:ascii="Arial" w:eastAsiaTheme="majorEastAsia" w:hAnsi="Arial" w:cstheme="majorBidi"/>
          <w:sz w:val="24"/>
          <w:szCs w:val="24"/>
        </w:rPr>
        <w:t xml:space="preserve">s de </w:t>
      </w:r>
      <w:r w:rsidR="00C2275F" w:rsidRPr="003D1FBA">
        <w:rPr>
          <w:rFonts w:ascii="Arial" w:eastAsiaTheme="majorEastAsia" w:hAnsi="Arial" w:cstheme="majorBidi"/>
          <w:sz w:val="24"/>
          <w:szCs w:val="24"/>
        </w:rPr>
        <w:t>ba</w:t>
      </w:r>
      <w:r>
        <w:rPr>
          <w:rFonts w:ascii="Arial" w:eastAsiaTheme="majorEastAsia" w:hAnsi="Arial" w:cstheme="majorBidi"/>
          <w:sz w:val="24"/>
          <w:szCs w:val="24"/>
        </w:rPr>
        <w:t>loncesto</w:t>
      </w:r>
      <w:r w:rsidR="006F1D3F" w:rsidRPr="003D1FBA">
        <w:rPr>
          <w:rFonts w:ascii="Arial" w:eastAsiaTheme="majorEastAsia" w:hAnsi="Arial" w:cstheme="majorBidi"/>
          <w:sz w:val="24"/>
          <w:szCs w:val="24"/>
        </w:rPr>
        <w:t xml:space="preserve"> </w:t>
      </w:r>
      <w:r>
        <w:rPr>
          <w:rFonts w:ascii="Arial" w:eastAsiaTheme="majorEastAsia" w:hAnsi="Arial" w:cstheme="majorBidi"/>
          <w:sz w:val="24"/>
          <w:szCs w:val="24"/>
        </w:rPr>
        <w:t>y</w:t>
      </w:r>
      <w:r w:rsidR="006F1D3F" w:rsidRPr="003D1FBA">
        <w:rPr>
          <w:rFonts w:ascii="Arial" w:eastAsiaTheme="majorEastAsia" w:hAnsi="Arial" w:cstheme="majorBidi"/>
          <w:sz w:val="24"/>
          <w:szCs w:val="24"/>
        </w:rPr>
        <w:t xml:space="preserve"> </w:t>
      </w:r>
      <w:r w:rsidR="00A74BE8">
        <w:rPr>
          <w:rFonts w:ascii="Arial" w:eastAsiaTheme="majorEastAsia" w:hAnsi="Arial" w:cstheme="majorBidi"/>
          <w:sz w:val="24"/>
          <w:szCs w:val="24"/>
        </w:rPr>
        <w:t>balonmano</w:t>
      </w:r>
      <w:r w:rsidR="006F1D3F" w:rsidRPr="003D1FBA">
        <w:rPr>
          <w:rFonts w:ascii="Arial" w:eastAsiaTheme="majorEastAsia" w:hAnsi="Arial" w:cstheme="majorBidi"/>
          <w:sz w:val="24"/>
          <w:szCs w:val="24"/>
        </w:rPr>
        <w:t xml:space="preserve"> adolescent</w:t>
      </w:r>
      <w:r>
        <w:rPr>
          <w:rFonts w:ascii="Arial" w:eastAsiaTheme="majorEastAsia" w:hAnsi="Arial" w:cstheme="majorBidi"/>
          <w:sz w:val="24"/>
          <w:szCs w:val="24"/>
        </w:rPr>
        <w:t>e</w:t>
      </w:r>
      <w:r w:rsidR="006F1D3F" w:rsidRPr="003D1FBA">
        <w:rPr>
          <w:rFonts w:ascii="Arial" w:eastAsiaTheme="majorEastAsia" w:hAnsi="Arial" w:cstheme="majorBidi"/>
          <w:sz w:val="24"/>
          <w:szCs w:val="24"/>
        </w:rPr>
        <w:t>s</w:t>
      </w:r>
      <w:bookmarkEnd w:id="8"/>
      <w:r w:rsidR="00FD1E0D" w:rsidRPr="003D1FBA">
        <w:rPr>
          <w:rFonts w:ascii="Arial" w:eastAsiaTheme="majorEastAsia" w:hAnsi="Arial" w:cstheme="majorBidi"/>
          <w:sz w:val="24"/>
          <w:szCs w:val="24"/>
        </w:rPr>
        <w:t xml:space="preserve">. </w:t>
      </w:r>
      <w:r w:rsidR="00053B6F" w:rsidRPr="003D1FBA">
        <w:rPr>
          <w:rFonts w:ascii="Arial" w:eastAsiaTheme="majorEastAsia" w:hAnsi="Arial" w:cstheme="majorBidi"/>
          <w:sz w:val="24"/>
          <w:szCs w:val="24"/>
        </w:rPr>
        <w:t>Com</w:t>
      </w:r>
      <w:r>
        <w:rPr>
          <w:rFonts w:ascii="Arial" w:eastAsiaTheme="majorEastAsia" w:hAnsi="Arial" w:cstheme="majorBidi"/>
          <w:sz w:val="24"/>
          <w:szCs w:val="24"/>
        </w:rPr>
        <w:t>o</w:t>
      </w:r>
      <w:r w:rsidR="00053B6F" w:rsidRPr="003D1FBA">
        <w:rPr>
          <w:rFonts w:ascii="Arial" w:eastAsiaTheme="majorEastAsia" w:hAnsi="Arial" w:cstheme="majorBidi"/>
          <w:sz w:val="24"/>
          <w:szCs w:val="24"/>
        </w:rPr>
        <w:t xml:space="preserve"> a objeti</w:t>
      </w:r>
      <w:r>
        <w:rPr>
          <w:rFonts w:ascii="Arial" w:eastAsiaTheme="majorEastAsia" w:hAnsi="Arial" w:cstheme="majorBidi"/>
          <w:sz w:val="24"/>
          <w:szCs w:val="24"/>
        </w:rPr>
        <w:t>vo</w:t>
      </w:r>
      <w:r w:rsidR="00053B6F" w:rsidRPr="003D1FBA">
        <w:rPr>
          <w:rFonts w:ascii="Arial" w:eastAsiaTheme="majorEastAsia" w:hAnsi="Arial" w:cstheme="majorBidi"/>
          <w:sz w:val="24"/>
          <w:szCs w:val="24"/>
        </w:rPr>
        <w:t xml:space="preserve"> secund</w:t>
      </w:r>
      <w:r w:rsidR="00443407" w:rsidRPr="003D1FBA">
        <w:rPr>
          <w:rFonts w:ascii="Arial" w:eastAsiaTheme="majorEastAsia" w:hAnsi="Arial" w:cstheme="majorBidi"/>
          <w:sz w:val="24"/>
          <w:szCs w:val="24"/>
        </w:rPr>
        <w:t>a</w:t>
      </w:r>
      <w:r w:rsidR="00053B6F" w:rsidRPr="003D1FBA">
        <w:rPr>
          <w:rFonts w:ascii="Arial" w:eastAsiaTheme="majorEastAsia" w:hAnsi="Arial" w:cstheme="majorBidi"/>
          <w:sz w:val="24"/>
          <w:szCs w:val="24"/>
        </w:rPr>
        <w:t>ri</w:t>
      </w:r>
      <w:r>
        <w:rPr>
          <w:rFonts w:ascii="Arial" w:eastAsiaTheme="majorEastAsia" w:hAnsi="Arial" w:cstheme="majorBidi"/>
          <w:sz w:val="24"/>
          <w:szCs w:val="24"/>
        </w:rPr>
        <w:t>o</w:t>
      </w:r>
      <w:r w:rsidR="00053B6F" w:rsidRPr="003D1FBA">
        <w:rPr>
          <w:rFonts w:ascii="Arial" w:eastAsiaTheme="majorEastAsia" w:hAnsi="Arial" w:cstheme="majorBidi"/>
          <w:sz w:val="24"/>
          <w:szCs w:val="24"/>
        </w:rPr>
        <w:t>,</w:t>
      </w:r>
      <w:r w:rsidR="00FD1E0D" w:rsidRPr="003D1FBA">
        <w:rPr>
          <w:rFonts w:ascii="Arial" w:eastAsiaTheme="majorEastAsia" w:hAnsi="Arial" w:cstheme="majorBidi"/>
          <w:sz w:val="24"/>
          <w:szCs w:val="24"/>
        </w:rPr>
        <w:t xml:space="preserve"> s</w:t>
      </w:r>
      <w:r>
        <w:rPr>
          <w:rFonts w:ascii="Arial" w:eastAsiaTheme="majorEastAsia" w:hAnsi="Arial" w:cstheme="majorBidi"/>
          <w:sz w:val="24"/>
          <w:szCs w:val="24"/>
        </w:rPr>
        <w:t>e</w:t>
      </w:r>
      <w:r w:rsidR="00FD1E0D" w:rsidRPr="003D1FBA">
        <w:rPr>
          <w:rFonts w:ascii="Arial" w:eastAsiaTheme="majorEastAsia" w:hAnsi="Arial" w:cstheme="majorBidi"/>
          <w:sz w:val="24"/>
          <w:szCs w:val="24"/>
        </w:rPr>
        <w:t xml:space="preserve"> </w:t>
      </w:r>
      <w:r>
        <w:rPr>
          <w:rFonts w:ascii="Arial" w:eastAsiaTheme="majorEastAsia" w:hAnsi="Arial" w:cstheme="majorBidi"/>
          <w:sz w:val="24"/>
          <w:szCs w:val="24"/>
        </w:rPr>
        <w:t>quiere</w:t>
      </w:r>
      <w:r w:rsidR="00FC4616" w:rsidRPr="003D1FBA">
        <w:rPr>
          <w:rFonts w:ascii="Arial" w:eastAsiaTheme="majorEastAsia" w:hAnsi="Arial" w:cstheme="majorBidi"/>
          <w:sz w:val="24"/>
          <w:szCs w:val="24"/>
        </w:rPr>
        <w:t xml:space="preserve"> investigar c</w:t>
      </w:r>
      <w:r>
        <w:rPr>
          <w:rFonts w:ascii="Arial" w:eastAsiaTheme="majorEastAsia" w:hAnsi="Arial" w:cstheme="majorBidi"/>
          <w:sz w:val="24"/>
          <w:szCs w:val="24"/>
        </w:rPr>
        <w:t>ó</w:t>
      </w:r>
      <w:r w:rsidR="00FC4616" w:rsidRPr="003D1FBA">
        <w:rPr>
          <w:rFonts w:ascii="Arial" w:eastAsiaTheme="majorEastAsia" w:hAnsi="Arial" w:cstheme="majorBidi"/>
          <w:sz w:val="24"/>
          <w:szCs w:val="24"/>
        </w:rPr>
        <w:t>m</w:t>
      </w:r>
      <w:r>
        <w:rPr>
          <w:rFonts w:ascii="Arial" w:eastAsiaTheme="majorEastAsia" w:hAnsi="Arial" w:cstheme="majorBidi"/>
          <w:sz w:val="24"/>
          <w:szCs w:val="24"/>
        </w:rPr>
        <w:t>o</w:t>
      </w:r>
      <w:r w:rsidR="00FC4616" w:rsidRPr="003D1FBA">
        <w:rPr>
          <w:rFonts w:ascii="Arial" w:eastAsiaTheme="majorEastAsia" w:hAnsi="Arial" w:cstheme="majorBidi"/>
          <w:sz w:val="24"/>
          <w:szCs w:val="24"/>
        </w:rPr>
        <w:t xml:space="preserve"> afecta la fatiga neuromuscular en la f</w:t>
      </w:r>
      <w:r>
        <w:rPr>
          <w:rFonts w:ascii="Arial" w:eastAsiaTheme="majorEastAsia" w:hAnsi="Arial" w:cstheme="majorBidi"/>
          <w:sz w:val="24"/>
          <w:szCs w:val="24"/>
        </w:rPr>
        <w:t xml:space="preserve">uerza </w:t>
      </w:r>
      <w:r w:rsidR="00FC4616" w:rsidRPr="003D1FBA">
        <w:rPr>
          <w:rFonts w:ascii="Arial" w:eastAsiaTheme="majorEastAsia" w:hAnsi="Arial" w:cstheme="majorBidi"/>
          <w:sz w:val="24"/>
          <w:szCs w:val="24"/>
        </w:rPr>
        <w:t>m</w:t>
      </w:r>
      <w:r>
        <w:rPr>
          <w:rFonts w:ascii="Arial" w:eastAsiaTheme="majorEastAsia" w:hAnsi="Arial" w:cstheme="majorBidi"/>
          <w:sz w:val="24"/>
          <w:szCs w:val="24"/>
        </w:rPr>
        <w:t>á</w:t>
      </w:r>
      <w:r w:rsidR="00FC4616" w:rsidRPr="003D1FBA">
        <w:rPr>
          <w:rFonts w:ascii="Arial" w:eastAsiaTheme="majorEastAsia" w:hAnsi="Arial" w:cstheme="majorBidi"/>
          <w:sz w:val="24"/>
          <w:szCs w:val="24"/>
        </w:rPr>
        <w:t>xima isom</w:t>
      </w:r>
      <w:r>
        <w:rPr>
          <w:rFonts w:ascii="Arial" w:eastAsiaTheme="majorEastAsia" w:hAnsi="Arial" w:cstheme="majorBidi"/>
          <w:sz w:val="24"/>
          <w:szCs w:val="24"/>
        </w:rPr>
        <w:t>é</w:t>
      </w:r>
      <w:r w:rsidR="00FC4616" w:rsidRPr="003D1FBA">
        <w:rPr>
          <w:rFonts w:ascii="Arial" w:eastAsiaTheme="majorEastAsia" w:hAnsi="Arial" w:cstheme="majorBidi"/>
          <w:sz w:val="24"/>
          <w:szCs w:val="24"/>
        </w:rPr>
        <w:t xml:space="preserve">trica de </w:t>
      </w:r>
      <w:r>
        <w:rPr>
          <w:rFonts w:ascii="Arial" w:eastAsiaTheme="majorEastAsia" w:hAnsi="Arial" w:cstheme="majorBidi"/>
          <w:sz w:val="24"/>
          <w:szCs w:val="24"/>
        </w:rPr>
        <w:t>c</w:t>
      </w:r>
      <w:r w:rsidR="00FC4616" w:rsidRPr="003D1FBA">
        <w:rPr>
          <w:rFonts w:ascii="Arial" w:eastAsiaTheme="majorEastAsia" w:hAnsi="Arial" w:cstheme="majorBidi"/>
          <w:sz w:val="24"/>
          <w:szCs w:val="24"/>
        </w:rPr>
        <w:t>u</w:t>
      </w:r>
      <w:r>
        <w:rPr>
          <w:rFonts w:ascii="Arial" w:eastAsiaTheme="majorEastAsia" w:hAnsi="Arial" w:cstheme="majorBidi"/>
          <w:sz w:val="24"/>
          <w:szCs w:val="24"/>
        </w:rPr>
        <w:t>á</w:t>
      </w:r>
      <w:r w:rsidR="00FC4616" w:rsidRPr="003D1FBA">
        <w:rPr>
          <w:rFonts w:ascii="Arial" w:eastAsiaTheme="majorEastAsia" w:hAnsi="Arial" w:cstheme="majorBidi"/>
          <w:sz w:val="24"/>
          <w:szCs w:val="24"/>
        </w:rPr>
        <w:t xml:space="preserve">driceps </w:t>
      </w:r>
      <w:r>
        <w:rPr>
          <w:rFonts w:ascii="Arial" w:eastAsiaTheme="majorEastAsia" w:hAnsi="Arial" w:cstheme="majorBidi"/>
          <w:sz w:val="24"/>
          <w:szCs w:val="24"/>
        </w:rPr>
        <w:t>e</w:t>
      </w:r>
      <w:r w:rsidR="00FC4616" w:rsidRPr="003D1FBA">
        <w:rPr>
          <w:rFonts w:ascii="Arial" w:eastAsiaTheme="majorEastAsia" w:hAnsi="Arial" w:cstheme="majorBidi"/>
          <w:sz w:val="24"/>
          <w:szCs w:val="24"/>
        </w:rPr>
        <w:t xml:space="preserve"> isquiosural</w:t>
      </w:r>
      <w:r>
        <w:rPr>
          <w:rFonts w:ascii="Arial" w:eastAsiaTheme="majorEastAsia" w:hAnsi="Arial" w:cstheme="majorBidi"/>
          <w:sz w:val="24"/>
          <w:szCs w:val="24"/>
        </w:rPr>
        <w:t>e</w:t>
      </w:r>
      <w:r w:rsidR="00FC4616" w:rsidRPr="003D1FBA">
        <w:rPr>
          <w:rFonts w:ascii="Arial" w:eastAsiaTheme="majorEastAsia" w:hAnsi="Arial" w:cstheme="majorBidi"/>
          <w:sz w:val="24"/>
          <w:szCs w:val="24"/>
        </w:rPr>
        <w:t>s.</w:t>
      </w:r>
    </w:p>
    <w:p w:rsidR="00315369" w:rsidRPr="003D1FBA" w:rsidRDefault="00315369" w:rsidP="00893DC5">
      <w:pPr>
        <w:pStyle w:val="Ttol1"/>
        <w:spacing w:line="360" w:lineRule="auto"/>
        <w:jc w:val="center"/>
      </w:pPr>
      <w:bookmarkStart w:id="9" w:name="_Toc20417702"/>
      <w:r w:rsidRPr="003D1FBA">
        <w:t xml:space="preserve">Material </w:t>
      </w:r>
      <w:r w:rsidR="00F558B9">
        <w:t>y</w:t>
      </w:r>
      <w:r w:rsidRPr="003D1FBA">
        <w:t xml:space="preserve"> M</w:t>
      </w:r>
      <w:r w:rsidR="00F558B9">
        <w:t>é</w:t>
      </w:r>
      <w:r w:rsidRPr="003D1FBA">
        <w:t>tod</w:t>
      </w:r>
      <w:r w:rsidR="00F558B9">
        <w:t>o</w:t>
      </w:r>
      <w:r w:rsidRPr="003D1FBA">
        <w:t>s</w:t>
      </w:r>
      <w:bookmarkEnd w:id="9"/>
    </w:p>
    <w:p w:rsidR="00652C28" w:rsidRPr="003D1FBA" w:rsidRDefault="005B440E" w:rsidP="00D57717">
      <w:pPr>
        <w:pStyle w:val="Ttol2"/>
        <w:spacing w:line="360" w:lineRule="auto"/>
        <w:jc w:val="both"/>
      </w:pPr>
      <w:bookmarkStart w:id="10" w:name="_Toc20417703"/>
      <w:r>
        <w:t>Dise</w:t>
      </w:r>
      <w:r w:rsidR="00F558B9">
        <w:t>ño</w:t>
      </w:r>
      <w:r w:rsidR="00652C28" w:rsidRPr="003D1FBA">
        <w:t xml:space="preserve"> de</w:t>
      </w:r>
      <w:r w:rsidR="00F558B9">
        <w:t>l</w:t>
      </w:r>
      <w:r w:rsidR="00652C28" w:rsidRPr="003D1FBA">
        <w:t xml:space="preserve"> estudi</w:t>
      </w:r>
      <w:bookmarkEnd w:id="10"/>
      <w:r w:rsidR="00F558B9">
        <w:t>o</w:t>
      </w:r>
    </w:p>
    <w:p w:rsidR="0081498D" w:rsidRPr="003D1FBA" w:rsidRDefault="005B440E" w:rsidP="00C25E21">
      <w:pPr>
        <w:spacing w:line="360" w:lineRule="auto"/>
        <w:jc w:val="both"/>
        <w:rPr>
          <w:rFonts w:ascii="Arial" w:eastAsiaTheme="majorEastAsia" w:hAnsi="Arial" w:cs="Arial"/>
          <w:bCs/>
          <w:sz w:val="24"/>
          <w:szCs w:val="24"/>
        </w:rPr>
      </w:pPr>
      <w:r>
        <w:rPr>
          <w:rFonts w:ascii="Arial" w:eastAsiaTheme="majorEastAsia" w:hAnsi="Arial" w:cs="Arial"/>
          <w:bCs/>
          <w:sz w:val="24"/>
          <w:szCs w:val="24"/>
        </w:rPr>
        <w:t>Para poder dar respuesta a los objetivos del estudio, se</w:t>
      </w:r>
      <w:r w:rsidR="0081498D" w:rsidRPr="003D1FBA">
        <w:rPr>
          <w:rFonts w:ascii="Arial" w:eastAsiaTheme="majorEastAsia" w:hAnsi="Arial" w:cs="Arial"/>
          <w:bCs/>
          <w:sz w:val="24"/>
          <w:szCs w:val="24"/>
        </w:rPr>
        <w:t xml:space="preserve"> utiliz</w:t>
      </w:r>
      <w:r>
        <w:rPr>
          <w:rFonts w:ascii="Arial" w:eastAsiaTheme="majorEastAsia" w:hAnsi="Arial" w:cs="Arial"/>
          <w:bCs/>
          <w:sz w:val="24"/>
          <w:szCs w:val="24"/>
        </w:rPr>
        <w:t>ó</w:t>
      </w:r>
      <w:r w:rsidR="0081498D" w:rsidRPr="003D1FBA">
        <w:rPr>
          <w:rFonts w:ascii="Arial" w:eastAsiaTheme="majorEastAsia" w:hAnsi="Arial" w:cs="Arial"/>
          <w:bCs/>
          <w:sz w:val="24"/>
          <w:szCs w:val="24"/>
        </w:rPr>
        <w:t xml:space="preserve"> un dis</w:t>
      </w:r>
      <w:r>
        <w:rPr>
          <w:rFonts w:ascii="Arial" w:eastAsiaTheme="majorEastAsia" w:hAnsi="Arial" w:cs="Arial"/>
          <w:bCs/>
          <w:sz w:val="24"/>
          <w:szCs w:val="24"/>
        </w:rPr>
        <w:t>eño</w:t>
      </w:r>
      <w:r w:rsidR="00C25E21" w:rsidRPr="003D1FBA">
        <w:rPr>
          <w:rFonts w:ascii="Arial" w:eastAsiaTheme="majorEastAsia" w:hAnsi="Arial" w:cs="Arial"/>
          <w:bCs/>
          <w:sz w:val="24"/>
          <w:szCs w:val="24"/>
        </w:rPr>
        <w:t xml:space="preserve"> experimental </w:t>
      </w:r>
      <w:r w:rsidR="002B7938" w:rsidRPr="003D1FBA">
        <w:rPr>
          <w:rFonts w:ascii="Arial" w:eastAsiaTheme="majorEastAsia" w:hAnsi="Arial" w:cs="Arial"/>
          <w:bCs/>
          <w:sz w:val="24"/>
          <w:szCs w:val="24"/>
        </w:rPr>
        <w:t>prospecti</w:t>
      </w:r>
      <w:r>
        <w:rPr>
          <w:rFonts w:ascii="Arial" w:eastAsiaTheme="majorEastAsia" w:hAnsi="Arial" w:cs="Arial"/>
          <w:bCs/>
          <w:sz w:val="24"/>
          <w:szCs w:val="24"/>
        </w:rPr>
        <w:t>vo</w:t>
      </w:r>
      <w:r w:rsidR="002B7938" w:rsidRPr="003D1FBA">
        <w:rPr>
          <w:rFonts w:ascii="Arial" w:eastAsiaTheme="majorEastAsia" w:hAnsi="Arial" w:cs="Arial"/>
          <w:bCs/>
          <w:sz w:val="24"/>
          <w:szCs w:val="24"/>
        </w:rPr>
        <w:t xml:space="preserve"> </w:t>
      </w:r>
      <w:r w:rsidR="00C25E21" w:rsidRPr="003D1FBA">
        <w:rPr>
          <w:rFonts w:ascii="Arial" w:eastAsiaTheme="majorEastAsia" w:hAnsi="Arial" w:cs="Arial"/>
          <w:bCs/>
          <w:sz w:val="24"/>
          <w:szCs w:val="24"/>
        </w:rPr>
        <w:t>pre-post intervenció</w:t>
      </w:r>
      <w:r>
        <w:rPr>
          <w:rFonts w:ascii="Arial" w:eastAsiaTheme="majorEastAsia" w:hAnsi="Arial" w:cs="Arial"/>
          <w:bCs/>
          <w:sz w:val="24"/>
          <w:szCs w:val="24"/>
        </w:rPr>
        <w:t>n.</w:t>
      </w:r>
      <w:r w:rsidR="0081498D" w:rsidRPr="003D1FBA">
        <w:rPr>
          <w:rFonts w:ascii="Arial" w:eastAsiaTheme="majorEastAsia" w:hAnsi="Arial" w:cs="Arial"/>
          <w:bCs/>
          <w:sz w:val="24"/>
          <w:szCs w:val="24"/>
        </w:rPr>
        <w:t xml:space="preserve"> </w:t>
      </w:r>
      <w:r>
        <w:rPr>
          <w:rFonts w:ascii="Arial" w:eastAsiaTheme="majorEastAsia" w:hAnsi="Arial" w:cs="Arial"/>
          <w:bCs/>
          <w:sz w:val="24"/>
          <w:szCs w:val="24"/>
        </w:rPr>
        <w:t>Se</w:t>
      </w:r>
      <w:r w:rsidR="0081498D" w:rsidRPr="003D1FBA">
        <w:rPr>
          <w:rFonts w:ascii="Arial" w:eastAsiaTheme="majorEastAsia" w:hAnsi="Arial" w:cs="Arial"/>
          <w:bCs/>
          <w:sz w:val="24"/>
          <w:szCs w:val="24"/>
        </w:rPr>
        <w:t xml:space="preserve"> compar</w:t>
      </w:r>
      <w:r>
        <w:rPr>
          <w:rFonts w:ascii="Arial" w:eastAsiaTheme="majorEastAsia" w:hAnsi="Arial" w:cs="Arial"/>
          <w:bCs/>
          <w:sz w:val="24"/>
          <w:szCs w:val="24"/>
        </w:rPr>
        <w:t>ó</w:t>
      </w:r>
      <w:r w:rsidR="0081498D" w:rsidRPr="003D1FBA">
        <w:rPr>
          <w:rFonts w:ascii="Arial" w:eastAsiaTheme="majorEastAsia" w:hAnsi="Arial" w:cs="Arial"/>
          <w:bCs/>
          <w:sz w:val="24"/>
          <w:szCs w:val="24"/>
        </w:rPr>
        <w:t xml:space="preserve"> la R</w:t>
      </w:r>
      <w:r>
        <w:rPr>
          <w:rFonts w:ascii="Arial" w:eastAsiaTheme="majorEastAsia" w:hAnsi="Arial" w:cs="Arial"/>
          <w:bCs/>
          <w:sz w:val="24"/>
          <w:szCs w:val="24"/>
        </w:rPr>
        <w:t>a</w:t>
      </w:r>
      <w:r w:rsidR="0081498D" w:rsidRPr="003D1FBA">
        <w:rPr>
          <w:rFonts w:ascii="Arial" w:eastAsiaTheme="majorEastAsia" w:hAnsi="Arial" w:cs="Arial"/>
          <w:bCs/>
          <w:sz w:val="24"/>
          <w:szCs w:val="24"/>
        </w:rPr>
        <w:t xml:space="preserve">tio I/Q </w:t>
      </w:r>
      <w:r>
        <w:rPr>
          <w:rFonts w:ascii="Arial" w:eastAsiaTheme="majorEastAsia" w:hAnsi="Arial" w:cs="Arial"/>
          <w:bCs/>
          <w:sz w:val="24"/>
          <w:szCs w:val="24"/>
        </w:rPr>
        <w:t>y</w:t>
      </w:r>
      <w:r w:rsidR="0081498D" w:rsidRPr="003D1FBA">
        <w:rPr>
          <w:rFonts w:ascii="Arial" w:eastAsiaTheme="majorEastAsia" w:hAnsi="Arial" w:cs="Arial"/>
          <w:bCs/>
          <w:sz w:val="24"/>
          <w:szCs w:val="24"/>
        </w:rPr>
        <w:t xml:space="preserve"> la f</w:t>
      </w:r>
      <w:r>
        <w:rPr>
          <w:rFonts w:ascii="Arial" w:eastAsiaTheme="majorEastAsia" w:hAnsi="Arial" w:cs="Arial"/>
          <w:bCs/>
          <w:sz w:val="24"/>
          <w:szCs w:val="24"/>
        </w:rPr>
        <w:t>uerz</w:t>
      </w:r>
      <w:r w:rsidR="0081498D" w:rsidRPr="003D1FBA">
        <w:rPr>
          <w:rFonts w:ascii="Arial" w:eastAsiaTheme="majorEastAsia" w:hAnsi="Arial" w:cs="Arial"/>
          <w:bCs/>
          <w:sz w:val="24"/>
          <w:szCs w:val="24"/>
        </w:rPr>
        <w:t>a muscular isom</w:t>
      </w:r>
      <w:r>
        <w:rPr>
          <w:rFonts w:ascii="Arial" w:eastAsiaTheme="majorEastAsia" w:hAnsi="Arial" w:cs="Arial"/>
          <w:bCs/>
          <w:sz w:val="24"/>
          <w:szCs w:val="24"/>
        </w:rPr>
        <w:t>é</w:t>
      </w:r>
      <w:r w:rsidR="0081498D" w:rsidRPr="003D1FBA">
        <w:rPr>
          <w:rFonts w:ascii="Arial" w:eastAsiaTheme="majorEastAsia" w:hAnsi="Arial" w:cs="Arial"/>
          <w:bCs/>
          <w:sz w:val="24"/>
          <w:szCs w:val="24"/>
        </w:rPr>
        <w:t>trica m</w:t>
      </w:r>
      <w:r>
        <w:rPr>
          <w:rFonts w:ascii="Arial" w:eastAsiaTheme="majorEastAsia" w:hAnsi="Arial" w:cs="Arial"/>
          <w:bCs/>
          <w:sz w:val="24"/>
          <w:szCs w:val="24"/>
        </w:rPr>
        <w:t>á</w:t>
      </w:r>
      <w:r w:rsidR="0081498D" w:rsidRPr="003D1FBA">
        <w:rPr>
          <w:rFonts w:ascii="Arial" w:eastAsiaTheme="majorEastAsia" w:hAnsi="Arial" w:cs="Arial"/>
          <w:bCs/>
          <w:sz w:val="24"/>
          <w:szCs w:val="24"/>
        </w:rPr>
        <w:t>xima pr</w:t>
      </w:r>
      <w:r>
        <w:rPr>
          <w:rFonts w:ascii="Arial" w:eastAsiaTheme="majorEastAsia" w:hAnsi="Arial" w:cs="Arial"/>
          <w:bCs/>
          <w:sz w:val="24"/>
          <w:szCs w:val="24"/>
        </w:rPr>
        <w:t>e</w:t>
      </w:r>
      <w:r w:rsidR="0081498D" w:rsidRPr="003D1FBA">
        <w:rPr>
          <w:rFonts w:ascii="Arial" w:eastAsiaTheme="majorEastAsia" w:hAnsi="Arial" w:cs="Arial"/>
          <w:bCs/>
          <w:sz w:val="24"/>
          <w:szCs w:val="24"/>
        </w:rPr>
        <w:t xml:space="preserve">via </w:t>
      </w:r>
      <w:r>
        <w:rPr>
          <w:rFonts w:ascii="Arial" w:eastAsiaTheme="majorEastAsia" w:hAnsi="Arial" w:cs="Arial"/>
          <w:bCs/>
          <w:sz w:val="24"/>
          <w:szCs w:val="24"/>
        </w:rPr>
        <w:t>y</w:t>
      </w:r>
      <w:r w:rsidR="0081498D" w:rsidRPr="003D1FBA">
        <w:rPr>
          <w:rFonts w:ascii="Arial" w:eastAsiaTheme="majorEastAsia" w:hAnsi="Arial" w:cs="Arial"/>
          <w:bCs/>
          <w:sz w:val="24"/>
          <w:szCs w:val="24"/>
        </w:rPr>
        <w:t xml:space="preserve"> posterior a</w:t>
      </w:r>
      <w:r w:rsidR="00A67123" w:rsidRPr="003D1FBA">
        <w:rPr>
          <w:rFonts w:ascii="Arial" w:eastAsiaTheme="majorEastAsia" w:hAnsi="Arial" w:cs="Arial"/>
          <w:bCs/>
          <w:sz w:val="24"/>
          <w:szCs w:val="24"/>
        </w:rPr>
        <w:t xml:space="preserve"> </w:t>
      </w:r>
      <w:r>
        <w:rPr>
          <w:rFonts w:ascii="Arial" w:eastAsiaTheme="majorEastAsia" w:hAnsi="Arial" w:cs="Arial"/>
          <w:bCs/>
          <w:sz w:val="24"/>
          <w:szCs w:val="24"/>
        </w:rPr>
        <w:t>un</w:t>
      </w:r>
      <w:r w:rsidR="0081498D" w:rsidRPr="003D1FBA">
        <w:rPr>
          <w:rFonts w:ascii="Arial" w:eastAsiaTheme="majorEastAsia" w:hAnsi="Arial" w:cs="Arial"/>
          <w:bCs/>
          <w:sz w:val="24"/>
          <w:szCs w:val="24"/>
        </w:rPr>
        <w:t xml:space="preserve"> test </w:t>
      </w:r>
      <w:r w:rsidR="00A67123" w:rsidRPr="003D1FBA">
        <w:rPr>
          <w:rFonts w:ascii="Arial" w:eastAsiaTheme="majorEastAsia" w:hAnsi="Arial" w:cs="Arial"/>
          <w:bCs/>
          <w:sz w:val="24"/>
          <w:szCs w:val="24"/>
        </w:rPr>
        <w:t>de fatiga intermitent</w:t>
      </w:r>
      <w:r>
        <w:rPr>
          <w:rFonts w:ascii="Arial" w:eastAsiaTheme="majorEastAsia" w:hAnsi="Arial" w:cs="Arial"/>
          <w:bCs/>
          <w:sz w:val="24"/>
          <w:szCs w:val="24"/>
        </w:rPr>
        <w:t>e</w:t>
      </w:r>
      <w:r w:rsidR="0081498D" w:rsidRPr="003D1FBA">
        <w:rPr>
          <w:rFonts w:ascii="Arial" w:eastAsiaTheme="majorEastAsia" w:hAnsi="Arial" w:cs="Arial"/>
          <w:bCs/>
          <w:sz w:val="24"/>
          <w:szCs w:val="24"/>
        </w:rPr>
        <w:t xml:space="preserve"> en un grup</w:t>
      </w:r>
      <w:r>
        <w:rPr>
          <w:rFonts w:ascii="Arial" w:eastAsiaTheme="majorEastAsia" w:hAnsi="Arial" w:cs="Arial"/>
          <w:bCs/>
          <w:sz w:val="24"/>
          <w:szCs w:val="24"/>
        </w:rPr>
        <w:t>o</w:t>
      </w:r>
      <w:r w:rsidR="0081498D" w:rsidRPr="003D1FBA">
        <w:rPr>
          <w:rFonts w:ascii="Arial" w:eastAsiaTheme="majorEastAsia" w:hAnsi="Arial" w:cs="Arial"/>
          <w:bCs/>
          <w:sz w:val="24"/>
          <w:szCs w:val="24"/>
        </w:rPr>
        <w:t xml:space="preserve"> de jugador</w:t>
      </w:r>
      <w:r>
        <w:rPr>
          <w:rFonts w:ascii="Arial" w:eastAsiaTheme="majorEastAsia" w:hAnsi="Arial" w:cs="Arial"/>
          <w:bCs/>
          <w:sz w:val="24"/>
          <w:szCs w:val="24"/>
        </w:rPr>
        <w:t>a</w:t>
      </w:r>
      <w:r w:rsidR="0081498D" w:rsidRPr="003D1FBA">
        <w:rPr>
          <w:rFonts w:ascii="Arial" w:eastAsiaTheme="majorEastAsia" w:hAnsi="Arial" w:cs="Arial"/>
          <w:bCs/>
          <w:sz w:val="24"/>
          <w:szCs w:val="24"/>
        </w:rPr>
        <w:t>s de bal</w:t>
      </w:r>
      <w:r>
        <w:rPr>
          <w:rFonts w:ascii="Arial" w:eastAsiaTheme="majorEastAsia" w:hAnsi="Arial" w:cs="Arial"/>
          <w:bCs/>
          <w:sz w:val="24"/>
          <w:szCs w:val="24"/>
        </w:rPr>
        <w:t>oncesto</w:t>
      </w:r>
      <w:r w:rsidR="0081498D" w:rsidRPr="003D1FBA">
        <w:rPr>
          <w:rFonts w:ascii="Arial" w:eastAsiaTheme="majorEastAsia" w:hAnsi="Arial" w:cs="Arial"/>
          <w:bCs/>
          <w:sz w:val="24"/>
          <w:szCs w:val="24"/>
        </w:rPr>
        <w:t xml:space="preserve"> </w:t>
      </w:r>
      <w:r>
        <w:rPr>
          <w:rFonts w:ascii="Arial" w:eastAsiaTheme="majorEastAsia" w:hAnsi="Arial" w:cs="Arial"/>
          <w:bCs/>
          <w:sz w:val="24"/>
          <w:szCs w:val="24"/>
        </w:rPr>
        <w:t>y</w:t>
      </w:r>
      <w:r w:rsidR="0081498D" w:rsidRPr="003D1FBA">
        <w:rPr>
          <w:rFonts w:ascii="Arial" w:eastAsiaTheme="majorEastAsia" w:hAnsi="Arial" w:cs="Arial"/>
          <w:bCs/>
          <w:sz w:val="24"/>
          <w:szCs w:val="24"/>
        </w:rPr>
        <w:t xml:space="preserve"> </w:t>
      </w:r>
      <w:r w:rsidR="00814891">
        <w:rPr>
          <w:rFonts w:ascii="Arial" w:eastAsiaTheme="majorEastAsia" w:hAnsi="Arial" w:cs="Arial"/>
          <w:bCs/>
          <w:sz w:val="24"/>
          <w:szCs w:val="24"/>
        </w:rPr>
        <w:t>de balonmano</w:t>
      </w:r>
      <w:r w:rsidR="0081498D" w:rsidRPr="003D1FBA">
        <w:rPr>
          <w:rFonts w:ascii="Arial" w:eastAsiaTheme="majorEastAsia" w:hAnsi="Arial" w:cs="Arial"/>
          <w:bCs/>
          <w:sz w:val="24"/>
          <w:szCs w:val="24"/>
        </w:rPr>
        <w:t xml:space="preserve"> </w:t>
      </w:r>
      <w:r w:rsidR="0081498D" w:rsidRPr="003D1FBA">
        <w:rPr>
          <w:rFonts w:ascii="Arial" w:eastAsiaTheme="majorEastAsia" w:hAnsi="Arial" w:cs="Arial"/>
          <w:bCs/>
          <w:sz w:val="24"/>
          <w:szCs w:val="24"/>
        </w:rPr>
        <w:lastRenderedPageBreak/>
        <w:t>adolescent</w:t>
      </w:r>
      <w:r>
        <w:rPr>
          <w:rFonts w:ascii="Arial" w:eastAsiaTheme="majorEastAsia" w:hAnsi="Arial" w:cs="Arial"/>
          <w:bCs/>
          <w:sz w:val="24"/>
          <w:szCs w:val="24"/>
        </w:rPr>
        <w:t>e</w:t>
      </w:r>
      <w:r w:rsidR="0081498D" w:rsidRPr="003D1FBA">
        <w:rPr>
          <w:rFonts w:ascii="Arial" w:eastAsiaTheme="majorEastAsia" w:hAnsi="Arial" w:cs="Arial"/>
          <w:bCs/>
          <w:sz w:val="24"/>
          <w:szCs w:val="24"/>
        </w:rPr>
        <w:t>s d</w:t>
      </w:r>
      <w:r>
        <w:rPr>
          <w:rFonts w:ascii="Arial" w:eastAsiaTheme="majorEastAsia" w:hAnsi="Arial" w:cs="Arial"/>
          <w:bCs/>
          <w:sz w:val="24"/>
          <w:szCs w:val="24"/>
        </w:rPr>
        <w:t xml:space="preserve">a </w:t>
      </w:r>
      <w:r w:rsidR="0081498D" w:rsidRPr="003D1FBA">
        <w:rPr>
          <w:rFonts w:ascii="Arial" w:eastAsiaTheme="majorEastAsia" w:hAnsi="Arial" w:cs="Arial"/>
          <w:bCs/>
          <w:sz w:val="24"/>
          <w:szCs w:val="24"/>
        </w:rPr>
        <w:t>alt</w:t>
      </w:r>
      <w:r>
        <w:rPr>
          <w:rFonts w:ascii="Arial" w:eastAsiaTheme="majorEastAsia" w:hAnsi="Arial" w:cs="Arial"/>
          <w:bCs/>
          <w:sz w:val="24"/>
          <w:szCs w:val="24"/>
        </w:rPr>
        <w:t>o</w:t>
      </w:r>
      <w:r w:rsidR="0081498D" w:rsidRPr="003D1FBA">
        <w:rPr>
          <w:rFonts w:ascii="Arial" w:eastAsiaTheme="majorEastAsia" w:hAnsi="Arial" w:cs="Arial"/>
          <w:bCs/>
          <w:sz w:val="24"/>
          <w:szCs w:val="24"/>
        </w:rPr>
        <w:t xml:space="preserve"> rendim</w:t>
      </w:r>
      <w:r>
        <w:rPr>
          <w:rFonts w:ascii="Arial" w:eastAsiaTheme="majorEastAsia" w:hAnsi="Arial" w:cs="Arial"/>
          <w:bCs/>
          <w:sz w:val="24"/>
          <w:szCs w:val="24"/>
        </w:rPr>
        <w:t>i</w:t>
      </w:r>
      <w:r w:rsidR="0081498D" w:rsidRPr="003D1FBA">
        <w:rPr>
          <w:rFonts w:ascii="Arial" w:eastAsiaTheme="majorEastAsia" w:hAnsi="Arial" w:cs="Arial"/>
          <w:bCs/>
          <w:sz w:val="24"/>
          <w:szCs w:val="24"/>
        </w:rPr>
        <w:t>ent</w:t>
      </w:r>
      <w:r>
        <w:rPr>
          <w:rFonts w:ascii="Arial" w:eastAsiaTheme="majorEastAsia" w:hAnsi="Arial" w:cs="Arial"/>
          <w:bCs/>
          <w:sz w:val="24"/>
          <w:szCs w:val="24"/>
        </w:rPr>
        <w:t>o</w:t>
      </w:r>
      <w:r w:rsidR="0081498D" w:rsidRPr="003D1FBA">
        <w:rPr>
          <w:rFonts w:ascii="Arial" w:eastAsiaTheme="majorEastAsia" w:hAnsi="Arial" w:cs="Arial"/>
          <w:bCs/>
          <w:sz w:val="24"/>
          <w:szCs w:val="24"/>
        </w:rPr>
        <w:t>. El test</w:t>
      </w:r>
      <w:r w:rsidR="00A67123" w:rsidRPr="003D1FBA">
        <w:rPr>
          <w:rFonts w:ascii="Arial" w:eastAsiaTheme="majorEastAsia" w:hAnsi="Arial" w:cs="Arial"/>
          <w:bCs/>
          <w:sz w:val="24"/>
          <w:szCs w:val="24"/>
        </w:rPr>
        <w:t xml:space="preserve"> de f</w:t>
      </w:r>
      <w:r>
        <w:rPr>
          <w:rFonts w:ascii="Arial" w:eastAsiaTheme="majorEastAsia" w:hAnsi="Arial" w:cs="Arial"/>
          <w:bCs/>
          <w:sz w:val="24"/>
          <w:szCs w:val="24"/>
        </w:rPr>
        <w:t>uerz</w:t>
      </w:r>
      <w:r w:rsidR="00A67123" w:rsidRPr="003D1FBA">
        <w:rPr>
          <w:rFonts w:ascii="Arial" w:eastAsiaTheme="majorEastAsia" w:hAnsi="Arial" w:cs="Arial"/>
          <w:bCs/>
          <w:sz w:val="24"/>
          <w:szCs w:val="24"/>
        </w:rPr>
        <w:t>a</w:t>
      </w:r>
      <w:r w:rsidR="0081498D" w:rsidRPr="003D1FBA">
        <w:rPr>
          <w:rFonts w:ascii="Arial" w:eastAsiaTheme="majorEastAsia" w:hAnsi="Arial" w:cs="Arial"/>
          <w:bCs/>
          <w:sz w:val="24"/>
          <w:szCs w:val="24"/>
        </w:rPr>
        <w:t xml:space="preserve"> reali</w:t>
      </w:r>
      <w:r>
        <w:rPr>
          <w:rFonts w:ascii="Arial" w:eastAsiaTheme="majorEastAsia" w:hAnsi="Arial" w:cs="Arial"/>
          <w:bCs/>
          <w:sz w:val="24"/>
          <w:szCs w:val="24"/>
        </w:rPr>
        <w:t>zado</w:t>
      </w:r>
      <w:r w:rsidR="0081498D" w:rsidRPr="003D1FBA">
        <w:rPr>
          <w:rFonts w:ascii="Arial" w:eastAsiaTheme="majorEastAsia" w:hAnsi="Arial" w:cs="Arial"/>
          <w:bCs/>
          <w:sz w:val="24"/>
          <w:szCs w:val="24"/>
        </w:rPr>
        <w:t xml:space="preserve"> </w:t>
      </w:r>
      <w:r w:rsidR="00117021">
        <w:rPr>
          <w:rFonts w:ascii="Arial" w:eastAsiaTheme="majorEastAsia" w:hAnsi="Arial" w:cs="Arial"/>
          <w:bCs/>
          <w:sz w:val="24"/>
          <w:szCs w:val="24"/>
        </w:rPr>
        <w:t>a</w:t>
      </w:r>
      <w:r w:rsidR="0081498D" w:rsidRPr="003D1FBA">
        <w:rPr>
          <w:rFonts w:ascii="Arial" w:eastAsiaTheme="majorEastAsia" w:hAnsi="Arial" w:cs="Arial"/>
          <w:bCs/>
          <w:sz w:val="24"/>
          <w:szCs w:val="24"/>
        </w:rPr>
        <w:t xml:space="preserve"> l</w:t>
      </w:r>
      <w:r>
        <w:rPr>
          <w:rFonts w:ascii="Arial" w:eastAsiaTheme="majorEastAsia" w:hAnsi="Arial" w:cs="Arial"/>
          <w:bCs/>
          <w:sz w:val="24"/>
          <w:szCs w:val="24"/>
        </w:rPr>
        <w:t>a</w:t>
      </w:r>
      <w:r w:rsidR="0081498D" w:rsidRPr="003D1FBA">
        <w:rPr>
          <w:rFonts w:ascii="Arial" w:eastAsiaTheme="majorEastAsia" w:hAnsi="Arial" w:cs="Arial"/>
          <w:bCs/>
          <w:sz w:val="24"/>
          <w:szCs w:val="24"/>
        </w:rPr>
        <w:t>s jugador</w:t>
      </w:r>
      <w:r w:rsidR="00117021">
        <w:rPr>
          <w:rFonts w:ascii="Arial" w:eastAsiaTheme="majorEastAsia" w:hAnsi="Arial" w:cs="Arial"/>
          <w:bCs/>
          <w:sz w:val="24"/>
          <w:szCs w:val="24"/>
        </w:rPr>
        <w:t>a</w:t>
      </w:r>
      <w:r w:rsidR="0081498D" w:rsidRPr="003D1FBA">
        <w:rPr>
          <w:rFonts w:ascii="Arial" w:eastAsiaTheme="majorEastAsia" w:hAnsi="Arial" w:cs="Arial"/>
          <w:bCs/>
          <w:sz w:val="24"/>
          <w:szCs w:val="24"/>
        </w:rPr>
        <w:t>s s</w:t>
      </w:r>
      <w:r w:rsidR="00117021">
        <w:rPr>
          <w:rFonts w:ascii="Arial" w:eastAsiaTheme="majorEastAsia" w:hAnsi="Arial" w:cs="Arial"/>
          <w:bCs/>
          <w:sz w:val="24"/>
          <w:szCs w:val="24"/>
        </w:rPr>
        <w:t>irvió</w:t>
      </w:r>
      <w:r w:rsidR="0081498D" w:rsidRPr="003D1FBA">
        <w:rPr>
          <w:rFonts w:ascii="Arial" w:eastAsiaTheme="majorEastAsia" w:hAnsi="Arial" w:cs="Arial"/>
          <w:bCs/>
          <w:sz w:val="24"/>
          <w:szCs w:val="24"/>
        </w:rPr>
        <w:t xml:space="preserve"> p</w:t>
      </w:r>
      <w:r w:rsidR="00117021">
        <w:rPr>
          <w:rFonts w:ascii="Arial" w:eastAsiaTheme="majorEastAsia" w:hAnsi="Arial" w:cs="Arial"/>
          <w:bCs/>
          <w:sz w:val="24"/>
          <w:szCs w:val="24"/>
        </w:rPr>
        <w:t>ara</w:t>
      </w:r>
      <w:r w:rsidR="0081498D" w:rsidRPr="003D1FBA">
        <w:rPr>
          <w:rFonts w:ascii="Arial" w:eastAsiaTheme="majorEastAsia" w:hAnsi="Arial" w:cs="Arial"/>
          <w:bCs/>
          <w:sz w:val="24"/>
          <w:szCs w:val="24"/>
        </w:rPr>
        <w:t xml:space="preserve"> obten</w:t>
      </w:r>
      <w:r w:rsidR="00117021">
        <w:rPr>
          <w:rFonts w:ascii="Arial" w:eastAsiaTheme="majorEastAsia" w:hAnsi="Arial" w:cs="Arial"/>
          <w:bCs/>
          <w:sz w:val="24"/>
          <w:szCs w:val="24"/>
        </w:rPr>
        <w:t>e</w:t>
      </w:r>
      <w:r w:rsidR="0081498D" w:rsidRPr="003D1FBA">
        <w:rPr>
          <w:rFonts w:ascii="Arial" w:eastAsiaTheme="majorEastAsia" w:hAnsi="Arial" w:cs="Arial"/>
          <w:bCs/>
          <w:sz w:val="24"/>
          <w:szCs w:val="24"/>
        </w:rPr>
        <w:t>r l</w:t>
      </w:r>
      <w:r w:rsidR="00117021">
        <w:rPr>
          <w:rFonts w:ascii="Arial" w:eastAsiaTheme="majorEastAsia" w:hAnsi="Arial" w:cs="Arial"/>
          <w:bCs/>
          <w:sz w:val="24"/>
          <w:szCs w:val="24"/>
        </w:rPr>
        <w:t>o</w:t>
      </w:r>
      <w:r w:rsidR="0081498D" w:rsidRPr="003D1FBA">
        <w:rPr>
          <w:rFonts w:ascii="Arial" w:eastAsiaTheme="majorEastAsia" w:hAnsi="Arial" w:cs="Arial"/>
          <w:bCs/>
          <w:sz w:val="24"/>
          <w:szCs w:val="24"/>
        </w:rPr>
        <w:t>s valor</w:t>
      </w:r>
      <w:r w:rsidR="00117021">
        <w:rPr>
          <w:rFonts w:ascii="Arial" w:eastAsiaTheme="majorEastAsia" w:hAnsi="Arial" w:cs="Arial"/>
          <w:bCs/>
          <w:sz w:val="24"/>
          <w:szCs w:val="24"/>
        </w:rPr>
        <w:t>e</w:t>
      </w:r>
      <w:r w:rsidR="0081498D" w:rsidRPr="003D1FBA">
        <w:rPr>
          <w:rFonts w:ascii="Arial" w:eastAsiaTheme="majorEastAsia" w:hAnsi="Arial" w:cs="Arial"/>
          <w:bCs/>
          <w:sz w:val="24"/>
          <w:szCs w:val="24"/>
        </w:rPr>
        <w:t>s de f</w:t>
      </w:r>
      <w:r w:rsidR="00117021">
        <w:rPr>
          <w:rFonts w:ascii="Arial" w:eastAsiaTheme="majorEastAsia" w:hAnsi="Arial" w:cs="Arial"/>
          <w:bCs/>
          <w:sz w:val="24"/>
          <w:szCs w:val="24"/>
        </w:rPr>
        <w:t>uerz</w:t>
      </w:r>
      <w:r w:rsidR="0081498D" w:rsidRPr="003D1FBA">
        <w:rPr>
          <w:rFonts w:ascii="Arial" w:eastAsiaTheme="majorEastAsia" w:hAnsi="Arial" w:cs="Arial"/>
          <w:bCs/>
          <w:sz w:val="24"/>
          <w:szCs w:val="24"/>
        </w:rPr>
        <w:t>a m</w:t>
      </w:r>
      <w:r w:rsidR="00117021">
        <w:rPr>
          <w:rFonts w:ascii="Arial" w:eastAsiaTheme="majorEastAsia" w:hAnsi="Arial" w:cs="Arial"/>
          <w:bCs/>
          <w:sz w:val="24"/>
          <w:szCs w:val="24"/>
        </w:rPr>
        <w:t>á</w:t>
      </w:r>
      <w:r w:rsidR="0081498D" w:rsidRPr="003D1FBA">
        <w:rPr>
          <w:rFonts w:ascii="Arial" w:eastAsiaTheme="majorEastAsia" w:hAnsi="Arial" w:cs="Arial"/>
          <w:bCs/>
          <w:sz w:val="24"/>
          <w:szCs w:val="24"/>
        </w:rPr>
        <w:t>xima isom</w:t>
      </w:r>
      <w:r w:rsidR="00117021">
        <w:rPr>
          <w:rFonts w:ascii="Arial" w:eastAsiaTheme="majorEastAsia" w:hAnsi="Arial" w:cs="Arial"/>
          <w:bCs/>
          <w:sz w:val="24"/>
          <w:szCs w:val="24"/>
        </w:rPr>
        <w:t>é</w:t>
      </w:r>
      <w:r w:rsidR="0081498D" w:rsidRPr="003D1FBA">
        <w:rPr>
          <w:rFonts w:ascii="Arial" w:eastAsiaTheme="majorEastAsia" w:hAnsi="Arial" w:cs="Arial"/>
          <w:bCs/>
          <w:sz w:val="24"/>
          <w:szCs w:val="24"/>
        </w:rPr>
        <w:t xml:space="preserve">trica en Newtons (N) </w:t>
      </w:r>
      <w:r w:rsidR="00117021">
        <w:rPr>
          <w:rFonts w:ascii="Arial" w:eastAsiaTheme="majorEastAsia" w:hAnsi="Arial" w:cs="Arial"/>
          <w:bCs/>
          <w:sz w:val="24"/>
          <w:szCs w:val="24"/>
        </w:rPr>
        <w:t>y</w:t>
      </w:r>
      <w:r w:rsidR="00673A84" w:rsidRPr="003D1FBA">
        <w:rPr>
          <w:rFonts w:ascii="Arial" w:eastAsiaTheme="majorEastAsia" w:hAnsi="Arial" w:cs="Arial"/>
          <w:bCs/>
          <w:sz w:val="24"/>
          <w:szCs w:val="24"/>
        </w:rPr>
        <w:t xml:space="preserve"> calcularse la R</w:t>
      </w:r>
      <w:r w:rsidR="00117021">
        <w:rPr>
          <w:rFonts w:ascii="Arial" w:eastAsiaTheme="majorEastAsia" w:hAnsi="Arial" w:cs="Arial"/>
          <w:bCs/>
          <w:sz w:val="24"/>
          <w:szCs w:val="24"/>
        </w:rPr>
        <w:t>a</w:t>
      </w:r>
      <w:r w:rsidR="00673A84" w:rsidRPr="003D1FBA">
        <w:rPr>
          <w:rFonts w:ascii="Arial" w:eastAsiaTheme="majorEastAsia" w:hAnsi="Arial" w:cs="Arial"/>
          <w:bCs/>
          <w:sz w:val="24"/>
          <w:szCs w:val="24"/>
        </w:rPr>
        <w:t>tio I/Q</w:t>
      </w:r>
      <w:r w:rsidR="00C91705" w:rsidRPr="003D1FBA">
        <w:rPr>
          <w:rFonts w:ascii="Arial" w:eastAsiaTheme="majorEastAsia" w:hAnsi="Arial" w:cs="Arial"/>
          <w:bCs/>
          <w:sz w:val="24"/>
          <w:szCs w:val="24"/>
        </w:rPr>
        <w:t>, est</w:t>
      </w:r>
      <w:r w:rsidR="00117021">
        <w:rPr>
          <w:rFonts w:ascii="Arial" w:eastAsiaTheme="majorEastAsia" w:hAnsi="Arial" w:cs="Arial"/>
          <w:bCs/>
          <w:sz w:val="24"/>
          <w:szCs w:val="24"/>
        </w:rPr>
        <w:t>e</w:t>
      </w:r>
      <w:r w:rsidR="00C91705" w:rsidRPr="003D1FBA">
        <w:rPr>
          <w:rFonts w:ascii="Arial" w:eastAsiaTheme="majorEastAsia" w:hAnsi="Arial" w:cs="Arial"/>
          <w:bCs/>
          <w:sz w:val="24"/>
          <w:szCs w:val="24"/>
        </w:rPr>
        <w:t xml:space="preserve"> test </w:t>
      </w:r>
      <w:r w:rsidR="00117021">
        <w:rPr>
          <w:rFonts w:ascii="Arial" w:eastAsiaTheme="majorEastAsia" w:hAnsi="Arial" w:cs="Arial"/>
          <w:bCs/>
          <w:sz w:val="24"/>
          <w:szCs w:val="24"/>
        </w:rPr>
        <w:t>se</w:t>
      </w:r>
      <w:r w:rsidR="00C91705" w:rsidRPr="003D1FBA">
        <w:rPr>
          <w:rFonts w:ascii="Arial" w:eastAsiaTheme="majorEastAsia" w:hAnsi="Arial" w:cs="Arial"/>
          <w:bCs/>
          <w:sz w:val="24"/>
          <w:szCs w:val="24"/>
        </w:rPr>
        <w:t xml:space="preserve"> rep</w:t>
      </w:r>
      <w:r w:rsidR="00117021">
        <w:rPr>
          <w:rFonts w:ascii="Arial" w:eastAsiaTheme="majorEastAsia" w:hAnsi="Arial" w:cs="Arial"/>
          <w:bCs/>
          <w:sz w:val="24"/>
          <w:szCs w:val="24"/>
        </w:rPr>
        <w:t>i</w:t>
      </w:r>
      <w:r w:rsidR="00C91705" w:rsidRPr="003D1FBA">
        <w:rPr>
          <w:rFonts w:ascii="Arial" w:eastAsiaTheme="majorEastAsia" w:hAnsi="Arial" w:cs="Arial"/>
          <w:bCs/>
          <w:sz w:val="24"/>
          <w:szCs w:val="24"/>
        </w:rPr>
        <w:t>ti</w:t>
      </w:r>
      <w:r w:rsidR="00117021">
        <w:rPr>
          <w:rFonts w:ascii="Arial" w:eastAsiaTheme="majorEastAsia" w:hAnsi="Arial" w:cs="Arial"/>
          <w:bCs/>
          <w:sz w:val="24"/>
          <w:szCs w:val="24"/>
        </w:rPr>
        <w:t>ó</w:t>
      </w:r>
      <w:r w:rsidR="00C91705" w:rsidRPr="003D1FBA">
        <w:rPr>
          <w:rFonts w:ascii="Arial" w:eastAsiaTheme="majorEastAsia" w:hAnsi="Arial" w:cs="Arial"/>
          <w:bCs/>
          <w:sz w:val="24"/>
          <w:szCs w:val="24"/>
        </w:rPr>
        <w:t xml:space="preserve"> a</w:t>
      </w:r>
      <w:r w:rsidR="00117021">
        <w:rPr>
          <w:rFonts w:ascii="Arial" w:eastAsiaTheme="majorEastAsia" w:hAnsi="Arial" w:cs="Arial"/>
          <w:bCs/>
          <w:sz w:val="24"/>
          <w:szCs w:val="24"/>
        </w:rPr>
        <w:t>nte</w:t>
      </w:r>
      <w:r w:rsidR="00C91705" w:rsidRPr="003D1FBA">
        <w:rPr>
          <w:rFonts w:ascii="Arial" w:eastAsiaTheme="majorEastAsia" w:hAnsi="Arial" w:cs="Arial"/>
          <w:bCs/>
          <w:sz w:val="24"/>
          <w:szCs w:val="24"/>
        </w:rPr>
        <w:t xml:space="preserve">s </w:t>
      </w:r>
      <w:r w:rsidR="00117021">
        <w:rPr>
          <w:rFonts w:ascii="Arial" w:eastAsiaTheme="majorEastAsia" w:hAnsi="Arial" w:cs="Arial"/>
          <w:bCs/>
          <w:sz w:val="24"/>
          <w:szCs w:val="24"/>
        </w:rPr>
        <w:t>y</w:t>
      </w:r>
      <w:r w:rsidR="00C91705" w:rsidRPr="003D1FBA">
        <w:rPr>
          <w:rFonts w:ascii="Arial" w:eastAsiaTheme="majorEastAsia" w:hAnsi="Arial" w:cs="Arial"/>
          <w:bCs/>
          <w:sz w:val="24"/>
          <w:szCs w:val="24"/>
        </w:rPr>
        <w:t xml:space="preserve"> desp</w:t>
      </w:r>
      <w:r w:rsidR="00117021">
        <w:rPr>
          <w:rFonts w:ascii="Arial" w:eastAsiaTheme="majorEastAsia" w:hAnsi="Arial" w:cs="Arial"/>
          <w:bCs/>
          <w:sz w:val="24"/>
          <w:szCs w:val="24"/>
        </w:rPr>
        <w:t>u</w:t>
      </w:r>
      <w:r w:rsidR="00C91705" w:rsidRPr="003D1FBA">
        <w:rPr>
          <w:rFonts w:ascii="Arial" w:eastAsiaTheme="majorEastAsia" w:hAnsi="Arial" w:cs="Arial"/>
          <w:bCs/>
          <w:sz w:val="24"/>
          <w:szCs w:val="24"/>
        </w:rPr>
        <w:t>és del test de fatiga intermitent</w:t>
      </w:r>
      <w:r w:rsidR="00117021">
        <w:rPr>
          <w:rFonts w:ascii="Arial" w:eastAsiaTheme="majorEastAsia" w:hAnsi="Arial" w:cs="Arial"/>
          <w:bCs/>
          <w:sz w:val="24"/>
          <w:szCs w:val="24"/>
        </w:rPr>
        <w:t>e</w:t>
      </w:r>
      <w:r w:rsidR="00C91705" w:rsidRPr="003D1FBA">
        <w:rPr>
          <w:rFonts w:ascii="Arial" w:eastAsiaTheme="majorEastAsia" w:hAnsi="Arial" w:cs="Arial"/>
          <w:bCs/>
          <w:sz w:val="24"/>
          <w:szCs w:val="24"/>
        </w:rPr>
        <w:t xml:space="preserve"> 30-15 (30-15 IFT)</w:t>
      </w:r>
      <w:r w:rsidR="00A67123" w:rsidRPr="003D1FBA">
        <w:rPr>
          <w:rFonts w:ascii="Arial" w:eastAsiaTheme="majorEastAsia" w:hAnsi="Arial" w:cs="Arial"/>
          <w:bCs/>
          <w:sz w:val="24"/>
          <w:szCs w:val="24"/>
        </w:rPr>
        <w:t xml:space="preserve"> </w:t>
      </w:r>
      <w:r w:rsidR="00C91705" w:rsidRPr="003D1FBA">
        <w:rPr>
          <w:rFonts w:ascii="Arial" w:eastAsiaTheme="majorEastAsia" w:hAnsi="Arial" w:cs="Arial"/>
          <w:bCs/>
          <w:sz w:val="24"/>
          <w:szCs w:val="24"/>
        </w:rPr>
        <w:t>p</w:t>
      </w:r>
      <w:r w:rsidR="00117021">
        <w:rPr>
          <w:rFonts w:ascii="Arial" w:eastAsiaTheme="majorEastAsia" w:hAnsi="Arial" w:cs="Arial"/>
          <w:bCs/>
          <w:sz w:val="24"/>
          <w:szCs w:val="24"/>
        </w:rPr>
        <w:t>ara</w:t>
      </w:r>
      <w:r w:rsidR="00C91705" w:rsidRPr="003D1FBA">
        <w:rPr>
          <w:rFonts w:ascii="Arial" w:eastAsiaTheme="majorEastAsia" w:hAnsi="Arial" w:cs="Arial"/>
          <w:bCs/>
          <w:sz w:val="24"/>
          <w:szCs w:val="24"/>
        </w:rPr>
        <w:t xml:space="preserve"> poder comparar l</w:t>
      </w:r>
      <w:r w:rsidR="00117021">
        <w:rPr>
          <w:rFonts w:ascii="Arial" w:eastAsiaTheme="majorEastAsia" w:hAnsi="Arial" w:cs="Arial"/>
          <w:bCs/>
          <w:sz w:val="24"/>
          <w:szCs w:val="24"/>
        </w:rPr>
        <w:t>o</w:t>
      </w:r>
      <w:r w:rsidR="00C91705" w:rsidRPr="003D1FBA">
        <w:rPr>
          <w:rFonts w:ascii="Arial" w:eastAsiaTheme="majorEastAsia" w:hAnsi="Arial" w:cs="Arial"/>
          <w:bCs/>
          <w:sz w:val="24"/>
          <w:szCs w:val="24"/>
        </w:rPr>
        <w:t>s valor</w:t>
      </w:r>
      <w:r w:rsidR="00117021">
        <w:rPr>
          <w:rFonts w:ascii="Arial" w:eastAsiaTheme="majorEastAsia" w:hAnsi="Arial" w:cs="Arial"/>
          <w:bCs/>
          <w:sz w:val="24"/>
          <w:szCs w:val="24"/>
        </w:rPr>
        <w:t>e</w:t>
      </w:r>
      <w:r w:rsidR="00C91705" w:rsidRPr="003D1FBA">
        <w:rPr>
          <w:rFonts w:ascii="Arial" w:eastAsiaTheme="majorEastAsia" w:hAnsi="Arial" w:cs="Arial"/>
          <w:bCs/>
          <w:sz w:val="24"/>
          <w:szCs w:val="24"/>
        </w:rPr>
        <w:t>s obt</w:t>
      </w:r>
      <w:r w:rsidR="00117021">
        <w:rPr>
          <w:rFonts w:ascii="Arial" w:eastAsiaTheme="majorEastAsia" w:hAnsi="Arial" w:cs="Arial"/>
          <w:bCs/>
          <w:sz w:val="24"/>
          <w:szCs w:val="24"/>
        </w:rPr>
        <w:t>enido</w:t>
      </w:r>
      <w:r w:rsidR="00C91705" w:rsidRPr="003D1FBA">
        <w:rPr>
          <w:rFonts w:ascii="Arial" w:eastAsiaTheme="majorEastAsia" w:hAnsi="Arial" w:cs="Arial"/>
          <w:bCs/>
          <w:sz w:val="24"/>
          <w:szCs w:val="24"/>
        </w:rPr>
        <w:t>s</w:t>
      </w:r>
      <w:r w:rsidR="0081498D" w:rsidRPr="003D1FBA">
        <w:rPr>
          <w:rFonts w:ascii="Arial" w:eastAsiaTheme="majorEastAsia" w:hAnsi="Arial" w:cs="Arial"/>
          <w:bCs/>
          <w:sz w:val="24"/>
          <w:szCs w:val="24"/>
        </w:rPr>
        <w:t>.</w:t>
      </w:r>
    </w:p>
    <w:p w:rsidR="0081498D" w:rsidRPr="003D1FBA" w:rsidRDefault="0081498D" w:rsidP="00C25E21">
      <w:pPr>
        <w:spacing w:line="360" w:lineRule="auto"/>
        <w:jc w:val="both"/>
        <w:rPr>
          <w:rFonts w:ascii="Arial" w:eastAsiaTheme="majorEastAsia" w:hAnsi="Arial" w:cstheme="majorBidi"/>
          <w:sz w:val="24"/>
          <w:szCs w:val="26"/>
          <w:u w:val="single"/>
        </w:rPr>
      </w:pPr>
      <w:r w:rsidRPr="003D1FBA">
        <w:rPr>
          <w:rFonts w:ascii="Arial" w:eastAsiaTheme="majorEastAsia" w:hAnsi="Arial" w:cstheme="majorBidi"/>
          <w:sz w:val="24"/>
          <w:szCs w:val="26"/>
          <w:u w:val="single"/>
        </w:rPr>
        <w:t>M</w:t>
      </w:r>
      <w:r w:rsidR="00117021">
        <w:rPr>
          <w:rFonts w:ascii="Arial" w:eastAsiaTheme="majorEastAsia" w:hAnsi="Arial" w:cstheme="majorBidi"/>
          <w:sz w:val="24"/>
          <w:szCs w:val="26"/>
          <w:u w:val="single"/>
        </w:rPr>
        <w:t>ue</w:t>
      </w:r>
      <w:r w:rsidRPr="003D1FBA">
        <w:rPr>
          <w:rFonts w:ascii="Arial" w:eastAsiaTheme="majorEastAsia" w:hAnsi="Arial" w:cstheme="majorBidi"/>
          <w:sz w:val="24"/>
          <w:szCs w:val="26"/>
          <w:u w:val="single"/>
        </w:rPr>
        <w:t>stra del</w:t>
      </w:r>
      <w:r w:rsidR="00117021">
        <w:rPr>
          <w:rFonts w:ascii="Arial" w:eastAsiaTheme="majorEastAsia" w:hAnsi="Arial" w:cstheme="majorBidi"/>
          <w:sz w:val="24"/>
          <w:szCs w:val="26"/>
          <w:u w:val="single"/>
        </w:rPr>
        <w:t xml:space="preserve"> </w:t>
      </w:r>
      <w:r w:rsidRPr="003D1FBA">
        <w:rPr>
          <w:rFonts w:ascii="Arial" w:eastAsiaTheme="majorEastAsia" w:hAnsi="Arial" w:cstheme="majorBidi"/>
          <w:sz w:val="24"/>
          <w:szCs w:val="26"/>
          <w:u w:val="single"/>
        </w:rPr>
        <w:t>estudi</w:t>
      </w:r>
      <w:r w:rsidR="00117021">
        <w:rPr>
          <w:rFonts w:ascii="Arial" w:eastAsiaTheme="majorEastAsia" w:hAnsi="Arial" w:cstheme="majorBidi"/>
          <w:sz w:val="24"/>
          <w:szCs w:val="26"/>
          <w:u w:val="single"/>
        </w:rPr>
        <w:t>o</w:t>
      </w:r>
    </w:p>
    <w:p w:rsidR="00053B6F" w:rsidRPr="003D1FBA" w:rsidRDefault="00117021" w:rsidP="00053B6F">
      <w:pPr>
        <w:spacing w:line="360" w:lineRule="auto"/>
        <w:jc w:val="both"/>
        <w:rPr>
          <w:rFonts w:ascii="Arial" w:eastAsiaTheme="majorEastAsia" w:hAnsi="Arial" w:cs="Arial"/>
          <w:bCs/>
          <w:sz w:val="24"/>
          <w:szCs w:val="24"/>
        </w:rPr>
      </w:pPr>
      <w:r>
        <w:rPr>
          <w:rFonts w:ascii="Arial" w:eastAsiaTheme="majorEastAsia" w:hAnsi="Arial" w:cs="Arial"/>
          <w:bCs/>
          <w:sz w:val="24"/>
          <w:szCs w:val="24"/>
        </w:rPr>
        <w:t>Lo</w:t>
      </w:r>
      <w:r w:rsidR="00053B6F" w:rsidRPr="003D1FBA">
        <w:rPr>
          <w:rFonts w:ascii="Arial" w:eastAsiaTheme="majorEastAsia" w:hAnsi="Arial" w:cs="Arial"/>
          <w:bCs/>
          <w:sz w:val="24"/>
          <w:szCs w:val="24"/>
        </w:rPr>
        <w:t>s criteri</w:t>
      </w:r>
      <w:r>
        <w:rPr>
          <w:rFonts w:ascii="Arial" w:eastAsiaTheme="majorEastAsia" w:hAnsi="Arial" w:cs="Arial"/>
          <w:bCs/>
          <w:sz w:val="24"/>
          <w:szCs w:val="24"/>
        </w:rPr>
        <w:t>o</w:t>
      </w:r>
      <w:r w:rsidR="00053B6F" w:rsidRPr="003D1FBA">
        <w:rPr>
          <w:rFonts w:ascii="Arial" w:eastAsiaTheme="majorEastAsia" w:hAnsi="Arial" w:cs="Arial"/>
          <w:bCs/>
          <w:sz w:val="24"/>
          <w:szCs w:val="24"/>
        </w:rPr>
        <w:t>s d</w:t>
      </w:r>
      <w:r>
        <w:rPr>
          <w:rFonts w:ascii="Arial" w:eastAsiaTheme="majorEastAsia" w:hAnsi="Arial" w:cs="Arial"/>
          <w:bCs/>
          <w:sz w:val="24"/>
          <w:szCs w:val="24"/>
        </w:rPr>
        <w:t xml:space="preserve">e </w:t>
      </w:r>
      <w:r w:rsidR="00053B6F" w:rsidRPr="003D1FBA">
        <w:rPr>
          <w:rFonts w:ascii="Arial" w:eastAsiaTheme="majorEastAsia" w:hAnsi="Arial" w:cs="Arial"/>
          <w:bCs/>
          <w:sz w:val="24"/>
          <w:szCs w:val="24"/>
        </w:rPr>
        <w:t>inclusió</w:t>
      </w:r>
      <w:r>
        <w:rPr>
          <w:rFonts w:ascii="Arial" w:eastAsiaTheme="majorEastAsia" w:hAnsi="Arial" w:cs="Arial"/>
          <w:bCs/>
          <w:sz w:val="24"/>
          <w:szCs w:val="24"/>
        </w:rPr>
        <w:t>n</w:t>
      </w:r>
      <w:r w:rsidR="00053B6F" w:rsidRPr="003D1FBA">
        <w:rPr>
          <w:rFonts w:ascii="Arial" w:eastAsiaTheme="majorEastAsia" w:hAnsi="Arial" w:cs="Arial"/>
          <w:bCs/>
          <w:sz w:val="24"/>
          <w:szCs w:val="24"/>
        </w:rPr>
        <w:t xml:space="preserve"> d</w:t>
      </w:r>
      <w:r>
        <w:rPr>
          <w:rFonts w:ascii="Arial" w:eastAsiaTheme="majorEastAsia" w:hAnsi="Arial" w:cs="Arial"/>
          <w:bCs/>
          <w:sz w:val="24"/>
          <w:szCs w:val="24"/>
        </w:rPr>
        <w:t xml:space="preserve">e </w:t>
      </w:r>
      <w:r w:rsidR="00053B6F" w:rsidRPr="003D1FBA">
        <w:rPr>
          <w:rFonts w:ascii="Arial" w:eastAsiaTheme="majorEastAsia" w:hAnsi="Arial" w:cs="Arial"/>
          <w:bCs/>
          <w:sz w:val="24"/>
          <w:szCs w:val="24"/>
        </w:rPr>
        <w:t>est</w:t>
      </w:r>
      <w:r>
        <w:rPr>
          <w:rFonts w:ascii="Arial" w:eastAsiaTheme="majorEastAsia" w:hAnsi="Arial" w:cs="Arial"/>
          <w:bCs/>
          <w:sz w:val="24"/>
          <w:szCs w:val="24"/>
        </w:rPr>
        <w:t>e</w:t>
      </w:r>
      <w:r w:rsidR="00053B6F" w:rsidRPr="003D1FBA">
        <w:rPr>
          <w:rFonts w:ascii="Arial" w:eastAsiaTheme="majorEastAsia" w:hAnsi="Arial" w:cs="Arial"/>
          <w:bCs/>
          <w:sz w:val="24"/>
          <w:szCs w:val="24"/>
        </w:rPr>
        <w:t xml:space="preserve"> estudi</w:t>
      </w:r>
      <w:r>
        <w:rPr>
          <w:rFonts w:ascii="Arial" w:eastAsiaTheme="majorEastAsia" w:hAnsi="Arial" w:cs="Arial"/>
          <w:bCs/>
          <w:sz w:val="24"/>
          <w:szCs w:val="24"/>
        </w:rPr>
        <w:t>o</w:t>
      </w:r>
      <w:r w:rsidR="00053B6F" w:rsidRPr="003D1FBA">
        <w:rPr>
          <w:rFonts w:ascii="Arial" w:eastAsiaTheme="majorEastAsia" w:hAnsi="Arial" w:cs="Arial"/>
          <w:bCs/>
          <w:sz w:val="24"/>
          <w:szCs w:val="24"/>
        </w:rPr>
        <w:t xml:space="preserve"> f</w:t>
      </w:r>
      <w:r>
        <w:rPr>
          <w:rFonts w:ascii="Arial" w:eastAsiaTheme="majorEastAsia" w:hAnsi="Arial" w:cs="Arial"/>
          <w:bCs/>
          <w:sz w:val="24"/>
          <w:szCs w:val="24"/>
        </w:rPr>
        <w:t>ue</w:t>
      </w:r>
      <w:r w:rsidR="00053B6F" w:rsidRPr="003D1FBA">
        <w:rPr>
          <w:rFonts w:ascii="Arial" w:eastAsiaTheme="majorEastAsia" w:hAnsi="Arial" w:cs="Arial"/>
          <w:bCs/>
          <w:sz w:val="24"/>
          <w:szCs w:val="24"/>
        </w:rPr>
        <w:t>r</w:t>
      </w:r>
      <w:r>
        <w:rPr>
          <w:rFonts w:ascii="Arial" w:eastAsiaTheme="majorEastAsia" w:hAnsi="Arial" w:cs="Arial"/>
          <w:bCs/>
          <w:sz w:val="24"/>
          <w:szCs w:val="24"/>
        </w:rPr>
        <w:t>o</w:t>
      </w:r>
      <w:r w:rsidR="00053B6F" w:rsidRPr="003D1FBA">
        <w:rPr>
          <w:rFonts w:ascii="Arial" w:eastAsiaTheme="majorEastAsia" w:hAnsi="Arial" w:cs="Arial"/>
          <w:bCs/>
          <w:sz w:val="24"/>
          <w:szCs w:val="24"/>
        </w:rPr>
        <w:t>n; ser jugadora de bal</w:t>
      </w:r>
      <w:r>
        <w:rPr>
          <w:rFonts w:ascii="Arial" w:eastAsiaTheme="majorEastAsia" w:hAnsi="Arial" w:cs="Arial"/>
          <w:bCs/>
          <w:sz w:val="24"/>
          <w:szCs w:val="24"/>
        </w:rPr>
        <w:t>oncesto</w:t>
      </w:r>
      <w:r w:rsidR="00053B6F" w:rsidRPr="003D1FBA">
        <w:rPr>
          <w:rFonts w:ascii="Arial" w:eastAsiaTheme="majorEastAsia" w:hAnsi="Arial" w:cs="Arial"/>
          <w:bCs/>
          <w:sz w:val="24"/>
          <w:szCs w:val="24"/>
        </w:rPr>
        <w:t xml:space="preserve"> o d</w:t>
      </w:r>
      <w:r>
        <w:rPr>
          <w:rFonts w:ascii="Arial" w:eastAsiaTheme="majorEastAsia" w:hAnsi="Arial" w:cs="Arial"/>
          <w:bCs/>
          <w:sz w:val="24"/>
          <w:szCs w:val="24"/>
        </w:rPr>
        <w:t xml:space="preserve">e </w:t>
      </w:r>
      <w:r w:rsidR="00814891">
        <w:rPr>
          <w:rFonts w:ascii="Arial" w:eastAsiaTheme="majorEastAsia" w:hAnsi="Arial" w:cs="Arial"/>
          <w:bCs/>
          <w:sz w:val="24"/>
          <w:szCs w:val="24"/>
        </w:rPr>
        <w:t>balonmano</w:t>
      </w:r>
      <w:r w:rsidR="00053B6F" w:rsidRPr="003D1FBA">
        <w:rPr>
          <w:rFonts w:ascii="Arial" w:eastAsiaTheme="majorEastAsia" w:hAnsi="Arial" w:cs="Arial"/>
          <w:bCs/>
          <w:sz w:val="24"/>
          <w:szCs w:val="24"/>
        </w:rPr>
        <w:t xml:space="preserve"> d</w:t>
      </w:r>
      <w:r>
        <w:rPr>
          <w:rFonts w:ascii="Arial" w:eastAsiaTheme="majorEastAsia" w:hAnsi="Arial" w:cs="Arial"/>
          <w:bCs/>
          <w:sz w:val="24"/>
          <w:szCs w:val="24"/>
        </w:rPr>
        <w:t xml:space="preserve">e </w:t>
      </w:r>
      <w:r w:rsidR="00053B6F" w:rsidRPr="003D1FBA">
        <w:rPr>
          <w:rFonts w:ascii="Arial" w:eastAsiaTheme="majorEastAsia" w:hAnsi="Arial" w:cs="Arial"/>
          <w:bCs/>
          <w:sz w:val="24"/>
          <w:szCs w:val="24"/>
        </w:rPr>
        <w:t>alt</w:t>
      </w:r>
      <w:r>
        <w:rPr>
          <w:rFonts w:ascii="Arial" w:eastAsiaTheme="majorEastAsia" w:hAnsi="Arial" w:cs="Arial"/>
          <w:bCs/>
          <w:sz w:val="24"/>
          <w:szCs w:val="24"/>
        </w:rPr>
        <w:t>o</w:t>
      </w:r>
      <w:r w:rsidR="00053B6F" w:rsidRPr="003D1FBA">
        <w:rPr>
          <w:rFonts w:ascii="Arial" w:eastAsiaTheme="majorEastAsia" w:hAnsi="Arial" w:cs="Arial"/>
          <w:bCs/>
          <w:sz w:val="24"/>
          <w:szCs w:val="24"/>
        </w:rPr>
        <w:t xml:space="preserve"> rendim</w:t>
      </w:r>
      <w:r>
        <w:rPr>
          <w:rFonts w:ascii="Arial" w:eastAsiaTheme="majorEastAsia" w:hAnsi="Arial" w:cs="Arial"/>
          <w:bCs/>
          <w:sz w:val="24"/>
          <w:szCs w:val="24"/>
        </w:rPr>
        <w:t>ie</w:t>
      </w:r>
      <w:r w:rsidR="00053B6F" w:rsidRPr="003D1FBA">
        <w:rPr>
          <w:rFonts w:ascii="Arial" w:eastAsiaTheme="majorEastAsia" w:hAnsi="Arial" w:cs="Arial"/>
          <w:bCs/>
          <w:sz w:val="24"/>
          <w:szCs w:val="24"/>
        </w:rPr>
        <w:t>nt</w:t>
      </w:r>
      <w:r>
        <w:rPr>
          <w:rFonts w:ascii="Arial" w:eastAsiaTheme="majorEastAsia" w:hAnsi="Arial" w:cs="Arial"/>
          <w:bCs/>
          <w:sz w:val="24"/>
          <w:szCs w:val="24"/>
        </w:rPr>
        <w:t>o</w:t>
      </w:r>
      <w:r w:rsidR="00053B6F" w:rsidRPr="003D1FBA">
        <w:rPr>
          <w:rFonts w:ascii="Arial" w:eastAsiaTheme="majorEastAsia" w:hAnsi="Arial" w:cs="Arial"/>
          <w:bCs/>
          <w:sz w:val="24"/>
          <w:szCs w:val="24"/>
        </w:rPr>
        <w:t xml:space="preserve"> d</w:t>
      </w:r>
      <w:r>
        <w:rPr>
          <w:rFonts w:ascii="Arial" w:eastAsiaTheme="majorEastAsia" w:hAnsi="Arial" w:cs="Arial"/>
          <w:bCs/>
          <w:sz w:val="24"/>
          <w:szCs w:val="24"/>
        </w:rPr>
        <w:t xml:space="preserve">e </w:t>
      </w:r>
      <w:r w:rsidR="00053B6F" w:rsidRPr="003D1FBA">
        <w:rPr>
          <w:rFonts w:ascii="Arial" w:eastAsiaTheme="majorEastAsia" w:hAnsi="Arial" w:cs="Arial"/>
          <w:bCs/>
          <w:sz w:val="24"/>
          <w:szCs w:val="24"/>
        </w:rPr>
        <w:t xml:space="preserve">entre 14 </w:t>
      </w:r>
      <w:r>
        <w:rPr>
          <w:rFonts w:ascii="Arial" w:eastAsiaTheme="majorEastAsia" w:hAnsi="Arial" w:cs="Arial"/>
          <w:bCs/>
          <w:sz w:val="24"/>
          <w:szCs w:val="24"/>
        </w:rPr>
        <w:t>y</w:t>
      </w:r>
      <w:r w:rsidR="00053B6F" w:rsidRPr="003D1FBA">
        <w:rPr>
          <w:rFonts w:ascii="Arial" w:eastAsiaTheme="majorEastAsia" w:hAnsi="Arial" w:cs="Arial"/>
          <w:bCs/>
          <w:sz w:val="24"/>
          <w:szCs w:val="24"/>
        </w:rPr>
        <w:t xml:space="preserve"> 18 a</w:t>
      </w:r>
      <w:r>
        <w:rPr>
          <w:rFonts w:ascii="Arial" w:eastAsiaTheme="majorEastAsia" w:hAnsi="Arial" w:cs="Arial"/>
          <w:bCs/>
          <w:sz w:val="24"/>
          <w:szCs w:val="24"/>
        </w:rPr>
        <w:t>ño</w:t>
      </w:r>
      <w:r w:rsidR="00053B6F" w:rsidRPr="003D1FBA">
        <w:rPr>
          <w:rFonts w:ascii="Arial" w:eastAsiaTheme="majorEastAsia" w:hAnsi="Arial" w:cs="Arial"/>
          <w:bCs/>
          <w:sz w:val="24"/>
          <w:szCs w:val="24"/>
        </w:rPr>
        <w:t>s. L</w:t>
      </w:r>
      <w:r>
        <w:rPr>
          <w:rFonts w:ascii="Arial" w:eastAsiaTheme="majorEastAsia" w:hAnsi="Arial" w:cs="Arial"/>
          <w:bCs/>
          <w:sz w:val="24"/>
          <w:szCs w:val="24"/>
        </w:rPr>
        <w:t>a</w:t>
      </w:r>
      <w:r w:rsidR="00053B6F" w:rsidRPr="003D1FBA">
        <w:rPr>
          <w:rFonts w:ascii="Arial" w:eastAsiaTheme="majorEastAsia" w:hAnsi="Arial" w:cs="Arial"/>
          <w:bCs/>
          <w:sz w:val="24"/>
          <w:szCs w:val="24"/>
        </w:rPr>
        <w:t>s jugador</w:t>
      </w:r>
      <w:r>
        <w:rPr>
          <w:rFonts w:ascii="Arial" w:eastAsiaTheme="majorEastAsia" w:hAnsi="Arial" w:cs="Arial"/>
          <w:bCs/>
          <w:sz w:val="24"/>
          <w:szCs w:val="24"/>
        </w:rPr>
        <w:t>a</w:t>
      </w:r>
      <w:r w:rsidR="00053B6F" w:rsidRPr="003D1FBA">
        <w:rPr>
          <w:rFonts w:ascii="Arial" w:eastAsiaTheme="majorEastAsia" w:hAnsi="Arial" w:cs="Arial"/>
          <w:bCs/>
          <w:sz w:val="24"/>
          <w:szCs w:val="24"/>
        </w:rPr>
        <w:t xml:space="preserve">s </w:t>
      </w:r>
      <w:r>
        <w:rPr>
          <w:rFonts w:ascii="Arial" w:eastAsiaTheme="majorEastAsia" w:hAnsi="Arial" w:cs="Arial"/>
          <w:bCs/>
          <w:sz w:val="24"/>
          <w:szCs w:val="24"/>
        </w:rPr>
        <w:t xml:space="preserve">debían practicar </w:t>
      </w:r>
      <w:r w:rsidR="00053B6F" w:rsidRPr="003D1FBA">
        <w:rPr>
          <w:rFonts w:ascii="Arial" w:eastAsiaTheme="majorEastAsia" w:hAnsi="Arial" w:cs="Arial"/>
          <w:bCs/>
          <w:sz w:val="24"/>
          <w:szCs w:val="24"/>
        </w:rPr>
        <w:t>entre 15-20h d</w:t>
      </w:r>
      <w:r>
        <w:rPr>
          <w:rFonts w:ascii="Arial" w:eastAsiaTheme="majorEastAsia" w:hAnsi="Arial" w:cs="Arial"/>
          <w:bCs/>
          <w:sz w:val="24"/>
          <w:szCs w:val="24"/>
        </w:rPr>
        <w:t xml:space="preserve">e </w:t>
      </w:r>
      <w:r w:rsidR="00053B6F" w:rsidRPr="003D1FBA">
        <w:rPr>
          <w:rFonts w:ascii="Arial" w:eastAsiaTheme="majorEastAsia" w:hAnsi="Arial" w:cs="Arial"/>
          <w:bCs/>
          <w:sz w:val="24"/>
          <w:szCs w:val="24"/>
        </w:rPr>
        <w:t>e</w:t>
      </w:r>
      <w:r>
        <w:rPr>
          <w:rFonts w:ascii="Arial" w:eastAsiaTheme="majorEastAsia" w:hAnsi="Arial" w:cs="Arial"/>
          <w:bCs/>
          <w:sz w:val="24"/>
          <w:szCs w:val="24"/>
        </w:rPr>
        <w:t>jercicio</w:t>
      </w:r>
      <w:r w:rsidR="00053B6F" w:rsidRPr="003D1FBA">
        <w:rPr>
          <w:rFonts w:ascii="Arial" w:eastAsiaTheme="majorEastAsia" w:hAnsi="Arial" w:cs="Arial"/>
          <w:bCs/>
          <w:sz w:val="24"/>
          <w:szCs w:val="24"/>
        </w:rPr>
        <w:t xml:space="preserve"> físic</w:t>
      </w:r>
      <w:r>
        <w:rPr>
          <w:rFonts w:ascii="Arial" w:eastAsiaTheme="majorEastAsia" w:hAnsi="Arial" w:cs="Arial"/>
          <w:bCs/>
          <w:sz w:val="24"/>
          <w:szCs w:val="24"/>
        </w:rPr>
        <w:t>o</w:t>
      </w:r>
      <w:r w:rsidR="00053B6F" w:rsidRPr="003D1FBA">
        <w:rPr>
          <w:rFonts w:ascii="Arial" w:eastAsiaTheme="majorEastAsia" w:hAnsi="Arial" w:cs="Arial"/>
          <w:bCs/>
          <w:sz w:val="24"/>
          <w:szCs w:val="24"/>
        </w:rPr>
        <w:t xml:space="preserve"> semanal</w:t>
      </w:r>
      <w:r>
        <w:rPr>
          <w:rFonts w:ascii="Arial" w:eastAsiaTheme="majorEastAsia" w:hAnsi="Arial" w:cs="Arial"/>
          <w:bCs/>
          <w:sz w:val="24"/>
          <w:szCs w:val="24"/>
        </w:rPr>
        <w:t>e</w:t>
      </w:r>
      <w:r w:rsidR="00053B6F" w:rsidRPr="003D1FBA">
        <w:rPr>
          <w:rFonts w:ascii="Arial" w:eastAsiaTheme="majorEastAsia" w:hAnsi="Arial" w:cs="Arial"/>
          <w:bCs/>
          <w:sz w:val="24"/>
          <w:szCs w:val="24"/>
        </w:rPr>
        <w:t>s, suma</w:t>
      </w:r>
      <w:r>
        <w:rPr>
          <w:rFonts w:ascii="Arial" w:eastAsiaTheme="majorEastAsia" w:hAnsi="Arial" w:cs="Arial"/>
          <w:bCs/>
          <w:sz w:val="24"/>
          <w:szCs w:val="24"/>
        </w:rPr>
        <w:t>ndo</w:t>
      </w:r>
      <w:r w:rsidR="00053B6F" w:rsidRPr="003D1FBA">
        <w:rPr>
          <w:rFonts w:ascii="Arial" w:eastAsiaTheme="majorEastAsia" w:hAnsi="Arial" w:cs="Arial"/>
          <w:bCs/>
          <w:sz w:val="24"/>
          <w:szCs w:val="24"/>
        </w:rPr>
        <w:t xml:space="preserve"> entrenam</w:t>
      </w:r>
      <w:r>
        <w:rPr>
          <w:rFonts w:ascii="Arial" w:eastAsiaTheme="majorEastAsia" w:hAnsi="Arial" w:cs="Arial"/>
          <w:bCs/>
          <w:sz w:val="24"/>
          <w:szCs w:val="24"/>
        </w:rPr>
        <w:t>i</w:t>
      </w:r>
      <w:r w:rsidR="00053B6F" w:rsidRPr="003D1FBA">
        <w:rPr>
          <w:rFonts w:ascii="Arial" w:eastAsiaTheme="majorEastAsia" w:hAnsi="Arial" w:cs="Arial"/>
          <w:bCs/>
          <w:sz w:val="24"/>
          <w:szCs w:val="24"/>
        </w:rPr>
        <w:t>ent</w:t>
      </w:r>
      <w:r>
        <w:rPr>
          <w:rFonts w:ascii="Arial" w:eastAsiaTheme="majorEastAsia" w:hAnsi="Arial" w:cs="Arial"/>
          <w:bCs/>
          <w:sz w:val="24"/>
          <w:szCs w:val="24"/>
        </w:rPr>
        <w:t>o</w:t>
      </w:r>
      <w:r w:rsidR="00B36AAE" w:rsidRPr="003D1FBA">
        <w:rPr>
          <w:rFonts w:ascii="Arial" w:eastAsiaTheme="majorEastAsia" w:hAnsi="Arial" w:cs="Arial"/>
          <w:bCs/>
          <w:sz w:val="24"/>
          <w:szCs w:val="24"/>
        </w:rPr>
        <w:t>s</w:t>
      </w:r>
      <w:r w:rsidR="00053B6F" w:rsidRPr="003D1FBA">
        <w:rPr>
          <w:rFonts w:ascii="Arial" w:eastAsiaTheme="majorEastAsia" w:hAnsi="Arial" w:cs="Arial"/>
          <w:bCs/>
          <w:sz w:val="24"/>
          <w:szCs w:val="24"/>
        </w:rPr>
        <w:t xml:space="preserve"> </w:t>
      </w:r>
      <w:r>
        <w:rPr>
          <w:rFonts w:ascii="Arial" w:eastAsiaTheme="majorEastAsia" w:hAnsi="Arial" w:cs="Arial"/>
          <w:bCs/>
          <w:sz w:val="24"/>
          <w:szCs w:val="24"/>
        </w:rPr>
        <w:t>y</w:t>
      </w:r>
      <w:r w:rsidR="00053B6F" w:rsidRPr="003D1FBA">
        <w:rPr>
          <w:rFonts w:ascii="Arial" w:eastAsiaTheme="majorEastAsia" w:hAnsi="Arial" w:cs="Arial"/>
          <w:bCs/>
          <w:sz w:val="24"/>
          <w:szCs w:val="24"/>
        </w:rPr>
        <w:t xml:space="preserve"> parti</w:t>
      </w:r>
      <w:r>
        <w:rPr>
          <w:rFonts w:ascii="Arial" w:eastAsiaTheme="majorEastAsia" w:hAnsi="Arial" w:cs="Arial"/>
          <w:bCs/>
          <w:sz w:val="24"/>
          <w:szCs w:val="24"/>
        </w:rPr>
        <w:t>do</w:t>
      </w:r>
      <w:r w:rsidR="00053B6F" w:rsidRPr="003D1FBA">
        <w:rPr>
          <w:rFonts w:ascii="Arial" w:eastAsiaTheme="majorEastAsia" w:hAnsi="Arial" w:cs="Arial"/>
          <w:bCs/>
          <w:sz w:val="24"/>
          <w:szCs w:val="24"/>
        </w:rPr>
        <w:t>s.</w:t>
      </w:r>
    </w:p>
    <w:p w:rsidR="00053B6F" w:rsidRPr="003D1FBA" w:rsidRDefault="00117021" w:rsidP="00053B6F">
      <w:pPr>
        <w:spacing w:line="360" w:lineRule="auto"/>
        <w:jc w:val="both"/>
        <w:rPr>
          <w:rFonts w:ascii="Arial" w:eastAsiaTheme="majorEastAsia" w:hAnsi="Arial" w:cs="Arial"/>
          <w:bCs/>
          <w:sz w:val="24"/>
          <w:szCs w:val="24"/>
        </w:rPr>
      </w:pPr>
      <w:r>
        <w:rPr>
          <w:rFonts w:ascii="Arial" w:eastAsiaTheme="majorEastAsia" w:hAnsi="Arial" w:cs="Arial"/>
          <w:bCs/>
          <w:sz w:val="24"/>
          <w:szCs w:val="24"/>
        </w:rPr>
        <w:t>Fueron</w:t>
      </w:r>
      <w:r w:rsidR="00053B6F" w:rsidRPr="003D1FBA">
        <w:rPr>
          <w:rFonts w:ascii="Arial" w:eastAsiaTheme="majorEastAsia" w:hAnsi="Arial" w:cs="Arial"/>
          <w:bCs/>
          <w:sz w:val="24"/>
          <w:szCs w:val="24"/>
        </w:rPr>
        <w:t xml:space="preserve"> excl</w:t>
      </w:r>
      <w:r>
        <w:rPr>
          <w:rFonts w:ascii="Arial" w:eastAsiaTheme="majorEastAsia" w:hAnsi="Arial" w:cs="Arial"/>
          <w:bCs/>
          <w:sz w:val="24"/>
          <w:szCs w:val="24"/>
        </w:rPr>
        <w:t>uidas</w:t>
      </w:r>
      <w:r w:rsidR="00053B6F" w:rsidRPr="003D1FBA">
        <w:rPr>
          <w:rFonts w:ascii="Arial" w:eastAsiaTheme="majorEastAsia" w:hAnsi="Arial" w:cs="Arial"/>
          <w:bCs/>
          <w:sz w:val="24"/>
          <w:szCs w:val="24"/>
        </w:rPr>
        <w:t xml:space="preserve"> de</w:t>
      </w:r>
      <w:r>
        <w:rPr>
          <w:rFonts w:ascii="Arial" w:eastAsiaTheme="majorEastAsia" w:hAnsi="Arial" w:cs="Arial"/>
          <w:bCs/>
          <w:sz w:val="24"/>
          <w:szCs w:val="24"/>
        </w:rPr>
        <w:t>l</w:t>
      </w:r>
      <w:r w:rsidR="00053B6F" w:rsidRPr="003D1FBA">
        <w:rPr>
          <w:rFonts w:ascii="Arial" w:eastAsiaTheme="majorEastAsia" w:hAnsi="Arial" w:cs="Arial"/>
          <w:bCs/>
          <w:sz w:val="24"/>
          <w:szCs w:val="24"/>
        </w:rPr>
        <w:t xml:space="preserve"> estudi</w:t>
      </w:r>
      <w:r>
        <w:rPr>
          <w:rFonts w:ascii="Arial" w:eastAsiaTheme="majorEastAsia" w:hAnsi="Arial" w:cs="Arial"/>
          <w:bCs/>
          <w:sz w:val="24"/>
          <w:szCs w:val="24"/>
        </w:rPr>
        <w:t>o</w:t>
      </w:r>
      <w:r w:rsidR="00053B6F" w:rsidRPr="003D1FBA">
        <w:rPr>
          <w:rFonts w:ascii="Arial" w:eastAsiaTheme="majorEastAsia" w:hAnsi="Arial" w:cs="Arial"/>
          <w:bCs/>
          <w:sz w:val="24"/>
          <w:szCs w:val="24"/>
        </w:rPr>
        <w:t xml:space="preserve"> </w:t>
      </w:r>
      <w:r>
        <w:rPr>
          <w:rFonts w:ascii="Arial" w:eastAsiaTheme="majorEastAsia" w:hAnsi="Arial" w:cs="Arial"/>
          <w:bCs/>
          <w:sz w:val="24"/>
          <w:szCs w:val="24"/>
        </w:rPr>
        <w:t>las</w:t>
      </w:r>
      <w:r w:rsidR="00053B6F" w:rsidRPr="003D1FBA">
        <w:rPr>
          <w:rFonts w:ascii="Arial" w:eastAsiaTheme="majorEastAsia" w:hAnsi="Arial" w:cs="Arial"/>
          <w:bCs/>
          <w:sz w:val="24"/>
          <w:szCs w:val="24"/>
        </w:rPr>
        <w:t xml:space="preserve"> jugador</w:t>
      </w:r>
      <w:r>
        <w:rPr>
          <w:rFonts w:ascii="Arial" w:eastAsiaTheme="majorEastAsia" w:hAnsi="Arial" w:cs="Arial"/>
          <w:bCs/>
          <w:sz w:val="24"/>
          <w:szCs w:val="24"/>
        </w:rPr>
        <w:t>a</w:t>
      </w:r>
      <w:r w:rsidR="00053B6F" w:rsidRPr="003D1FBA">
        <w:rPr>
          <w:rFonts w:ascii="Arial" w:eastAsiaTheme="majorEastAsia" w:hAnsi="Arial" w:cs="Arial"/>
          <w:bCs/>
          <w:sz w:val="24"/>
          <w:szCs w:val="24"/>
        </w:rPr>
        <w:t xml:space="preserve">s que, </w:t>
      </w:r>
      <w:r>
        <w:rPr>
          <w:rFonts w:ascii="Arial" w:eastAsiaTheme="majorEastAsia" w:hAnsi="Arial" w:cs="Arial"/>
          <w:bCs/>
          <w:sz w:val="24"/>
          <w:szCs w:val="24"/>
        </w:rPr>
        <w:t>en el</w:t>
      </w:r>
      <w:r w:rsidR="00053B6F" w:rsidRPr="003D1FBA">
        <w:rPr>
          <w:rFonts w:ascii="Arial" w:eastAsiaTheme="majorEastAsia" w:hAnsi="Arial" w:cs="Arial"/>
          <w:bCs/>
          <w:sz w:val="24"/>
          <w:szCs w:val="24"/>
        </w:rPr>
        <w:t xml:space="preserve"> moment</w:t>
      </w:r>
      <w:r>
        <w:rPr>
          <w:rFonts w:ascii="Arial" w:eastAsiaTheme="majorEastAsia" w:hAnsi="Arial" w:cs="Arial"/>
          <w:bCs/>
          <w:sz w:val="24"/>
          <w:szCs w:val="24"/>
        </w:rPr>
        <w:t>o</w:t>
      </w:r>
      <w:r w:rsidR="00053B6F" w:rsidRPr="003D1FBA">
        <w:rPr>
          <w:rFonts w:ascii="Arial" w:eastAsiaTheme="majorEastAsia" w:hAnsi="Arial" w:cs="Arial"/>
          <w:bCs/>
          <w:sz w:val="24"/>
          <w:szCs w:val="24"/>
        </w:rPr>
        <w:t xml:space="preserve"> del test, present</w:t>
      </w:r>
      <w:r>
        <w:rPr>
          <w:rFonts w:ascii="Arial" w:eastAsiaTheme="majorEastAsia" w:hAnsi="Arial" w:cs="Arial"/>
          <w:bCs/>
          <w:sz w:val="24"/>
          <w:szCs w:val="24"/>
        </w:rPr>
        <w:t>ara</w:t>
      </w:r>
      <w:r w:rsidR="00053B6F" w:rsidRPr="003D1FBA">
        <w:rPr>
          <w:rFonts w:ascii="Arial" w:eastAsiaTheme="majorEastAsia" w:hAnsi="Arial" w:cs="Arial"/>
          <w:bCs/>
          <w:sz w:val="24"/>
          <w:szCs w:val="24"/>
        </w:rPr>
        <w:t>n alguna lesió</w:t>
      </w:r>
      <w:r>
        <w:rPr>
          <w:rFonts w:ascii="Arial" w:eastAsiaTheme="majorEastAsia" w:hAnsi="Arial" w:cs="Arial"/>
          <w:bCs/>
          <w:sz w:val="24"/>
          <w:szCs w:val="24"/>
        </w:rPr>
        <w:t>n</w:t>
      </w:r>
      <w:r w:rsidR="00053B6F" w:rsidRPr="003D1FBA">
        <w:rPr>
          <w:rFonts w:ascii="Arial" w:eastAsiaTheme="majorEastAsia" w:hAnsi="Arial" w:cs="Arial"/>
          <w:bCs/>
          <w:sz w:val="24"/>
          <w:szCs w:val="24"/>
        </w:rPr>
        <w:t xml:space="preserve"> (aguda o cr</w:t>
      </w:r>
      <w:r>
        <w:rPr>
          <w:rFonts w:ascii="Arial" w:eastAsiaTheme="majorEastAsia" w:hAnsi="Arial" w:cs="Arial"/>
          <w:bCs/>
          <w:sz w:val="24"/>
          <w:szCs w:val="24"/>
        </w:rPr>
        <w:t>ó</w:t>
      </w:r>
      <w:r w:rsidR="00053B6F" w:rsidRPr="003D1FBA">
        <w:rPr>
          <w:rFonts w:ascii="Arial" w:eastAsiaTheme="majorEastAsia" w:hAnsi="Arial" w:cs="Arial"/>
          <w:bCs/>
          <w:sz w:val="24"/>
          <w:szCs w:val="24"/>
        </w:rPr>
        <w:t xml:space="preserve">nica) </w:t>
      </w:r>
      <w:r>
        <w:rPr>
          <w:rFonts w:ascii="Arial" w:eastAsiaTheme="majorEastAsia" w:hAnsi="Arial" w:cs="Arial"/>
          <w:bCs/>
          <w:sz w:val="24"/>
          <w:szCs w:val="24"/>
        </w:rPr>
        <w:t>y</w:t>
      </w:r>
      <w:r w:rsidR="00053B6F" w:rsidRPr="003D1FBA">
        <w:rPr>
          <w:rFonts w:ascii="Arial" w:eastAsiaTheme="majorEastAsia" w:hAnsi="Arial" w:cs="Arial"/>
          <w:bCs/>
          <w:sz w:val="24"/>
          <w:szCs w:val="24"/>
        </w:rPr>
        <w:t xml:space="preserve"> </w:t>
      </w:r>
      <w:r>
        <w:rPr>
          <w:rFonts w:ascii="Arial" w:eastAsiaTheme="majorEastAsia" w:hAnsi="Arial" w:cs="Arial"/>
          <w:bCs/>
          <w:sz w:val="24"/>
          <w:szCs w:val="24"/>
        </w:rPr>
        <w:t>las</w:t>
      </w:r>
      <w:r w:rsidR="00053B6F" w:rsidRPr="003D1FBA">
        <w:rPr>
          <w:rFonts w:ascii="Arial" w:eastAsiaTheme="majorEastAsia" w:hAnsi="Arial" w:cs="Arial"/>
          <w:bCs/>
          <w:sz w:val="24"/>
          <w:szCs w:val="24"/>
        </w:rPr>
        <w:t xml:space="preserve"> que h</w:t>
      </w:r>
      <w:r>
        <w:rPr>
          <w:rFonts w:ascii="Arial" w:eastAsiaTheme="majorEastAsia" w:hAnsi="Arial" w:cs="Arial"/>
          <w:bCs/>
          <w:sz w:val="24"/>
          <w:szCs w:val="24"/>
        </w:rPr>
        <w:t>ubiesen</w:t>
      </w:r>
      <w:r w:rsidR="00053B6F" w:rsidRPr="003D1FBA">
        <w:rPr>
          <w:rFonts w:ascii="Arial" w:eastAsiaTheme="majorEastAsia" w:hAnsi="Arial" w:cs="Arial"/>
          <w:bCs/>
          <w:sz w:val="24"/>
          <w:szCs w:val="24"/>
        </w:rPr>
        <w:t xml:space="preserve"> juga</w:t>
      </w:r>
      <w:r>
        <w:rPr>
          <w:rFonts w:ascii="Arial" w:eastAsiaTheme="majorEastAsia" w:hAnsi="Arial" w:cs="Arial"/>
          <w:bCs/>
          <w:sz w:val="24"/>
          <w:szCs w:val="24"/>
        </w:rPr>
        <w:t>do</w:t>
      </w:r>
      <w:r w:rsidR="00053B6F" w:rsidRPr="003D1FBA">
        <w:rPr>
          <w:rFonts w:ascii="Arial" w:eastAsiaTheme="majorEastAsia" w:hAnsi="Arial" w:cs="Arial"/>
          <w:bCs/>
          <w:sz w:val="24"/>
          <w:szCs w:val="24"/>
        </w:rPr>
        <w:t xml:space="preserve"> un parti</w:t>
      </w:r>
      <w:r>
        <w:rPr>
          <w:rFonts w:ascii="Arial" w:eastAsiaTheme="majorEastAsia" w:hAnsi="Arial" w:cs="Arial"/>
          <w:bCs/>
          <w:sz w:val="24"/>
          <w:szCs w:val="24"/>
        </w:rPr>
        <w:t>do</w:t>
      </w:r>
      <w:r w:rsidR="00053B6F" w:rsidRPr="003D1FBA">
        <w:rPr>
          <w:rFonts w:ascii="Arial" w:eastAsiaTheme="majorEastAsia" w:hAnsi="Arial" w:cs="Arial"/>
          <w:bCs/>
          <w:sz w:val="24"/>
          <w:szCs w:val="24"/>
        </w:rPr>
        <w:t xml:space="preserve"> l</w:t>
      </w:r>
      <w:r>
        <w:rPr>
          <w:rFonts w:ascii="Arial" w:eastAsiaTheme="majorEastAsia" w:hAnsi="Arial" w:cs="Arial"/>
          <w:bCs/>
          <w:sz w:val="24"/>
          <w:szCs w:val="24"/>
        </w:rPr>
        <w:t>o</w:t>
      </w:r>
      <w:r w:rsidR="00053B6F" w:rsidRPr="003D1FBA">
        <w:rPr>
          <w:rFonts w:ascii="Arial" w:eastAsiaTheme="majorEastAsia" w:hAnsi="Arial" w:cs="Arial"/>
          <w:bCs/>
          <w:sz w:val="24"/>
          <w:szCs w:val="24"/>
        </w:rPr>
        <w:t>s dos d</w:t>
      </w:r>
      <w:r>
        <w:rPr>
          <w:rFonts w:ascii="Arial" w:eastAsiaTheme="majorEastAsia" w:hAnsi="Arial" w:cs="Arial"/>
          <w:bCs/>
          <w:sz w:val="24"/>
          <w:szCs w:val="24"/>
        </w:rPr>
        <w:t>ía</w:t>
      </w:r>
      <w:r w:rsidR="00053B6F" w:rsidRPr="003D1FBA">
        <w:rPr>
          <w:rFonts w:ascii="Arial" w:eastAsiaTheme="majorEastAsia" w:hAnsi="Arial" w:cs="Arial"/>
          <w:bCs/>
          <w:sz w:val="24"/>
          <w:szCs w:val="24"/>
        </w:rPr>
        <w:t>s previ</w:t>
      </w:r>
      <w:r>
        <w:rPr>
          <w:rFonts w:ascii="Arial" w:eastAsiaTheme="majorEastAsia" w:hAnsi="Arial" w:cs="Arial"/>
          <w:bCs/>
          <w:sz w:val="24"/>
          <w:szCs w:val="24"/>
        </w:rPr>
        <w:t>o</w:t>
      </w:r>
      <w:r w:rsidR="00053B6F" w:rsidRPr="003D1FBA">
        <w:rPr>
          <w:rFonts w:ascii="Arial" w:eastAsiaTheme="majorEastAsia" w:hAnsi="Arial" w:cs="Arial"/>
          <w:bCs/>
          <w:sz w:val="24"/>
          <w:szCs w:val="24"/>
        </w:rPr>
        <w:t>s al</w:t>
      </w:r>
      <w:r>
        <w:rPr>
          <w:rFonts w:ascii="Arial" w:eastAsiaTheme="majorEastAsia" w:hAnsi="Arial" w:cs="Arial"/>
          <w:bCs/>
          <w:sz w:val="24"/>
          <w:szCs w:val="24"/>
        </w:rPr>
        <w:t xml:space="preserve"> </w:t>
      </w:r>
      <w:r w:rsidR="00053B6F" w:rsidRPr="003D1FBA">
        <w:rPr>
          <w:rFonts w:ascii="Arial" w:eastAsiaTheme="majorEastAsia" w:hAnsi="Arial" w:cs="Arial"/>
          <w:bCs/>
          <w:sz w:val="24"/>
          <w:szCs w:val="24"/>
        </w:rPr>
        <w:t>estudi</w:t>
      </w:r>
      <w:r>
        <w:rPr>
          <w:rFonts w:ascii="Arial" w:eastAsiaTheme="majorEastAsia" w:hAnsi="Arial" w:cs="Arial"/>
          <w:bCs/>
          <w:sz w:val="24"/>
          <w:szCs w:val="24"/>
        </w:rPr>
        <w:t>o</w:t>
      </w:r>
      <w:r w:rsidR="00053B6F" w:rsidRPr="003D1FBA">
        <w:rPr>
          <w:rFonts w:ascii="Arial" w:eastAsiaTheme="majorEastAsia" w:hAnsi="Arial" w:cs="Arial"/>
          <w:bCs/>
          <w:sz w:val="24"/>
          <w:szCs w:val="24"/>
        </w:rPr>
        <w:t>.</w:t>
      </w:r>
    </w:p>
    <w:p w:rsidR="00A67123" w:rsidRPr="003D1FBA" w:rsidRDefault="00117021" w:rsidP="00053B6F">
      <w:pPr>
        <w:spacing w:line="360" w:lineRule="auto"/>
        <w:jc w:val="both"/>
        <w:rPr>
          <w:rFonts w:ascii="Arial" w:eastAsiaTheme="majorEastAsia" w:hAnsi="Arial" w:cs="Arial"/>
          <w:bCs/>
          <w:sz w:val="24"/>
          <w:szCs w:val="24"/>
        </w:rPr>
      </w:pPr>
      <w:r>
        <w:rPr>
          <w:rFonts w:ascii="Arial" w:eastAsiaTheme="majorEastAsia" w:hAnsi="Arial" w:cs="Arial"/>
          <w:bCs/>
          <w:sz w:val="24"/>
          <w:szCs w:val="24"/>
        </w:rPr>
        <w:t>Con</w:t>
      </w:r>
      <w:r w:rsidR="00053B6F" w:rsidRPr="003D1FBA">
        <w:rPr>
          <w:rFonts w:ascii="Arial" w:eastAsiaTheme="majorEastAsia" w:hAnsi="Arial" w:cs="Arial"/>
          <w:bCs/>
          <w:sz w:val="24"/>
          <w:szCs w:val="24"/>
        </w:rPr>
        <w:t xml:space="preserve"> l</w:t>
      </w:r>
      <w:r>
        <w:rPr>
          <w:rFonts w:ascii="Arial" w:eastAsiaTheme="majorEastAsia" w:hAnsi="Arial" w:cs="Arial"/>
          <w:bCs/>
          <w:sz w:val="24"/>
          <w:szCs w:val="24"/>
        </w:rPr>
        <w:t>o</w:t>
      </w:r>
      <w:r w:rsidR="00053B6F" w:rsidRPr="003D1FBA">
        <w:rPr>
          <w:rFonts w:ascii="Arial" w:eastAsiaTheme="majorEastAsia" w:hAnsi="Arial" w:cs="Arial"/>
          <w:bCs/>
          <w:sz w:val="24"/>
          <w:szCs w:val="24"/>
        </w:rPr>
        <w:t>s criteri</w:t>
      </w:r>
      <w:r>
        <w:rPr>
          <w:rFonts w:ascii="Arial" w:eastAsiaTheme="majorEastAsia" w:hAnsi="Arial" w:cs="Arial"/>
          <w:bCs/>
          <w:sz w:val="24"/>
          <w:szCs w:val="24"/>
        </w:rPr>
        <w:t>o</w:t>
      </w:r>
      <w:r w:rsidR="00053B6F" w:rsidRPr="003D1FBA">
        <w:rPr>
          <w:rFonts w:ascii="Arial" w:eastAsiaTheme="majorEastAsia" w:hAnsi="Arial" w:cs="Arial"/>
          <w:bCs/>
          <w:sz w:val="24"/>
          <w:szCs w:val="24"/>
        </w:rPr>
        <w:t>s e</w:t>
      </w:r>
      <w:r>
        <w:rPr>
          <w:rFonts w:ascii="Arial" w:eastAsiaTheme="majorEastAsia" w:hAnsi="Arial" w:cs="Arial"/>
          <w:bCs/>
          <w:sz w:val="24"/>
          <w:szCs w:val="24"/>
        </w:rPr>
        <w:t>xpuestos</w:t>
      </w:r>
      <w:r w:rsidR="00053B6F" w:rsidRPr="003D1FBA">
        <w:rPr>
          <w:rFonts w:ascii="Arial" w:eastAsiaTheme="majorEastAsia" w:hAnsi="Arial" w:cs="Arial"/>
          <w:bCs/>
          <w:sz w:val="24"/>
          <w:szCs w:val="24"/>
        </w:rPr>
        <w:t xml:space="preserve">, </w:t>
      </w:r>
      <w:r>
        <w:rPr>
          <w:rFonts w:ascii="Arial" w:eastAsiaTheme="majorEastAsia" w:hAnsi="Arial" w:cs="Arial"/>
          <w:bCs/>
          <w:sz w:val="24"/>
          <w:szCs w:val="24"/>
        </w:rPr>
        <w:t>el tamaño</w:t>
      </w:r>
      <w:r w:rsidR="00FD1E0D" w:rsidRPr="003D1FBA">
        <w:rPr>
          <w:rFonts w:ascii="Arial" w:eastAsiaTheme="majorEastAsia" w:hAnsi="Arial" w:cs="Arial"/>
          <w:bCs/>
          <w:sz w:val="24"/>
          <w:szCs w:val="24"/>
        </w:rPr>
        <w:t xml:space="preserve"> de la m</w:t>
      </w:r>
      <w:r>
        <w:rPr>
          <w:rFonts w:ascii="Arial" w:eastAsiaTheme="majorEastAsia" w:hAnsi="Arial" w:cs="Arial"/>
          <w:bCs/>
          <w:sz w:val="24"/>
          <w:szCs w:val="24"/>
        </w:rPr>
        <w:t>ue</w:t>
      </w:r>
      <w:r w:rsidR="00FD1E0D" w:rsidRPr="003D1FBA">
        <w:rPr>
          <w:rFonts w:ascii="Arial" w:eastAsiaTheme="majorEastAsia" w:hAnsi="Arial" w:cs="Arial"/>
          <w:bCs/>
          <w:sz w:val="24"/>
          <w:szCs w:val="24"/>
        </w:rPr>
        <w:t>stra</w:t>
      </w:r>
      <w:r w:rsidR="005A7A2D" w:rsidRPr="003D1FBA">
        <w:rPr>
          <w:rFonts w:ascii="Arial" w:eastAsiaTheme="majorEastAsia" w:hAnsi="Arial" w:cs="Arial"/>
          <w:bCs/>
          <w:sz w:val="24"/>
          <w:szCs w:val="24"/>
        </w:rPr>
        <w:t xml:space="preserve"> </w:t>
      </w:r>
      <w:r>
        <w:rPr>
          <w:rFonts w:ascii="Arial" w:eastAsiaTheme="majorEastAsia" w:hAnsi="Arial" w:cs="Arial"/>
          <w:bCs/>
          <w:sz w:val="24"/>
          <w:szCs w:val="24"/>
        </w:rPr>
        <w:t>fue</w:t>
      </w:r>
      <w:r w:rsidR="005A7A2D" w:rsidRPr="003D1FBA">
        <w:rPr>
          <w:rFonts w:ascii="Arial" w:eastAsiaTheme="majorEastAsia" w:hAnsi="Arial" w:cs="Arial"/>
          <w:bCs/>
          <w:sz w:val="24"/>
          <w:szCs w:val="24"/>
        </w:rPr>
        <w:t xml:space="preserve"> de 30 suje</w:t>
      </w:r>
      <w:r>
        <w:rPr>
          <w:rFonts w:ascii="Arial" w:eastAsiaTheme="majorEastAsia" w:hAnsi="Arial" w:cs="Arial"/>
          <w:bCs/>
          <w:sz w:val="24"/>
          <w:szCs w:val="24"/>
        </w:rPr>
        <w:t>to</w:t>
      </w:r>
      <w:r w:rsidR="005A7A2D" w:rsidRPr="003D1FBA">
        <w:rPr>
          <w:rFonts w:ascii="Arial" w:eastAsiaTheme="majorEastAsia" w:hAnsi="Arial" w:cs="Arial"/>
          <w:bCs/>
          <w:sz w:val="24"/>
          <w:szCs w:val="24"/>
        </w:rPr>
        <w:t>s.</w:t>
      </w:r>
      <w:r w:rsidR="00FD1E0D" w:rsidRPr="003D1FBA">
        <w:rPr>
          <w:rFonts w:ascii="Arial" w:eastAsiaTheme="majorEastAsia" w:hAnsi="Arial" w:cs="Arial"/>
          <w:bCs/>
          <w:sz w:val="24"/>
          <w:szCs w:val="24"/>
        </w:rPr>
        <w:t xml:space="preserve"> </w:t>
      </w:r>
      <w:r>
        <w:rPr>
          <w:rFonts w:ascii="Arial" w:eastAsiaTheme="majorEastAsia" w:hAnsi="Arial" w:cs="Arial"/>
          <w:bCs/>
          <w:sz w:val="24"/>
          <w:szCs w:val="24"/>
        </w:rPr>
        <w:t>El tamaño se</w:t>
      </w:r>
      <w:r w:rsidR="00FD1E0D" w:rsidRPr="003D1FBA">
        <w:rPr>
          <w:rFonts w:ascii="Arial" w:eastAsiaTheme="majorEastAsia" w:hAnsi="Arial" w:cs="Arial"/>
          <w:bCs/>
          <w:sz w:val="24"/>
          <w:szCs w:val="24"/>
        </w:rPr>
        <w:t xml:space="preserve"> calcul</w:t>
      </w:r>
      <w:r>
        <w:rPr>
          <w:rFonts w:ascii="Arial" w:eastAsiaTheme="majorEastAsia" w:hAnsi="Arial" w:cs="Arial"/>
          <w:bCs/>
          <w:sz w:val="24"/>
          <w:szCs w:val="24"/>
        </w:rPr>
        <w:t>ó</w:t>
      </w:r>
      <w:r w:rsidR="00FD1E0D" w:rsidRPr="003D1FBA">
        <w:rPr>
          <w:rFonts w:ascii="Arial" w:eastAsiaTheme="majorEastAsia" w:hAnsi="Arial" w:cs="Arial"/>
          <w:bCs/>
          <w:sz w:val="24"/>
          <w:szCs w:val="24"/>
        </w:rPr>
        <w:t xml:space="preserve"> aceptan</w:t>
      </w:r>
      <w:r>
        <w:rPr>
          <w:rFonts w:ascii="Arial" w:eastAsiaTheme="majorEastAsia" w:hAnsi="Arial" w:cs="Arial"/>
          <w:bCs/>
          <w:sz w:val="24"/>
          <w:szCs w:val="24"/>
        </w:rPr>
        <w:t>do</w:t>
      </w:r>
      <w:r w:rsidR="00FD1E0D" w:rsidRPr="003D1FBA">
        <w:rPr>
          <w:rFonts w:ascii="Arial" w:eastAsiaTheme="majorEastAsia" w:hAnsi="Arial" w:cs="Arial"/>
          <w:bCs/>
          <w:sz w:val="24"/>
          <w:szCs w:val="24"/>
        </w:rPr>
        <w:t xml:space="preserve"> un ri</w:t>
      </w:r>
      <w:r>
        <w:rPr>
          <w:rFonts w:ascii="Arial" w:eastAsiaTheme="majorEastAsia" w:hAnsi="Arial" w:cs="Arial"/>
          <w:bCs/>
          <w:sz w:val="24"/>
          <w:szCs w:val="24"/>
        </w:rPr>
        <w:t>esgo</w:t>
      </w:r>
      <w:r w:rsidR="004537EC">
        <w:rPr>
          <w:rFonts w:ascii="Arial" w:eastAsiaTheme="majorEastAsia" w:hAnsi="Arial" w:cs="Arial"/>
          <w:bCs/>
          <w:sz w:val="24"/>
          <w:szCs w:val="24"/>
        </w:rPr>
        <w:t xml:space="preserve"> alfa de 0.</w:t>
      </w:r>
      <w:r w:rsidR="00FD1E0D" w:rsidRPr="003D1FBA">
        <w:rPr>
          <w:rFonts w:ascii="Arial" w:eastAsiaTheme="majorEastAsia" w:hAnsi="Arial" w:cs="Arial"/>
          <w:bCs/>
          <w:sz w:val="24"/>
          <w:szCs w:val="24"/>
        </w:rPr>
        <w:t xml:space="preserve">05 </w:t>
      </w:r>
      <w:r>
        <w:rPr>
          <w:rFonts w:ascii="Arial" w:eastAsiaTheme="majorEastAsia" w:hAnsi="Arial" w:cs="Arial"/>
          <w:bCs/>
          <w:sz w:val="24"/>
          <w:szCs w:val="24"/>
        </w:rPr>
        <w:t>y</w:t>
      </w:r>
      <w:r w:rsidR="00FD1E0D" w:rsidRPr="003D1FBA">
        <w:rPr>
          <w:rFonts w:ascii="Arial" w:eastAsiaTheme="majorEastAsia" w:hAnsi="Arial" w:cs="Arial"/>
          <w:bCs/>
          <w:sz w:val="24"/>
          <w:szCs w:val="24"/>
        </w:rPr>
        <w:t xml:space="preserve"> un ri</w:t>
      </w:r>
      <w:r>
        <w:rPr>
          <w:rFonts w:ascii="Arial" w:eastAsiaTheme="majorEastAsia" w:hAnsi="Arial" w:cs="Arial"/>
          <w:bCs/>
          <w:sz w:val="24"/>
          <w:szCs w:val="24"/>
        </w:rPr>
        <w:t>esgo</w:t>
      </w:r>
      <w:r w:rsidR="004537EC">
        <w:rPr>
          <w:rFonts w:ascii="Arial" w:eastAsiaTheme="majorEastAsia" w:hAnsi="Arial" w:cs="Arial"/>
          <w:bCs/>
          <w:sz w:val="24"/>
          <w:szCs w:val="24"/>
        </w:rPr>
        <w:t xml:space="preserve"> beta inferior al 0.</w:t>
      </w:r>
      <w:r w:rsidR="00FD1E0D" w:rsidRPr="003D1FBA">
        <w:rPr>
          <w:rFonts w:ascii="Arial" w:eastAsiaTheme="majorEastAsia" w:hAnsi="Arial" w:cs="Arial"/>
          <w:bCs/>
          <w:sz w:val="24"/>
          <w:szCs w:val="24"/>
        </w:rPr>
        <w:t>2</w:t>
      </w:r>
      <w:r w:rsidR="0018399D" w:rsidRPr="003D1FBA">
        <w:rPr>
          <w:rFonts w:ascii="Arial" w:eastAsiaTheme="majorEastAsia" w:hAnsi="Arial" w:cs="Arial"/>
          <w:bCs/>
          <w:sz w:val="24"/>
          <w:szCs w:val="24"/>
        </w:rPr>
        <w:t>,</w:t>
      </w:r>
      <w:r w:rsidR="00FD1E0D" w:rsidRPr="003D1FBA">
        <w:rPr>
          <w:rFonts w:ascii="Arial" w:eastAsiaTheme="majorEastAsia" w:hAnsi="Arial" w:cs="Arial"/>
          <w:bCs/>
          <w:sz w:val="24"/>
          <w:szCs w:val="24"/>
        </w:rPr>
        <w:t xml:space="preserve"> un contrast</w:t>
      </w:r>
      <w:r>
        <w:rPr>
          <w:rFonts w:ascii="Arial" w:eastAsiaTheme="majorEastAsia" w:hAnsi="Arial" w:cs="Arial"/>
          <w:bCs/>
          <w:sz w:val="24"/>
          <w:szCs w:val="24"/>
        </w:rPr>
        <w:t>e</w:t>
      </w:r>
      <w:r w:rsidR="00FD1E0D" w:rsidRPr="003D1FBA">
        <w:rPr>
          <w:rFonts w:ascii="Arial" w:eastAsiaTheme="majorEastAsia" w:hAnsi="Arial" w:cs="Arial"/>
          <w:bCs/>
          <w:sz w:val="24"/>
          <w:szCs w:val="24"/>
        </w:rPr>
        <w:t xml:space="preserve"> bilateral </w:t>
      </w:r>
      <w:r>
        <w:rPr>
          <w:rFonts w:ascii="Arial" w:eastAsiaTheme="majorEastAsia" w:hAnsi="Arial" w:cs="Arial"/>
          <w:bCs/>
          <w:sz w:val="24"/>
          <w:szCs w:val="24"/>
        </w:rPr>
        <w:t>y</w:t>
      </w:r>
      <w:r w:rsidR="00FD1E0D" w:rsidRPr="003D1FBA">
        <w:rPr>
          <w:rFonts w:ascii="Arial" w:eastAsiaTheme="majorEastAsia" w:hAnsi="Arial" w:cs="Arial"/>
          <w:bCs/>
          <w:sz w:val="24"/>
          <w:szCs w:val="24"/>
        </w:rPr>
        <w:t xml:space="preserve"> </w:t>
      </w:r>
      <w:r>
        <w:rPr>
          <w:rFonts w:ascii="Arial" w:eastAsiaTheme="majorEastAsia" w:hAnsi="Arial" w:cs="Arial"/>
          <w:bCs/>
          <w:sz w:val="24"/>
          <w:szCs w:val="24"/>
        </w:rPr>
        <w:t>se</w:t>
      </w:r>
      <w:r w:rsidR="00FD1E0D" w:rsidRPr="003D1FBA">
        <w:rPr>
          <w:rFonts w:ascii="Arial" w:eastAsiaTheme="majorEastAsia" w:hAnsi="Arial" w:cs="Arial"/>
          <w:bCs/>
          <w:sz w:val="24"/>
          <w:szCs w:val="24"/>
        </w:rPr>
        <w:t xml:space="preserve"> </w:t>
      </w:r>
      <w:r>
        <w:rPr>
          <w:rFonts w:ascii="Arial" w:eastAsiaTheme="majorEastAsia" w:hAnsi="Arial" w:cs="Arial"/>
          <w:bCs/>
          <w:sz w:val="24"/>
          <w:szCs w:val="24"/>
        </w:rPr>
        <w:t>quiso</w:t>
      </w:r>
      <w:r w:rsidR="00FD1E0D" w:rsidRPr="003D1FBA">
        <w:rPr>
          <w:rFonts w:ascii="Arial" w:eastAsiaTheme="majorEastAsia" w:hAnsi="Arial" w:cs="Arial"/>
          <w:bCs/>
          <w:sz w:val="24"/>
          <w:szCs w:val="24"/>
        </w:rPr>
        <w:t xml:space="preserve"> detectar una difer</w:t>
      </w:r>
      <w:r>
        <w:rPr>
          <w:rFonts w:ascii="Arial" w:eastAsiaTheme="majorEastAsia" w:hAnsi="Arial" w:cs="Arial"/>
          <w:bCs/>
          <w:sz w:val="24"/>
          <w:szCs w:val="24"/>
        </w:rPr>
        <w:t>e</w:t>
      </w:r>
      <w:r w:rsidR="00FD1E0D" w:rsidRPr="003D1FBA">
        <w:rPr>
          <w:rFonts w:ascii="Arial" w:eastAsiaTheme="majorEastAsia" w:hAnsi="Arial" w:cs="Arial"/>
          <w:bCs/>
          <w:sz w:val="24"/>
          <w:szCs w:val="24"/>
        </w:rPr>
        <w:t xml:space="preserve">ncia igual o </w:t>
      </w:r>
      <w:r w:rsidR="004537EC">
        <w:rPr>
          <w:rFonts w:ascii="Arial" w:eastAsiaTheme="majorEastAsia" w:hAnsi="Arial" w:cs="Arial"/>
          <w:bCs/>
          <w:sz w:val="24"/>
          <w:szCs w:val="24"/>
        </w:rPr>
        <w:t>superior a 0.</w:t>
      </w:r>
      <w:r w:rsidR="00FD1E0D" w:rsidRPr="003D1FBA">
        <w:rPr>
          <w:rFonts w:ascii="Arial" w:eastAsiaTheme="majorEastAsia" w:hAnsi="Arial" w:cs="Arial"/>
          <w:bCs/>
          <w:sz w:val="24"/>
          <w:szCs w:val="24"/>
        </w:rPr>
        <w:t>3 un</w:t>
      </w:r>
      <w:r>
        <w:rPr>
          <w:rFonts w:ascii="Arial" w:eastAsiaTheme="majorEastAsia" w:hAnsi="Arial" w:cs="Arial"/>
          <w:bCs/>
          <w:sz w:val="24"/>
          <w:szCs w:val="24"/>
        </w:rPr>
        <w:t>idade</w:t>
      </w:r>
      <w:r w:rsidR="00FD1E0D" w:rsidRPr="003D1FBA">
        <w:rPr>
          <w:rFonts w:ascii="Arial" w:eastAsiaTheme="majorEastAsia" w:hAnsi="Arial" w:cs="Arial"/>
          <w:bCs/>
          <w:sz w:val="24"/>
          <w:szCs w:val="24"/>
        </w:rPr>
        <w:t xml:space="preserve">s. </w:t>
      </w:r>
      <w:r>
        <w:rPr>
          <w:rFonts w:ascii="Arial" w:eastAsiaTheme="majorEastAsia" w:hAnsi="Arial" w:cs="Arial"/>
          <w:bCs/>
          <w:sz w:val="24"/>
          <w:szCs w:val="24"/>
        </w:rPr>
        <w:t>Se</w:t>
      </w:r>
      <w:r w:rsidR="00FD1E0D" w:rsidRPr="003D1FBA">
        <w:rPr>
          <w:rFonts w:ascii="Arial" w:eastAsiaTheme="majorEastAsia" w:hAnsi="Arial" w:cs="Arial"/>
          <w:bCs/>
          <w:sz w:val="24"/>
          <w:szCs w:val="24"/>
        </w:rPr>
        <w:t xml:space="preserve"> asumi</w:t>
      </w:r>
      <w:r>
        <w:rPr>
          <w:rFonts w:ascii="Arial" w:eastAsiaTheme="majorEastAsia" w:hAnsi="Arial" w:cs="Arial"/>
          <w:bCs/>
          <w:sz w:val="24"/>
          <w:szCs w:val="24"/>
        </w:rPr>
        <w:t>ó</w:t>
      </w:r>
      <w:r w:rsidR="00FD1E0D" w:rsidRPr="003D1FBA">
        <w:rPr>
          <w:rFonts w:ascii="Arial" w:eastAsiaTheme="majorEastAsia" w:hAnsi="Arial" w:cs="Arial"/>
          <w:bCs/>
          <w:sz w:val="24"/>
          <w:szCs w:val="24"/>
        </w:rPr>
        <w:t xml:space="preserve"> una desviació</w:t>
      </w:r>
      <w:r>
        <w:rPr>
          <w:rFonts w:ascii="Arial" w:eastAsiaTheme="majorEastAsia" w:hAnsi="Arial" w:cs="Arial"/>
          <w:bCs/>
          <w:sz w:val="24"/>
          <w:szCs w:val="24"/>
        </w:rPr>
        <w:t>n</w:t>
      </w:r>
      <w:r w:rsidR="00FD1E0D" w:rsidRPr="003D1FBA">
        <w:rPr>
          <w:rFonts w:ascii="Arial" w:eastAsiaTheme="majorEastAsia" w:hAnsi="Arial" w:cs="Arial"/>
          <w:bCs/>
          <w:sz w:val="24"/>
          <w:szCs w:val="24"/>
        </w:rPr>
        <w:t xml:space="preserve"> est</w:t>
      </w:r>
      <w:r>
        <w:rPr>
          <w:rFonts w:ascii="Arial" w:eastAsiaTheme="majorEastAsia" w:hAnsi="Arial" w:cs="Arial"/>
          <w:bCs/>
          <w:sz w:val="24"/>
          <w:szCs w:val="24"/>
        </w:rPr>
        <w:t>á</w:t>
      </w:r>
      <w:r w:rsidR="004537EC">
        <w:rPr>
          <w:rFonts w:ascii="Arial" w:eastAsiaTheme="majorEastAsia" w:hAnsi="Arial" w:cs="Arial"/>
          <w:bCs/>
          <w:sz w:val="24"/>
          <w:szCs w:val="24"/>
        </w:rPr>
        <w:t>ndar de 0.</w:t>
      </w:r>
      <w:r w:rsidR="00FD1E0D" w:rsidRPr="003D1FBA">
        <w:rPr>
          <w:rFonts w:ascii="Arial" w:eastAsiaTheme="majorEastAsia" w:hAnsi="Arial" w:cs="Arial"/>
          <w:bCs/>
          <w:sz w:val="24"/>
          <w:szCs w:val="24"/>
        </w:rPr>
        <w:t xml:space="preserve">55 </w:t>
      </w:r>
      <w:r>
        <w:rPr>
          <w:rFonts w:ascii="Arial" w:eastAsiaTheme="majorEastAsia" w:hAnsi="Arial" w:cs="Arial"/>
          <w:bCs/>
          <w:sz w:val="24"/>
          <w:szCs w:val="24"/>
        </w:rPr>
        <w:t>y</w:t>
      </w:r>
      <w:r w:rsidR="00FD1E0D" w:rsidRPr="003D1FBA">
        <w:rPr>
          <w:rFonts w:ascii="Arial" w:eastAsiaTheme="majorEastAsia" w:hAnsi="Arial" w:cs="Arial"/>
          <w:bCs/>
          <w:sz w:val="24"/>
          <w:szCs w:val="24"/>
        </w:rPr>
        <w:t xml:space="preserve"> una ta</w:t>
      </w:r>
      <w:r w:rsidR="00667CF4">
        <w:rPr>
          <w:rFonts w:ascii="Arial" w:eastAsiaTheme="majorEastAsia" w:hAnsi="Arial" w:cs="Arial"/>
          <w:bCs/>
          <w:sz w:val="24"/>
          <w:szCs w:val="24"/>
        </w:rPr>
        <w:t>s</w:t>
      </w:r>
      <w:r w:rsidR="00FD1E0D" w:rsidRPr="003D1FBA">
        <w:rPr>
          <w:rFonts w:ascii="Arial" w:eastAsiaTheme="majorEastAsia" w:hAnsi="Arial" w:cs="Arial"/>
          <w:bCs/>
          <w:sz w:val="24"/>
          <w:szCs w:val="24"/>
        </w:rPr>
        <w:t>a de p</w:t>
      </w:r>
      <w:r w:rsidR="00667CF4">
        <w:rPr>
          <w:rFonts w:ascii="Arial" w:eastAsiaTheme="majorEastAsia" w:hAnsi="Arial" w:cs="Arial"/>
          <w:bCs/>
          <w:sz w:val="24"/>
          <w:szCs w:val="24"/>
        </w:rPr>
        <w:t>é</w:t>
      </w:r>
      <w:r w:rsidR="00FD1E0D" w:rsidRPr="003D1FBA">
        <w:rPr>
          <w:rFonts w:ascii="Arial" w:eastAsiaTheme="majorEastAsia" w:hAnsi="Arial" w:cs="Arial"/>
          <w:bCs/>
          <w:sz w:val="24"/>
          <w:szCs w:val="24"/>
        </w:rPr>
        <w:t>rd</w:t>
      </w:r>
      <w:r w:rsidR="00667CF4">
        <w:rPr>
          <w:rFonts w:ascii="Arial" w:eastAsiaTheme="majorEastAsia" w:hAnsi="Arial" w:cs="Arial"/>
          <w:bCs/>
          <w:sz w:val="24"/>
          <w:szCs w:val="24"/>
        </w:rPr>
        <w:t>ida</w:t>
      </w:r>
      <w:r w:rsidR="00FD1E0D" w:rsidRPr="003D1FBA">
        <w:rPr>
          <w:rFonts w:ascii="Arial" w:eastAsiaTheme="majorEastAsia" w:hAnsi="Arial" w:cs="Arial"/>
          <w:bCs/>
          <w:sz w:val="24"/>
          <w:szCs w:val="24"/>
        </w:rPr>
        <w:t>s de seguim</w:t>
      </w:r>
      <w:r w:rsidR="00667CF4">
        <w:rPr>
          <w:rFonts w:ascii="Arial" w:eastAsiaTheme="majorEastAsia" w:hAnsi="Arial" w:cs="Arial"/>
          <w:bCs/>
          <w:sz w:val="24"/>
          <w:szCs w:val="24"/>
        </w:rPr>
        <w:t>i</w:t>
      </w:r>
      <w:r w:rsidR="00FD1E0D" w:rsidRPr="003D1FBA">
        <w:rPr>
          <w:rFonts w:ascii="Arial" w:eastAsiaTheme="majorEastAsia" w:hAnsi="Arial" w:cs="Arial"/>
          <w:bCs/>
          <w:sz w:val="24"/>
          <w:szCs w:val="24"/>
        </w:rPr>
        <w:t>ent</w:t>
      </w:r>
      <w:r w:rsidR="00667CF4">
        <w:rPr>
          <w:rFonts w:ascii="Arial" w:eastAsiaTheme="majorEastAsia" w:hAnsi="Arial" w:cs="Arial"/>
          <w:bCs/>
          <w:sz w:val="24"/>
          <w:szCs w:val="24"/>
        </w:rPr>
        <w:t>o</w:t>
      </w:r>
      <w:r w:rsidR="00FD1E0D" w:rsidRPr="003D1FBA">
        <w:rPr>
          <w:rFonts w:ascii="Arial" w:eastAsiaTheme="majorEastAsia" w:hAnsi="Arial" w:cs="Arial"/>
          <w:bCs/>
          <w:sz w:val="24"/>
          <w:szCs w:val="24"/>
        </w:rPr>
        <w:t xml:space="preserve"> del 10%. </w:t>
      </w:r>
      <w:r w:rsidR="00667CF4">
        <w:rPr>
          <w:rFonts w:ascii="Arial" w:eastAsiaTheme="majorEastAsia" w:hAnsi="Arial" w:cs="Arial"/>
          <w:bCs/>
          <w:sz w:val="24"/>
          <w:szCs w:val="24"/>
        </w:rPr>
        <w:t>Se</w:t>
      </w:r>
      <w:r w:rsidR="005A7A2D" w:rsidRPr="003D1FBA">
        <w:rPr>
          <w:rFonts w:ascii="Arial" w:eastAsiaTheme="majorEastAsia" w:hAnsi="Arial" w:cs="Arial"/>
          <w:bCs/>
          <w:sz w:val="24"/>
          <w:szCs w:val="24"/>
        </w:rPr>
        <w:t xml:space="preserve"> seleccionar</w:t>
      </w:r>
      <w:r w:rsidR="00667CF4">
        <w:rPr>
          <w:rFonts w:ascii="Arial" w:eastAsiaTheme="majorEastAsia" w:hAnsi="Arial" w:cs="Arial"/>
          <w:bCs/>
          <w:sz w:val="24"/>
          <w:szCs w:val="24"/>
        </w:rPr>
        <w:t xml:space="preserve">on </w:t>
      </w:r>
      <w:r w:rsidR="00C25E21" w:rsidRPr="003D1FBA">
        <w:rPr>
          <w:rFonts w:ascii="Arial" w:eastAsiaTheme="majorEastAsia" w:hAnsi="Arial" w:cs="Arial"/>
          <w:bCs/>
          <w:sz w:val="24"/>
          <w:szCs w:val="24"/>
        </w:rPr>
        <w:t>19 jugador</w:t>
      </w:r>
      <w:r w:rsidR="00667CF4">
        <w:rPr>
          <w:rFonts w:ascii="Arial" w:eastAsiaTheme="majorEastAsia" w:hAnsi="Arial" w:cs="Arial"/>
          <w:bCs/>
          <w:sz w:val="24"/>
          <w:szCs w:val="24"/>
        </w:rPr>
        <w:t>a</w:t>
      </w:r>
      <w:r w:rsidR="00C25E21" w:rsidRPr="003D1FBA">
        <w:rPr>
          <w:rFonts w:ascii="Arial" w:eastAsiaTheme="majorEastAsia" w:hAnsi="Arial" w:cs="Arial"/>
          <w:bCs/>
          <w:sz w:val="24"/>
          <w:szCs w:val="24"/>
        </w:rPr>
        <w:t>s de b</w:t>
      </w:r>
      <w:r w:rsidR="003C7D89" w:rsidRPr="003D1FBA">
        <w:rPr>
          <w:rFonts w:ascii="Arial" w:eastAsiaTheme="majorEastAsia" w:hAnsi="Arial" w:cs="Arial"/>
          <w:bCs/>
          <w:sz w:val="24"/>
          <w:szCs w:val="24"/>
        </w:rPr>
        <w:t>al</w:t>
      </w:r>
      <w:r w:rsidR="00667CF4">
        <w:rPr>
          <w:rFonts w:ascii="Arial" w:eastAsiaTheme="majorEastAsia" w:hAnsi="Arial" w:cs="Arial"/>
          <w:bCs/>
          <w:sz w:val="24"/>
          <w:szCs w:val="24"/>
        </w:rPr>
        <w:t>oncesto</w:t>
      </w:r>
      <w:r w:rsidR="00C25E21" w:rsidRPr="003D1FBA">
        <w:rPr>
          <w:rFonts w:ascii="Arial" w:eastAsiaTheme="majorEastAsia" w:hAnsi="Arial" w:cs="Arial"/>
          <w:bCs/>
          <w:sz w:val="24"/>
          <w:szCs w:val="24"/>
        </w:rPr>
        <w:t xml:space="preserve"> de</w:t>
      </w:r>
      <w:r w:rsidR="00667CF4">
        <w:rPr>
          <w:rFonts w:ascii="Arial" w:eastAsiaTheme="majorEastAsia" w:hAnsi="Arial" w:cs="Arial"/>
          <w:bCs/>
          <w:sz w:val="24"/>
          <w:szCs w:val="24"/>
        </w:rPr>
        <w:t xml:space="preserve">l </w:t>
      </w:r>
      <w:r w:rsidR="00C25E21" w:rsidRPr="003D1FBA">
        <w:rPr>
          <w:rFonts w:ascii="Arial" w:eastAsiaTheme="majorEastAsia" w:hAnsi="Arial" w:cs="Arial"/>
          <w:bCs/>
          <w:sz w:val="24"/>
          <w:szCs w:val="24"/>
        </w:rPr>
        <w:t>equip</w:t>
      </w:r>
      <w:r w:rsidR="00667CF4">
        <w:rPr>
          <w:rFonts w:ascii="Arial" w:eastAsiaTheme="majorEastAsia" w:hAnsi="Arial" w:cs="Arial"/>
          <w:bCs/>
          <w:sz w:val="24"/>
          <w:szCs w:val="24"/>
        </w:rPr>
        <w:t>o</w:t>
      </w:r>
      <w:r w:rsidR="00C25E21" w:rsidRPr="003D1FBA">
        <w:rPr>
          <w:rFonts w:ascii="Arial" w:eastAsiaTheme="majorEastAsia" w:hAnsi="Arial" w:cs="Arial"/>
          <w:bCs/>
          <w:sz w:val="24"/>
          <w:szCs w:val="24"/>
        </w:rPr>
        <w:t xml:space="preserve"> “Segle XXI” </w:t>
      </w:r>
      <w:r w:rsidR="00667CF4">
        <w:rPr>
          <w:rFonts w:ascii="Arial" w:eastAsiaTheme="majorEastAsia" w:hAnsi="Arial" w:cs="Arial"/>
          <w:bCs/>
          <w:sz w:val="24"/>
          <w:szCs w:val="24"/>
        </w:rPr>
        <w:t>y</w:t>
      </w:r>
      <w:r w:rsidR="00C25E21" w:rsidRPr="003D1FBA">
        <w:rPr>
          <w:rFonts w:ascii="Arial" w:eastAsiaTheme="majorEastAsia" w:hAnsi="Arial" w:cs="Arial"/>
          <w:bCs/>
          <w:sz w:val="24"/>
          <w:szCs w:val="24"/>
        </w:rPr>
        <w:t xml:space="preserve"> 11 jugador</w:t>
      </w:r>
      <w:r w:rsidR="00667CF4">
        <w:rPr>
          <w:rFonts w:ascii="Arial" w:eastAsiaTheme="majorEastAsia" w:hAnsi="Arial" w:cs="Arial"/>
          <w:bCs/>
          <w:sz w:val="24"/>
          <w:szCs w:val="24"/>
        </w:rPr>
        <w:t>a</w:t>
      </w:r>
      <w:r w:rsidR="00C25E21" w:rsidRPr="003D1FBA">
        <w:rPr>
          <w:rFonts w:ascii="Arial" w:eastAsiaTheme="majorEastAsia" w:hAnsi="Arial" w:cs="Arial"/>
          <w:bCs/>
          <w:sz w:val="24"/>
          <w:szCs w:val="24"/>
        </w:rPr>
        <w:t>s d</w:t>
      </w:r>
      <w:r w:rsidR="00667CF4">
        <w:rPr>
          <w:rFonts w:ascii="Arial" w:eastAsiaTheme="majorEastAsia" w:hAnsi="Arial" w:cs="Arial"/>
          <w:bCs/>
          <w:sz w:val="24"/>
          <w:szCs w:val="24"/>
        </w:rPr>
        <w:t xml:space="preserve">e </w:t>
      </w:r>
      <w:r w:rsidR="00814891">
        <w:rPr>
          <w:rFonts w:ascii="Arial" w:eastAsiaTheme="majorEastAsia" w:hAnsi="Arial" w:cs="Arial"/>
          <w:bCs/>
          <w:sz w:val="24"/>
          <w:szCs w:val="24"/>
        </w:rPr>
        <w:t>balonmano</w:t>
      </w:r>
      <w:r w:rsidR="00C25E21" w:rsidRPr="003D1FBA">
        <w:rPr>
          <w:rFonts w:ascii="Arial" w:eastAsiaTheme="majorEastAsia" w:hAnsi="Arial" w:cs="Arial"/>
          <w:bCs/>
          <w:sz w:val="24"/>
          <w:szCs w:val="24"/>
        </w:rPr>
        <w:t xml:space="preserve"> del centr</w:t>
      </w:r>
      <w:r w:rsidR="00667CF4">
        <w:rPr>
          <w:rFonts w:ascii="Arial" w:eastAsiaTheme="majorEastAsia" w:hAnsi="Arial" w:cs="Arial"/>
          <w:bCs/>
          <w:sz w:val="24"/>
          <w:szCs w:val="24"/>
        </w:rPr>
        <w:t>o</w:t>
      </w:r>
      <w:r w:rsidR="00C25E21" w:rsidRPr="003D1FBA">
        <w:rPr>
          <w:rFonts w:ascii="Arial" w:eastAsiaTheme="majorEastAsia" w:hAnsi="Arial" w:cs="Arial"/>
          <w:bCs/>
          <w:sz w:val="24"/>
          <w:szCs w:val="24"/>
        </w:rPr>
        <w:t xml:space="preserve"> de tecnificació</w:t>
      </w:r>
      <w:r w:rsidR="00667CF4">
        <w:rPr>
          <w:rFonts w:ascii="Arial" w:eastAsiaTheme="majorEastAsia" w:hAnsi="Arial" w:cs="Arial"/>
          <w:bCs/>
          <w:sz w:val="24"/>
          <w:szCs w:val="24"/>
        </w:rPr>
        <w:t>n</w:t>
      </w:r>
      <w:r w:rsidR="00C25E21" w:rsidRPr="003D1FBA">
        <w:rPr>
          <w:rFonts w:ascii="Arial" w:eastAsiaTheme="majorEastAsia" w:hAnsi="Arial" w:cs="Arial"/>
          <w:bCs/>
          <w:sz w:val="24"/>
          <w:szCs w:val="24"/>
        </w:rPr>
        <w:t xml:space="preserve"> Resid</w:t>
      </w:r>
      <w:r w:rsidR="005356C7">
        <w:rPr>
          <w:rFonts w:ascii="Arial" w:eastAsiaTheme="majorEastAsia" w:hAnsi="Arial" w:cs="Arial"/>
          <w:bCs/>
          <w:sz w:val="24"/>
          <w:szCs w:val="24"/>
        </w:rPr>
        <w:t>e</w:t>
      </w:r>
      <w:r w:rsidR="00C25E21" w:rsidRPr="003D1FBA">
        <w:rPr>
          <w:rFonts w:ascii="Arial" w:eastAsiaTheme="majorEastAsia" w:hAnsi="Arial" w:cs="Arial"/>
          <w:bCs/>
          <w:sz w:val="24"/>
          <w:szCs w:val="24"/>
        </w:rPr>
        <w:t xml:space="preserve">ncia Joaquim Blume. </w:t>
      </w:r>
    </w:p>
    <w:p w:rsidR="00652C28" w:rsidRPr="003D1FBA" w:rsidRDefault="00673A84" w:rsidP="00D57717">
      <w:pPr>
        <w:pStyle w:val="Ttol2"/>
        <w:spacing w:line="360" w:lineRule="auto"/>
        <w:jc w:val="both"/>
      </w:pPr>
      <w:r w:rsidRPr="003D1FBA">
        <w:t>Valoracion</w:t>
      </w:r>
      <w:r w:rsidR="00DE308B">
        <w:t>e</w:t>
      </w:r>
      <w:r w:rsidRPr="003D1FBA">
        <w:t xml:space="preserve">s </w:t>
      </w:r>
      <w:r w:rsidR="00DE308B">
        <w:t>y</w:t>
      </w:r>
      <w:r w:rsidRPr="003D1FBA">
        <w:t xml:space="preserve"> test</w:t>
      </w:r>
    </w:p>
    <w:p w:rsidR="00C25E21" w:rsidRPr="003D1FBA" w:rsidRDefault="005F556A" w:rsidP="00C25E21">
      <w:pPr>
        <w:spacing w:line="360" w:lineRule="auto"/>
        <w:jc w:val="both"/>
        <w:rPr>
          <w:rFonts w:ascii="Arial" w:eastAsiaTheme="majorEastAsia" w:hAnsi="Arial" w:cs="Arial"/>
          <w:bCs/>
          <w:sz w:val="24"/>
          <w:szCs w:val="24"/>
        </w:rPr>
      </w:pPr>
      <w:r w:rsidRPr="003D1FBA">
        <w:rPr>
          <w:rFonts w:ascii="Arial" w:eastAsiaTheme="majorEastAsia" w:hAnsi="Arial" w:cs="Arial"/>
          <w:bCs/>
          <w:sz w:val="24"/>
          <w:szCs w:val="24"/>
        </w:rPr>
        <w:t>L</w:t>
      </w:r>
      <w:r w:rsidR="00DE308B">
        <w:rPr>
          <w:rFonts w:ascii="Arial" w:eastAsiaTheme="majorEastAsia" w:hAnsi="Arial" w:cs="Arial"/>
          <w:bCs/>
          <w:sz w:val="24"/>
          <w:szCs w:val="24"/>
        </w:rPr>
        <w:t>a</w:t>
      </w:r>
      <w:r w:rsidRPr="003D1FBA">
        <w:rPr>
          <w:rFonts w:ascii="Arial" w:eastAsiaTheme="majorEastAsia" w:hAnsi="Arial" w:cs="Arial"/>
          <w:bCs/>
          <w:sz w:val="24"/>
          <w:szCs w:val="24"/>
        </w:rPr>
        <w:t>s jugador</w:t>
      </w:r>
      <w:r w:rsidR="00DE308B">
        <w:rPr>
          <w:rFonts w:ascii="Arial" w:eastAsiaTheme="majorEastAsia" w:hAnsi="Arial" w:cs="Arial"/>
          <w:bCs/>
          <w:sz w:val="24"/>
          <w:szCs w:val="24"/>
        </w:rPr>
        <w:t>a</w:t>
      </w:r>
      <w:r w:rsidRPr="003D1FBA">
        <w:rPr>
          <w:rFonts w:ascii="Arial" w:eastAsiaTheme="majorEastAsia" w:hAnsi="Arial" w:cs="Arial"/>
          <w:bCs/>
          <w:sz w:val="24"/>
          <w:szCs w:val="24"/>
        </w:rPr>
        <w:t xml:space="preserve">s </w:t>
      </w:r>
      <w:r w:rsidR="005A7A2D" w:rsidRPr="003D1FBA">
        <w:rPr>
          <w:rFonts w:ascii="Arial" w:eastAsiaTheme="majorEastAsia" w:hAnsi="Arial" w:cs="Arial"/>
          <w:bCs/>
          <w:sz w:val="24"/>
          <w:szCs w:val="24"/>
        </w:rPr>
        <w:t>asist</w:t>
      </w:r>
      <w:r w:rsidR="00DE308B">
        <w:rPr>
          <w:rFonts w:ascii="Arial" w:eastAsiaTheme="majorEastAsia" w:hAnsi="Arial" w:cs="Arial"/>
          <w:bCs/>
          <w:sz w:val="24"/>
          <w:szCs w:val="24"/>
        </w:rPr>
        <w:t xml:space="preserve">ieron </w:t>
      </w:r>
      <w:r w:rsidR="005A7A2D" w:rsidRPr="003D1FBA">
        <w:rPr>
          <w:rFonts w:ascii="Arial" w:eastAsiaTheme="majorEastAsia" w:hAnsi="Arial" w:cs="Arial"/>
          <w:bCs/>
          <w:sz w:val="24"/>
          <w:szCs w:val="24"/>
        </w:rPr>
        <w:t>d</w:t>
      </w:r>
      <w:r w:rsidR="00DE308B">
        <w:rPr>
          <w:rFonts w:ascii="Arial" w:eastAsiaTheme="majorEastAsia" w:hAnsi="Arial" w:cs="Arial"/>
          <w:bCs/>
          <w:sz w:val="24"/>
          <w:szCs w:val="24"/>
        </w:rPr>
        <w:t>o</w:t>
      </w:r>
      <w:r w:rsidR="005A7A2D" w:rsidRPr="003D1FBA">
        <w:rPr>
          <w:rFonts w:ascii="Arial" w:eastAsiaTheme="majorEastAsia" w:hAnsi="Arial" w:cs="Arial"/>
          <w:bCs/>
          <w:sz w:val="24"/>
          <w:szCs w:val="24"/>
        </w:rPr>
        <w:t>s sesion</w:t>
      </w:r>
      <w:r w:rsidR="00DE308B">
        <w:rPr>
          <w:rFonts w:ascii="Arial" w:eastAsiaTheme="majorEastAsia" w:hAnsi="Arial" w:cs="Arial"/>
          <w:bCs/>
          <w:sz w:val="24"/>
          <w:szCs w:val="24"/>
        </w:rPr>
        <w:t>e</w:t>
      </w:r>
      <w:r w:rsidR="005A7A2D" w:rsidRPr="003D1FBA">
        <w:rPr>
          <w:rFonts w:ascii="Arial" w:eastAsiaTheme="majorEastAsia" w:hAnsi="Arial" w:cs="Arial"/>
          <w:bCs/>
          <w:sz w:val="24"/>
          <w:szCs w:val="24"/>
        </w:rPr>
        <w:t>s</w:t>
      </w:r>
      <w:r w:rsidRPr="003D1FBA">
        <w:rPr>
          <w:rFonts w:ascii="Arial" w:eastAsiaTheme="majorEastAsia" w:hAnsi="Arial" w:cs="Arial"/>
          <w:bCs/>
          <w:sz w:val="24"/>
          <w:szCs w:val="24"/>
        </w:rPr>
        <w:t xml:space="preserve"> en un per</w:t>
      </w:r>
      <w:r w:rsidR="00DE308B">
        <w:rPr>
          <w:rFonts w:ascii="Arial" w:eastAsiaTheme="majorEastAsia" w:hAnsi="Arial" w:cs="Arial"/>
          <w:bCs/>
          <w:sz w:val="24"/>
          <w:szCs w:val="24"/>
        </w:rPr>
        <w:t>i</w:t>
      </w:r>
      <w:r w:rsidRPr="003D1FBA">
        <w:rPr>
          <w:rFonts w:ascii="Arial" w:eastAsiaTheme="majorEastAsia" w:hAnsi="Arial" w:cs="Arial"/>
          <w:bCs/>
          <w:sz w:val="24"/>
          <w:szCs w:val="24"/>
        </w:rPr>
        <w:t>od</w:t>
      </w:r>
      <w:r w:rsidR="00DE308B">
        <w:rPr>
          <w:rFonts w:ascii="Arial" w:eastAsiaTheme="majorEastAsia" w:hAnsi="Arial" w:cs="Arial"/>
          <w:bCs/>
          <w:sz w:val="24"/>
          <w:szCs w:val="24"/>
        </w:rPr>
        <w:t>o</w:t>
      </w:r>
      <w:r w:rsidRPr="003D1FBA">
        <w:rPr>
          <w:rFonts w:ascii="Arial" w:eastAsiaTheme="majorEastAsia" w:hAnsi="Arial" w:cs="Arial"/>
          <w:bCs/>
          <w:sz w:val="24"/>
          <w:szCs w:val="24"/>
        </w:rPr>
        <w:t xml:space="preserve"> de 14 d</w:t>
      </w:r>
      <w:r w:rsidR="00DE308B">
        <w:rPr>
          <w:rFonts w:ascii="Arial" w:eastAsiaTheme="majorEastAsia" w:hAnsi="Arial" w:cs="Arial"/>
          <w:bCs/>
          <w:sz w:val="24"/>
          <w:szCs w:val="24"/>
        </w:rPr>
        <w:t>ía</w:t>
      </w:r>
      <w:r w:rsidRPr="003D1FBA">
        <w:rPr>
          <w:rFonts w:ascii="Arial" w:eastAsiaTheme="majorEastAsia" w:hAnsi="Arial" w:cs="Arial"/>
          <w:bCs/>
          <w:sz w:val="24"/>
          <w:szCs w:val="24"/>
        </w:rPr>
        <w:t>s, la primera p</w:t>
      </w:r>
      <w:r w:rsidR="00DE308B">
        <w:rPr>
          <w:rFonts w:ascii="Arial" w:eastAsiaTheme="majorEastAsia" w:hAnsi="Arial" w:cs="Arial"/>
          <w:bCs/>
          <w:sz w:val="24"/>
          <w:szCs w:val="24"/>
        </w:rPr>
        <w:t>a</w:t>
      </w:r>
      <w:r w:rsidRPr="003D1FBA">
        <w:rPr>
          <w:rFonts w:ascii="Arial" w:eastAsiaTheme="majorEastAsia" w:hAnsi="Arial" w:cs="Arial"/>
          <w:bCs/>
          <w:sz w:val="24"/>
          <w:szCs w:val="24"/>
        </w:rPr>
        <w:t>r</w:t>
      </w:r>
      <w:r w:rsidR="00DE308B">
        <w:rPr>
          <w:rFonts w:ascii="Arial" w:eastAsiaTheme="majorEastAsia" w:hAnsi="Arial" w:cs="Arial"/>
          <w:bCs/>
          <w:sz w:val="24"/>
          <w:szCs w:val="24"/>
        </w:rPr>
        <w:t>a</w:t>
      </w:r>
      <w:r w:rsidRPr="003D1FBA">
        <w:rPr>
          <w:rFonts w:ascii="Arial" w:eastAsiaTheme="majorEastAsia" w:hAnsi="Arial" w:cs="Arial"/>
          <w:bCs/>
          <w:sz w:val="24"/>
          <w:szCs w:val="24"/>
        </w:rPr>
        <w:t xml:space="preserve"> familiari</w:t>
      </w:r>
      <w:r w:rsidR="00DE308B">
        <w:rPr>
          <w:rFonts w:ascii="Arial" w:eastAsiaTheme="majorEastAsia" w:hAnsi="Arial" w:cs="Arial"/>
          <w:bCs/>
          <w:sz w:val="24"/>
          <w:szCs w:val="24"/>
        </w:rPr>
        <w:t>zarse con</w:t>
      </w:r>
      <w:r w:rsidRPr="003D1FBA">
        <w:rPr>
          <w:rFonts w:ascii="Arial" w:eastAsiaTheme="majorEastAsia" w:hAnsi="Arial" w:cs="Arial"/>
          <w:bCs/>
          <w:sz w:val="24"/>
          <w:szCs w:val="24"/>
        </w:rPr>
        <w:t xml:space="preserve"> </w:t>
      </w:r>
      <w:r w:rsidR="00452255" w:rsidRPr="003D1FBA">
        <w:rPr>
          <w:rFonts w:ascii="Arial" w:eastAsiaTheme="majorEastAsia" w:hAnsi="Arial" w:cs="Arial"/>
          <w:bCs/>
          <w:sz w:val="24"/>
          <w:szCs w:val="24"/>
        </w:rPr>
        <w:t>l</w:t>
      </w:r>
      <w:r w:rsidR="00DE308B">
        <w:rPr>
          <w:rFonts w:ascii="Arial" w:eastAsiaTheme="majorEastAsia" w:hAnsi="Arial" w:cs="Arial"/>
          <w:bCs/>
          <w:sz w:val="24"/>
          <w:szCs w:val="24"/>
        </w:rPr>
        <w:t>o</w:t>
      </w:r>
      <w:r w:rsidR="00452255" w:rsidRPr="003D1FBA">
        <w:rPr>
          <w:rFonts w:ascii="Arial" w:eastAsiaTheme="majorEastAsia" w:hAnsi="Arial" w:cs="Arial"/>
          <w:bCs/>
          <w:sz w:val="24"/>
          <w:szCs w:val="24"/>
        </w:rPr>
        <w:t xml:space="preserve">s test </w:t>
      </w:r>
      <w:r w:rsidR="00DE308B">
        <w:rPr>
          <w:rFonts w:ascii="Arial" w:eastAsiaTheme="majorEastAsia" w:hAnsi="Arial" w:cs="Arial"/>
          <w:bCs/>
          <w:sz w:val="24"/>
          <w:szCs w:val="24"/>
        </w:rPr>
        <w:t>y</w:t>
      </w:r>
      <w:r w:rsidRPr="003D1FBA">
        <w:rPr>
          <w:rFonts w:ascii="Arial" w:eastAsiaTheme="majorEastAsia" w:hAnsi="Arial" w:cs="Arial"/>
          <w:bCs/>
          <w:sz w:val="24"/>
          <w:szCs w:val="24"/>
        </w:rPr>
        <w:t xml:space="preserve"> la seg</w:t>
      </w:r>
      <w:r w:rsidR="00DE308B">
        <w:rPr>
          <w:rFonts w:ascii="Arial" w:eastAsiaTheme="majorEastAsia" w:hAnsi="Arial" w:cs="Arial"/>
          <w:bCs/>
          <w:sz w:val="24"/>
          <w:szCs w:val="24"/>
        </w:rPr>
        <w:t>u</w:t>
      </w:r>
      <w:r w:rsidRPr="003D1FBA">
        <w:rPr>
          <w:rFonts w:ascii="Arial" w:eastAsiaTheme="majorEastAsia" w:hAnsi="Arial" w:cs="Arial"/>
          <w:bCs/>
          <w:sz w:val="24"/>
          <w:szCs w:val="24"/>
        </w:rPr>
        <w:t>n</w:t>
      </w:r>
      <w:r w:rsidR="00DE308B">
        <w:rPr>
          <w:rFonts w:ascii="Arial" w:eastAsiaTheme="majorEastAsia" w:hAnsi="Arial" w:cs="Arial"/>
          <w:bCs/>
          <w:sz w:val="24"/>
          <w:szCs w:val="24"/>
        </w:rPr>
        <w:t>d</w:t>
      </w:r>
      <w:r w:rsidRPr="003D1FBA">
        <w:rPr>
          <w:rFonts w:ascii="Arial" w:eastAsiaTheme="majorEastAsia" w:hAnsi="Arial" w:cs="Arial"/>
          <w:bCs/>
          <w:sz w:val="24"/>
          <w:szCs w:val="24"/>
        </w:rPr>
        <w:t>a p</w:t>
      </w:r>
      <w:r w:rsidR="00DE308B">
        <w:rPr>
          <w:rFonts w:ascii="Arial" w:eastAsiaTheme="majorEastAsia" w:hAnsi="Arial" w:cs="Arial"/>
          <w:bCs/>
          <w:sz w:val="24"/>
          <w:szCs w:val="24"/>
        </w:rPr>
        <w:t>a</w:t>
      </w:r>
      <w:r w:rsidRPr="003D1FBA">
        <w:rPr>
          <w:rFonts w:ascii="Arial" w:eastAsiaTheme="majorEastAsia" w:hAnsi="Arial" w:cs="Arial"/>
          <w:bCs/>
          <w:sz w:val="24"/>
          <w:szCs w:val="24"/>
        </w:rPr>
        <w:t>r</w:t>
      </w:r>
      <w:r w:rsidR="00DE308B">
        <w:rPr>
          <w:rFonts w:ascii="Arial" w:eastAsiaTheme="majorEastAsia" w:hAnsi="Arial" w:cs="Arial"/>
          <w:bCs/>
          <w:sz w:val="24"/>
          <w:szCs w:val="24"/>
        </w:rPr>
        <w:t>a</w:t>
      </w:r>
      <w:r w:rsidRPr="003D1FBA">
        <w:rPr>
          <w:rFonts w:ascii="Arial" w:eastAsiaTheme="majorEastAsia" w:hAnsi="Arial" w:cs="Arial"/>
          <w:bCs/>
          <w:sz w:val="24"/>
          <w:szCs w:val="24"/>
        </w:rPr>
        <w:t xml:space="preserve"> </w:t>
      </w:r>
      <w:r w:rsidR="00DE308B">
        <w:rPr>
          <w:rFonts w:ascii="Arial" w:eastAsiaTheme="majorEastAsia" w:hAnsi="Arial" w:cs="Arial"/>
          <w:bCs/>
          <w:sz w:val="24"/>
          <w:szCs w:val="24"/>
        </w:rPr>
        <w:t>hacer</w:t>
      </w:r>
      <w:r w:rsidRPr="003D1FBA">
        <w:rPr>
          <w:rFonts w:ascii="Arial" w:eastAsiaTheme="majorEastAsia" w:hAnsi="Arial" w:cs="Arial"/>
          <w:bCs/>
          <w:sz w:val="24"/>
          <w:szCs w:val="24"/>
        </w:rPr>
        <w:t xml:space="preserve"> la presa de dad</w:t>
      </w:r>
      <w:r w:rsidR="00DE308B">
        <w:rPr>
          <w:rFonts w:ascii="Arial" w:eastAsiaTheme="majorEastAsia" w:hAnsi="Arial" w:cs="Arial"/>
          <w:bCs/>
          <w:sz w:val="24"/>
          <w:szCs w:val="24"/>
        </w:rPr>
        <w:t>a</w:t>
      </w:r>
      <w:r w:rsidRPr="003D1FBA">
        <w:rPr>
          <w:rFonts w:ascii="Arial" w:eastAsiaTheme="majorEastAsia" w:hAnsi="Arial" w:cs="Arial"/>
          <w:bCs/>
          <w:sz w:val="24"/>
          <w:szCs w:val="24"/>
        </w:rPr>
        <w:t>s. El d</w:t>
      </w:r>
      <w:r w:rsidR="00DE308B">
        <w:rPr>
          <w:rFonts w:ascii="Arial" w:eastAsiaTheme="majorEastAsia" w:hAnsi="Arial" w:cs="Arial"/>
          <w:bCs/>
          <w:sz w:val="24"/>
          <w:szCs w:val="24"/>
        </w:rPr>
        <w:t>ía</w:t>
      </w:r>
      <w:r w:rsidRPr="003D1FBA">
        <w:rPr>
          <w:rFonts w:ascii="Arial" w:eastAsiaTheme="majorEastAsia" w:hAnsi="Arial" w:cs="Arial"/>
          <w:bCs/>
          <w:sz w:val="24"/>
          <w:szCs w:val="24"/>
        </w:rPr>
        <w:t xml:space="preserve"> de la presa de da</w:t>
      </w:r>
      <w:r w:rsidR="00DE308B">
        <w:rPr>
          <w:rFonts w:ascii="Arial" w:eastAsiaTheme="majorEastAsia" w:hAnsi="Arial" w:cs="Arial"/>
          <w:bCs/>
          <w:sz w:val="24"/>
          <w:szCs w:val="24"/>
        </w:rPr>
        <w:t>to</w:t>
      </w:r>
      <w:r w:rsidRPr="003D1FBA">
        <w:rPr>
          <w:rFonts w:ascii="Arial" w:eastAsiaTheme="majorEastAsia" w:hAnsi="Arial" w:cs="Arial"/>
          <w:bCs/>
          <w:sz w:val="24"/>
          <w:szCs w:val="24"/>
        </w:rPr>
        <w:t>s,</w:t>
      </w:r>
      <w:r w:rsidR="00640F3C" w:rsidRPr="003D1FBA">
        <w:rPr>
          <w:rFonts w:ascii="Arial" w:eastAsiaTheme="majorEastAsia" w:hAnsi="Arial" w:cs="Arial"/>
          <w:bCs/>
          <w:sz w:val="24"/>
          <w:szCs w:val="24"/>
        </w:rPr>
        <w:t xml:space="preserve"> vin</w:t>
      </w:r>
      <w:r w:rsidR="00DE308B">
        <w:rPr>
          <w:rFonts w:ascii="Arial" w:eastAsiaTheme="majorEastAsia" w:hAnsi="Arial" w:cs="Arial"/>
          <w:bCs/>
          <w:sz w:val="24"/>
          <w:szCs w:val="24"/>
        </w:rPr>
        <w:t>ieron</w:t>
      </w:r>
      <w:r w:rsidR="00640F3C" w:rsidRPr="003D1FBA">
        <w:rPr>
          <w:rFonts w:ascii="Arial" w:eastAsiaTheme="majorEastAsia" w:hAnsi="Arial" w:cs="Arial"/>
          <w:bCs/>
          <w:sz w:val="24"/>
          <w:szCs w:val="24"/>
        </w:rPr>
        <w:t xml:space="preserve"> en grup</w:t>
      </w:r>
      <w:r w:rsidR="00DE308B">
        <w:rPr>
          <w:rFonts w:ascii="Arial" w:eastAsiaTheme="majorEastAsia" w:hAnsi="Arial" w:cs="Arial"/>
          <w:bCs/>
          <w:sz w:val="24"/>
          <w:szCs w:val="24"/>
        </w:rPr>
        <w:t>o</w:t>
      </w:r>
      <w:r w:rsidR="00640F3C" w:rsidRPr="003D1FBA">
        <w:rPr>
          <w:rFonts w:ascii="Arial" w:eastAsiaTheme="majorEastAsia" w:hAnsi="Arial" w:cs="Arial"/>
          <w:bCs/>
          <w:sz w:val="24"/>
          <w:szCs w:val="24"/>
        </w:rPr>
        <w:t xml:space="preserve">s de 5, </w:t>
      </w:r>
      <w:r w:rsidR="00DE308B">
        <w:rPr>
          <w:rFonts w:ascii="Arial" w:eastAsiaTheme="majorEastAsia" w:hAnsi="Arial" w:cs="Arial"/>
          <w:bCs/>
          <w:sz w:val="24"/>
          <w:szCs w:val="24"/>
        </w:rPr>
        <w:t>empezaron</w:t>
      </w:r>
      <w:r w:rsidR="00CB75ED" w:rsidRPr="003D1FBA">
        <w:rPr>
          <w:rFonts w:ascii="Arial" w:eastAsiaTheme="majorEastAsia" w:hAnsi="Arial" w:cs="Arial"/>
          <w:bCs/>
          <w:sz w:val="24"/>
          <w:szCs w:val="24"/>
        </w:rPr>
        <w:t xml:space="preserve"> </w:t>
      </w:r>
      <w:r w:rsidR="00DE308B">
        <w:rPr>
          <w:rFonts w:ascii="Arial" w:eastAsiaTheme="majorEastAsia" w:hAnsi="Arial" w:cs="Arial"/>
          <w:bCs/>
          <w:sz w:val="24"/>
          <w:szCs w:val="24"/>
        </w:rPr>
        <w:t xml:space="preserve">con </w:t>
      </w:r>
      <w:r w:rsidR="00640F3C" w:rsidRPr="003D1FBA">
        <w:rPr>
          <w:rFonts w:ascii="Arial" w:eastAsiaTheme="majorEastAsia" w:hAnsi="Arial" w:cs="Arial"/>
          <w:bCs/>
          <w:sz w:val="24"/>
          <w:szCs w:val="24"/>
        </w:rPr>
        <w:t xml:space="preserve">un </w:t>
      </w:r>
      <w:r w:rsidR="00DE308B">
        <w:rPr>
          <w:rFonts w:ascii="Arial" w:eastAsiaTheme="majorEastAsia" w:hAnsi="Arial" w:cs="Arial"/>
          <w:bCs/>
          <w:sz w:val="24"/>
          <w:szCs w:val="24"/>
        </w:rPr>
        <w:t>calentamiento</w:t>
      </w:r>
      <w:r w:rsidR="00640F3C" w:rsidRPr="003D1FBA">
        <w:rPr>
          <w:rFonts w:ascii="Arial" w:eastAsiaTheme="majorEastAsia" w:hAnsi="Arial" w:cs="Arial"/>
          <w:bCs/>
          <w:sz w:val="24"/>
          <w:szCs w:val="24"/>
        </w:rPr>
        <w:t xml:space="preserve"> (</w:t>
      </w:r>
      <w:r w:rsidR="00640F3C" w:rsidRPr="003D1FBA">
        <w:rPr>
          <w:rFonts w:ascii="Arial" w:eastAsiaTheme="majorEastAsia" w:hAnsi="Arial" w:cs="Arial"/>
          <w:bCs/>
          <w:i/>
          <w:iCs/>
          <w:sz w:val="24"/>
          <w:szCs w:val="24"/>
        </w:rPr>
        <w:t>Anex</w:t>
      </w:r>
      <w:r w:rsidR="00DE308B">
        <w:rPr>
          <w:rFonts w:ascii="Arial" w:eastAsiaTheme="majorEastAsia" w:hAnsi="Arial" w:cs="Arial"/>
          <w:bCs/>
          <w:i/>
          <w:iCs/>
          <w:sz w:val="24"/>
          <w:szCs w:val="24"/>
        </w:rPr>
        <w:t>o</w:t>
      </w:r>
      <w:r w:rsidR="00640F3C" w:rsidRPr="003D1FBA">
        <w:rPr>
          <w:rFonts w:ascii="Arial" w:eastAsiaTheme="majorEastAsia" w:hAnsi="Arial" w:cs="Arial"/>
          <w:bCs/>
          <w:i/>
          <w:iCs/>
          <w:sz w:val="24"/>
          <w:szCs w:val="24"/>
        </w:rPr>
        <w:t xml:space="preserve"> 1</w:t>
      </w:r>
      <w:r w:rsidR="00640F3C" w:rsidRPr="003D1FBA">
        <w:rPr>
          <w:rFonts w:ascii="Arial" w:eastAsiaTheme="majorEastAsia" w:hAnsi="Arial" w:cs="Arial"/>
          <w:bCs/>
          <w:sz w:val="24"/>
          <w:szCs w:val="24"/>
        </w:rPr>
        <w:t>)</w:t>
      </w:r>
      <w:r w:rsidR="00C50876" w:rsidRPr="003D1FBA">
        <w:rPr>
          <w:rFonts w:ascii="Arial" w:eastAsiaTheme="majorEastAsia" w:hAnsi="Arial" w:cs="Arial"/>
          <w:bCs/>
          <w:sz w:val="24"/>
          <w:szCs w:val="24"/>
        </w:rPr>
        <w:t xml:space="preserve"> segui</w:t>
      </w:r>
      <w:r w:rsidR="00DE308B">
        <w:rPr>
          <w:rFonts w:ascii="Arial" w:eastAsiaTheme="majorEastAsia" w:hAnsi="Arial" w:cs="Arial"/>
          <w:bCs/>
          <w:sz w:val="24"/>
          <w:szCs w:val="24"/>
        </w:rPr>
        <w:t>do</w:t>
      </w:r>
      <w:r w:rsidR="00C50876" w:rsidRPr="003D1FBA">
        <w:rPr>
          <w:rFonts w:ascii="Arial" w:eastAsiaTheme="majorEastAsia" w:hAnsi="Arial" w:cs="Arial"/>
          <w:bCs/>
          <w:sz w:val="24"/>
          <w:szCs w:val="24"/>
        </w:rPr>
        <w:t xml:space="preserve"> d</w:t>
      </w:r>
      <w:r w:rsidR="00DE308B">
        <w:rPr>
          <w:rFonts w:ascii="Arial" w:eastAsiaTheme="majorEastAsia" w:hAnsi="Arial" w:cs="Arial"/>
          <w:bCs/>
          <w:sz w:val="24"/>
          <w:szCs w:val="24"/>
        </w:rPr>
        <w:t xml:space="preserve">e </w:t>
      </w:r>
      <w:r w:rsidR="00640F3C" w:rsidRPr="003D1FBA">
        <w:rPr>
          <w:rFonts w:ascii="Arial" w:eastAsiaTheme="majorEastAsia" w:hAnsi="Arial" w:cs="Arial"/>
          <w:bCs/>
          <w:sz w:val="24"/>
          <w:szCs w:val="24"/>
        </w:rPr>
        <w:t>un test de f</w:t>
      </w:r>
      <w:r w:rsidR="00DE308B">
        <w:rPr>
          <w:rFonts w:ascii="Arial" w:eastAsiaTheme="majorEastAsia" w:hAnsi="Arial" w:cs="Arial"/>
          <w:bCs/>
          <w:sz w:val="24"/>
          <w:szCs w:val="24"/>
        </w:rPr>
        <w:t>uerza</w:t>
      </w:r>
      <w:r w:rsidR="004014FD" w:rsidRPr="003D1FBA">
        <w:rPr>
          <w:rFonts w:ascii="Arial" w:eastAsiaTheme="majorEastAsia" w:hAnsi="Arial" w:cs="Arial"/>
          <w:bCs/>
          <w:sz w:val="24"/>
          <w:szCs w:val="24"/>
        </w:rPr>
        <w:t xml:space="preserve"> m</w:t>
      </w:r>
      <w:r w:rsidR="00DE308B">
        <w:rPr>
          <w:rFonts w:ascii="Arial" w:eastAsiaTheme="majorEastAsia" w:hAnsi="Arial" w:cs="Arial"/>
          <w:bCs/>
          <w:sz w:val="24"/>
          <w:szCs w:val="24"/>
        </w:rPr>
        <w:t>á</w:t>
      </w:r>
      <w:r w:rsidR="004014FD" w:rsidRPr="003D1FBA">
        <w:rPr>
          <w:rFonts w:ascii="Arial" w:eastAsiaTheme="majorEastAsia" w:hAnsi="Arial" w:cs="Arial"/>
          <w:bCs/>
          <w:sz w:val="24"/>
          <w:szCs w:val="24"/>
        </w:rPr>
        <w:t>xima</w:t>
      </w:r>
      <w:r w:rsidR="00640F3C" w:rsidRPr="003D1FBA">
        <w:rPr>
          <w:rFonts w:ascii="Arial" w:eastAsiaTheme="majorEastAsia" w:hAnsi="Arial" w:cs="Arial"/>
          <w:bCs/>
          <w:sz w:val="24"/>
          <w:szCs w:val="24"/>
        </w:rPr>
        <w:t xml:space="preserve"> isom</w:t>
      </w:r>
      <w:r w:rsidR="00DE308B">
        <w:rPr>
          <w:rFonts w:ascii="Arial" w:eastAsiaTheme="majorEastAsia" w:hAnsi="Arial" w:cs="Arial"/>
          <w:bCs/>
          <w:sz w:val="24"/>
          <w:szCs w:val="24"/>
        </w:rPr>
        <w:t>é</w:t>
      </w:r>
      <w:r w:rsidR="00640F3C" w:rsidRPr="003D1FBA">
        <w:rPr>
          <w:rFonts w:ascii="Arial" w:eastAsiaTheme="majorEastAsia" w:hAnsi="Arial" w:cs="Arial"/>
          <w:bCs/>
          <w:sz w:val="24"/>
          <w:szCs w:val="24"/>
        </w:rPr>
        <w:t xml:space="preserve">trica </w:t>
      </w:r>
      <w:r w:rsidR="00DE308B">
        <w:rPr>
          <w:rFonts w:ascii="Arial" w:eastAsiaTheme="majorEastAsia" w:hAnsi="Arial" w:cs="Arial"/>
          <w:bCs/>
          <w:sz w:val="24"/>
          <w:szCs w:val="24"/>
        </w:rPr>
        <w:t>y</w:t>
      </w:r>
      <w:r w:rsidR="00640F3C" w:rsidRPr="003D1FBA">
        <w:rPr>
          <w:rFonts w:ascii="Arial" w:eastAsiaTheme="majorEastAsia" w:hAnsi="Arial" w:cs="Arial"/>
          <w:bCs/>
          <w:sz w:val="24"/>
          <w:szCs w:val="24"/>
        </w:rPr>
        <w:t xml:space="preserve"> </w:t>
      </w:r>
      <w:r w:rsidR="00CB75ED" w:rsidRPr="003D1FBA">
        <w:rPr>
          <w:rFonts w:ascii="Arial" w:eastAsiaTheme="majorEastAsia" w:hAnsi="Arial" w:cs="Arial"/>
          <w:bCs/>
          <w:sz w:val="24"/>
          <w:szCs w:val="24"/>
        </w:rPr>
        <w:t>d</w:t>
      </w:r>
      <w:r w:rsidR="00DE308B">
        <w:rPr>
          <w:rFonts w:ascii="Arial" w:eastAsiaTheme="majorEastAsia" w:hAnsi="Arial" w:cs="Arial"/>
          <w:bCs/>
          <w:sz w:val="24"/>
          <w:szCs w:val="24"/>
        </w:rPr>
        <w:t>ando</w:t>
      </w:r>
      <w:r w:rsidR="00CB75ED" w:rsidRPr="003D1FBA">
        <w:rPr>
          <w:rFonts w:ascii="Arial" w:eastAsiaTheme="majorEastAsia" w:hAnsi="Arial" w:cs="Arial"/>
          <w:bCs/>
          <w:sz w:val="24"/>
          <w:szCs w:val="24"/>
        </w:rPr>
        <w:t xml:space="preserve"> un valor de</w:t>
      </w:r>
      <w:r w:rsidR="00640F3C" w:rsidRPr="003D1FBA">
        <w:rPr>
          <w:rFonts w:ascii="Arial" w:eastAsiaTheme="majorEastAsia" w:hAnsi="Arial" w:cs="Arial"/>
          <w:bCs/>
          <w:sz w:val="24"/>
          <w:szCs w:val="24"/>
        </w:rPr>
        <w:t xml:space="preserve"> </w:t>
      </w:r>
      <w:r w:rsidR="00C50876" w:rsidRPr="003D1FBA">
        <w:rPr>
          <w:rFonts w:ascii="Arial" w:eastAsiaTheme="majorEastAsia" w:hAnsi="Arial" w:cs="Arial"/>
          <w:bCs/>
          <w:sz w:val="24"/>
          <w:szCs w:val="24"/>
        </w:rPr>
        <w:t>l</w:t>
      </w:r>
      <w:r w:rsidR="00DE308B">
        <w:rPr>
          <w:rFonts w:ascii="Arial" w:eastAsiaTheme="majorEastAsia" w:hAnsi="Arial" w:cs="Arial"/>
          <w:bCs/>
          <w:sz w:val="24"/>
          <w:szCs w:val="24"/>
        </w:rPr>
        <w:t xml:space="preserve">a </w:t>
      </w:r>
      <w:r w:rsidR="00C50876" w:rsidRPr="003D1FBA">
        <w:rPr>
          <w:rFonts w:ascii="Arial" w:eastAsiaTheme="majorEastAsia" w:hAnsi="Arial" w:cs="Arial"/>
          <w:bCs/>
          <w:sz w:val="24"/>
          <w:szCs w:val="24"/>
        </w:rPr>
        <w:t>esc</w:t>
      </w:r>
      <w:r w:rsidR="00DE308B">
        <w:rPr>
          <w:rFonts w:ascii="Arial" w:eastAsiaTheme="majorEastAsia" w:hAnsi="Arial" w:cs="Arial"/>
          <w:bCs/>
          <w:sz w:val="24"/>
          <w:szCs w:val="24"/>
        </w:rPr>
        <w:t>aler</w:t>
      </w:r>
      <w:r w:rsidR="00C50876" w:rsidRPr="003D1FBA">
        <w:rPr>
          <w:rFonts w:ascii="Arial" w:eastAsiaTheme="majorEastAsia" w:hAnsi="Arial" w:cs="Arial"/>
          <w:bCs/>
          <w:sz w:val="24"/>
          <w:szCs w:val="24"/>
        </w:rPr>
        <w:t>a</w:t>
      </w:r>
      <w:r w:rsidR="006C06A7" w:rsidRPr="003D1FBA">
        <w:rPr>
          <w:rFonts w:ascii="Arial" w:eastAsiaTheme="majorEastAsia" w:hAnsi="Arial" w:cs="Arial"/>
          <w:bCs/>
          <w:sz w:val="24"/>
          <w:szCs w:val="24"/>
        </w:rPr>
        <w:t xml:space="preserve"> de percepció</w:t>
      </w:r>
      <w:r w:rsidR="00DE308B">
        <w:rPr>
          <w:rFonts w:ascii="Arial" w:eastAsiaTheme="majorEastAsia" w:hAnsi="Arial" w:cs="Arial"/>
          <w:bCs/>
          <w:sz w:val="24"/>
          <w:szCs w:val="24"/>
        </w:rPr>
        <w:t>n</w:t>
      </w:r>
      <w:r w:rsidR="006C06A7" w:rsidRPr="003D1FBA">
        <w:rPr>
          <w:rFonts w:ascii="Arial" w:eastAsiaTheme="majorEastAsia" w:hAnsi="Arial" w:cs="Arial"/>
          <w:bCs/>
          <w:sz w:val="24"/>
          <w:szCs w:val="24"/>
        </w:rPr>
        <w:t xml:space="preserve"> externa de fatiga (</w:t>
      </w:r>
      <w:r w:rsidR="00640F3C" w:rsidRPr="003D1FBA">
        <w:rPr>
          <w:rFonts w:ascii="Arial" w:eastAsiaTheme="majorEastAsia" w:hAnsi="Arial" w:cs="Arial"/>
          <w:bCs/>
          <w:sz w:val="24"/>
          <w:szCs w:val="24"/>
        </w:rPr>
        <w:t>RPE</w:t>
      </w:r>
      <w:r w:rsidR="006C06A7" w:rsidRPr="003D1FBA">
        <w:rPr>
          <w:rFonts w:ascii="Arial" w:eastAsiaTheme="majorEastAsia" w:hAnsi="Arial" w:cs="Arial"/>
          <w:bCs/>
          <w:sz w:val="24"/>
          <w:szCs w:val="24"/>
        </w:rPr>
        <w:t>)</w:t>
      </w:r>
      <w:r w:rsidR="00640F3C" w:rsidRPr="003D1FBA">
        <w:rPr>
          <w:rFonts w:ascii="Arial" w:eastAsiaTheme="majorEastAsia" w:hAnsi="Arial" w:cs="Arial"/>
          <w:bCs/>
          <w:sz w:val="24"/>
          <w:szCs w:val="24"/>
        </w:rPr>
        <w:t xml:space="preserve">. </w:t>
      </w:r>
      <w:r w:rsidR="005356C7" w:rsidRPr="003D1FBA">
        <w:rPr>
          <w:rFonts w:ascii="Arial" w:eastAsiaTheme="majorEastAsia" w:hAnsi="Arial" w:cs="Arial"/>
          <w:bCs/>
          <w:sz w:val="24"/>
          <w:szCs w:val="24"/>
        </w:rPr>
        <w:t>Una vez</w:t>
      </w:r>
      <w:r w:rsidR="00640F3C" w:rsidRPr="003D1FBA">
        <w:rPr>
          <w:rFonts w:ascii="Arial" w:eastAsiaTheme="majorEastAsia" w:hAnsi="Arial" w:cs="Arial"/>
          <w:bCs/>
          <w:sz w:val="24"/>
          <w:szCs w:val="24"/>
        </w:rPr>
        <w:t xml:space="preserve"> </w:t>
      </w:r>
      <w:r w:rsidR="001768BD" w:rsidRPr="003D1FBA">
        <w:rPr>
          <w:rFonts w:ascii="Arial" w:eastAsiaTheme="majorEastAsia" w:hAnsi="Arial" w:cs="Arial"/>
          <w:bCs/>
          <w:sz w:val="24"/>
          <w:szCs w:val="24"/>
        </w:rPr>
        <w:t>finalizad</w:t>
      </w:r>
      <w:r w:rsidR="00DE308B">
        <w:rPr>
          <w:rFonts w:ascii="Arial" w:eastAsiaTheme="majorEastAsia" w:hAnsi="Arial" w:cs="Arial"/>
          <w:bCs/>
          <w:sz w:val="24"/>
          <w:szCs w:val="24"/>
        </w:rPr>
        <w:t>a</w:t>
      </w:r>
      <w:r w:rsidR="001768BD" w:rsidRPr="003D1FBA">
        <w:rPr>
          <w:rFonts w:ascii="Arial" w:eastAsiaTheme="majorEastAsia" w:hAnsi="Arial" w:cs="Arial"/>
          <w:bCs/>
          <w:sz w:val="24"/>
          <w:szCs w:val="24"/>
        </w:rPr>
        <w:t>s</w:t>
      </w:r>
      <w:r w:rsidR="00640F3C" w:rsidRPr="003D1FBA">
        <w:rPr>
          <w:rFonts w:ascii="Arial" w:eastAsiaTheme="majorEastAsia" w:hAnsi="Arial" w:cs="Arial"/>
          <w:bCs/>
          <w:sz w:val="24"/>
          <w:szCs w:val="24"/>
        </w:rPr>
        <w:t xml:space="preserve"> l</w:t>
      </w:r>
      <w:r w:rsidR="00DE308B">
        <w:rPr>
          <w:rFonts w:ascii="Arial" w:eastAsiaTheme="majorEastAsia" w:hAnsi="Arial" w:cs="Arial"/>
          <w:bCs/>
          <w:sz w:val="24"/>
          <w:szCs w:val="24"/>
        </w:rPr>
        <w:t>a</w:t>
      </w:r>
      <w:r w:rsidR="00640F3C" w:rsidRPr="003D1FBA">
        <w:rPr>
          <w:rFonts w:ascii="Arial" w:eastAsiaTheme="majorEastAsia" w:hAnsi="Arial" w:cs="Arial"/>
          <w:bCs/>
          <w:sz w:val="24"/>
          <w:szCs w:val="24"/>
        </w:rPr>
        <w:t>s pr</w:t>
      </w:r>
      <w:r w:rsidR="00DE308B">
        <w:rPr>
          <w:rFonts w:ascii="Arial" w:eastAsiaTheme="majorEastAsia" w:hAnsi="Arial" w:cs="Arial"/>
          <w:bCs/>
          <w:sz w:val="24"/>
          <w:szCs w:val="24"/>
        </w:rPr>
        <w:t>ueba</w:t>
      </w:r>
      <w:r w:rsidR="00640F3C" w:rsidRPr="003D1FBA">
        <w:rPr>
          <w:rFonts w:ascii="Arial" w:eastAsiaTheme="majorEastAsia" w:hAnsi="Arial" w:cs="Arial"/>
          <w:bCs/>
          <w:sz w:val="24"/>
          <w:szCs w:val="24"/>
        </w:rPr>
        <w:t>s</w:t>
      </w:r>
      <w:r w:rsidR="00DE308B">
        <w:rPr>
          <w:rFonts w:ascii="Arial" w:eastAsiaTheme="majorEastAsia" w:hAnsi="Arial" w:cs="Arial"/>
          <w:bCs/>
          <w:sz w:val="24"/>
          <w:szCs w:val="24"/>
        </w:rPr>
        <w:t xml:space="preserve"> hicieron</w:t>
      </w:r>
      <w:r w:rsidR="00640F3C" w:rsidRPr="003D1FBA">
        <w:rPr>
          <w:rFonts w:ascii="Arial" w:eastAsiaTheme="majorEastAsia" w:hAnsi="Arial" w:cs="Arial"/>
          <w:bCs/>
          <w:sz w:val="24"/>
          <w:szCs w:val="24"/>
        </w:rPr>
        <w:t xml:space="preserve"> </w:t>
      </w:r>
      <w:r w:rsidR="00C91705" w:rsidRPr="003D1FBA">
        <w:rPr>
          <w:rFonts w:ascii="Arial" w:eastAsiaTheme="majorEastAsia" w:hAnsi="Arial" w:cs="Arial"/>
          <w:bCs/>
          <w:sz w:val="24"/>
          <w:szCs w:val="24"/>
        </w:rPr>
        <w:t xml:space="preserve">el </w:t>
      </w:r>
      <w:r w:rsidR="00A934FD" w:rsidRPr="003D1FBA">
        <w:rPr>
          <w:rFonts w:ascii="Arial" w:eastAsiaTheme="majorEastAsia" w:hAnsi="Arial" w:cs="Arial"/>
          <w:bCs/>
          <w:sz w:val="24"/>
          <w:szCs w:val="24"/>
        </w:rPr>
        <w:t>30-15</w:t>
      </w:r>
      <w:r w:rsidR="00C91705" w:rsidRPr="003D1FBA">
        <w:rPr>
          <w:rFonts w:ascii="Arial" w:eastAsiaTheme="majorEastAsia" w:hAnsi="Arial" w:cs="Arial"/>
          <w:bCs/>
          <w:sz w:val="24"/>
          <w:szCs w:val="24"/>
        </w:rPr>
        <w:t xml:space="preserve"> </w:t>
      </w:r>
      <w:r w:rsidR="00A934FD" w:rsidRPr="003D1FBA">
        <w:rPr>
          <w:rFonts w:ascii="Arial" w:eastAsiaTheme="majorEastAsia" w:hAnsi="Arial" w:cs="Arial"/>
          <w:bCs/>
          <w:sz w:val="24"/>
          <w:szCs w:val="24"/>
        </w:rPr>
        <w:t xml:space="preserve">IFT </w:t>
      </w:r>
      <w:r w:rsidR="00DE308B">
        <w:rPr>
          <w:rFonts w:ascii="Arial" w:eastAsiaTheme="majorEastAsia" w:hAnsi="Arial" w:cs="Arial"/>
          <w:bCs/>
          <w:sz w:val="24"/>
          <w:szCs w:val="24"/>
        </w:rPr>
        <w:t>y</w:t>
      </w:r>
      <w:r w:rsidR="00640F3C" w:rsidRPr="003D1FBA">
        <w:rPr>
          <w:rFonts w:ascii="Arial" w:eastAsiaTheme="majorEastAsia" w:hAnsi="Arial" w:cs="Arial"/>
          <w:bCs/>
          <w:sz w:val="24"/>
          <w:szCs w:val="24"/>
        </w:rPr>
        <w:t xml:space="preserve"> </w:t>
      </w:r>
      <w:r w:rsidR="00DE308B">
        <w:rPr>
          <w:rFonts w:ascii="Arial" w:eastAsiaTheme="majorEastAsia" w:hAnsi="Arial" w:cs="Arial"/>
          <w:bCs/>
          <w:sz w:val="24"/>
          <w:szCs w:val="24"/>
        </w:rPr>
        <w:t>se</w:t>
      </w:r>
      <w:r w:rsidR="00640F3C" w:rsidRPr="003D1FBA">
        <w:rPr>
          <w:rFonts w:ascii="Arial" w:eastAsiaTheme="majorEastAsia" w:hAnsi="Arial" w:cs="Arial"/>
          <w:bCs/>
          <w:sz w:val="24"/>
          <w:szCs w:val="24"/>
        </w:rPr>
        <w:t xml:space="preserve"> rep</w:t>
      </w:r>
      <w:r w:rsidR="00DE308B">
        <w:rPr>
          <w:rFonts w:ascii="Arial" w:eastAsiaTheme="majorEastAsia" w:hAnsi="Arial" w:cs="Arial"/>
          <w:bCs/>
          <w:sz w:val="24"/>
          <w:szCs w:val="24"/>
        </w:rPr>
        <w:t>i</w:t>
      </w:r>
      <w:r w:rsidR="00640F3C" w:rsidRPr="003D1FBA">
        <w:rPr>
          <w:rFonts w:ascii="Arial" w:eastAsiaTheme="majorEastAsia" w:hAnsi="Arial" w:cs="Arial"/>
          <w:bCs/>
          <w:sz w:val="24"/>
          <w:szCs w:val="24"/>
        </w:rPr>
        <w:t>ti</w:t>
      </w:r>
      <w:r w:rsidR="00DE308B">
        <w:rPr>
          <w:rFonts w:ascii="Arial" w:eastAsiaTheme="majorEastAsia" w:hAnsi="Arial" w:cs="Arial"/>
          <w:bCs/>
          <w:sz w:val="24"/>
          <w:szCs w:val="24"/>
        </w:rPr>
        <w:t>eron</w:t>
      </w:r>
      <w:r w:rsidR="00640F3C" w:rsidRPr="003D1FBA">
        <w:rPr>
          <w:rFonts w:ascii="Arial" w:eastAsiaTheme="majorEastAsia" w:hAnsi="Arial" w:cs="Arial"/>
          <w:bCs/>
          <w:sz w:val="24"/>
          <w:szCs w:val="24"/>
        </w:rPr>
        <w:t xml:space="preserve"> </w:t>
      </w:r>
      <w:r w:rsidR="00C50876" w:rsidRPr="003D1FBA">
        <w:rPr>
          <w:rFonts w:ascii="Arial" w:eastAsiaTheme="majorEastAsia" w:hAnsi="Arial" w:cs="Arial"/>
          <w:bCs/>
          <w:sz w:val="24"/>
          <w:szCs w:val="24"/>
        </w:rPr>
        <w:t>l</w:t>
      </w:r>
      <w:r w:rsidR="00DE308B">
        <w:rPr>
          <w:rFonts w:ascii="Arial" w:eastAsiaTheme="majorEastAsia" w:hAnsi="Arial" w:cs="Arial"/>
          <w:bCs/>
          <w:sz w:val="24"/>
          <w:szCs w:val="24"/>
        </w:rPr>
        <w:t>a</w:t>
      </w:r>
      <w:r w:rsidR="00C50876" w:rsidRPr="003D1FBA">
        <w:rPr>
          <w:rFonts w:ascii="Arial" w:eastAsiaTheme="majorEastAsia" w:hAnsi="Arial" w:cs="Arial"/>
          <w:bCs/>
          <w:sz w:val="24"/>
          <w:szCs w:val="24"/>
        </w:rPr>
        <w:t>s valoracion</w:t>
      </w:r>
      <w:r w:rsidR="00DE308B">
        <w:rPr>
          <w:rFonts w:ascii="Arial" w:eastAsiaTheme="majorEastAsia" w:hAnsi="Arial" w:cs="Arial"/>
          <w:bCs/>
          <w:sz w:val="24"/>
          <w:szCs w:val="24"/>
        </w:rPr>
        <w:t>e</w:t>
      </w:r>
      <w:r w:rsidR="00C50876" w:rsidRPr="003D1FBA">
        <w:rPr>
          <w:rFonts w:ascii="Arial" w:eastAsiaTheme="majorEastAsia" w:hAnsi="Arial" w:cs="Arial"/>
          <w:bCs/>
          <w:sz w:val="24"/>
          <w:szCs w:val="24"/>
        </w:rPr>
        <w:t>s inicial</w:t>
      </w:r>
      <w:r w:rsidR="00DE308B">
        <w:rPr>
          <w:rFonts w:ascii="Arial" w:eastAsiaTheme="majorEastAsia" w:hAnsi="Arial" w:cs="Arial"/>
          <w:bCs/>
          <w:sz w:val="24"/>
          <w:szCs w:val="24"/>
        </w:rPr>
        <w:t>e</w:t>
      </w:r>
      <w:r w:rsidR="00C50876" w:rsidRPr="003D1FBA">
        <w:rPr>
          <w:rFonts w:ascii="Arial" w:eastAsiaTheme="majorEastAsia" w:hAnsi="Arial" w:cs="Arial"/>
          <w:bCs/>
          <w:sz w:val="24"/>
          <w:szCs w:val="24"/>
        </w:rPr>
        <w:t>s</w:t>
      </w:r>
      <w:r w:rsidR="00640F3C" w:rsidRPr="003D1FBA">
        <w:rPr>
          <w:rFonts w:ascii="Arial" w:eastAsiaTheme="majorEastAsia" w:hAnsi="Arial" w:cs="Arial"/>
          <w:bCs/>
          <w:sz w:val="24"/>
          <w:szCs w:val="24"/>
        </w:rPr>
        <w:t>.</w:t>
      </w:r>
    </w:p>
    <w:p w:rsidR="00673A84" w:rsidRPr="003D1FBA" w:rsidRDefault="00673A84" w:rsidP="00673A84">
      <w:pPr>
        <w:spacing w:line="360" w:lineRule="auto"/>
        <w:ind w:firstLine="708"/>
        <w:jc w:val="both"/>
        <w:rPr>
          <w:rFonts w:ascii="Arial" w:eastAsiaTheme="majorEastAsia" w:hAnsi="Arial" w:cs="Arial"/>
          <w:bCs/>
          <w:sz w:val="24"/>
          <w:szCs w:val="24"/>
          <w:u w:val="single"/>
        </w:rPr>
      </w:pPr>
      <w:r w:rsidRPr="003D1FBA">
        <w:rPr>
          <w:rFonts w:ascii="Arial" w:eastAsiaTheme="majorEastAsia" w:hAnsi="Arial" w:cs="Arial"/>
          <w:bCs/>
          <w:sz w:val="24"/>
          <w:szCs w:val="24"/>
          <w:u w:val="single"/>
        </w:rPr>
        <w:t>Test de f</w:t>
      </w:r>
      <w:r w:rsidR="00DE308B">
        <w:rPr>
          <w:rFonts w:ascii="Arial" w:eastAsiaTheme="majorEastAsia" w:hAnsi="Arial" w:cs="Arial"/>
          <w:bCs/>
          <w:sz w:val="24"/>
          <w:szCs w:val="24"/>
          <w:u w:val="single"/>
        </w:rPr>
        <w:t>uerz</w:t>
      </w:r>
      <w:r w:rsidRPr="003D1FBA">
        <w:rPr>
          <w:rFonts w:ascii="Arial" w:eastAsiaTheme="majorEastAsia" w:hAnsi="Arial" w:cs="Arial"/>
          <w:bCs/>
          <w:sz w:val="24"/>
          <w:szCs w:val="24"/>
          <w:u w:val="single"/>
        </w:rPr>
        <w:t>a m</w:t>
      </w:r>
      <w:r w:rsidR="00DE308B">
        <w:rPr>
          <w:rFonts w:ascii="Arial" w:eastAsiaTheme="majorEastAsia" w:hAnsi="Arial" w:cs="Arial"/>
          <w:bCs/>
          <w:sz w:val="24"/>
          <w:szCs w:val="24"/>
          <w:u w:val="single"/>
        </w:rPr>
        <w:t>á</w:t>
      </w:r>
      <w:r w:rsidRPr="003D1FBA">
        <w:rPr>
          <w:rFonts w:ascii="Arial" w:eastAsiaTheme="majorEastAsia" w:hAnsi="Arial" w:cs="Arial"/>
          <w:bCs/>
          <w:sz w:val="24"/>
          <w:szCs w:val="24"/>
          <w:u w:val="single"/>
        </w:rPr>
        <w:t>xima isom</w:t>
      </w:r>
      <w:r w:rsidR="00DE308B">
        <w:rPr>
          <w:rFonts w:ascii="Arial" w:eastAsiaTheme="majorEastAsia" w:hAnsi="Arial" w:cs="Arial"/>
          <w:bCs/>
          <w:sz w:val="24"/>
          <w:szCs w:val="24"/>
          <w:u w:val="single"/>
        </w:rPr>
        <w:t>é</w:t>
      </w:r>
      <w:r w:rsidRPr="003D1FBA">
        <w:rPr>
          <w:rFonts w:ascii="Arial" w:eastAsiaTheme="majorEastAsia" w:hAnsi="Arial" w:cs="Arial"/>
          <w:bCs/>
          <w:sz w:val="24"/>
          <w:szCs w:val="24"/>
          <w:u w:val="single"/>
        </w:rPr>
        <w:t>trica:</w:t>
      </w:r>
    </w:p>
    <w:p w:rsidR="00673A84" w:rsidRPr="003D1FBA" w:rsidRDefault="00C769D4" w:rsidP="00673A84">
      <w:pPr>
        <w:spacing w:line="360" w:lineRule="auto"/>
        <w:jc w:val="both"/>
        <w:rPr>
          <w:rFonts w:ascii="Georgia" w:hAnsi="Georgia"/>
          <w:color w:val="2E2E2E"/>
          <w:sz w:val="27"/>
          <w:szCs w:val="27"/>
          <w:highlight w:val="yellow"/>
        </w:rPr>
      </w:pPr>
      <w:r w:rsidRPr="003D1FBA">
        <w:rPr>
          <w:rFonts w:ascii="Arial" w:hAnsi="Arial" w:cs="Arial"/>
          <w:sz w:val="24"/>
        </w:rPr>
        <w:t>L</w:t>
      </w:r>
      <w:r w:rsidR="00457161" w:rsidRPr="003D1FBA">
        <w:rPr>
          <w:rFonts w:ascii="Arial" w:hAnsi="Arial" w:cs="Arial"/>
          <w:sz w:val="24"/>
        </w:rPr>
        <w:t>a</w:t>
      </w:r>
      <w:r w:rsidR="00450A6E" w:rsidRPr="003D1FBA">
        <w:rPr>
          <w:rFonts w:ascii="Arial" w:hAnsi="Arial" w:cs="Arial"/>
          <w:sz w:val="24"/>
        </w:rPr>
        <w:t xml:space="preserve"> f</w:t>
      </w:r>
      <w:r w:rsidR="00DE308B">
        <w:rPr>
          <w:rFonts w:ascii="Arial" w:hAnsi="Arial" w:cs="Arial"/>
          <w:sz w:val="24"/>
        </w:rPr>
        <w:t>uerz</w:t>
      </w:r>
      <w:r w:rsidR="00450A6E" w:rsidRPr="003D1FBA">
        <w:rPr>
          <w:rFonts w:ascii="Arial" w:hAnsi="Arial" w:cs="Arial"/>
          <w:sz w:val="24"/>
        </w:rPr>
        <w:t>a</w:t>
      </w:r>
      <w:r w:rsidR="00457161" w:rsidRPr="003D1FBA">
        <w:rPr>
          <w:rFonts w:ascii="Arial" w:hAnsi="Arial" w:cs="Arial"/>
          <w:sz w:val="24"/>
        </w:rPr>
        <w:t xml:space="preserve"> m</w:t>
      </w:r>
      <w:r w:rsidR="00DE308B">
        <w:rPr>
          <w:rFonts w:ascii="Arial" w:hAnsi="Arial" w:cs="Arial"/>
          <w:sz w:val="24"/>
        </w:rPr>
        <w:t>á</w:t>
      </w:r>
      <w:r w:rsidR="00457161" w:rsidRPr="003D1FBA">
        <w:rPr>
          <w:rFonts w:ascii="Arial" w:hAnsi="Arial" w:cs="Arial"/>
          <w:sz w:val="24"/>
        </w:rPr>
        <w:t>xima</w:t>
      </w:r>
      <w:r w:rsidR="00450A6E" w:rsidRPr="003D1FBA">
        <w:rPr>
          <w:rFonts w:ascii="Arial" w:hAnsi="Arial" w:cs="Arial"/>
          <w:sz w:val="24"/>
        </w:rPr>
        <w:t xml:space="preserve"> de</w:t>
      </w:r>
      <w:r w:rsidR="00DE308B">
        <w:rPr>
          <w:rFonts w:ascii="Arial" w:hAnsi="Arial" w:cs="Arial"/>
          <w:sz w:val="24"/>
        </w:rPr>
        <w:t xml:space="preserve"> </w:t>
      </w:r>
      <w:r w:rsidR="00450A6E" w:rsidRPr="003D1FBA">
        <w:rPr>
          <w:rFonts w:ascii="Arial" w:hAnsi="Arial" w:cs="Arial"/>
          <w:sz w:val="24"/>
        </w:rPr>
        <w:t>l</w:t>
      </w:r>
      <w:r w:rsidR="00DE308B">
        <w:rPr>
          <w:rFonts w:ascii="Arial" w:hAnsi="Arial" w:cs="Arial"/>
          <w:sz w:val="24"/>
        </w:rPr>
        <w:t>o</w:t>
      </w:r>
      <w:r w:rsidR="004014FD" w:rsidRPr="003D1FBA">
        <w:rPr>
          <w:rFonts w:ascii="Arial" w:hAnsi="Arial" w:cs="Arial"/>
          <w:sz w:val="24"/>
        </w:rPr>
        <w:t>s</w:t>
      </w:r>
      <w:r w:rsidR="00450A6E" w:rsidRPr="003D1FBA">
        <w:rPr>
          <w:rFonts w:ascii="Arial" w:hAnsi="Arial" w:cs="Arial"/>
          <w:sz w:val="24"/>
        </w:rPr>
        <w:t xml:space="preserve"> </w:t>
      </w:r>
      <w:r w:rsidR="00DE308B">
        <w:rPr>
          <w:rFonts w:ascii="Arial" w:hAnsi="Arial" w:cs="Arial"/>
          <w:sz w:val="24"/>
        </w:rPr>
        <w:t>c</w:t>
      </w:r>
      <w:r w:rsidR="00450A6E" w:rsidRPr="003D1FBA">
        <w:rPr>
          <w:rFonts w:ascii="Arial" w:hAnsi="Arial" w:cs="Arial"/>
          <w:sz w:val="24"/>
        </w:rPr>
        <w:t>u</w:t>
      </w:r>
      <w:r w:rsidR="00DE308B">
        <w:rPr>
          <w:rFonts w:ascii="Arial" w:hAnsi="Arial" w:cs="Arial"/>
          <w:sz w:val="24"/>
        </w:rPr>
        <w:t>á</w:t>
      </w:r>
      <w:r w:rsidR="00450A6E" w:rsidRPr="003D1FBA">
        <w:rPr>
          <w:rFonts w:ascii="Arial" w:hAnsi="Arial" w:cs="Arial"/>
          <w:sz w:val="24"/>
        </w:rPr>
        <w:t xml:space="preserve">driceps </w:t>
      </w:r>
      <w:r w:rsidR="00DE308B">
        <w:rPr>
          <w:rFonts w:ascii="Arial" w:hAnsi="Arial" w:cs="Arial"/>
          <w:sz w:val="24"/>
        </w:rPr>
        <w:t>y</w:t>
      </w:r>
      <w:r w:rsidR="00450A6E" w:rsidRPr="003D1FBA">
        <w:rPr>
          <w:rFonts w:ascii="Arial" w:hAnsi="Arial" w:cs="Arial"/>
          <w:sz w:val="24"/>
        </w:rPr>
        <w:t xml:space="preserve"> </w:t>
      </w:r>
      <w:r w:rsidR="00F743A3" w:rsidRPr="003D1FBA">
        <w:rPr>
          <w:rFonts w:ascii="Arial" w:hAnsi="Arial" w:cs="Arial"/>
          <w:sz w:val="24"/>
        </w:rPr>
        <w:t>de</w:t>
      </w:r>
      <w:r w:rsidR="00DE308B">
        <w:rPr>
          <w:rFonts w:ascii="Arial" w:hAnsi="Arial" w:cs="Arial"/>
          <w:sz w:val="24"/>
        </w:rPr>
        <w:t xml:space="preserve"> </w:t>
      </w:r>
      <w:r w:rsidR="00F743A3" w:rsidRPr="003D1FBA">
        <w:rPr>
          <w:rFonts w:ascii="Arial" w:hAnsi="Arial" w:cs="Arial"/>
          <w:sz w:val="24"/>
        </w:rPr>
        <w:t>l</w:t>
      </w:r>
      <w:r w:rsidR="00DE308B">
        <w:rPr>
          <w:rFonts w:ascii="Arial" w:hAnsi="Arial" w:cs="Arial"/>
          <w:sz w:val="24"/>
        </w:rPr>
        <w:t>o</w:t>
      </w:r>
      <w:r w:rsidR="00F743A3" w:rsidRPr="003D1FBA">
        <w:rPr>
          <w:rFonts w:ascii="Arial" w:hAnsi="Arial" w:cs="Arial"/>
          <w:sz w:val="24"/>
        </w:rPr>
        <w:t>s</w:t>
      </w:r>
      <w:r w:rsidR="004014FD" w:rsidRPr="003D1FBA">
        <w:rPr>
          <w:rFonts w:ascii="Arial" w:hAnsi="Arial" w:cs="Arial"/>
          <w:sz w:val="24"/>
        </w:rPr>
        <w:t xml:space="preserve"> </w:t>
      </w:r>
      <w:r w:rsidR="00450A6E" w:rsidRPr="003D1FBA">
        <w:rPr>
          <w:rFonts w:ascii="Arial" w:hAnsi="Arial" w:cs="Arial"/>
          <w:sz w:val="24"/>
        </w:rPr>
        <w:t>isquiosural</w:t>
      </w:r>
      <w:r w:rsidR="00DE308B">
        <w:rPr>
          <w:rFonts w:ascii="Arial" w:hAnsi="Arial" w:cs="Arial"/>
          <w:sz w:val="24"/>
        </w:rPr>
        <w:t>e</w:t>
      </w:r>
      <w:r w:rsidR="00450A6E" w:rsidRPr="003D1FBA">
        <w:rPr>
          <w:rFonts w:ascii="Arial" w:hAnsi="Arial" w:cs="Arial"/>
          <w:sz w:val="24"/>
        </w:rPr>
        <w:t xml:space="preserve">s </w:t>
      </w:r>
      <w:r w:rsidR="00245EC2" w:rsidRPr="003D1FBA">
        <w:rPr>
          <w:rFonts w:ascii="Arial" w:hAnsi="Arial" w:cs="Arial"/>
          <w:sz w:val="24"/>
        </w:rPr>
        <w:t>se</w:t>
      </w:r>
      <w:r w:rsidR="00450A6E" w:rsidRPr="003D1FBA">
        <w:rPr>
          <w:rFonts w:ascii="Arial" w:hAnsi="Arial" w:cs="Arial"/>
          <w:sz w:val="24"/>
        </w:rPr>
        <w:t xml:space="preserve"> </w:t>
      </w:r>
      <w:r w:rsidR="00DE308B" w:rsidRPr="003D1FBA">
        <w:rPr>
          <w:rFonts w:ascii="Arial" w:hAnsi="Arial" w:cs="Arial"/>
          <w:sz w:val="24"/>
        </w:rPr>
        <w:t>mi</w:t>
      </w:r>
      <w:r w:rsidR="00DE308B">
        <w:rPr>
          <w:rFonts w:ascii="Arial" w:hAnsi="Arial" w:cs="Arial"/>
          <w:sz w:val="24"/>
        </w:rPr>
        <w:t xml:space="preserve">dieron </w:t>
      </w:r>
      <w:r w:rsidR="00450A6E" w:rsidRPr="003D1FBA">
        <w:rPr>
          <w:rFonts w:ascii="Arial" w:hAnsi="Arial" w:cs="Arial"/>
          <w:sz w:val="24"/>
        </w:rPr>
        <w:t>en isometr</w:t>
      </w:r>
      <w:r w:rsidR="00DE308B">
        <w:rPr>
          <w:rFonts w:ascii="Arial" w:hAnsi="Arial" w:cs="Arial"/>
          <w:sz w:val="24"/>
        </w:rPr>
        <w:t>í</w:t>
      </w:r>
      <w:r w:rsidR="00450A6E" w:rsidRPr="003D1FBA">
        <w:rPr>
          <w:rFonts w:ascii="Arial" w:hAnsi="Arial" w:cs="Arial"/>
          <w:sz w:val="24"/>
        </w:rPr>
        <w:t>a. P</w:t>
      </w:r>
      <w:r w:rsidR="00DE308B">
        <w:rPr>
          <w:rFonts w:ascii="Arial" w:hAnsi="Arial" w:cs="Arial"/>
          <w:sz w:val="24"/>
        </w:rPr>
        <w:t>a</w:t>
      </w:r>
      <w:r w:rsidR="00450A6E" w:rsidRPr="003D1FBA">
        <w:rPr>
          <w:rFonts w:ascii="Arial" w:hAnsi="Arial" w:cs="Arial"/>
          <w:sz w:val="24"/>
        </w:rPr>
        <w:t>r</w:t>
      </w:r>
      <w:r w:rsidR="00DE308B">
        <w:rPr>
          <w:rFonts w:ascii="Arial" w:hAnsi="Arial" w:cs="Arial"/>
          <w:sz w:val="24"/>
        </w:rPr>
        <w:t>a</w:t>
      </w:r>
      <w:r w:rsidR="00450A6E" w:rsidRPr="003D1FBA">
        <w:rPr>
          <w:rFonts w:ascii="Arial" w:hAnsi="Arial" w:cs="Arial"/>
          <w:sz w:val="24"/>
        </w:rPr>
        <w:t xml:space="preserve"> </w:t>
      </w:r>
      <w:r w:rsidR="00DE308B">
        <w:rPr>
          <w:rFonts w:ascii="Arial" w:hAnsi="Arial" w:cs="Arial"/>
          <w:sz w:val="24"/>
        </w:rPr>
        <w:t>hacer</w:t>
      </w:r>
      <w:r w:rsidR="00450A6E" w:rsidRPr="003D1FBA">
        <w:rPr>
          <w:rFonts w:ascii="Arial" w:hAnsi="Arial" w:cs="Arial"/>
          <w:sz w:val="24"/>
        </w:rPr>
        <w:t xml:space="preserve"> el test </w:t>
      </w:r>
      <w:r w:rsidR="00DE308B">
        <w:rPr>
          <w:rFonts w:ascii="Arial" w:hAnsi="Arial" w:cs="Arial"/>
          <w:sz w:val="24"/>
        </w:rPr>
        <w:t>se</w:t>
      </w:r>
      <w:r w:rsidR="00450A6E" w:rsidRPr="003D1FBA">
        <w:rPr>
          <w:rFonts w:ascii="Arial" w:hAnsi="Arial" w:cs="Arial"/>
          <w:sz w:val="24"/>
        </w:rPr>
        <w:t xml:space="preserve"> utiliz</w:t>
      </w:r>
      <w:r w:rsidR="00DE308B">
        <w:rPr>
          <w:rFonts w:ascii="Arial" w:hAnsi="Arial" w:cs="Arial"/>
          <w:sz w:val="24"/>
        </w:rPr>
        <w:t>ó</w:t>
      </w:r>
      <w:r w:rsidR="00450A6E" w:rsidRPr="003D1FBA">
        <w:rPr>
          <w:rFonts w:ascii="Arial" w:hAnsi="Arial" w:cs="Arial"/>
          <w:sz w:val="24"/>
        </w:rPr>
        <w:t xml:space="preserve"> el </w:t>
      </w:r>
      <w:r w:rsidR="00DE308B" w:rsidRPr="003D1FBA">
        <w:rPr>
          <w:rFonts w:ascii="Arial" w:hAnsi="Arial" w:cs="Arial"/>
          <w:sz w:val="24"/>
        </w:rPr>
        <w:t>dinam</w:t>
      </w:r>
      <w:r w:rsidR="00DE308B">
        <w:rPr>
          <w:rFonts w:ascii="Arial" w:hAnsi="Arial" w:cs="Arial"/>
          <w:sz w:val="24"/>
        </w:rPr>
        <w:t>ó</w:t>
      </w:r>
      <w:r w:rsidR="00DE308B" w:rsidRPr="003D1FBA">
        <w:rPr>
          <w:rFonts w:ascii="Arial" w:hAnsi="Arial" w:cs="Arial"/>
          <w:sz w:val="24"/>
        </w:rPr>
        <w:t>metr</w:t>
      </w:r>
      <w:r w:rsidR="00DE308B">
        <w:rPr>
          <w:rFonts w:ascii="Arial" w:hAnsi="Arial" w:cs="Arial"/>
          <w:sz w:val="24"/>
        </w:rPr>
        <w:t>o</w:t>
      </w:r>
      <w:r w:rsidR="00450A6E" w:rsidRPr="003D1FBA">
        <w:rPr>
          <w:rFonts w:ascii="Arial" w:hAnsi="Arial" w:cs="Arial"/>
          <w:sz w:val="24"/>
        </w:rPr>
        <w:t xml:space="preserve"> manual “Mark-10 Series 3 Digital Force Gauge”. </w:t>
      </w:r>
      <w:r w:rsidR="00DE308B">
        <w:rPr>
          <w:rFonts w:ascii="Arial" w:hAnsi="Arial" w:cs="Arial"/>
          <w:sz w:val="24"/>
        </w:rPr>
        <w:t>Se pidió</w:t>
      </w:r>
      <w:r w:rsidR="00450A6E" w:rsidRPr="003D1FBA">
        <w:rPr>
          <w:rFonts w:ascii="Arial" w:hAnsi="Arial" w:cs="Arial"/>
          <w:sz w:val="24"/>
        </w:rPr>
        <w:t xml:space="preserve"> a l</w:t>
      </w:r>
      <w:r w:rsidR="00DE308B">
        <w:rPr>
          <w:rFonts w:ascii="Arial" w:hAnsi="Arial" w:cs="Arial"/>
          <w:sz w:val="24"/>
        </w:rPr>
        <w:t>a</w:t>
      </w:r>
      <w:r w:rsidR="00450A6E" w:rsidRPr="003D1FBA">
        <w:rPr>
          <w:rFonts w:ascii="Arial" w:hAnsi="Arial" w:cs="Arial"/>
          <w:sz w:val="24"/>
        </w:rPr>
        <w:t>s jugador</w:t>
      </w:r>
      <w:r w:rsidR="00DE308B">
        <w:rPr>
          <w:rFonts w:ascii="Arial" w:hAnsi="Arial" w:cs="Arial"/>
          <w:sz w:val="24"/>
        </w:rPr>
        <w:t>a</w:t>
      </w:r>
      <w:r w:rsidR="00450A6E" w:rsidRPr="003D1FBA">
        <w:rPr>
          <w:rFonts w:ascii="Arial" w:hAnsi="Arial" w:cs="Arial"/>
          <w:sz w:val="24"/>
        </w:rPr>
        <w:t>s que s</w:t>
      </w:r>
      <w:r w:rsidR="00DE308B">
        <w:rPr>
          <w:rFonts w:ascii="Arial" w:hAnsi="Arial" w:cs="Arial"/>
          <w:sz w:val="24"/>
        </w:rPr>
        <w:t>e sentasen</w:t>
      </w:r>
      <w:r w:rsidR="00450A6E" w:rsidRPr="003D1FBA">
        <w:rPr>
          <w:rFonts w:ascii="Arial" w:hAnsi="Arial" w:cs="Arial"/>
          <w:sz w:val="24"/>
        </w:rPr>
        <w:t xml:space="preserve"> </w:t>
      </w:r>
      <w:r w:rsidR="00DE308B">
        <w:rPr>
          <w:rFonts w:ascii="Arial" w:hAnsi="Arial" w:cs="Arial"/>
          <w:sz w:val="24"/>
        </w:rPr>
        <w:t>en</w:t>
      </w:r>
      <w:r w:rsidR="00450A6E" w:rsidRPr="003D1FBA">
        <w:rPr>
          <w:rFonts w:ascii="Arial" w:hAnsi="Arial" w:cs="Arial"/>
          <w:sz w:val="24"/>
        </w:rPr>
        <w:t xml:space="preserve"> un</w:t>
      </w:r>
      <w:r w:rsidR="0018399D" w:rsidRPr="003D1FBA">
        <w:rPr>
          <w:rFonts w:ascii="Arial" w:hAnsi="Arial" w:cs="Arial"/>
          <w:sz w:val="24"/>
        </w:rPr>
        <w:t xml:space="preserve"> banc</w:t>
      </w:r>
      <w:r w:rsidR="00DE308B">
        <w:rPr>
          <w:rFonts w:ascii="Arial" w:hAnsi="Arial" w:cs="Arial"/>
          <w:sz w:val="24"/>
        </w:rPr>
        <w:t>o</w:t>
      </w:r>
      <w:r w:rsidR="0018399D" w:rsidRPr="003D1FBA">
        <w:rPr>
          <w:rFonts w:ascii="Arial" w:hAnsi="Arial" w:cs="Arial"/>
          <w:sz w:val="24"/>
        </w:rPr>
        <w:t xml:space="preserve"> d</w:t>
      </w:r>
      <w:r w:rsidR="00DE308B">
        <w:rPr>
          <w:rFonts w:ascii="Arial" w:hAnsi="Arial" w:cs="Arial"/>
          <w:sz w:val="24"/>
        </w:rPr>
        <w:t xml:space="preserve">e </w:t>
      </w:r>
      <w:r w:rsidR="0018399D" w:rsidRPr="003D1FBA">
        <w:rPr>
          <w:rFonts w:ascii="Arial" w:hAnsi="Arial" w:cs="Arial"/>
          <w:sz w:val="24"/>
        </w:rPr>
        <w:t>extensió</w:t>
      </w:r>
      <w:r w:rsidR="00DE308B">
        <w:rPr>
          <w:rFonts w:ascii="Arial" w:hAnsi="Arial" w:cs="Arial"/>
          <w:sz w:val="24"/>
        </w:rPr>
        <w:t>n</w:t>
      </w:r>
      <w:r w:rsidR="0018399D" w:rsidRPr="003D1FBA">
        <w:rPr>
          <w:rFonts w:ascii="Arial" w:hAnsi="Arial" w:cs="Arial"/>
          <w:sz w:val="24"/>
        </w:rPr>
        <w:t xml:space="preserve"> de </w:t>
      </w:r>
      <w:r w:rsidR="00DE308B">
        <w:rPr>
          <w:rFonts w:ascii="Arial" w:hAnsi="Arial" w:cs="Arial"/>
          <w:sz w:val="24"/>
        </w:rPr>
        <w:t>c</w:t>
      </w:r>
      <w:r w:rsidR="0018399D" w:rsidRPr="003D1FBA">
        <w:rPr>
          <w:rFonts w:ascii="Arial" w:hAnsi="Arial" w:cs="Arial"/>
          <w:sz w:val="24"/>
        </w:rPr>
        <w:t>u</w:t>
      </w:r>
      <w:r w:rsidR="00DE308B">
        <w:rPr>
          <w:rFonts w:ascii="Arial" w:hAnsi="Arial" w:cs="Arial"/>
          <w:sz w:val="24"/>
        </w:rPr>
        <w:t>á</w:t>
      </w:r>
      <w:r w:rsidR="0018399D" w:rsidRPr="003D1FBA">
        <w:rPr>
          <w:rFonts w:ascii="Arial" w:hAnsi="Arial" w:cs="Arial"/>
          <w:sz w:val="24"/>
        </w:rPr>
        <w:t xml:space="preserve">driceps </w:t>
      </w:r>
      <w:r w:rsidR="00DE308B">
        <w:rPr>
          <w:rFonts w:ascii="Arial" w:hAnsi="Arial" w:cs="Arial"/>
          <w:sz w:val="24"/>
        </w:rPr>
        <w:t>donde</w:t>
      </w:r>
      <w:r w:rsidR="004014FD" w:rsidRPr="003D1FBA">
        <w:rPr>
          <w:rFonts w:ascii="Arial" w:hAnsi="Arial" w:cs="Arial"/>
          <w:sz w:val="24"/>
        </w:rPr>
        <w:t xml:space="preserve"> </w:t>
      </w:r>
      <w:r w:rsidR="00DE308B">
        <w:rPr>
          <w:rFonts w:ascii="Arial" w:hAnsi="Arial" w:cs="Arial"/>
          <w:sz w:val="24"/>
        </w:rPr>
        <w:t xml:space="preserve">la cadera </w:t>
      </w:r>
      <w:r w:rsidR="006C2FC8" w:rsidRPr="003D1FBA">
        <w:rPr>
          <w:rFonts w:ascii="Arial" w:hAnsi="Arial" w:cs="Arial"/>
          <w:sz w:val="24"/>
        </w:rPr>
        <w:t>queda</w:t>
      </w:r>
      <w:r w:rsidR="00DE308B">
        <w:rPr>
          <w:rFonts w:ascii="Arial" w:hAnsi="Arial" w:cs="Arial"/>
          <w:sz w:val="24"/>
        </w:rPr>
        <w:t>b</w:t>
      </w:r>
      <w:r w:rsidR="00245EC2" w:rsidRPr="003D1FBA">
        <w:rPr>
          <w:rFonts w:ascii="Arial" w:hAnsi="Arial" w:cs="Arial"/>
          <w:sz w:val="24"/>
        </w:rPr>
        <w:t>a</w:t>
      </w:r>
      <w:r w:rsidR="006C2FC8" w:rsidRPr="003D1FBA">
        <w:rPr>
          <w:rFonts w:ascii="Arial" w:hAnsi="Arial" w:cs="Arial"/>
          <w:sz w:val="24"/>
        </w:rPr>
        <w:t xml:space="preserve"> </w:t>
      </w:r>
      <w:r w:rsidR="00450A6E" w:rsidRPr="003D1FBA">
        <w:rPr>
          <w:rFonts w:ascii="Arial" w:hAnsi="Arial" w:cs="Arial"/>
          <w:sz w:val="24"/>
        </w:rPr>
        <w:t>a 90º de flexió</w:t>
      </w:r>
      <w:r w:rsidR="00DE308B">
        <w:rPr>
          <w:rFonts w:ascii="Arial" w:hAnsi="Arial" w:cs="Arial"/>
          <w:sz w:val="24"/>
        </w:rPr>
        <w:t>n</w:t>
      </w:r>
      <w:r w:rsidR="00450A6E" w:rsidRPr="003D1FBA">
        <w:rPr>
          <w:rFonts w:ascii="Arial" w:hAnsi="Arial" w:cs="Arial"/>
          <w:sz w:val="24"/>
        </w:rPr>
        <w:t xml:space="preserve"> </w:t>
      </w:r>
      <w:r w:rsidR="00DE308B">
        <w:rPr>
          <w:rFonts w:ascii="Arial" w:hAnsi="Arial" w:cs="Arial"/>
          <w:sz w:val="24"/>
        </w:rPr>
        <w:t>y</w:t>
      </w:r>
      <w:r w:rsidR="00450A6E" w:rsidRPr="003D1FBA">
        <w:rPr>
          <w:rFonts w:ascii="Arial" w:hAnsi="Arial" w:cs="Arial"/>
          <w:sz w:val="24"/>
        </w:rPr>
        <w:t xml:space="preserve"> </w:t>
      </w:r>
      <w:r w:rsidR="00DE308B">
        <w:rPr>
          <w:rFonts w:ascii="Arial" w:hAnsi="Arial" w:cs="Arial"/>
          <w:sz w:val="24"/>
        </w:rPr>
        <w:t>la</w:t>
      </w:r>
      <w:r w:rsidR="00450A6E" w:rsidRPr="003D1FBA">
        <w:rPr>
          <w:rFonts w:ascii="Arial" w:hAnsi="Arial" w:cs="Arial"/>
          <w:sz w:val="24"/>
        </w:rPr>
        <w:t xml:space="preserve"> </w:t>
      </w:r>
      <w:r w:rsidR="00DE308B">
        <w:rPr>
          <w:rFonts w:ascii="Arial" w:hAnsi="Arial" w:cs="Arial"/>
          <w:sz w:val="24"/>
        </w:rPr>
        <w:t>rodilla</w:t>
      </w:r>
      <w:r w:rsidR="00450A6E" w:rsidRPr="003D1FBA">
        <w:rPr>
          <w:rFonts w:ascii="Arial" w:hAnsi="Arial" w:cs="Arial"/>
          <w:sz w:val="24"/>
        </w:rPr>
        <w:t xml:space="preserve"> a </w:t>
      </w:r>
      <w:r w:rsidR="00665D8D" w:rsidRPr="003D1FBA">
        <w:rPr>
          <w:rFonts w:ascii="Arial" w:hAnsi="Arial" w:cs="Arial"/>
          <w:sz w:val="24"/>
        </w:rPr>
        <w:lastRenderedPageBreak/>
        <w:t>120º (</w:t>
      </w:r>
      <w:r w:rsidR="00450A6E" w:rsidRPr="003D1FBA">
        <w:rPr>
          <w:rFonts w:ascii="Arial" w:hAnsi="Arial" w:cs="Arial"/>
          <w:sz w:val="24"/>
        </w:rPr>
        <w:t>60º respe</w:t>
      </w:r>
      <w:r w:rsidR="00DE308B">
        <w:rPr>
          <w:rFonts w:ascii="Arial" w:hAnsi="Arial" w:cs="Arial"/>
          <w:sz w:val="24"/>
        </w:rPr>
        <w:t xml:space="preserve">to </w:t>
      </w:r>
      <w:r w:rsidR="00450A6E" w:rsidRPr="003D1FBA">
        <w:rPr>
          <w:rFonts w:ascii="Arial" w:hAnsi="Arial" w:cs="Arial"/>
          <w:sz w:val="24"/>
        </w:rPr>
        <w:t>la posició</w:t>
      </w:r>
      <w:r w:rsidR="00DE308B">
        <w:rPr>
          <w:rFonts w:ascii="Arial" w:hAnsi="Arial" w:cs="Arial"/>
          <w:sz w:val="24"/>
        </w:rPr>
        <w:t>n</w:t>
      </w:r>
      <w:r w:rsidR="00450A6E" w:rsidRPr="003D1FBA">
        <w:rPr>
          <w:rFonts w:ascii="Arial" w:hAnsi="Arial" w:cs="Arial"/>
          <w:sz w:val="24"/>
        </w:rPr>
        <w:t xml:space="preserve"> anat</w:t>
      </w:r>
      <w:r w:rsidR="00DE308B">
        <w:rPr>
          <w:rFonts w:ascii="Arial" w:hAnsi="Arial" w:cs="Arial"/>
          <w:sz w:val="24"/>
        </w:rPr>
        <w:t>ó</w:t>
      </w:r>
      <w:r w:rsidR="00450A6E" w:rsidRPr="003D1FBA">
        <w:rPr>
          <w:rFonts w:ascii="Arial" w:hAnsi="Arial" w:cs="Arial"/>
          <w:sz w:val="24"/>
        </w:rPr>
        <w:t>mica d</w:t>
      </w:r>
      <w:r w:rsidR="00DE308B">
        <w:rPr>
          <w:rFonts w:ascii="Arial" w:hAnsi="Arial" w:cs="Arial"/>
          <w:sz w:val="24"/>
        </w:rPr>
        <w:t>e ex</w:t>
      </w:r>
      <w:r w:rsidR="00450A6E" w:rsidRPr="003D1FBA">
        <w:rPr>
          <w:rFonts w:ascii="Arial" w:hAnsi="Arial" w:cs="Arial"/>
          <w:sz w:val="24"/>
        </w:rPr>
        <w:t>tensió</w:t>
      </w:r>
      <w:r w:rsidR="00DE308B">
        <w:rPr>
          <w:rFonts w:ascii="Arial" w:hAnsi="Arial" w:cs="Arial"/>
          <w:sz w:val="24"/>
        </w:rPr>
        <w:t>n</w:t>
      </w:r>
      <w:r w:rsidR="00665D8D" w:rsidRPr="003D1FBA">
        <w:rPr>
          <w:rFonts w:ascii="Arial" w:hAnsi="Arial" w:cs="Arial"/>
          <w:sz w:val="24"/>
        </w:rPr>
        <w:t>)</w:t>
      </w:r>
      <w:r w:rsidR="00450A6E" w:rsidRPr="003D1FBA">
        <w:rPr>
          <w:rFonts w:ascii="Arial" w:hAnsi="Arial" w:cs="Arial"/>
          <w:sz w:val="24"/>
        </w:rPr>
        <w:t>. El dinam</w:t>
      </w:r>
      <w:r w:rsidR="00DE308B">
        <w:rPr>
          <w:rFonts w:ascii="Arial" w:hAnsi="Arial" w:cs="Arial"/>
          <w:sz w:val="24"/>
        </w:rPr>
        <w:t>ó</w:t>
      </w:r>
      <w:r w:rsidR="00450A6E" w:rsidRPr="003D1FBA">
        <w:rPr>
          <w:rFonts w:ascii="Arial" w:hAnsi="Arial" w:cs="Arial"/>
          <w:sz w:val="24"/>
        </w:rPr>
        <w:t>metr</w:t>
      </w:r>
      <w:r w:rsidR="00DE308B">
        <w:rPr>
          <w:rFonts w:ascii="Arial" w:hAnsi="Arial" w:cs="Arial"/>
          <w:sz w:val="24"/>
        </w:rPr>
        <w:t>o</w:t>
      </w:r>
      <w:r w:rsidR="00450A6E" w:rsidRPr="003D1FBA">
        <w:rPr>
          <w:rFonts w:ascii="Arial" w:hAnsi="Arial" w:cs="Arial"/>
          <w:sz w:val="24"/>
        </w:rPr>
        <w:t xml:space="preserve"> </w:t>
      </w:r>
      <w:r w:rsidR="00DE308B">
        <w:rPr>
          <w:rFonts w:ascii="Arial" w:hAnsi="Arial" w:cs="Arial"/>
          <w:sz w:val="24"/>
        </w:rPr>
        <w:t>se</w:t>
      </w:r>
      <w:r w:rsidR="00450A6E" w:rsidRPr="003D1FBA">
        <w:rPr>
          <w:rFonts w:ascii="Arial" w:hAnsi="Arial" w:cs="Arial"/>
          <w:sz w:val="24"/>
        </w:rPr>
        <w:t xml:space="preserve"> fi</w:t>
      </w:r>
      <w:r w:rsidR="00DE308B">
        <w:rPr>
          <w:rFonts w:ascii="Arial" w:hAnsi="Arial" w:cs="Arial"/>
          <w:sz w:val="24"/>
        </w:rPr>
        <w:t>jó</w:t>
      </w:r>
      <w:r w:rsidR="00450A6E" w:rsidRPr="003D1FBA">
        <w:rPr>
          <w:rFonts w:ascii="Arial" w:hAnsi="Arial" w:cs="Arial"/>
          <w:sz w:val="24"/>
        </w:rPr>
        <w:t xml:space="preserve"> al co</w:t>
      </w:r>
      <w:r w:rsidR="00DE308B">
        <w:rPr>
          <w:rFonts w:ascii="Arial" w:hAnsi="Arial" w:cs="Arial"/>
          <w:sz w:val="24"/>
        </w:rPr>
        <w:t>jín</w:t>
      </w:r>
      <w:r w:rsidR="00450A6E" w:rsidRPr="003D1FBA">
        <w:rPr>
          <w:rFonts w:ascii="Arial" w:hAnsi="Arial" w:cs="Arial"/>
          <w:sz w:val="24"/>
        </w:rPr>
        <w:t xml:space="preserve"> que ha</w:t>
      </w:r>
      <w:r w:rsidR="00DE308B">
        <w:rPr>
          <w:rFonts w:ascii="Arial" w:hAnsi="Arial" w:cs="Arial"/>
          <w:sz w:val="24"/>
        </w:rPr>
        <w:t>bí</w:t>
      </w:r>
      <w:r w:rsidR="00245EC2" w:rsidRPr="003D1FBA">
        <w:rPr>
          <w:rFonts w:ascii="Arial" w:hAnsi="Arial" w:cs="Arial"/>
          <w:sz w:val="24"/>
        </w:rPr>
        <w:t>a</w:t>
      </w:r>
      <w:r w:rsidR="00450A6E" w:rsidRPr="003D1FBA">
        <w:rPr>
          <w:rFonts w:ascii="Arial" w:hAnsi="Arial" w:cs="Arial"/>
          <w:sz w:val="24"/>
        </w:rPr>
        <w:t xml:space="preserve"> </w:t>
      </w:r>
      <w:r w:rsidR="00DE308B">
        <w:rPr>
          <w:rFonts w:ascii="Arial" w:hAnsi="Arial" w:cs="Arial"/>
          <w:sz w:val="24"/>
        </w:rPr>
        <w:t>en el</w:t>
      </w:r>
      <w:r w:rsidR="00450A6E" w:rsidRPr="003D1FBA">
        <w:rPr>
          <w:rFonts w:ascii="Arial" w:hAnsi="Arial" w:cs="Arial"/>
          <w:sz w:val="24"/>
        </w:rPr>
        <w:t xml:space="preserve"> bra</w:t>
      </w:r>
      <w:r w:rsidR="00DE308B">
        <w:rPr>
          <w:rFonts w:ascii="Arial" w:hAnsi="Arial" w:cs="Arial"/>
          <w:sz w:val="24"/>
        </w:rPr>
        <w:t>zo</w:t>
      </w:r>
      <w:r w:rsidR="00450A6E" w:rsidRPr="003D1FBA">
        <w:rPr>
          <w:rFonts w:ascii="Arial" w:hAnsi="Arial" w:cs="Arial"/>
          <w:sz w:val="24"/>
        </w:rPr>
        <w:t xml:space="preserve"> de la m</w:t>
      </w:r>
      <w:r w:rsidR="00DE308B">
        <w:rPr>
          <w:rFonts w:ascii="Arial" w:hAnsi="Arial" w:cs="Arial"/>
          <w:sz w:val="24"/>
        </w:rPr>
        <w:t>á</w:t>
      </w:r>
      <w:r w:rsidR="00450A6E" w:rsidRPr="003D1FBA">
        <w:rPr>
          <w:rFonts w:ascii="Arial" w:hAnsi="Arial" w:cs="Arial"/>
          <w:sz w:val="24"/>
        </w:rPr>
        <w:t>quina p</w:t>
      </w:r>
      <w:r w:rsidR="00DE308B">
        <w:rPr>
          <w:rFonts w:ascii="Arial" w:hAnsi="Arial" w:cs="Arial"/>
          <w:sz w:val="24"/>
        </w:rPr>
        <w:t>ara hacer</w:t>
      </w:r>
      <w:r w:rsidR="00450A6E" w:rsidRPr="003D1FBA">
        <w:rPr>
          <w:rFonts w:ascii="Arial" w:hAnsi="Arial" w:cs="Arial"/>
          <w:sz w:val="24"/>
        </w:rPr>
        <w:t xml:space="preserve"> </w:t>
      </w:r>
      <w:r w:rsidR="00DE308B">
        <w:rPr>
          <w:rFonts w:ascii="Arial" w:hAnsi="Arial" w:cs="Arial"/>
          <w:sz w:val="24"/>
        </w:rPr>
        <w:t>e</w:t>
      </w:r>
      <w:r w:rsidR="00450A6E" w:rsidRPr="003D1FBA">
        <w:rPr>
          <w:rFonts w:ascii="Arial" w:hAnsi="Arial" w:cs="Arial"/>
          <w:sz w:val="24"/>
        </w:rPr>
        <w:t>l</w:t>
      </w:r>
      <w:r w:rsidR="00DE308B">
        <w:rPr>
          <w:rFonts w:ascii="Arial" w:hAnsi="Arial" w:cs="Arial"/>
          <w:sz w:val="24"/>
        </w:rPr>
        <w:t xml:space="preserve"> </w:t>
      </w:r>
      <w:r w:rsidR="00450A6E" w:rsidRPr="003D1FBA">
        <w:rPr>
          <w:rFonts w:ascii="Arial" w:hAnsi="Arial" w:cs="Arial"/>
          <w:sz w:val="24"/>
        </w:rPr>
        <w:t>isom</w:t>
      </w:r>
      <w:r w:rsidR="00DE308B">
        <w:rPr>
          <w:rFonts w:ascii="Arial" w:hAnsi="Arial" w:cs="Arial"/>
          <w:sz w:val="24"/>
        </w:rPr>
        <w:t>é</w:t>
      </w:r>
      <w:r w:rsidR="00450A6E" w:rsidRPr="003D1FBA">
        <w:rPr>
          <w:rFonts w:ascii="Arial" w:hAnsi="Arial" w:cs="Arial"/>
          <w:sz w:val="24"/>
        </w:rPr>
        <w:t>tric</w:t>
      </w:r>
      <w:r w:rsidR="00DE308B">
        <w:rPr>
          <w:rFonts w:ascii="Arial" w:hAnsi="Arial" w:cs="Arial"/>
          <w:sz w:val="24"/>
        </w:rPr>
        <w:t>o</w:t>
      </w:r>
      <w:r w:rsidR="00450A6E" w:rsidRPr="003D1FBA">
        <w:rPr>
          <w:rFonts w:ascii="Arial" w:hAnsi="Arial" w:cs="Arial"/>
          <w:sz w:val="24"/>
        </w:rPr>
        <w:t xml:space="preserve"> de </w:t>
      </w:r>
      <w:r w:rsidR="00DE308B">
        <w:rPr>
          <w:rFonts w:ascii="Arial" w:hAnsi="Arial" w:cs="Arial"/>
          <w:sz w:val="24"/>
        </w:rPr>
        <w:t>cuá</w:t>
      </w:r>
      <w:r w:rsidR="00450A6E" w:rsidRPr="003D1FBA">
        <w:rPr>
          <w:rFonts w:ascii="Arial" w:hAnsi="Arial" w:cs="Arial"/>
          <w:sz w:val="24"/>
        </w:rPr>
        <w:t xml:space="preserve">driceps </w:t>
      </w:r>
      <w:r w:rsidR="00DE308B">
        <w:rPr>
          <w:rFonts w:ascii="Arial" w:hAnsi="Arial" w:cs="Arial"/>
          <w:sz w:val="24"/>
        </w:rPr>
        <w:t>y</w:t>
      </w:r>
      <w:r w:rsidR="00450A6E" w:rsidRPr="003D1FBA">
        <w:rPr>
          <w:rFonts w:ascii="Arial" w:hAnsi="Arial" w:cs="Arial"/>
          <w:sz w:val="24"/>
        </w:rPr>
        <w:t xml:space="preserve"> </w:t>
      </w:r>
      <w:r w:rsidR="00DE308B">
        <w:rPr>
          <w:rFonts w:ascii="Arial" w:hAnsi="Arial" w:cs="Arial"/>
          <w:sz w:val="24"/>
        </w:rPr>
        <w:t>se</w:t>
      </w:r>
      <w:r w:rsidR="00450A6E" w:rsidRPr="003D1FBA">
        <w:rPr>
          <w:rFonts w:ascii="Arial" w:hAnsi="Arial" w:cs="Arial"/>
          <w:sz w:val="24"/>
        </w:rPr>
        <w:t xml:space="preserve"> gir</w:t>
      </w:r>
      <w:r w:rsidR="00DE308B">
        <w:rPr>
          <w:rFonts w:ascii="Arial" w:hAnsi="Arial" w:cs="Arial"/>
          <w:sz w:val="24"/>
        </w:rPr>
        <w:t>ó</w:t>
      </w:r>
      <w:r w:rsidR="00450A6E" w:rsidRPr="003D1FBA">
        <w:rPr>
          <w:rFonts w:ascii="Arial" w:hAnsi="Arial" w:cs="Arial"/>
          <w:sz w:val="24"/>
        </w:rPr>
        <w:t xml:space="preserve"> p</w:t>
      </w:r>
      <w:r w:rsidR="00DE308B">
        <w:rPr>
          <w:rFonts w:ascii="Arial" w:hAnsi="Arial" w:cs="Arial"/>
          <w:sz w:val="24"/>
        </w:rPr>
        <w:t>ara</w:t>
      </w:r>
      <w:r w:rsidR="00450A6E" w:rsidRPr="003D1FBA">
        <w:rPr>
          <w:rFonts w:ascii="Arial" w:hAnsi="Arial" w:cs="Arial"/>
          <w:sz w:val="24"/>
        </w:rPr>
        <w:t xml:space="preserve"> </w:t>
      </w:r>
      <w:r w:rsidR="00DE308B">
        <w:rPr>
          <w:rFonts w:ascii="Arial" w:hAnsi="Arial" w:cs="Arial"/>
          <w:sz w:val="24"/>
        </w:rPr>
        <w:t>hacer</w:t>
      </w:r>
      <w:r w:rsidR="00450A6E" w:rsidRPr="003D1FBA">
        <w:rPr>
          <w:rFonts w:ascii="Arial" w:hAnsi="Arial" w:cs="Arial"/>
          <w:sz w:val="24"/>
        </w:rPr>
        <w:t xml:space="preserve"> el d</w:t>
      </w:r>
      <w:r w:rsidR="00DE308B">
        <w:rPr>
          <w:rFonts w:ascii="Arial" w:hAnsi="Arial" w:cs="Arial"/>
          <w:sz w:val="24"/>
        </w:rPr>
        <w:t xml:space="preserve">e </w:t>
      </w:r>
      <w:r w:rsidR="00450A6E" w:rsidRPr="003D1FBA">
        <w:rPr>
          <w:rFonts w:ascii="Arial" w:hAnsi="Arial" w:cs="Arial"/>
          <w:sz w:val="24"/>
        </w:rPr>
        <w:t>isquiosural</w:t>
      </w:r>
      <w:r w:rsidR="00DE308B">
        <w:rPr>
          <w:rFonts w:ascii="Arial" w:hAnsi="Arial" w:cs="Arial"/>
          <w:sz w:val="24"/>
        </w:rPr>
        <w:t>e</w:t>
      </w:r>
      <w:r w:rsidR="00450A6E" w:rsidRPr="003D1FBA">
        <w:rPr>
          <w:rFonts w:ascii="Arial" w:hAnsi="Arial" w:cs="Arial"/>
          <w:sz w:val="24"/>
        </w:rPr>
        <w:t>s (</w:t>
      </w:r>
      <w:r w:rsidR="00F64C8F" w:rsidRPr="003D1FBA">
        <w:rPr>
          <w:rFonts w:ascii="Arial" w:hAnsi="Arial" w:cs="Arial"/>
          <w:sz w:val="24"/>
        </w:rPr>
        <w:t>Figura</w:t>
      </w:r>
      <w:r w:rsidR="00450A6E" w:rsidRPr="003D1FBA">
        <w:rPr>
          <w:rFonts w:ascii="Arial" w:hAnsi="Arial" w:cs="Arial"/>
          <w:sz w:val="24"/>
        </w:rPr>
        <w:t xml:space="preserve"> 1). L</w:t>
      </w:r>
      <w:r w:rsidR="00DE308B">
        <w:rPr>
          <w:rFonts w:ascii="Arial" w:hAnsi="Arial" w:cs="Arial"/>
          <w:sz w:val="24"/>
        </w:rPr>
        <w:t>a</w:t>
      </w:r>
      <w:r w:rsidR="00450A6E" w:rsidRPr="003D1FBA">
        <w:rPr>
          <w:rFonts w:ascii="Arial" w:hAnsi="Arial" w:cs="Arial"/>
          <w:sz w:val="24"/>
        </w:rPr>
        <w:t>s jugador</w:t>
      </w:r>
      <w:r w:rsidR="00DE308B">
        <w:rPr>
          <w:rFonts w:ascii="Arial" w:hAnsi="Arial" w:cs="Arial"/>
          <w:sz w:val="24"/>
        </w:rPr>
        <w:t>a</w:t>
      </w:r>
      <w:r w:rsidR="00450A6E" w:rsidRPr="003D1FBA">
        <w:rPr>
          <w:rFonts w:ascii="Arial" w:hAnsi="Arial" w:cs="Arial"/>
          <w:sz w:val="24"/>
        </w:rPr>
        <w:t xml:space="preserve">s </w:t>
      </w:r>
      <w:r w:rsidR="00DE308B">
        <w:rPr>
          <w:rFonts w:ascii="Arial" w:hAnsi="Arial" w:cs="Arial"/>
          <w:sz w:val="24"/>
        </w:rPr>
        <w:t>hicieron</w:t>
      </w:r>
      <w:r w:rsidR="00450A6E" w:rsidRPr="003D1FBA">
        <w:rPr>
          <w:rFonts w:ascii="Arial" w:hAnsi="Arial" w:cs="Arial"/>
          <w:sz w:val="24"/>
        </w:rPr>
        <w:t xml:space="preserve"> tres isom</w:t>
      </w:r>
      <w:r w:rsidR="00C22603">
        <w:rPr>
          <w:rFonts w:ascii="Arial" w:hAnsi="Arial" w:cs="Arial"/>
          <w:sz w:val="24"/>
        </w:rPr>
        <w:t>é</w:t>
      </w:r>
      <w:r w:rsidR="00450A6E" w:rsidRPr="003D1FBA">
        <w:rPr>
          <w:rFonts w:ascii="Arial" w:hAnsi="Arial" w:cs="Arial"/>
          <w:sz w:val="24"/>
        </w:rPr>
        <w:t>tric</w:t>
      </w:r>
      <w:r w:rsidR="00C22603">
        <w:rPr>
          <w:rFonts w:ascii="Arial" w:hAnsi="Arial" w:cs="Arial"/>
          <w:sz w:val="24"/>
        </w:rPr>
        <w:t>o</w:t>
      </w:r>
      <w:r w:rsidR="00450A6E" w:rsidRPr="003D1FBA">
        <w:rPr>
          <w:rFonts w:ascii="Arial" w:hAnsi="Arial" w:cs="Arial"/>
          <w:sz w:val="24"/>
        </w:rPr>
        <w:t>s progresi</w:t>
      </w:r>
      <w:r w:rsidR="00C22603">
        <w:rPr>
          <w:rFonts w:ascii="Arial" w:hAnsi="Arial" w:cs="Arial"/>
          <w:sz w:val="24"/>
        </w:rPr>
        <w:t>vo</w:t>
      </w:r>
      <w:r w:rsidR="00450A6E" w:rsidRPr="003D1FBA">
        <w:rPr>
          <w:rFonts w:ascii="Arial" w:hAnsi="Arial" w:cs="Arial"/>
          <w:sz w:val="24"/>
        </w:rPr>
        <w:t>s p</w:t>
      </w:r>
      <w:r w:rsidR="00C22603">
        <w:rPr>
          <w:rFonts w:ascii="Arial" w:hAnsi="Arial" w:cs="Arial"/>
          <w:sz w:val="24"/>
        </w:rPr>
        <w:t>a</w:t>
      </w:r>
      <w:r w:rsidR="00450A6E" w:rsidRPr="003D1FBA">
        <w:rPr>
          <w:rFonts w:ascii="Arial" w:hAnsi="Arial" w:cs="Arial"/>
          <w:sz w:val="24"/>
        </w:rPr>
        <w:t>r</w:t>
      </w:r>
      <w:r w:rsidR="00C22603">
        <w:rPr>
          <w:rFonts w:ascii="Arial" w:hAnsi="Arial" w:cs="Arial"/>
          <w:sz w:val="24"/>
        </w:rPr>
        <w:t>a</w:t>
      </w:r>
      <w:r w:rsidR="00450A6E" w:rsidRPr="003D1FBA">
        <w:rPr>
          <w:rFonts w:ascii="Arial" w:hAnsi="Arial" w:cs="Arial"/>
          <w:sz w:val="24"/>
        </w:rPr>
        <w:t xml:space="preserve"> </w:t>
      </w:r>
      <w:r w:rsidR="00C22603">
        <w:rPr>
          <w:rFonts w:ascii="Arial" w:hAnsi="Arial" w:cs="Arial"/>
          <w:sz w:val="24"/>
        </w:rPr>
        <w:t>calentar</w:t>
      </w:r>
      <w:r w:rsidR="00450A6E" w:rsidRPr="003D1FBA">
        <w:rPr>
          <w:rFonts w:ascii="Arial" w:hAnsi="Arial" w:cs="Arial"/>
          <w:sz w:val="24"/>
        </w:rPr>
        <w:t xml:space="preserve"> buscan</w:t>
      </w:r>
      <w:r w:rsidR="00C22603">
        <w:rPr>
          <w:rFonts w:ascii="Arial" w:hAnsi="Arial" w:cs="Arial"/>
          <w:sz w:val="24"/>
        </w:rPr>
        <w:t>do</w:t>
      </w:r>
      <w:r w:rsidR="00450A6E" w:rsidRPr="003D1FBA">
        <w:rPr>
          <w:rFonts w:ascii="Arial" w:hAnsi="Arial" w:cs="Arial"/>
          <w:sz w:val="24"/>
        </w:rPr>
        <w:t xml:space="preserve"> la f</w:t>
      </w:r>
      <w:r w:rsidR="00C22603">
        <w:rPr>
          <w:rFonts w:ascii="Arial" w:hAnsi="Arial" w:cs="Arial"/>
          <w:sz w:val="24"/>
        </w:rPr>
        <w:t>uerz</w:t>
      </w:r>
      <w:r w:rsidR="00450A6E" w:rsidRPr="003D1FBA">
        <w:rPr>
          <w:rFonts w:ascii="Arial" w:hAnsi="Arial" w:cs="Arial"/>
          <w:sz w:val="24"/>
        </w:rPr>
        <w:t>a sub-m</w:t>
      </w:r>
      <w:r w:rsidR="00C22603">
        <w:rPr>
          <w:rFonts w:ascii="Arial" w:hAnsi="Arial" w:cs="Arial"/>
          <w:sz w:val="24"/>
        </w:rPr>
        <w:t>á</w:t>
      </w:r>
      <w:r w:rsidR="00450A6E" w:rsidRPr="003D1FBA">
        <w:rPr>
          <w:rFonts w:ascii="Arial" w:hAnsi="Arial" w:cs="Arial"/>
          <w:sz w:val="24"/>
        </w:rPr>
        <w:t xml:space="preserve">xima. </w:t>
      </w:r>
      <w:r w:rsidR="00C22603">
        <w:rPr>
          <w:rFonts w:ascii="Arial" w:hAnsi="Arial" w:cs="Arial"/>
          <w:sz w:val="24"/>
        </w:rPr>
        <w:t>Después</w:t>
      </w:r>
      <w:r w:rsidR="00245EC2" w:rsidRPr="003D1FBA">
        <w:rPr>
          <w:rFonts w:ascii="Arial" w:hAnsi="Arial" w:cs="Arial"/>
          <w:sz w:val="24"/>
        </w:rPr>
        <w:t xml:space="preserve"> reali</w:t>
      </w:r>
      <w:r w:rsidR="00C22603">
        <w:rPr>
          <w:rFonts w:ascii="Arial" w:hAnsi="Arial" w:cs="Arial"/>
          <w:sz w:val="24"/>
        </w:rPr>
        <w:t>zaron</w:t>
      </w:r>
      <w:r w:rsidR="00450A6E" w:rsidRPr="003D1FBA">
        <w:rPr>
          <w:rFonts w:ascii="Arial" w:hAnsi="Arial" w:cs="Arial"/>
          <w:sz w:val="24"/>
        </w:rPr>
        <w:t xml:space="preserve"> 3 repeticion</w:t>
      </w:r>
      <w:r w:rsidR="00C22603">
        <w:rPr>
          <w:rFonts w:ascii="Arial" w:hAnsi="Arial" w:cs="Arial"/>
          <w:sz w:val="24"/>
        </w:rPr>
        <w:t>e</w:t>
      </w:r>
      <w:r w:rsidR="00450A6E" w:rsidRPr="003D1FBA">
        <w:rPr>
          <w:rFonts w:ascii="Arial" w:hAnsi="Arial" w:cs="Arial"/>
          <w:sz w:val="24"/>
        </w:rPr>
        <w:t>s d</w:t>
      </w:r>
      <w:r w:rsidR="00C22603">
        <w:rPr>
          <w:rFonts w:ascii="Arial" w:hAnsi="Arial" w:cs="Arial"/>
          <w:sz w:val="24"/>
        </w:rPr>
        <w:t xml:space="preserve">e </w:t>
      </w:r>
      <w:r w:rsidR="004014FD" w:rsidRPr="003D1FBA">
        <w:rPr>
          <w:rFonts w:ascii="Arial" w:hAnsi="Arial" w:cs="Arial"/>
          <w:sz w:val="24"/>
        </w:rPr>
        <w:t>entre</w:t>
      </w:r>
      <w:r w:rsidR="00450A6E" w:rsidRPr="003D1FBA">
        <w:rPr>
          <w:rFonts w:ascii="Arial" w:hAnsi="Arial" w:cs="Arial"/>
          <w:sz w:val="24"/>
        </w:rPr>
        <w:t xml:space="preserve"> 5</w:t>
      </w:r>
      <w:r w:rsidR="00665D8D" w:rsidRPr="003D1FBA">
        <w:rPr>
          <w:rFonts w:ascii="Arial" w:hAnsi="Arial" w:cs="Arial"/>
          <w:sz w:val="24"/>
        </w:rPr>
        <w:t>-8</w:t>
      </w:r>
      <w:r w:rsidR="00450A6E" w:rsidRPr="003D1FBA">
        <w:rPr>
          <w:rFonts w:ascii="Arial" w:hAnsi="Arial" w:cs="Arial"/>
          <w:sz w:val="24"/>
        </w:rPr>
        <w:t>” buscan</w:t>
      </w:r>
      <w:r w:rsidR="00C22603">
        <w:rPr>
          <w:rFonts w:ascii="Arial" w:hAnsi="Arial" w:cs="Arial"/>
          <w:sz w:val="24"/>
        </w:rPr>
        <w:t>do</w:t>
      </w:r>
      <w:r w:rsidR="00450A6E" w:rsidRPr="003D1FBA">
        <w:rPr>
          <w:rFonts w:ascii="Arial" w:hAnsi="Arial" w:cs="Arial"/>
          <w:sz w:val="24"/>
        </w:rPr>
        <w:t xml:space="preserve"> la f</w:t>
      </w:r>
      <w:r w:rsidR="00C22603">
        <w:rPr>
          <w:rFonts w:ascii="Arial" w:hAnsi="Arial" w:cs="Arial"/>
          <w:sz w:val="24"/>
        </w:rPr>
        <w:t>uerz</w:t>
      </w:r>
      <w:r w:rsidR="00450A6E" w:rsidRPr="003D1FBA">
        <w:rPr>
          <w:rFonts w:ascii="Arial" w:hAnsi="Arial" w:cs="Arial"/>
          <w:sz w:val="24"/>
        </w:rPr>
        <w:t xml:space="preserve">a </w:t>
      </w:r>
      <w:r w:rsidR="004014FD" w:rsidRPr="003D1FBA">
        <w:rPr>
          <w:rFonts w:ascii="Arial" w:hAnsi="Arial" w:cs="Arial"/>
          <w:sz w:val="24"/>
        </w:rPr>
        <w:t>isom</w:t>
      </w:r>
      <w:r w:rsidR="00C22603">
        <w:rPr>
          <w:rFonts w:ascii="Arial" w:hAnsi="Arial" w:cs="Arial"/>
          <w:sz w:val="24"/>
        </w:rPr>
        <w:t>é</w:t>
      </w:r>
      <w:r w:rsidR="004014FD" w:rsidRPr="003D1FBA">
        <w:rPr>
          <w:rFonts w:ascii="Arial" w:hAnsi="Arial" w:cs="Arial"/>
          <w:sz w:val="24"/>
        </w:rPr>
        <w:t xml:space="preserve">trica </w:t>
      </w:r>
      <w:r w:rsidR="00450A6E" w:rsidRPr="003D1FBA">
        <w:rPr>
          <w:rFonts w:ascii="Arial" w:hAnsi="Arial" w:cs="Arial"/>
          <w:sz w:val="24"/>
        </w:rPr>
        <w:t>m</w:t>
      </w:r>
      <w:r w:rsidR="00C22603">
        <w:rPr>
          <w:rFonts w:ascii="Arial" w:hAnsi="Arial" w:cs="Arial"/>
          <w:sz w:val="24"/>
        </w:rPr>
        <w:t>á</w:t>
      </w:r>
      <w:r w:rsidR="00450A6E" w:rsidRPr="003D1FBA">
        <w:rPr>
          <w:rFonts w:ascii="Arial" w:hAnsi="Arial" w:cs="Arial"/>
          <w:sz w:val="24"/>
        </w:rPr>
        <w:t>xima de manera progresiva tant</w:t>
      </w:r>
      <w:r w:rsidR="00C22603">
        <w:rPr>
          <w:rFonts w:ascii="Arial" w:hAnsi="Arial" w:cs="Arial"/>
          <w:sz w:val="24"/>
        </w:rPr>
        <w:t>o</w:t>
      </w:r>
      <w:r w:rsidR="00450A6E" w:rsidRPr="003D1FBA">
        <w:rPr>
          <w:rFonts w:ascii="Arial" w:hAnsi="Arial" w:cs="Arial"/>
          <w:sz w:val="24"/>
        </w:rPr>
        <w:t xml:space="preserve"> de </w:t>
      </w:r>
      <w:r w:rsidR="00C22603">
        <w:rPr>
          <w:rFonts w:ascii="Arial" w:hAnsi="Arial" w:cs="Arial"/>
          <w:sz w:val="24"/>
        </w:rPr>
        <w:t>c</w:t>
      </w:r>
      <w:r w:rsidR="00A5238B" w:rsidRPr="003D1FBA">
        <w:rPr>
          <w:rFonts w:ascii="Arial" w:hAnsi="Arial" w:cs="Arial"/>
          <w:sz w:val="24"/>
        </w:rPr>
        <w:t>u</w:t>
      </w:r>
      <w:r w:rsidR="00C22603">
        <w:rPr>
          <w:rFonts w:ascii="Arial" w:hAnsi="Arial" w:cs="Arial"/>
          <w:sz w:val="24"/>
        </w:rPr>
        <w:t>á</w:t>
      </w:r>
      <w:r w:rsidR="00A5238B" w:rsidRPr="003D1FBA">
        <w:rPr>
          <w:rFonts w:ascii="Arial" w:hAnsi="Arial" w:cs="Arial"/>
          <w:sz w:val="24"/>
        </w:rPr>
        <w:t>driceps</w:t>
      </w:r>
      <w:r w:rsidR="00450A6E" w:rsidRPr="003D1FBA">
        <w:rPr>
          <w:rFonts w:ascii="Arial" w:hAnsi="Arial" w:cs="Arial"/>
          <w:sz w:val="24"/>
        </w:rPr>
        <w:t xml:space="preserve"> com</w:t>
      </w:r>
      <w:r w:rsidR="00C22603">
        <w:rPr>
          <w:rFonts w:ascii="Arial" w:hAnsi="Arial" w:cs="Arial"/>
          <w:sz w:val="24"/>
        </w:rPr>
        <w:t>o</w:t>
      </w:r>
      <w:r w:rsidR="00450A6E" w:rsidRPr="003D1FBA">
        <w:rPr>
          <w:rFonts w:ascii="Arial" w:hAnsi="Arial" w:cs="Arial"/>
          <w:sz w:val="24"/>
        </w:rPr>
        <w:t xml:space="preserve"> d</w:t>
      </w:r>
      <w:r w:rsidR="00C22603">
        <w:rPr>
          <w:rFonts w:ascii="Arial" w:hAnsi="Arial" w:cs="Arial"/>
          <w:sz w:val="24"/>
        </w:rPr>
        <w:t xml:space="preserve">e </w:t>
      </w:r>
      <w:r w:rsidR="00A5238B" w:rsidRPr="003D1FBA">
        <w:rPr>
          <w:rFonts w:ascii="Arial" w:hAnsi="Arial" w:cs="Arial"/>
          <w:sz w:val="24"/>
        </w:rPr>
        <w:t>isquiosural</w:t>
      </w:r>
      <w:r w:rsidR="00C22603">
        <w:rPr>
          <w:rFonts w:ascii="Arial" w:hAnsi="Arial" w:cs="Arial"/>
          <w:sz w:val="24"/>
        </w:rPr>
        <w:t>e</w:t>
      </w:r>
      <w:r w:rsidR="00A5238B" w:rsidRPr="003D1FBA">
        <w:rPr>
          <w:rFonts w:ascii="Arial" w:hAnsi="Arial" w:cs="Arial"/>
          <w:sz w:val="24"/>
        </w:rPr>
        <w:t>s</w:t>
      </w:r>
      <w:r w:rsidR="00450A6E" w:rsidRPr="003D1FBA">
        <w:rPr>
          <w:rFonts w:ascii="Arial" w:hAnsi="Arial" w:cs="Arial"/>
          <w:sz w:val="24"/>
        </w:rPr>
        <w:t>.</w:t>
      </w:r>
      <w:r w:rsidR="004537EC">
        <w:rPr>
          <w:rFonts w:ascii="Arial" w:hAnsi="Arial" w:cs="Arial"/>
          <w:sz w:val="24"/>
        </w:rPr>
        <w:t xml:space="preserve"> El punto de contacto en cuádriceps era 5 cm por encima del maléolo peroneal</w:t>
      </w:r>
      <w:r w:rsidR="00450A6E" w:rsidRPr="003D1FBA">
        <w:rPr>
          <w:rFonts w:ascii="Arial" w:hAnsi="Arial" w:cs="Arial"/>
          <w:sz w:val="24"/>
        </w:rPr>
        <w:t xml:space="preserve"> </w:t>
      </w:r>
      <w:r w:rsidR="00C22603">
        <w:rPr>
          <w:rFonts w:ascii="Arial" w:hAnsi="Arial" w:cs="Arial"/>
          <w:sz w:val="24"/>
        </w:rPr>
        <w:t>y</w:t>
      </w:r>
      <w:r w:rsidR="00450A6E" w:rsidRPr="003D1FBA">
        <w:rPr>
          <w:rFonts w:ascii="Arial" w:hAnsi="Arial" w:cs="Arial"/>
          <w:sz w:val="24"/>
        </w:rPr>
        <w:t xml:space="preserve"> </w:t>
      </w:r>
      <w:r w:rsidR="00C22603">
        <w:rPr>
          <w:rFonts w:ascii="Arial" w:hAnsi="Arial" w:cs="Arial"/>
          <w:sz w:val="24"/>
        </w:rPr>
        <w:t xml:space="preserve">en </w:t>
      </w:r>
      <w:r w:rsidR="006C2FC8" w:rsidRPr="003D1FBA">
        <w:rPr>
          <w:rFonts w:ascii="Arial" w:hAnsi="Arial" w:cs="Arial"/>
          <w:sz w:val="24"/>
        </w:rPr>
        <w:t>l</w:t>
      </w:r>
      <w:r w:rsidR="00C22603">
        <w:rPr>
          <w:rFonts w:ascii="Arial" w:hAnsi="Arial" w:cs="Arial"/>
          <w:sz w:val="24"/>
        </w:rPr>
        <w:t>o</w:t>
      </w:r>
      <w:r w:rsidR="006C2FC8" w:rsidRPr="003D1FBA">
        <w:rPr>
          <w:rFonts w:ascii="Arial" w:hAnsi="Arial" w:cs="Arial"/>
          <w:sz w:val="24"/>
        </w:rPr>
        <w:t>s</w:t>
      </w:r>
      <w:r w:rsidR="00450A6E" w:rsidRPr="003D1FBA">
        <w:rPr>
          <w:rFonts w:ascii="Arial" w:hAnsi="Arial" w:cs="Arial"/>
          <w:sz w:val="24"/>
        </w:rPr>
        <w:t xml:space="preserve"> isquiosural</w:t>
      </w:r>
      <w:r w:rsidR="00C22603">
        <w:rPr>
          <w:rFonts w:ascii="Arial" w:hAnsi="Arial" w:cs="Arial"/>
          <w:sz w:val="24"/>
        </w:rPr>
        <w:t>e</w:t>
      </w:r>
      <w:r w:rsidR="00450A6E" w:rsidRPr="003D1FBA">
        <w:rPr>
          <w:rFonts w:ascii="Arial" w:hAnsi="Arial" w:cs="Arial"/>
          <w:sz w:val="24"/>
        </w:rPr>
        <w:t xml:space="preserve">s </w:t>
      </w:r>
      <w:r w:rsidR="00C22603">
        <w:rPr>
          <w:rFonts w:ascii="Arial" w:hAnsi="Arial" w:cs="Arial"/>
          <w:sz w:val="24"/>
        </w:rPr>
        <w:t>en e</w:t>
      </w:r>
      <w:r w:rsidR="00450A6E" w:rsidRPr="003D1FBA">
        <w:rPr>
          <w:rFonts w:ascii="Arial" w:hAnsi="Arial" w:cs="Arial"/>
          <w:sz w:val="24"/>
        </w:rPr>
        <w:t>l taló</w:t>
      </w:r>
      <w:r w:rsidR="00C22603">
        <w:rPr>
          <w:rFonts w:ascii="Arial" w:hAnsi="Arial" w:cs="Arial"/>
          <w:sz w:val="24"/>
        </w:rPr>
        <w:t>n</w:t>
      </w:r>
      <w:r w:rsidR="00450A6E" w:rsidRPr="003D1FBA">
        <w:rPr>
          <w:rFonts w:ascii="Arial" w:hAnsi="Arial" w:cs="Arial"/>
          <w:sz w:val="24"/>
        </w:rPr>
        <w:t xml:space="preserve">. </w:t>
      </w:r>
      <w:r w:rsidR="004014FD" w:rsidRPr="003D1FBA">
        <w:rPr>
          <w:rFonts w:ascii="Arial" w:hAnsi="Arial" w:cs="Arial"/>
          <w:sz w:val="24"/>
        </w:rPr>
        <w:t>Durant</w:t>
      </w:r>
      <w:r w:rsidR="00C22603">
        <w:rPr>
          <w:rFonts w:ascii="Arial" w:hAnsi="Arial" w:cs="Arial"/>
          <w:sz w:val="24"/>
        </w:rPr>
        <w:t>e</w:t>
      </w:r>
      <w:r w:rsidR="004014FD" w:rsidRPr="003D1FBA">
        <w:rPr>
          <w:rFonts w:ascii="Arial" w:hAnsi="Arial" w:cs="Arial"/>
          <w:sz w:val="24"/>
        </w:rPr>
        <w:t xml:space="preserve"> l</w:t>
      </w:r>
      <w:r w:rsidR="00C22603">
        <w:rPr>
          <w:rFonts w:ascii="Arial" w:hAnsi="Arial" w:cs="Arial"/>
          <w:sz w:val="24"/>
        </w:rPr>
        <w:t xml:space="preserve">a </w:t>
      </w:r>
      <w:r w:rsidR="004014FD" w:rsidRPr="003D1FBA">
        <w:rPr>
          <w:rFonts w:ascii="Arial" w:hAnsi="Arial" w:cs="Arial"/>
          <w:sz w:val="24"/>
        </w:rPr>
        <w:t>e</w:t>
      </w:r>
      <w:r w:rsidR="00C22603">
        <w:rPr>
          <w:rFonts w:ascii="Arial" w:hAnsi="Arial" w:cs="Arial"/>
          <w:sz w:val="24"/>
        </w:rPr>
        <w:t>j</w:t>
      </w:r>
      <w:r w:rsidR="004014FD" w:rsidRPr="003D1FBA">
        <w:rPr>
          <w:rFonts w:ascii="Arial" w:hAnsi="Arial" w:cs="Arial"/>
          <w:sz w:val="24"/>
        </w:rPr>
        <w:t>ecució</w:t>
      </w:r>
      <w:r w:rsidR="00C22603">
        <w:rPr>
          <w:rFonts w:ascii="Arial" w:hAnsi="Arial" w:cs="Arial"/>
          <w:sz w:val="24"/>
        </w:rPr>
        <w:t>n</w:t>
      </w:r>
      <w:r w:rsidR="004014FD" w:rsidRPr="003D1FBA">
        <w:rPr>
          <w:rFonts w:ascii="Arial" w:hAnsi="Arial" w:cs="Arial"/>
          <w:sz w:val="24"/>
        </w:rPr>
        <w:t xml:space="preserve"> </w:t>
      </w:r>
      <w:r w:rsidR="00C22603">
        <w:rPr>
          <w:rFonts w:ascii="Arial" w:hAnsi="Arial" w:cs="Arial"/>
          <w:sz w:val="24"/>
        </w:rPr>
        <w:t>se</w:t>
      </w:r>
      <w:r w:rsidR="00450A6E" w:rsidRPr="003D1FBA">
        <w:rPr>
          <w:rFonts w:ascii="Arial" w:hAnsi="Arial" w:cs="Arial"/>
          <w:sz w:val="24"/>
        </w:rPr>
        <w:t xml:space="preserve"> control</w:t>
      </w:r>
      <w:r w:rsidR="00C22603">
        <w:rPr>
          <w:rFonts w:ascii="Arial" w:hAnsi="Arial" w:cs="Arial"/>
          <w:sz w:val="24"/>
        </w:rPr>
        <w:t>ó q</w:t>
      </w:r>
      <w:r w:rsidR="00450A6E" w:rsidRPr="003D1FBA">
        <w:rPr>
          <w:rFonts w:ascii="Arial" w:hAnsi="Arial" w:cs="Arial"/>
          <w:sz w:val="24"/>
        </w:rPr>
        <w:t>ue l</w:t>
      </w:r>
      <w:r w:rsidR="00C22603">
        <w:rPr>
          <w:rFonts w:ascii="Arial" w:hAnsi="Arial" w:cs="Arial"/>
          <w:sz w:val="24"/>
        </w:rPr>
        <w:t>a</w:t>
      </w:r>
      <w:r w:rsidR="00450A6E" w:rsidRPr="003D1FBA">
        <w:rPr>
          <w:rFonts w:ascii="Arial" w:hAnsi="Arial" w:cs="Arial"/>
          <w:sz w:val="24"/>
        </w:rPr>
        <w:t>s jugador</w:t>
      </w:r>
      <w:r w:rsidR="00C22603">
        <w:rPr>
          <w:rFonts w:ascii="Arial" w:hAnsi="Arial" w:cs="Arial"/>
          <w:sz w:val="24"/>
        </w:rPr>
        <w:t>a</w:t>
      </w:r>
      <w:r w:rsidR="00450A6E" w:rsidRPr="003D1FBA">
        <w:rPr>
          <w:rFonts w:ascii="Arial" w:hAnsi="Arial" w:cs="Arial"/>
          <w:sz w:val="24"/>
        </w:rPr>
        <w:t>s no compens</w:t>
      </w:r>
      <w:r w:rsidR="00C22603">
        <w:rPr>
          <w:rFonts w:ascii="Arial" w:hAnsi="Arial" w:cs="Arial"/>
          <w:sz w:val="24"/>
        </w:rPr>
        <w:t>asen</w:t>
      </w:r>
      <w:r w:rsidR="00F743A3" w:rsidRPr="003D1FBA">
        <w:rPr>
          <w:rFonts w:ascii="Arial" w:hAnsi="Arial" w:cs="Arial"/>
          <w:sz w:val="24"/>
        </w:rPr>
        <w:t xml:space="preserve"> </w:t>
      </w:r>
      <w:r w:rsidR="00C22603">
        <w:rPr>
          <w:rFonts w:ascii="Arial" w:hAnsi="Arial" w:cs="Arial"/>
          <w:sz w:val="24"/>
        </w:rPr>
        <w:t>levantando</w:t>
      </w:r>
      <w:r w:rsidR="00F743A3" w:rsidRPr="003D1FBA">
        <w:rPr>
          <w:rFonts w:ascii="Arial" w:hAnsi="Arial" w:cs="Arial"/>
          <w:sz w:val="24"/>
        </w:rPr>
        <w:t xml:space="preserve"> el cul</w:t>
      </w:r>
      <w:r w:rsidR="00C22603">
        <w:rPr>
          <w:rFonts w:ascii="Arial" w:hAnsi="Arial" w:cs="Arial"/>
          <w:sz w:val="24"/>
        </w:rPr>
        <w:t>o</w:t>
      </w:r>
      <w:r w:rsidR="00443407" w:rsidRPr="003D1FBA">
        <w:rPr>
          <w:rFonts w:ascii="Arial" w:hAnsi="Arial" w:cs="Arial"/>
          <w:sz w:val="24"/>
        </w:rPr>
        <w:t xml:space="preserve"> </w:t>
      </w:r>
      <w:r w:rsidR="00C22603">
        <w:rPr>
          <w:rFonts w:ascii="Arial" w:hAnsi="Arial" w:cs="Arial"/>
          <w:sz w:val="24"/>
        </w:rPr>
        <w:t>y</w:t>
      </w:r>
      <w:r w:rsidR="00443407" w:rsidRPr="003D1FBA">
        <w:rPr>
          <w:rFonts w:ascii="Arial" w:hAnsi="Arial" w:cs="Arial"/>
          <w:sz w:val="24"/>
        </w:rPr>
        <w:t>/o</w:t>
      </w:r>
      <w:r w:rsidR="00F743A3" w:rsidRPr="003D1FBA">
        <w:rPr>
          <w:rFonts w:ascii="Arial" w:hAnsi="Arial" w:cs="Arial"/>
          <w:sz w:val="24"/>
        </w:rPr>
        <w:t xml:space="preserve"> anteriorizan</w:t>
      </w:r>
      <w:r w:rsidR="00C22603">
        <w:rPr>
          <w:rFonts w:ascii="Arial" w:hAnsi="Arial" w:cs="Arial"/>
          <w:sz w:val="24"/>
        </w:rPr>
        <w:t>do</w:t>
      </w:r>
      <w:r w:rsidR="00F743A3" w:rsidRPr="003D1FBA">
        <w:rPr>
          <w:rFonts w:ascii="Arial" w:hAnsi="Arial" w:cs="Arial"/>
          <w:sz w:val="24"/>
        </w:rPr>
        <w:t xml:space="preserve"> el tronc</w:t>
      </w:r>
      <w:r w:rsidR="00C22603">
        <w:rPr>
          <w:rFonts w:ascii="Arial" w:hAnsi="Arial" w:cs="Arial"/>
          <w:sz w:val="24"/>
        </w:rPr>
        <w:t>o</w:t>
      </w:r>
      <w:r w:rsidR="00450A6E" w:rsidRPr="003D1FBA">
        <w:rPr>
          <w:rFonts w:ascii="Arial" w:hAnsi="Arial" w:cs="Arial"/>
          <w:sz w:val="24"/>
        </w:rPr>
        <w:t>.</w:t>
      </w:r>
      <w:r w:rsidR="00673A84" w:rsidRPr="003D1FBA">
        <w:rPr>
          <w:rFonts w:ascii="Arial" w:hAnsi="Arial" w:cs="Arial"/>
          <w:sz w:val="24"/>
        </w:rPr>
        <w:t xml:space="preserve"> Tant</w:t>
      </w:r>
      <w:r w:rsidR="00C22603">
        <w:rPr>
          <w:rFonts w:ascii="Arial" w:hAnsi="Arial" w:cs="Arial"/>
          <w:sz w:val="24"/>
        </w:rPr>
        <w:t>o</w:t>
      </w:r>
      <w:r w:rsidR="00673A84" w:rsidRPr="003D1FBA">
        <w:rPr>
          <w:rFonts w:ascii="Arial" w:hAnsi="Arial" w:cs="Arial"/>
          <w:sz w:val="24"/>
        </w:rPr>
        <w:t xml:space="preserve"> la </w:t>
      </w:r>
      <w:r w:rsidR="00C22603">
        <w:rPr>
          <w:rFonts w:ascii="Arial" w:hAnsi="Arial" w:cs="Arial"/>
          <w:sz w:val="24"/>
        </w:rPr>
        <w:t>pierna</w:t>
      </w:r>
      <w:r w:rsidR="00673A84" w:rsidRPr="003D1FBA">
        <w:rPr>
          <w:rFonts w:ascii="Arial" w:hAnsi="Arial" w:cs="Arial"/>
          <w:sz w:val="24"/>
        </w:rPr>
        <w:t xml:space="preserve"> d</w:t>
      </w:r>
      <w:r w:rsidR="00C22603">
        <w:rPr>
          <w:rFonts w:ascii="Arial" w:hAnsi="Arial" w:cs="Arial"/>
          <w:sz w:val="24"/>
        </w:rPr>
        <w:t xml:space="preserve">e </w:t>
      </w:r>
      <w:r w:rsidR="00673A84" w:rsidRPr="003D1FBA">
        <w:rPr>
          <w:rFonts w:ascii="Arial" w:hAnsi="Arial" w:cs="Arial"/>
          <w:sz w:val="24"/>
        </w:rPr>
        <w:t>inici</w:t>
      </w:r>
      <w:r w:rsidR="00C22603">
        <w:rPr>
          <w:rFonts w:ascii="Arial" w:hAnsi="Arial" w:cs="Arial"/>
          <w:sz w:val="24"/>
        </w:rPr>
        <w:t>o</w:t>
      </w:r>
      <w:r w:rsidR="00673A84" w:rsidRPr="003D1FBA">
        <w:rPr>
          <w:rFonts w:ascii="Arial" w:hAnsi="Arial" w:cs="Arial"/>
          <w:sz w:val="24"/>
        </w:rPr>
        <w:t xml:space="preserve"> </w:t>
      </w:r>
      <w:r w:rsidR="00C2275F" w:rsidRPr="003D1FBA">
        <w:rPr>
          <w:rFonts w:ascii="Arial" w:hAnsi="Arial" w:cs="Arial"/>
          <w:sz w:val="24"/>
        </w:rPr>
        <w:t>com</w:t>
      </w:r>
      <w:r w:rsidR="00C22603">
        <w:rPr>
          <w:rFonts w:ascii="Arial" w:hAnsi="Arial" w:cs="Arial"/>
          <w:sz w:val="24"/>
        </w:rPr>
        <w:t>o</w:t>
      </w:r>
      <w:r w:rsidR="00673A84" w:rsidRPr="003D1FBA">
        <w:rPr>
          <w:rFonts w:ascii="Arial" w:hAnsi="Arial" w:cs="Arial"/>
          <w:sz w:val="24"/>
        </w:rPr>
        <w:t xml:space="preserve"> el grup</w:t>
      </w:r>
      <w:r w:rsidR="00C22603">
        <w:rPr>
          <w:rFonts w:ascii="Arial" w:hAnsi="Arial" w:cs="Arial"/>
          <w:sz w:val="24"/>
        </w:rPr>
        <w:t>o</w:t>
      </w:r>
      <w:r w:rsidR="00673A84" w:rsidRPr="003D1FBA">
        <w:rPr>
          <w:rFonts w:ascii="Arial" w:hAnsi="Arial" w:cs="Arial"/>
          <w:sz w:val="24"/>
        </w:rPr>
        <w:t xml:space="preserve"> muscular </w:t>
      </w:r>
      <w:r w:rsidR="00C22603">
        <w:rPr>
          <w:rFonts w:ascii="Arial" w:hAnsi="Arial" w:cs="Arial"/>
          <w:sz w:val="24"/>
        </w:rPr>
        <w:t>que primero se testó,</w:t>
      </w:r>
      <w:r w:rsidR="00673A84" w:rsidRPr="003D1FBA">
        <w:rPr>
          <w:rFonts w:ascii="Arial" w:hAnsi="Arial" w:cs="Arial"/>
          <w:sz w:val="24"/>
        </w:rPr>
        <w:t xml:space="preserve"> </w:t>
      </w:r>
      <w:r w:rsidR="00C22603">
        <w:rPr>
          <w:rFonts w:ascii="Arial" w:hAnsi="Arial" w:cs="Arial"/>
          <w:sz w:val="24"/>
        </w:rPr>
        <w:t>fueron</w:t>
      </w:r>
      <w:r w:rsidR="00673A84" w:rsidRPr="003D1FBA">
        <w:rPr>
          <w:rFonts w:ascii="Arial" w:hAnsi="Arial" w:cs="Arial"/>
          <w:sz w:val="24"/>
        </w:rPr>
        <w:t xml:space="preserve"> aleatoriza</w:t>
      </w:r>
      <w:r w:rsidR="00C22603">
        <w:rPr>
          <w:rFonts w:ascii="Arial" w:hAnsi="Arial" w:cs="Arial"/>
          <w:sz w:val="24"/>
        </w:rPr>
        <w:t>dos</w:t>
      </w:r>
      <w:r w:rsidR="00673A84" w:rsidRPr="003D1FBA">
        <w:rPr>
          <w:rFonts w:ascii="Arial" w:hAnsi="Arial" w:cs="Arial"/>
          <w:sz w:val="24"/>
        </w:rPr>
        <w:t xml:space="preserve"> </w:t>
      </w:r>
      <w:r w:rsidR="00C22603">
        <w:rPr>
          <w:rFonts w:ascii="Arial" w:hAnsi="Arial" w:cs="Arial"/>
          <w:sz w:val="24"/>
        </w:rPr>
        <w:t>con</w:t>
      </w:r>
      <w:r w:rsidR="00673A84" w:rsidRPr="003D1FBA">
        <w:rPr>
          <w:rFonts w:ascii="Arial" w:hAnsi="Arial" w:cs="Arial"/>
          <w:sz w:val="24"/>
        </w:rPr>
        <w:t xml:space="preserve"> </w:t>
      </w:r>
      <w:r w:rsidR="002B7938" w:rsidRPr="003D1FBA">
        <w:rPr>
          <w:rFonts w:ascii="Arial" w:hAnsi="Arial" w:cs="Arial"/>
          <w:sz w:val="24"/>
        </w:rPr>
        <w:t>el</w:t>
      </w:r>
      <w:r w:rsidR="00673A84" w:rsidRPr="003D1FBA">
        <w:rPr>
          <w:rFonts w:ascii="Arial" w:hAnsi="Arial" w:cs="Arial"/>
          <w:sz w:val="24"/>
        </w:rPr>
        <w:t xml:space="preserve"> programa </w:t>
      </w:r>
      <w:r w:rsidR="00A67123" w:rsidRPr="003D1FBA">
        <w:rPr>
          <w:rFonts w:ascii="Arial" w:hAnsi="Arial" w:cs="Arial"/>
          <w:sz w:val="24"/>
        </w:rPr>
        <w:t>digital</w:t>
      </w:r>
      <w:r w:rsidR="008B6C02" w:rsidRPr="003D1FBA">
        <w:rPr>
          <w:rFonts w:ascii="Arial" w:hAnsi="Arial" w:cs="Arial"/>
          <w:sz w:val="24"/>
        </w:rPr>
        <w:t xml:space="preserve"> “Oxford Minimization and Randomization” (OxMaR)</w:t>
      </w:r>
      <w:r w:rsidR="008B6C02" w:rsidRPr="003D1FBA">
        <w:rPr>
          <w:rFonts w:ascii="Georgia" w:hAnsi="Georgia"/>
          <w:color w:val="2E2E2E"/>
          <w:sz w:val="27"/>
          <w:szCs w:val="27"/>
        </w:rPr>
        <w:t>.</w:t>
      </w:r>
    </w:p>
    <w:p w:rsidR="00F64C8F" w:rsidRPr="003D1FBA" w:rsidRDefault="00443407" w:rsidP="00673A84">
      <w:pPr>
        <w:spacing w:line="360" w:lineRule="auto"/>
        <w:jc w:val="both"/>
        <w:rPr>
          <w:rFonts w:ascii="Arial" w:hAnsi="Arial" w:cs="Arial"/>
          <w:sz w:val="24"/>
          <w:szCs w:val="24"/>
        </w:rPr>
      </w:pPr>
      <w:r w:rsidRPr="003D1FBA">
        <w:rPr>
          <w:rFonts w:ascii="Arial" w:hAnsi="Arial" w:cs="Arial"/>
          <w:color w:val="2E2E2E"/>
          <w:sz w:val="24"/>
          <w:szCs w:val="24"/>
        </w:rPr>
        <w:t>“</w:t>
      </w:r>
      <w:r w:rsidR="00F64C8F" w:rsidRPr="003D1FBA">
        <w:rPr>
          <w:rFonts w:ascii="Arial" w:hAnsi="Arial" w:cs="Arial"/>
          <w:color w:val="2E2E2E"/>
          <w:sz w:val="24"/>
          <w:szCs w:val="24"/>
        </w:rPr>
        <w:t>FIGURA 1 AQUÍ</w:t>
      </w:r>
      <w:r w:rsidRPr="003D1FBA">
        <w:rPr>
          <w:rFonts w:ascii="Arial" w:hAnsi="Arial" w:cs="Arial"/>
          <w:color w:val="2E2E2E"/>
          <w:sz w:val="24"/>
          <w:szCs w:val="24"/>
        </w:rPr>
        <w:t>”</w:t>
      </w:r>
    </w:p>
    <w:p w:rsidR="00673A84" w:rsidRPr="003D1FBA" w:rsidRDefault="00C22603" w:rsidP="00673A84">
      <w:pPr>
        <w:spacing w:line="360" w:lineRule="auto"/>
        <w:jc w:val="both"/>
        <w:rPr>
          <w:rFonts w:ascii="Arial" w:hAnsi="Arial" w:cs="Arial"/>
          <w:sz w:val="24"/>
        </w:rPr>
      </w:pPr>
      <w:r>
        <w:rPr>
          <w:rFonts w:ascii="Arial" w:hAnsi="Arial" w:cs="Arial"/>
          <w:sz w:val="24"/>
        </w:rPr>
        <w:t>Con</w:t>
      </w:r>
      <w:r w:rsidR="00673A84" w:rsidRPr="003D1FBA">
        <w:rPr>
          <w:rFonts w:ascii="Arial" w:hAnsi="Arial" w:cs="Arial"/>
          <w:sz w:val="24"/>
        </w:rPr>
        <w:t xml:space="preserve"> el test de f</w:t>
      </w:r>
      <w:r>
        <w:rPr>
          <w:rFonts w:ascii="Arial" w:hAnsi="Arial" w:cs="Arial"/>
          <w:sz w:val="24"/>
        </w:rPr>
        <w:t>uerz</w:t>
      </w:r>
      <w:r w:rsidR="00673A84" w:rsidRPr="003D1FBA">
        <w:rPr>
          <w:rFonts w:ascii="Arial" w:hAnsi="Arial" w:cs="Arial"/>
          <w:sz w:val="24"/>
        </w:rPr>
        <w:t>a m</w:t>
      </w:r>
      <w:r>
        <w:rPr>
          <w:rFonts w:ascii="Arial" w:hAnsi="Arial" w:cs="Arial"/>
          <w:sz w:val="24"/>
        </w:rPr>
        <w:t>á</w:t>
      </w:r>
      <w:r w:rsidR="00673A84" w:rsidRPr="003D1FBA">
        <w:rPr>
          <w:rFonts w:ascii="Arial" w:hAnsi="Arial" w:cs="Arial"/>
          <w:sz w:val="24"/>
        </w:rPr>
        <w:t>xima isom</w:t>
      </w:r>
      <w:r>
        <w:rPr>
          <w:rFonts w:ascii="Arial" w:hAnsi="Arial" w:cs="Arial"/>
          <w:sz w:val="24"/>
        </w:rPr>
        <w:t>é</w:t>
      </w:r>
      <w:r w:rsidR="00673A84" w:rsidRPr="003D1FBA">
        <w:rPr>
          <w:rFonts w:ascii="Arial" w:hAnsi="Arial" w:cs="Arial"/>
          <w:sz w:val="24"/>
        </w:rPr>
        <w:t xml:space="preserve">trica </w:t>
      </w:r>
      <w:r>
        <w:rPr>
          <w:rFonts w:ascii="Arial" w:hAnsi="Arial" w:cs="Arial"/>
          <w:sz w:val="24"/>
        </w:rPr>
        <w:t>se</w:t>
      </w:r>
      <w:r w:rsidR="00673A84" w:rsidRPr="003D1FBA">
        <w:rPr>
          <w:rFonts w:ascii="Arial" w:hAnsi="Arial" w:cs="Arial"/>
          <w:sz w:val="24"/>
        </w:rPr>
        <w:t xml:space="preserve"> </w:t>
      </w:r>
      <w:r>
        <w:rPr>
          <w:rFonts w:ascii="Arial" w:hAnsi="Arial" w:cs="Arial"/>
          <w:sz w:val="24"/>
        </w:rPr>
        <w:t>registró</w:t>
      </w:r>
      <w:r w:rsidR="00673A84" w:rsidRPr="003D1FBA">
        <w:rPr>
          <w:rFonts w:ascii="Arial" w:hAnsi="Arial" w:cs="Arial"/>
          <w:sz w:val="24"/>
        </w:rPr>
        <w:t xml:space="preserve"> la variable de f</w:t>
      </w:r>
      <w:r>
        <w:rPr>
          <w:rFonts w:ascii="Arial" w:hAnsi="Arial" w:cs="Arial"/>
          <w:sz w:val="24"/>
        </w:rPr>
        <w:t>uerz</w:t>
      </w:r>
      <w:r w:rsidR="00673A84" w:rsidRPr="003D1FBA">
        <w:rPr>
          <w:rFonts w:ascii="Arial" w:hAnsi="Arial" w:cs="Arial"/>
          <w:sz w:val="24"/>
        </w:rPr>
        <w:t>a m</w:t>
      </w:r>
      <w:r>
        <w:rPr>
          <w:rFonts w:ascii="Arial" w:hAnsi="Arial" w:cs="Arial"/>
          <w:sz w:val="24"/>
        </w:rPr>
        <w:t>á</w:t>
      </w:r>
      <w:r w:rsidR="00673A84" w:rsidRPr="003D1FBA">
        <w:rPr>
          <w:rFonts w:ascii="Arial" w:hAnsi="Arial" w:cs="Arial"/>
          <w:sz w:val="24"/>
        </w:rPr>
        <w:t>xima isom</w:t>
      </w:r>
      <w:r>
        <w:rPr>
          <w:rFonts w:ascii="Arial" w:hAnsi="Arial" w:cs="Arial"/>
          <w:sz w:val="24"/>
        </w:rPr>
        <w:t>é</w:t>
      </w:r>
      <w:r w:rsidR="00673A84" w:rsidRPr="003D1FBA">
        <w:rPr>
          <w:rFonts w:ascii="Arial" w:hAnsi="Arial" w:cs="Arial"/>
          <w:sz w:val="24"/>
        </w:rPr>
        <w:t xml:space="preserve">trica (N) </w:t>
      </w:r>
      <w:r>
        <w:rPr>
          <w:rFonts w:ascii="Arial" w:hAnsi="Arial" w:cs="Arial"/>
          <w:sz w:val="24"/>
        </w:rPr>
        <w:t>y</w:t>
      </w:r>
      <w:r w:rsidR="00673A84" w:rsidRPr="003D1FBA">
        <w:rPr>
          <w:rFonts w:ascii="Arial" w:hAnsi="Arial" w:cs="Arial"/>
          <w:sz w:val="24"/>
        </w:rPr>
        <w:t xml:space="preserve"> la R</w:t>
      </w:r>
      <w:r>
        <w:rPr>
          <w:rFonts w:ascii="Arial" w:hAnsi="Arial" w:cs="Arial"/>
          <w:sz w:val="24"/>
        </w:rPr>
        <w:t>a</w:t>
      </w:r>
      <w:r w:rsidR="00673A84" w:rsidRPr="003D1FBA">
        <w:rPr>
          <w:rFonts w:ascii="Arial" w:hAnsi="Arial" w:cs="Arial"/>
          <w:sz w:val="24"/>
        </w:rPr>
        <w:t>tio I/Q</w:t>
      </w:r>
      <w:r>
        <w:rPr>
          <w:rFonts w:ascii="Arial" w:hAnsi="Arial" w:cs="Arial"/>
          <w:sz w:val="24"/>
        </w:rPr>
        <w:t>.</w:t>
      </w:r>
    </w:p>
    <w:p w:rsidR="00673A84" w:rsidRPr="003D1FBA" w:rsidRDefault="00673A84" w:rsidP="00673A84">
      <w:pPr>
        <w:spacing w:line="360" w:lineRule="auto"/>
        <w:ind w:firstLine="708"/>
        <w:jc w:val="both"/>
        <w:rPr>
          <w:rFonts w:ascii="Arial" w:hAnsi="Arial" w:cs="Arial"/>
          <w:sz w:val="24"/>
          <w:u w:val="single"/>
        </w:rPr>
      </w:pPr>
      <w:r w:rsidRPr="003D1FBA">
        <w:rPr>
          <w:rFonts w:ascii="Arial" w:hAnsi="Arial" w:cs="Arial"/>
          <w:sz w:val="24"/>
          <w:u w:val="single"/>
        </w:rPr>
        <w:t>Escala de percepció</w:t>
      </w:r>
      <w:r w:rsidR="00E01C31">
        <w:rPr>
          <w:rFonts w:ascii="Arial" w:hAnsi="Arial" w:cs="Arial"/>
          <w:sz w:val="24"/>
          <w:u w:val="single"/>
        </w:rPr>
        <w:t>n</w:t>
      </w:r>
      <w:r w:rsidRPr="003D1FBA">
        <w:rPr>
          <w:rFonts w:ascii="Arial" w:hAnsi="Arial" w:cs="Arial"/>
          <w:sz w:val="24"/>
          <w:u w:val="single"/>
        </w:rPr>
        <w:t xml:space="preserve"> externa de fatiga (RPE)</w:t>
      </w:r>
    </w:p>
    <w:p w:rsidR="00673A84" w:rsidRPr="003D1FBA" w:rsidRDefault="00E01C31" w:rsidP="00450A6E">
      <w:pPr>
        <w:spacing w:line="360" w:lineRule="auto"/>
        <w:jc w:val="both"/>
        <w:rPr>
          <w:rFonts w:ascii="Arial" w:hAnsi="Arial" w:cs="Arial"/>
          <w:sz w:val="24"/>
        </w:rPr>
      </w:pPr>
      <w:r>
        <w:rPr>
          <w:rFonts w:ascii="Arial" w:hAnsi="Arial" w:cs="Arial"/>
          <w:sz w:val="24"/>
        </w:rPr>
        <w:t>En</w:t>
      </w:r>
      <w:r w:rsidR="00673A84" w:rsidRPr="003D1FBA">
        <w:rPr>
          <w:rFonts w:ascii="Arial" w:hAnsi="Arial" w:cs="Arial"/>
          <w:sz w:val="24"/>
        </w:rPr>
        <w:t xml:space="preserve"> </w:t>
      </w:r>
      <w:r>
        <w:rPr>
          <w:rFonts w:ascii="Arial" w:hAnsi="Arial" w:cs="Arial"/>
          <w:sz w:val="24"/>
        </w:rPr>
        <w:t>e</w:t>
      </w:r>
      <w:r w:rsidR="00673A84" w:rsidRPr="003D1FBA">
        <w:rPr>
          <w:rFonts w:ascii="Arial" w:hAnsi="Arial" w:cs="Arial"/>
          <w:i/>
          <w:iCs/>
          <w:sz w:val="24"/>
        </w:rPr>
        <w:t>l</w:t>
      </w:r>
      <w:r>
        <w:rPr>
          <w:rFonts w:ascii="Arial" w:hAnsi="Arial" w:cs="Arial"/>
          <w:i/>
          <w:iCs/>
          <w:sz w:val="24"/>
        </w:rPr>
        <w:t xml:space="preserve"> </w:t>
      </w:r>
      <w:r w:rsidR="00673A84" w:rsidRPr="003D1FBA">
        <w:rPr>
          <w:rFonts w:ascii="Arial" w:hAnsi="Arial" w:cs="Arial"/>
          <w:i/>
          <w:iCs/>
          <w:sz w:val="24"/>
        </w:rPr>
        <w:t>Anex</w:t>
      </w:r>
      <w:r>
        <w:rPr>
          <w:rFonts w:ascii="Arial" w:hAnsi="Arial" w:cs="Arial"/>
          <w:i/>
          <w:iCs/>
          <w:sz w:val="24"/>
        </w:rPr>
        <w:t>o</w:t>
      </w:r>
      <w:r w:rsidR="00673A84" w:rsidRPr="003D1FBA">
        <w:rPr>
          <w:rFonts w:ascii="Arial" w:hAnsi="Arial" w:cs="Arial"/>
          <w:i/>
          <w:iCs/>
          <w:sz w:val="24"/>
        </w:rPr>
        <w:t xml:space="preserve"> </w:t>
      </w:r>
      <w:r w:rsidR="00C91705" w:rsidRPr="003D1FBA">
        <w:rPr>
          <w:rFonts w:ascii="Arial" w:hAnsi="Arial" w:cs="Arial"/>
          <w:i/>
          <w:iCs/>
          <w:sz w:val="24"/>
        </w:rPr>
        <w:t>2</w:t>
      </w:r>
      <w:r w:rsidR="00673A84" w:rsidRPr="003D1FBA">
        <w:rPr>
          <w:rFonts w:ascii="Arial" w:hAnsi="Arial" w:cs="Arial"/>
          <w:i/>
          <w:iCs/>
          <w:sz w:val="24"/>
        </w:rPr>
        <w:t xml:space="preserve"> </w:t>
      </w:r>
      <w:r>
        <w:rPr>
          <w:rFonts w:ascii="Arial" w:hAnsi="Arial" w:cs="Arial"/>
          <w:sz w:val="24"/>
        </w:rPr>
        <w:t>se encuentra</w:t>
      </w:r>
      <w:r w:rsidR="00673A84" w:rsidRPr="003D1FBA">
        <w:rPr>
          <w:rFonts w:ascii="Arial" w:hAnsi="Arial" w:cs="Arial"/>
          <w:sz w:val="24"/>
        </w:rPr>
        <w:t xml:space="preserve"> l</w:t>
      </w:r>
      <w:r>
        <w:rPr>
          <w:rFonts w:ascii="Arial" w:hAnsi="Arial" w:cs="Arial"/>
          <w:sz w:val="24"/>
        </w:rPr>
        <w:t xml:space="preserve">a </w:t>
      </w:r>
      <w:r w:rsidR="00673A84" w:rsidRPr="003D1FBA">
        <w:rPr>
          <w:rFonts w:ascii="Arial" w:hAnsi="Arial" w:cs="Arial"/>
          <w:sz w:val="24"/>
        </w:rPr>
        <w:t>escala de percepció</w:t>
      </w:r>
      <w:r>
        <w:rPr>
          <w:rFonts w:ascii="Arial" w:hAnsi="Arial" w:cs="Arial"/>
          <w:sz w:val="24"/>
        </w:rPr>
        <w:t>n</w:t>
      </w:r>
      <w:r w:rsidR="00673A84" w:rsidRPr="003D1FBA">
        <w:rPr>
          <w:rFonts w:ascii="Arial" w:hAnsi="Arial" w:cs="Arial"/>
          <w:sz w:val="24"/>
        </w:rPr>
        <w:t xml:space="preserve"> externa de fatiga que </w:t>
      </w:r>
      <w:r>
        <w:rPr>
          <w:rFonts w:ascii="Arial" w:hAnsi="Arial" w:cs="Arial"/>
          <w:sz w:val="24"/>
        </w:rPr>
        <w:t>se</w:t>
      </w:r>
      <w:r w:rsidR="00673A84" w:rsidRPr="003D1FBA">
        <w:rPr>
          <w:rFonts w:ascii="Arial" w:hAnsi="Arial" w:cs="Arial"/>
          <w:sz w:val="24"/>
        </w:rPr>
        <w:t xml:space="preserve"> pas</w:t>
      </w:r>
      <w:r>
        <w:rPr>
          <w:rFonts w:ascii="Arial" w:hAnsi="Arial" w:cs="Arial"/>
          <w:sz w:val="24"/>
        </w:rPr>
        <w:t>ó</w:t>
      </w:r>
      <w:r w:rsidR="00673A84" w:rsidRPr="003D1FBA">
        <w:rPr>
          <w:rFonts w:ascii="Arial" w:hAnsi="Arial" w:cs="Arial"/>
          <w:sz w:val="24"/>
        </w:rPr>
        <w:t xml:space="preserve"> a l</w:t>
      </w:r>
      <w:r>
        <w:rPr>
          <w:rFonts w:ascii="Arial" w:hAnsi="Arial" w:cs="Arial"/>
          <w:sz w:val="24"/>
        </w:rPr>
        <w:t>a</w:t>
      </w:r>
      <w:r w:rsidR="00673A84" w:rsidRPr="003D1FBA">
        <w:rPr>
          <w:rFonts w:ascii="Arial" w:hAnsi="Arial" w:cs="Arial"/>
          <w:sz w:val="24"/>
        </w:rPr>
        <w:t>s jugador</w:t>
      </w:r>
      <w:r>
        <w:rPr>
          <w:rFonts w:ascii="Arial" w:hAnsi="Arial" w:cs="Arial"/>
          <w:sz w:val="24"/>
        </w:rPr>
        <w:t>a</w:t>
      </w:r>
      <w:r w:rsidR="00673A84" w:rsidRPr="003D1FBA">
        <w:rPr>
          <w:rFonts w:ascii="Arial" w:hAnsi="Arial" w:cs="Arial"/>
          <w:sz w:val="24"/>
        </w:rPr>
        <w:t xml:space="preserve">s. </w:t>
      </w:r>
      <w:r>
        <w:rPr>
          <w:rFonts w:ascii="Arial" w:hAnsi="Arial" w:cs="Arial"/>
          <w:sz w:val="24"/>
        </w:rPr>
        <w:t>Estas, tuvieron que leer y comprender bien</w:t>
      </w:r>
      <w:r w:rsidR="00673A84" w:rsidRPr="003D1FBA">
        <w:rPr>
          <w:rFonts w:ascii="Arial" w:hAnsi="Arial" w:cs="Arial"/>
          <w:sz w:val="24"/>
        </w:rPr>
        <w:t xml:space="preserve"> </w:t>
      </w:r>
      <w:r>
        <w:rPr>
          <w:rFonts w:ascii="Arial" w:hAnsi="Arial" w:cs="Arial"/>
          <w:sz w:val="24"/>
        </w:rPr>
        <w:t xml:space="preserve">la </w:t>
      </w:r>
      <w:r w:rsidR="00673A84" w:rsidRPr="003D1FBA">
        <w:rPr>
          <w:rFonts w:ascii="Arial" w:hAnsi="Arial" w:cs="Arial"/>
          <w:sz w:val="24"/>
        </w:rPr>
        <w:t xml:space="preserve">escala </w:t>
      </w:r>
      <w:r>
        <w:rPr>
          <w:rFonts w:ascii="Arial" w:hAnsi="Arial" w:cs="Arial"/>
          <w:sz w:val="24"/>
        </w:rPr>
        <w:t>y</w:t>
      </w:r>
      <w:r w:rsidR="00673A84" w:rsidRPr="003D1FBA">
        <w:rPr>
          <w:rFonts w:ascii="Arial" w:hAnsi="Arial" w:cs="Arial"/>
          <w:sz w:val="24"/>
        </w:rPr>
        <w:t xml:space="preserve"> se</w:t>
      </w:r>
      <w:r>
        <w:rPr>
          <w:rFonts w:ascii="Arial" w:hAnsi="Arial" w:cs="Arial"/>
          <w:sz w:val="24"/>
        </w:rPr>
        <w:t xml:space="preserve"> </w:t>
      </w:r>
      <w:r w:rsidR="00673A84" w:rsidRPr="003D1FBA">
        <w:rPr>
          <w:rFonts w:ascii="Arial" w:hAnsi="Arial" w:cs="Arial"/>
          <w:sz w:val="24"/>
        </w:rPr>
        <w:t>l</w:t>
      </w:r>
      <w:r>
        <w:rPr>
          <w:rFonts w:ascii="Arial" w:hAnsi="Arial" w:cs="Arial"/>
          <w:sz w:val="24"/>
        </w:rPr>
        <w:t>e</w:t>
      </w:r>
      <w:r w:rsidR="00673A84" w:rsidRPr="003D1FBA">
        <w:rPr>
          <w:rFonts w:ascii="Arial" w:hAnsi="Arial" w:cs="Arial"/>
          <w:sz w:val="24"/>
        </w:rPr>
        <w:t xml:space="preserve">s </w:t>
      </w:r>
      <w:r>
        <w:rPr>
          <w:rFonts w:ascii="Arial" w:hAnsi="Arial" w:cs="Arial"/>
          <w:sz w:val="24"/>
        </w:rPr>
        <w:t>pidió</w:t>
      </w:r>
      <w:r w:rsidR="00673A84" w:rsidRPr="003D1FBA">
        <w:rPr>
          <w:rFonts w:ascii="Arial" w:hAnsi="Arial" w:cs="Arial"/>
          <w:sz w:val="24"/>
        </w:rPr>
        <w:t xml:space="preserve"> un valor a</w:t>
      </w:r>
      <w:r>
        <w:rPr>
          <w:rFonts w:ascii="Arial" w:hAnsi="Arial" w:cs="Arial"/>
          <w:sz w:val="24"/>
        </w:rPr>
        <w:t>nte</w:t>
      </w:r>
      <w:r w:rsidR="00673A84" w:rsidRPr="003D1FBA">
        <w:rPr>
          <w:rFonts w:ascii="Arial" w:hAnsi="Arial" w:cs="Arial"/>
          <w:sz w:val="24"/>
        </w:rPr>
        <w:t xml:space="preserve">s de </w:t>
      </w:r>
      <w:r>
        <w:rPr>
          <w:rFonts w:ascii="Arial" w:hAnsi="Arial" w:cs="Arial"/>
          <w:sz w:val="24"/>
        </w:rPr>
        <w:t>empez</w:t>
      </w:r>
      <w:r w:rsidR="00673A84" w:rsidRPr="003D1FBA">
        <w:rPr>
          <w:rFonts w:ascii="Arial" w:hAnsi="Arial" w:cs="Arial"/>
          <w:sz w:val="24"/>
        </w:rPr>
        <w:t>ar la presa de da</w:t>
      </w:r>
      <w:r>
        <w:rPr>
          <w:rFonts w:ascii="Arial" w:hAnsi="Arial" w:cs="Arial"/>
          <w:sz w:val="24"/>
        </w:rPr>
        <w:t>to</w:t>
      </w:r>
      <w:r w:rsidR="00673A84" w:rsidRPr="003D1FBA">
        <w:rPr>
          <w:rFonts w:ascii="Arial" w:hAnsi="Arial" w:cs="Arial"/>
          <w:sz w:val="24"/>
        </w:rPr>
        <w:t xml:space="preserve">s </w:t>
      </w:r>
      <w:r>
        <w:rPr>
          <w:rFonts w:ascii="Arial" w:hAnsi="Arial" w:cs="Arial"/>
          <w:sz w:val="24"/>
        </w:rPr>
        <w:t>y</w:t>
      </w:r>
      <w:r w:rsidR="00673A84" w:rsidRPr="003D1FBA">
        <w:rPr>
          <w:rFonts w:ascii="Arial" w:hAnsi="Arial" w:cs="Arial"/>
          <w:sz w:val="24"/>
        </w:rPr>
        <w:t xml:space="preserve"> un</w:t>
      </w:r>
      <w:r>
        <w:rPr>
          <w:rFonts w:ascii="Arial" w:hAnsi="Arial" w:cs="Arial"/>
          <w:sz w:val="24"/>
        </w:rPr>
        <w:t>o</w:t>
      </w:r>
      <w:r w:rsidR="00673A84" w:rsidRPr="003D1FBA">
        <w:rPr>
          <w:rFonts w:ascii="Arial" w:hAnsi="Arial" w:cs="Arial"/>
          <w:sz w:val="24"/>
        </w:rPr>
        <w:t xml:space="preserve"> 30 minut</w:t>
      </w:r>
      <w:r>
        <w:rPr>
          <w:rFonts w:ascii="Arial" w:hAnsi="Arial" w:cs="Arial"/>
          <w:sz w:val="24"/>
        </w:rPr>
        <w:t>o</w:t>
      </w:r>
      <w:r w:rsidR="00673A84" w:rsidRPr="003D1FBA">
        <w:rPr>
          <w:rFonts w:ascii="Arial" w:hAnsi="Arial" w:cs="Arial"/>
          <w:sz w:val="24"/>
        </w:rPr>
        <w:t>s desp</w:t>
      </w:r>
      <w:r>
        <w:rPr>
          <w:rFonts w:ascii="Arial" w:hAnsi="Arial" w:cs="Arial"/>
          <w:sz w:val="24"/>
        </w:rPr>
        <w:t>u</w:t>
      </w:r>
      <w:r w:rsidR="00673A84" w:rsidRPr="003D1FBA">
        <w:rPr>
          <w:rFonts w:ascii="Arial" w:hAnsi="Arial" w:cs="Arial"/>
          <w:sz w:val="24"/>
        </w:rPr>
        <w:t>és d</w:t>
      </w:r>
      <w:r>
        <w:rPr>
          <w:rFonts w:ascii="Arial" w:hAnsi="Arial" w:cs="Arial"/>
          <w:sz w:val="24"/>
        </w:rPr>
        <w:t>e haber terminado</w:t>
      </w:r>
      <w:r w:rsidR="00673A84" w:rsidRPr="003D1FBA">
        <w:rPr>
          <w:rFonts w:ascii="Arial" w:hAnsi="Arial" w:cs="Arial"/>
          <w:sz w:val="24"/>
        </w:rPr>
        <w:t xml:space="preserve"> el test fatigant</w:t>
      </w:r>
      <w:r>
        <w:rPr>
          <w:rFonts w:ascii="Arial" w:hAnsi="Arial" w:cs="Arial"/>
          <w:sz w:val="24"/>
        </w:rPr>
        <w:t>e</w:t>
      </w:r>
      <w:r w:rsidR="00673A84" w:rsidRPr="003D1FBA">
        <w:rPr>
          <w:rFonts w:ascii="Arial" w:hAnsi="Arial" w:cs="Arial"/>
          <w:sz w:val="24"/>
        </w:rPr>
        <w:t xml:space="preserve">. El valor del RPE </w:t>
      </w:r>
      <w:r>
        <w:rPr>
          <w:rFonts w:ascii="Arial" w:hAnsi="Arial" w:cs="Arial"/>
          <w:sz w:val="24"/>
        </w:rPr>
        <w:t>se</w:t>
      </w:r>
      <w:r w:rsidR="00673A84" w:rsidRPr="003D1FBA">
        <w:rPr>
          <w:rFonts w:ascii="Arial" w:hAnsi="Arial" w:cs="Arial"/>
          <w:sz w:val="24"/>
        </w:rPr>
        <w:t xml:space="preserve"> registr</w:t>
      </w:r>
      <w:r>
        <w:rPr>
          <w:rFonts w:ascii="Arial" w:hAnsi="Arial" w:cs="Arial"/>
          <w:sz w:val="24"/>
        </w:rPr>
        <w:t>ó</w:t>
      </w:r>
      <w:r w:rsidR="00673A84" w:rsidRPr="003D1FBA">
        <w:rPr>
          <w:rFonts w:ascii="Arial" w:hAnsi="Arial" w:cs="Arial"/>
          <w:sz w:val="24"/>
        </w:rPr>
        <w:t xml:space="preserve"> de</w:t>
      </w:r>
      <w:r>
        <w:rPr>
          <w:rFonts w:ascii="Arial" w:hAnsi="Arial" w:cs="Arial"/>
          <w:sz w:val="24"/>
        </w:rPr>
        <w:t xml:space="preserve">l </w:t>
      </w:r>
      <w:r w:rsidR="00673A84" w:rsidRPr="003D1FBA">
        <w:rPr>
          <w:rFonts w:ascii="Arial" w:hAnsi="Arial" w:cs="Arial"/>
          <w:sz w:val="24"/>
        </w:rPr>
        <w:t>1-10.</w:t>
      </w:r>
    </w:p>
    <w:p w:rsidR="00673A84" w:rsidRPr="003D1FBA" w:rsidRDefault="00673A84" w:rsidP="00450A6E">
      <w:pPr>
        <w:spacing w:line="360" w:lineRule="auto"/>
        <w:jc w:val="both"/>
        <w:rPr>
          <w:rFonts w:ascii="Arial" w:eastAsiaTheme="majorEastAsia" w:hAnsi="Arial" w:cstheme="majorBidi"/>
          <w:sz w:val="24"/>
          <w:szCs w:val="26"/>
          <w:u w:val="single"/>
        </w:rPr>
      </w:pPr>
      <w:r w:rsidRPr="003D1FBA">
        <w:rPr>
          <w:rFonts w:ascii="Arial" w:eastAsiaTheme="majorEastAsia" w:hAnsi="Arial" w:cstheme="majorBidi"/>
          <w:sz w:val="24"/>
          <w:szCs w:val="26"/>
          <w:u w:val="single"/>
        </w:rPr>
        <w:t>Intervenció</w:t>
      </w:r>
      <w:r w:rsidR="00E01C31">
        <w:rPr>
          <w:rFonts w:ascii="Arial" w:eastAsiaTheme="majorEastAsia" w:hAnsi="Arial" w:cstheme="majorBidi"/>
          <w:sz w:val="24"/>
          <w:szCs w:val="26"/>
          <w:u w:val="single"/>
        </w:rPr>
        <w:t>n</w:t>
      </w:r>
    </w:p>
    <w:p w:rsidR="00673A84" w:rsidRPr="003D1FBA" w:rsidRDefault="00673A84" w:rsidP="00450A6E">
      <w:pPr>
        <w:spacing w:line="360" w:lineRule="auto"/>
        <w:jc w:val="both"/>
        <w:rPr>
          <w:rFonts w:ascii="Arial" w:hAnsi="Arial" w:cs="Arial"/>
          <w:sz w:val="24"/>
        </w:rPr>
      </w:pPr>
      <w:r w:rsidRPr="003D1FBA">
        <w:rPr>
          <w:rFonts w:ascii="Arial" w:hAnsi="Arial" w:cs="Arial"/>
          <w:sz w:val="24"/>
        </w:rPr>
        <w:t>La intervenció</w:t>
      </w:r>
      <w:r w:rsidR="00E01C31">
        <w:rPr>
          <w:rFonts w:ascii="Arial" w:hAnsi="Arial" w:cs="Arial"/>
          <w:sz w:val="24"/>
        </w:rPr>
        <w:t>n</w:t>
      </w:r>
      <w:r w:rsidRPr="003D1FBA">
        <w:rPr>
          <w:rFonts w:ascii="Arial" w:hAnsi="Arial" w:cs="Arial"/>
          <w:sz w:val="24"/>
        </w:rPr>
        <w:t xml:space="preserve"> de</w:t>
      </w:r>
      <w:r w:rsidR="00E01C31">
        <w:rPr>
          <w:rFonts w:ascii="Arial" w:hAnsi="Arial" w:cs="Arial"/>
          <w:sz w:val="24"/>
        </w:rPr>
        <w:t>l</w:t>
      </w:r>
      <w:r w:rsidRPr="003D1FBA">
        <w:rPr>
          <w:rFonts w:ascii="Arial" w:hAnsi="Arial" w:cs="Arial"/>
          <w:sz w:val="24"/>
        </w:rPr>
        <w:t xml:space="preserve"> estudi</w:t>
      </w:r>
      <w:r w:rsidR="00E01C31">
        <w:rPr>
          <w:rFonts w:ascii="Arial" w:hAnsi="Arial" w:cs="Arial"/>
          <w:sz w:val="24"/>
        </w:rPr>
        <w:t>o</w:t>
      </w:r>
      <w:r w:rsidRPr="003D1FBA">
        <w:rPr>
          <w:rFonts w:ascii="Arial" w:hAnsi="Arial" w:cs="Arial"/>
          <w:sz w:val="24"/>
        </w:rPr>
        <w:t xml:space="preserve"> </w:t>
      </w:r>
      <w:r w:rsidR="00E01C31">
        <w:rPr>
          <w:rFonts w:ascii="Arial" w:hAnsi="Arial" w:cs="Arial"/>
          <w:sz w:val="24"/>
        </w:rPr>
        <w:t>se</w:t>
      </w:r>
      <w:r w:rsidRPr="003D1FBA">
        <w:rPr>
          <w:rFonts w:ascii="Arial" w:hAnsi="Arial" w:cs="Arial"/>
          <w:sz w:val="24"/>
        </w:rPr>
        <w:t xml:space="preserve"> </w:t>
      </w:r>
      <w:r w:rsidR="00E01C31">
        <w:rPr>
          <w:rFonts w:ascii="Arial" w:hAnsi="Arial" w:cs="Arial"/>
          <w:sz w:val="24"/>
        </w:rPr>
        <w:t xml:space="preserve">hizo </w:t>
      </w:r>
      <w:r w:rsidRPr="003D1FBA">
        <w:rPr>
          <w:rFonts w:ascii="Arial" w:hAnsi="Arial" w:cs="Arial"/>
          <w:sz w:val="24"/>
        </w:rPr>
        <w:t>m</w:t>
      </w:r>
      <w:r w:rsidR="00E01C31">
        <w:rPr>
          <w:rFonts w:ascii="Arial" w:hAnsi="Arial" w:cs="Arial"/>
          <w:sz w:val="24"/>
        </w:rPr>
        <w:t>ediante</w:t>
      </w:r>
      <w:r w:rsidRPr="003D1FBA">
        <w:rPr>
          <w:rFonts w:ascii="Arial" w:hAnsi="Arial" w:cs="Arial"/>
          <w:sz w:val="24"/>
        </w:rPr>
        <w:t xml:space="preserve"> </w:t>
      </w:r>
      <w:r w:rsidR="00E01C31">
        <w:rPr>
          <w:rFonts w:ascii="Arial" w:hAnsi="Arial" w:cs="Arial"/>
          <w:sz w:val="24"/>
        </w:rPr>
        <w:t>el</w:t>
      </w:r>
      <w:r w:rsidRPr="003D1FBA">
        <w:rPr>
          <w:rFonts w:ascii="Arial" w:hAnsi="Arial" w:cs="Arial"/>
          <w:sz w:val="24"/>
        </w:rPr>
        <w:t xml:space="preserve"> test de fatiga intermitent</w:t>
      </w:r>
      <w:r w:rsidR="00E01C31">
        <w:rPr>
          <w:rFonts w:ascii="Arial" w:hAnsi="Arial" w:cs="Arial"/>
          <w:sz w:val="24"/>
        </w:rPr>
        <w:t>e</w:t>
      </w:r>
      <w:r w:rsidRPr="003D1FBA">
        <w:rPr>
          <w:rFonts w:ascii="Arial" w:hAnsi="Arial" w:cs="Arial"/>
          <w:sz w:val="24"/>
        </w:rPr>
        <w:t xml:space="preserve"> 30-15, en el </w:t>
      </w:r>
      <w:r w:rsidR="00E01C31">
        <w:rPr>
          <w:rFonts w:ascii="Arial" w:hAnsi="Arial" w:cs="Arial"/>
          <w:sz w:val="24"/>
        </w:rPr>
        <w:t>c</w:t>
      </w:r>
      <w:r w:rsidRPr="003D1FBA">
        <w:rPr>
          <w:rFonts w:ascii="Arial" w:hAnsi="Arial" w:cs="Arial"/>
          <w:sz w:val="24"/>
        </w:rPr>
        <w:t>ual l</w:t>
      </w:r>
      <w:r w:rsidR="00E01C31">
        <w:rPr>
          <w:rFonts w:ascii="Arial" w:hAnsi="Arial" w:cs="Arial"/>
          <w:sz w:val="24"/>
        </w:rPr>
        <w:t>a</w:t>
      </w:r>
      <w:r w:rsidRPr="003D1FBA">
        <w:rPr>
          <w:rFonts w:ascii="Arial" w:hAnsi="Arial" w:cs="Arial"/>
          <w:sz w:val="24"/>
        </w:rPr>
        <w:t>s jugador</w:t>
      </w:r>
      <w:r w:rsidR="00E01C31">
        <w:rPr>
          <w:rFonts w:ascii="Arial" w:hAnsi="Arial" w:cs="Arial"/>
          <w:sz w:val="24"/>
        </w:rPr>
        <w:t>a</w:t>
      </w:r>
      <w:r w:rsidRPr="003D1FBA">
        <w:rPr>
          <w:rFonts w:ascii="Arial" w:hAnsi="Arial" w:cs="Arial"/>
          <w:sz w:val="24"/>
        </w:rPr>
        <w:t xml:space="preserve">s </w:t>
      </w:r>
      <w:r w:rsidR="00E01C31">
        <w:rPr>
          <w:rFonts w:ascii="Arial" w:hAnsi="Arial" w:cs="Arial"/>
          <w:sz w:val="24"/>
        </w:rPr>
        <w:t>tuvieron que</w:t>
      </w:r>
      <w:r w:rsidRPr="003D1FBA">
        <w:rPr>
          <w:rFonts w:ascii="Arial" w:hAnsi="Arial" w:cs="Arial"/>
          <w:sz w:val="24"/>
        </w:rPr>
        <w:t xml:space="preserve"> c</w:t>
      </w:r>
      <w:r w:rsidR="00E01C31">
        <w:rPr>
          <w:rFonts w:ascii="Arial" w:hAnsi="Arial" w:cs="Arial"/>
          <w:sz w:val="24"/>
        </w:rPr>
        <w:t>o</w:t>
      </w:r>
      <w:r w:rsidRPr="003D1FBA">
        <w:rPr>
          <w:rFonts w:ascii="Arial" w:hAnsi="Arial" w:cs="Arial"/>
          <w:sz w:val="24"/>
        </w:rPr>
        <w:t>rrer durant</w:t>
      </w:r>
      <w:r w:rsidR="00E01C31">
        <w:rPr>
          <w:rFonts w:ascii="Arial" w:hAnsi="Arial" w:cs="Arial"/>
          <w:sz w:val="24"/>
        </w:rPr>
        <w:t>e</w:t>
      </w:r>
      <w:r w:rsidRPr="003D1FBA">
        <w:rPr>
          <w:rFonts w:ascii="Arial" w:hAnsi="Arial" w:cs="Arial"/>
          <w:sz w:val="24"/>
        </w:rPr>
        <w:t xml:space="preserve"> un per</w:t>
      </w:r>
      <w:r w:rsidR="00E01C31">
        <w:rPr>
          <w:rFonts w:ascii="Arial" w:hAnsi="Arial" w:cs="Arial"/>
          <w:sz w:val="24"/>
        </w:rPr>
        <w:t>i</w:t>
      </w:r>
      <w:r w:rsidRPr="003D1FBA">
        <w:rPr>
          <w:rFonts w:ascii="Arial" w:hAnsi="Arial" w:cs="Arial"/>
          <w:sz w:val="24"/>
        </w:rPr>
        <w:t>od</w:t>
      </w:r>
      <w:r w:rsidR="00E01C31">
        <w:rPr>
          <w:rFonts w:ascii="Arial" w:hAnsi="Arial" w:cs="Arial"/>
          <w:sz w:val="24"/>
        </w:rPr>
        <w:t>o</w:t>
      </w:r>
      <w:r w:rsidRPr="003D1FBA">
        <w:rPr>
          <w:rFonts w:ascii="Arial" w:hAnsi="Arial" w:cs="Arial"/>
          <w:sz w:val="24"/>
        </w:rPr>
        <w:t xml:space="preserve"> de 30 se</w:t>
      </w:r>
      <w:r w:rsidR="00E01C31">
        <w:rPr>
          <w:rFonts w:ascii="Arial" w:hAnsi="Arial" w:cs="Arial"/>
          <w:sz w:val="24"/>
        </w:rPr>
        <w:t>gund</w:t>
      </w:r>
      <w:r w:rsidRPr="003D1FBA">
        <w:rPr>
          <w:rFonts w:ascii="Arial" w:hAnsi="Arial" w:cs="Arial"/>
          <w:sz w:val="24"/>
        </w:rPr>
        <w:t>os segui</w:t>
      </w:r>
      <w:r w:rsidR="00E01C31">
        <w:rPr>
          <w:rFonts w:ascii="Arial" w:hAnsi="Arial" w:cs="Arial"/>
          <w:sz w:val="24"/>
        </w:rPr>
        <w:t>do</w:t>
      </w:r>
      <w:r w:rsidRPr="003D1FBA">
        <w:rPr>
          <w:rFonts w:ascii="Arial" w:hAnsi="Arial" w:cs="Arial"/>
          <w:sz w:val="24"/>
        </w:rPr>
        <w:t xml:space="preserve"> de 15 seg</w:t>
      </w:r>
      <w:r w:rsidR="00E01C31">
        <w:rPr>
          <w:rFonts w:ascii="Arial" w:hAnsi="Arial" w:cs="Arial"/>
          <w:sz w:val="24"/>
        </w:rPr>
        <w:t>undo</w:t>
      </w:r>
      <w:r w:rsidRPr="003D1FBA">
        <w:rPr>
          <w:rFonts w:ascii="Arial" w:hAnsi="Arial" w:cs="Arial"/>
          <w:sz w:val="24"/>
        </w:rPr>
        <w:t>s de recuperació</w:t>
      </w:r>
      <w:r w:rsidR="00E01C31">
        <w:rPr>
          <w:rFonts w:ascii="Arial" w:hAnsi="Arial" w:cs="Arial"/>
          <w:sz w:val="24"/>
        </w:rPr>
        <w:t>n</w:t>
      </w:r>
      <w:r w:rsidRPr="003D1FBA">
        <w:rPr>
          <w:rFonts w:ascii="Arial" w:hAnsi="Arial" w:cs="Arial"/>
          <w:sz w:val="24"/>
        </w:rPr>
        <w:t xml:space="preserve">. El test </w:t>
      </w:r>
      <w:r w:rsidR="00E01C31">
        <w:rPr>
          <w:rFonts w:ascii="Arial" w:hAnsi="Arial" w:cs="Arial"/>
          <w:sz w:val="24"/>
        </w:rPr>
        <w:t>se empieza con</w:t>
      </w:r>
      <w:r w:rsidRPr="003D1FBA">
        <w:rPr>
          <w:rFonts w:ascii="Arial" w:hAnsi="Arial" w:cs="Arial"/>
          <w:sz w:val="24"/>
        </w:rPr>
        <w:t xml:space="preserve"> una veloci</w:t>
      </w:r>
      <w:r w:rsidR="00E01C31">
        <w:rPr>
          <w:rFonts w:ascii="Arial" w:hAnsi="Arial" w:cs="Arial"/>
          <w:sz w:val="24"/>
        </w:rPr>
        <w:t>d</w:t>
      </w:r>
      <w:r w:rsidRPr="003D1FBA">
        <w:rPr>
          <w:rFonts w:ascii="Arial" w:hAnsi="Arial" w:cs="Arial"/>
          <w:sz w:val="24"/>
        </w:rPr>
        <w:t>a</w:t>
      </w:r>
      <w:r w:rsidR="00E01C31">
        <w:rPr>
          <w:rFonts w:ascii="Arial" w:hAnsi="Arial" w:cs="Arial"/>
          <w:sz w:val="24"/>
        </w:rPr>
        <w:t>d</w:t>
      </w:r>
      <w:r w:rsidRPr="003D1FBA">
        <w:rPr>
          <w:rFonts w:ascii="Arial" w:hAnsi="Arial" w:cs="Arial"/>
          <w:sz w:val="24"/>
        </w:rPr>
        <w:t xml:space="preserve"> de 8 km/h en el primer per</w:t>
      </w:r>
      <w:r w:rsidR="00E01C31">
        <w:rPr>
          <w:rFonts w:ascii="Arial" w:hAnsi="Arial" w:cs="Arial"/>
          <w:sz w:val="24"/>
        </w:rPr>
        <w:t>i</w:t>
      </w:r>
      <w:r w:rsidRPr="003D1FBA">
        <w:rPr>
          <w:rFonts w:ascii="Arial" w:hAnsi="Arial" w:cs="Arial"/>
          <w:sz w:val="24"/>
        </w:rPr>
        <w:t>od</w:t>
      </w:r>
      <w:r w:rsidR="00E01C31">
        <w:rPr>
          <w:rFonts w:ascii="Arial" w:hAnsi="Arial" w:cs="Arial"/>
          <w:sz w:val="24"/>
        </w:rPr>
        <w:t>o</w:t>
      </w:r>
      <w:r w:rsidRPr="003D1FBA">
        <w:rPr>
          <w:rFonts w:ascii="Arial" w:hAnsi="Arial" w:cs="Arial"/>
          <w:sz w:val="24"/>
        </w:rPr>
        <w:t xml:space="preserve"> de 30 seg</w:t>
      </w:r>
      <w:r w:rsidR="00E01C31">
        <w:rPr>
          <w:rFonts w:ascii="Arial" w:hAnsi="Arial" w:cs="Arial"/>
          <w:sz w:val="24"/>
        </w:rPr>
        <w:t>undos</w:t>
      </w:r>
      <w:r w:rsidRPr="003D1FBA">
        <w:rPr>
          <w:rFonts w:ascii="Arial" w:hAnsi="Arial" w:cs="Arial"/>
          <w:sz w:val="24"/>
        </w:rPr>
        <w:t xml:space="preserve"> </w:t>
      </w:r>
      <w:r w:rsidR="00E01C31">
        <w:rPr>
          <w:rFonts w:ascii="Arial" w:hAnsi="Arial" w:cs="Arial"/>
          <w:sz w:val="24"/>
        </w:rPr>
        <w:t>y</w:t>
      </w:r>
      <w:r w:rsidRPr="003D1FBA">
        <w:rPr>
          <w:rFonts w:ascii="Arial" w:hAnsi="Arial" w:cs="Arial"/>
          <w:sz w:val="24"/>
        </w:rPr>
        <w:t xml:space="preserve"> cada s</w:t>
      </w:r>
      <w:r w:rsidR="00E01C31">
        <w:rPr>
          <w:rFonts w:ascii="Arial" w:hAnsi="Arial" w:cs="Arial"/>
          <w:sz w:val="24"/>
        </w:rPr>
        <w:t>e</w:t>
      </w:r>
      <w:r w:rsidRPr="003D1FBA">
        <w:rPr>
          <w:rFonts w:ascii="Arial" w:hAnsi="Arial" w:cs="Arial"/>
          <w:sz w:val="24"/>
        </w:rPr>
        <w:t xml:space="preserve">rie, </w:t>
      </w:r>
      <w:r w:rsidR="00E01C31">
        <w:rPr>
          <w:rFonts w:ascii="Arial" w:hAnsi="Arial" w:cs="Arial"/>
          <w:sz w:val="24"/>
        </w:rPr>
        <w:t>e</w:t>
      </w:r>
      <w:r w:rsidRPr="003D1FBA">
        <w:rPr>
          <w:rFonts w:ascii="Arial" w:hAnsi="Arial" w:cs="Arial"/>
          <w:sz w:val="24"/>
        </w:rPr>
        <w:t>s d</w:t>
      </w:r>
      <w:r w:rsidR="00E01C31">
        <w:rPr>
          <w:rFonts w:ascii="Arial" w:hAnsi="Arial" w:cs="Arial"/>
          <w:sz w:val="24"/>
        </w:rPr>
        <w:t>ecir</w:t>
      </w:r>
      <w:r w:rsidRPr="003D1FBA">
        <w:rPr>
          <w:rFonts w:ascii="Arial" w:hAnsi="Arial" w:cs="Arial"/>
          <w:sz w:val="24"/>
        </w:rPr>
        <w:t xml:space="preserve"> cada 45 seg</w:t>
      </w:r>
      <w:r w:rsidR="00E01C31">
        <w:rPr>
          <w:rFonts w:ascii="Arial" w:hAnsi="Arial" w:cs="Arial"/>
          <w:sz w:val="24"/>
        </w:rPr>
        <w:t>undos</w:t>
      </w:r>
      <w:r w:rsidRPr="003D1FBA">
        <w:rPr>
          <w:rFonts w:ascii="Arial" w:hAnsi="Arial" w:cs="Arial"/>
          <w:sz w:val="24"/>
        </w:rPr>
        <w:t>, s</w:t>
      </w:r>
      <w:r w:rsidR="00E01C31">
        <w:rPr>
          <w:rFonts w:ascii="Arial" w:hAnsi="Arial" w:cs="Arial"/>
          <w:sz w:val="24"/>
        </w:rPr>
        <w:t xml:space="preserve">e </w:t>
      </w:r>
      <w:r w:rsidRPr="003D1FBA">
        <w:rPr>
          <w:rFonts w:ascii="Arial" w:hAnsi="Arial" w:cs="Arial"/>
          <w:sz w:val="24"/>
        </w:rPr>
        <w:t>increment</w:t>
      </w:r>
      <w:r w:rsidR="00E01C31">
        <w:rPr>
          <w:rFonts w:ascii="Arial" w:hAnsi="Arial" w:cs="Arial"/>
          <w:sz w:val="24"/>
        </w:rPr>
        <w:t>a</w:t>
      </w:r>
      <w:r w:rsidR="004537EC">
        <w:rPr>
          <w:rFonts w:ascii="Arial" w:hAnsi="Arial" w:cs="Arial"/>
          <w:sz w:val="24"/>
        </w:rPr>
        <w:t xml:space="preserve"> 0.</w:t>
      </w:r>
      <w:r w:rsidRPr="003D1FBA">
        <w:rPr>
          <w:rFonts w:ascii="Arial" w:hAnsi="Arial" w:cs="Arial"/>
          <w:sz w:val="24"/>
        </w:rPr>
        <w:t>5 km/h la veloci</w:t>
      </w:r>
      <w:r w:rsidR="00E01C31">
        <w:rPr>
          <w:rFonts w:ascii="Arial" w:hAnsi="Arial" w:cs="Arial"/>
          <w:sz w:val="24"/>
        </w:rPr>
        <w:t>d</w:t>
      </w:r>
      <w:r w:rsidRPr="003D1FBA">
        <w:rPr>
          <w:rFonts w:ascii="Arial" w:hAnsi="Arial" w:cs="Arial"/>
          <w:sz w:val="24"/>
        </w:rPr>
        <w:t>a</w:t>
      </w:r>
      <w:r w:rsidR="00E01C31">
        <w:rPr>
          <w:rFonts w:ascii="Arial" w:hAnsi="Arial" w:cs="Arial"/>
          <w:sz w:val="24"/>
        </w:rPr>
        <w:t>d</w:t>
      </w:r>
      <w:r w:rsidRPr="003D1FBA">
        <w:rPr>
          <w:rFonts w:ascii="Arial" w:hAnsi="Arial" w:cs="Arial"/>
          <w:sz w:val="24"/>
        </w:rPr>
        <w:t xml:space="preserve">. </w:t>
      </w:r>
      <w:r w:rsidR="00E01C31">
        <w:rPr>
          <w:rFonts w:ascii="Arial" w:hAnsi="Arial" w:cs="Arial"/>
          <w:sz w:val="24"/>
        </w:rPr>
        <w:t>En el</w:t>
      </w:r>
      <w:r w:rsidRPr="003D1FBA">
        <w:rPr>
          <w:rFonts w:ascii="Arial" w:hAnsi="Arial" w:cs="Arial"/>
          <w:sz w:val="24"/>
        </w:rPr>
        <w:t xml:space="preserve"> test ha</w:t>
      </w:r>
      <w:r w:rsidR="00E01C31">
        <w:rPr>
          <w:rFonts w:ascii="Arial" w:hAnsi="Arial" w:cs="Arial"/>
          <w:sz w:val="24"/>
        </w:rPr>
        <w:t>bí</w:t>
      </w:r>
      <w:r w:rsidRPr="003D1FBA">
        <w:rPr>
          <w:rFonts w:ascii="Arial" w:hAnsi="Arial" w:cs="Arial"/>
          <w:sz w:val="24"/>
        </w:rPr>
        <w:t>a tres zon</w:t>
      </w:r>
      <w:r w:rsidR="00E01C31">
        <w:rPr>
          <w:rFonts w:ascii="Arial" w:hAnsi="Arial" w:cs="Arial"/>
          <w:sz w:val="24"/>
        </w:rPr>
        <w:t>a</w:t>
      </w:r>
      <w:r w:rsidRPr="003D1FBA">
        <w:rPr>
          <w:rFonts w:ascii="Arial" w:hAnsi="Arial" w:cs="Arial"/>
          <w:sz w:val="24"/>
        </w:rPr>
        <w:t>s l</w:t>
      </w:r>
      <w:r w:rsidR="00E01C31">
        <w:rPr>
          <w:rFonts w:ascii="Arial" w:hAnsi="Arial" w:cs="Arial"/>
          <w:sz w:val="24"/>
        </w:rPr>
        <w:t xml:space="preserve">a </w:t>
      </w:r>
      <w:r w:rsidRPr="003D1FBA">
        <w:rPr>
          <w:rFonts w:ascii="Arial" w:hAnsi="Arial" w:cs="Arial"/>
          <w:sz w:val="24"/>
        </w:rPr>
        <w:t xml:space="preserve">A </w:t>
      </w:r>
      <w:r w:rsidR="00E01C31">
        <w:rPr>
          <w:rFonts w:ascii="Arial" w:hAnsi="Arial" w:cs="Arial"/>
          <w:sz w:val="24"/>
        </w:rPr>
        <w:t>y</w:t>
      </w:r>
      <w:r w:rsidRPr="003D1FBA">
        <w:rPr>
          <w:rFonts w:ascii="Arial" w:hAnsi="Arial" w:cs="Arial"/>
          <w:sz w:val="24"/>
        </w:rPr>
        <w:t xml:space="preserve"> la C, que er</w:t>
      </w:r>
      <w:r w:rsidR="00E01C31">
        <w:rPr>
          <w:rFonts w:ascii="Arial" w:hAnsi="Arial" w:cs="Arial"/>
          <w:sz w:val="24"/>
        </w:rPr>
        <w:t>a</w:t>
      </w:r>
      <w:r w:rsidRPr="003D1FBA">
        <w:rPr>
          <w:rFonts w:ascii="Arial" w:hAnsi="Arial" w:cs="Arial"/>
          <w:sz w:val="24"/>
        </w:rPr>
        <w:t xml:space="preserve">n </w:t>
      </w:r>
      <w:r w:rsidR="00E01C31">
        <w:rPr>
          <w:rFonts w:ascii="Arial" w:hAnsi="Arial" w:cs="Arial"/>
          <w:sz w:val="24"/>
        </w:rPr>
        <w:t>lo</w:t>
      </w:r>
      <w:r w:rsidRPr="003D1FBA">
        <w:rPr>
          <w:rFonts w:ascii="Arial" w:hAnsi="Arial" w:cs="Arial"/>
          <w:sz w:val="24"/>
        </w:rPr>
        <w:t>s extrem</w:t>
      </w:r>
      <w:r w:rsidR="00E01C31">
        <w:rPr>
          <w:rFonts w:ascii="Arial" w:hAnsi="Arial" w:cs="Arial"/>
          <w:sz w:val="24"/>
        </w:rPr>
        <w:t>o</w:t>
      </w:r>
      <w:r w:rsidRPr="003D1FBA">
        <w:rPr>
          <w:rFonts w:ascii="Arial" w:hAnsi="Arial" w:cs="Arial"/>
          <w:sz w:val="24"/>
        </w:rPr>
        <w:t xml:space="preserve">s, de 3m </w:t>
      </w:r>
      <w:r w:rsidR="00E01C31">
        <w:rPr>
          <w:rFonts w:ascii="Arial" w:hAnsi="Arial" w:cs="Arial"/>
          <w:sz w:val="24"/>
        </w:rPr>
        <w:t>y</w:t>
      </w:r>
      <w:r w:rsidRPr="003D1FBA">
        <w:rPr>
          <w:rFonts w:ascii="Arial" w:hAnsi="Arial" w:cs="Arial"/>
          <w:sz w:val="24"/>
        </w:rPr>
        <w:t xml:space="preserve"> una zona B, que era la central, de 6m. La dist</w:t>
      </w:r>
      <w:r w:rsidR="00E01C31">
        <w:rPr>
          <w:rFonts w:ascii="Arial" w:hAnsi="Arial" w:cs="Arial"/>
          <w:sz w:val="24"/>
        </w:rPr>
        <w:t>anc</w:t>
      </w:r>
      <w:r w:rsidRPr="003D1FBA">
        <w:rPr>
          <w:rFonts w:ascii="Arial" w:hAnsi="Arial" w:cs="Arial"/>
          <w:sz w:val="24"/>
        </w:rPr>
        <w:t>ia entre l</w:t>
      </w:r>
      <w:r w:rsidR="00E01C31">
        <w:rPr>
          <w:rFonts w:ascii="Arial" w:hAnsi="Arial" w:cs="Arial"/>
          <w:sz w:val="24"/>
        </w:rPr>
        <w:t>o</w:t>
      </w:r>
      <w:r w:rsidRPr="003D1FBA">
        <w:rPr>
          <w:rFonts w:ascii="Arial" w:hAnsi="Arial" w:cs="Arial"/>
          <w:sz w:val="24"/>
        </w:rPr>
        <w:t>s dos extrem</w:t>
      </w:r>
      <w:r w:rsidR="00E01C31">
        <w:rPr>
          <w:rFonts w:ascii="Arial" w:hAnsi="Arial" w:cs="Arial"/>
          <w:sz w:val="24"/>
        </w:rPr>
        <w:t>o</w:t>
      </w:r>
      <w:r w:rsidRPr="003D1FBA">
        <w:rPr>
          <w:rFonts w:ascii="Arial" w:hAnsi="Arial" w:cs="Arial"/>
          <w:sz w:val="24"/>
        </w:rPr>
        <w:t xml:space="preserve">s </w:t>
      </w:r>
      <w:r w:rsidR="00E01C31">
        <w:rPr>
          <w:rFonts w:ascii="Arial" w:hAnsi="Arial" w:cs="Arial"/>
          <w:sz w:val="24"/>
        </w:rPr>
        <w:t>fue</w:t>
      </w:r>
      <w:r w:rsidRPr="003D1FBA">
        <w:rPr>
          <w:rFonts w:ascii="Arial" w:hAnsi="Arial" w:cs="Arial"/>
          <w:sz w:val="24"/>
        </w:rPr>
        <w:t xml:space="preserve"> adaptada al bal</w:t>
      </w:r>
      <w:r w:rsidR="00E01C31">
        <w:rPr>
          <w:rFonts w:ascii="Arial" w:hAnsi="Arial" w:cs="Arial"/>
          <w:sz w:val="24"/>
        </w:rPr>
        <w:t>oncesto</w:t>
      </w:r>
      <w:r w:rsidRPr="003D1FBA">
        <w:rPr>
          <w:rFonts w:ascii="Arial" w:hAnsi="Arial" w:cs="Arial"/>
          <w:sz w:val="24"/>
        </w:rPr>
        <w:t xml:space="preserve"> a 28m </w:t>
      </w:r>
      <w:r w:rsidR="00E01C31">
        <w:rPr>
          <w:rFonts w:ascii="Arial" w:hAnsi="Arial" w:cs="Arial"/>
          <w:sz w:val="24"/>
        </w:rPr>
        <w:t>y</w:t>
      </w:r>
      <w:r w:rsidRPr="003D1FBA">
        <w:rPr>
          <w:rFonts w:ascii="Arial" w:hAnsi="Arial" w:cs="Arial"/>
          <w:sz w:val="24"/>
        </w:rPr>
        <w:t xml:space="preserve"> la veloci</w:t>
      </w:r>
      <w:r w:rsidR="00E01C31">
        <w:rPr>
          <w:rFonts w:ascii="Arial" w:hAnsi="Arial" w:cs="Arial"/>
          <w:sz w:val="24"/>
        </w:rPr>
        <w:t>d</w:t>
      </w:r>
      <w:r w:rsidRPr="003D1FBA">
        <w:rPr>
          <w:rFonts w:ascii="Arial" w:hAnsi="Arial" w:cs="Arial"/>
          <w:sz w:val="24"/>
        </w:rPr>
        <w:t>a</w:t>
      </w:r>
      <w:r w:rsidR="00E01C31">
        <w:rPr>
          <w:rFonts w:ascii="Arial" w:hAnsi="Arial" w:cs="Arial"/>
          <w:sz w:val="24"/>
        </w:rPr>
        <w:t>d</w:t>
      </w:r>
      <w:r w:rsidRPr="003D1FBA">
        <w:rPr>
          <w:rFonts w:ascii="Arial" w:hAnsi="Arial" w:cs="Arial"/>
          <w:sz w:val="24"/>
        </w:rPr>
        <w:t xml:space="preserve"> d</w:t>
      </w:r>
      <w:r w:rsidR="00E01C31">
        <w:rPr>
          <w:rFonts w:ascii="Arial" w:hAnsi="Arial" w:cs="Arial"/>
          <w:sz w:val="24"/>
        </w:rPr>
        <w:t xml:space="preserve">e </w:t>
      </w:r>
      <w:r w:rsidRPr="003D1FBA">
        <w:rPr>
          <w:rFonts w:ascii="Arial" w:hAnsi="Arial" w:cs="Arial"/>
          <w:sz w:val="24"/>
        </w:rPr>
        <w:t>e</w:t>
      </w:r>
      <w:r w:rsidR="00E01C31">
        <w:rPr>
          <w:rFonts w:ascii="Arial" w:hAnsi="Arial" w:cs="Arial"/>
          <w:sz w:val="24"/>
        </w:rPr>
        <w:t>j</w:t>
      </w:r>
      <w:r w:rsidRPr="003D1FBA">
        <w:rPr>
          <w:rFonts w:ascii="Arial" w:hAnsi="Arial" w:cs="Arial"/>
          <w:sz w:val="24"/>
        </w:rPr>
        <w:t>ecució</w:t>
      </w:r>
      <w:r w:rsidR="00E01C31">
        <w:rPr>
          <w:rFonts w:ascii="Arial" w:hAnsi="Arial" w:cs="Arial"/>
          <w:sz w:val="24"/>
        </w:rPr>
        <w:t>n</w:t>
      </w:r>
      <w:r w:rsidRPr="003D1FBA">
        <w:rPr>
          <w:rFonts w:ascii="Arial" w:hAnsi="Arial" w:cs="Arial"/>
          <w:sz w:val="24"/>
        </w:rPr>
        <w:t xml:space="preserve"> la marca</w:t>
      </w:r>
      <w:r w:rsidR="00E01C31">
        <w:rPr>
          <w:rFonts w:ascii="Arial" w:hAnsi="Arial" w:cs="Arial"/>
          <w:sz w:val="24"/>
        </w:rPr>
        <w:t>b</w:t>
      </w:r>
      <w:r w:rsidRPr="003D1FBA">
        <w:rPr>
          <w:rFonts w:ascii="Arial" w:hAnsi="Arial" w:cs="Arial"/>
          <w:sz w:val="24"/>
        </w:rPr>
        <w:t xml:space="preserve">a un </w:t>
      </w:r>
      <w:r w:rsidR="00E01C31">
        <w:rPr>
          <w:rFonts w:ascii="Arial" w:hAnsi="Arial" w:cs="Arial"/>
          <w:sz w:val="24"/>
        </w:rPr>
        <w:t>silbato</w:t>
      </w:r>
      <w:r w:rsidRPr="003D1FBA">
        <w:rPr>
          <w:rFonts w:ascii="Arial" w:hAnsi="Arial" w:cs="Arial"/>
          <w:sz w:val="24"/>
        </w:rPr>
        <w:t xml:space="preserve"> (</w:t>
      </w:r>
      <w:r w:rsidRPr="003D1FBA">
        <w:rPr>
          <w:rFonts w:ascii="Arial" w:hAnsi="Arial" w:cs="Arial"/>
          <w:i/>
          <w:iCs/>
          <w:sz w:val="24"/>
        </w:rPr>
        <w:t>Anex</w:t>
      </w:r>
      <w:r w:rsidR="00E01C31">
        <w:rPr>
          <w:rFonts w:ascii="Arial" w:hAnsi="Arial" w:cs="Arial"/>
          <w:i/>
          <w:iCs/>
          <w:sz w:val="24"/>
        </w:rPr>
        <w:t>o</w:t>
      </w:r>
      <w:r w:rsidRPr="003D1FBA">
        <w:rPr>
          <w:rFonts w:ascii="Arial" w:hAnsi="Arial" w:cs="Arial"/>
          <w:i/>
          <w:iCs/>
          <w:sz w:val="24"/>
        </w:rPr>
        <w:t xml:space="preserve"> </w:t>
      </w:r>
      <w:r w:rsidR="00C91705" w:rsidRPr="003D1FBA">
        <w:rPr>
          <w:rFonts w:ascii="Arial" w:hAnsi="Arial" w:cs="Arial"/>
          <w:i/>
          <w:iCs/>
          <w:sz w:val="24"/>
        </w:rPr>
        <w:t>3</w:t>
      </w:r>
      <w:r w:rsidRPr="003D1FBA">
        <w:rPr>
          <w:rFonts w:ascii="Arial" w:hAnsi="Arial" w:cs="Arial"/>
          <w:sz w:val="24"/>
        </w:rPr>
        <w:t>). L</w:t>
      </w:r>
      <w:r w:rsidR="00E01C31">
        <w:rPr>
          <w:rFonts w:ascii="Arial" w:hAnsi="Arial" w:cs="Arial"/>
          <w:sz w:val="24"/>
        </w:rPr>
        <w:t>a</w:t>
      </w:r>
      <w:r w:rsidRPr="003D1FBA">
        <w:rPr>
          <w:rFonts w:ascii="Arial" w:hAnsi="Arial" w:cs="Arial"/>
          <w:sz w:val="24"/>
        </w:rPr>
        <w:t>s jugador</w:t>
      </w:r>
      <w:r w:rsidR="00E01C31">
        <w:rPr>
          <w:rFonts w:ascii="Arial" w:hAnsi="Arial" w:cs="Arial"/>
          <w:sz w:val="24"/>
        </w:rPr>
        <w:t>a</w:t>
      </w:r>
      <w:r w:rsidRPr="003D1FBA">
        <w:rPr>
          <w:rFonts w:ascii="Arial" w:hAnsi="Arial" w:cs="Arial"/>
          <w:sz w:val="24"/>
        </w:rPr>
        <w:t xml:space="preserve">s </w:t>
      </w:r>
      <w:r w:rsidR="00E01C31">
        <w:rPr>
          <w:rFonts w:ascii="Arial" w:hAnsi="Arial" w:cs="Arial"/>
          <w:sz w:val="24"/>
        </w:rPr>
        <w:t>tuvieron que</w:t>
      </w:r>
      <w:r w:rsidRPr="003D1FBA">
        <w:rPr>
          <w:rFonts w:ascii="Arial" w:hAnsi="Arial" w:cs="Arial"/>
          <w:sz w:val="24"/>
        </w:rPr>
        <w:t xml:space="preserve"> completar el m</w:t>
      </w:r>
      <w:r w:rsidR="00E01C31">
        <w:rPr>
          <w:rFonts w:ascii="Arial" w:hAnsi="Arial" w:cs="Arial"/>
          <w:sz w:val="24"/>
        </w:rPr>
        <w:t>á</w:t>
      </w:r>
      <w:r w:rsidRPr="003D1FBA">
        <w:rPr>
          <w:rFonts w:ascii="Arial" w:hAnsi="Arial" w:cs="Arial"/>
          <w:sz w:val="24"/>
        </w:rPr>
        <w:t>xim</w:t>
      </w:r>
      <w:r w:rsidR="00E01C31">
        <w:rPr>
          <w:rFonts w:ascii="Arial" w:hAnsi="Arial" w:cs="Arial"/>
          <w:sz w:val="24"/>
        </w:rPr>
        <w:t>o</w:t>
      </w:r>
      <w:r w:rsidRPr="003D1FBA">
        <w:rPr>
          <w:rFonts w:ascii="Arial" w:hAnsi="Arial" w:cs="Arial"/>
          <w:sz w:val="24"/>
        </w:rPr>
        <w:t xml:space="preserve"> número d</w:t>
      </w:r>
      <w:r w:rsidR="00E01C31">
        <w:rPr>
          <w:rFonts w:ascii="Arial" w:hAnsi="Arial" w:cs="Arial"/>
          <w:sz w:val="24"/>
        </w:rPr>
        <w:t xml:space="preserve">e </w:t>
      </w:r>
      <w:r w:rsidRPr="003D1FBA">
        <w:rPr>
          <w:rFonts w:ascii="Arial" w:hAnsi="Arial" w:cs="Arial"/>
          <w:sz w:val="24"/>
        </w:rPr>
        <w:t>etap</w:t>
      </w:r>
      <w:r w:rsidR="00E01C31">
        <w:rPr>
          <w:rFonts w:ascii="Arial" w:hAnsi="Arial" w:cs="Arial"/>
          <w:sz w:val="24"/>
        </w:rPr>
        <w:t>a</w:t>
      </w:r>
      <w:r w:rsidRPr="003D1FBA">
        <w:rPr>
          <w:rFonts w:ascii="Arial" w:hAnsi="Arial" w:cs="Arial"/>
          <w:sz w:val="24"/>
        </w:rPr>
        <w:t>s posible. La pr</w:t>
      </w:r>
      <w:r w:rsidR="00E01C31">
        <w:rPr>
          <w:rFonts w:ascii="Arial" w:hAnsi="Arial" w:cs="Arial"/>
          <w:sz w:val="24"/>
        </w:rPr>
        <w:t>ueb</w:t>
      </w:r>
      <w:r w:rsidRPr="003D1FBA">
        <w:rPr>
          <w:rFonts w:ascii="Arial" w:hAnsi="Arial" w:cs="Arial"/>
          <w:sz w:val="24"/>
        </w:rPr>
        <w:t xml:space="preserve">a </w:t>
      </w:r>
      <w:r w:rsidR="00E01C31">
        <w:rPr>
          <w:rFonts w:ascii="Arial" w:hAnsi="Arial" w:cs="Arial"/>
          <w:sz w:val="24"/>
        </w:rPr>
        <w:t>se</w:t>
      </w:r>
      <w:r w:rsidRPr="003D1FBA">
        <w:rPr>
          <w:rFonts w:ascii="Arial" w:hAnsi="Arial" w:cs="Arial"/>
          <w:sz w:val="24"/>
        </w:rPr>
        <w:t xml:space="preserve"> d</w:t>
      </w:r>
      <w:r w:rsidR="00E01C31">
        <w:rPr>
          <w:rFonts w:ascii="Arial" w:hAnsi="Arial" w:cs="Arial"/>
          <w:sz w:val="24"/>
        </w:rPr>
        <w:t>io</w:t>
      </w:r>
      <w:r w:rsidRPr="003D1FBA">
        <w:rPr>
          <w:rFonts w:ascii="Arial" w:hAnsi="Arial" w:cs="Arial"/>
          <w:sz w:val="24"/>
        </w:rPr>
        <w:t xml:space="preserve"> p</w:t>
      </w:r>
      <w:r w:rsidR="00E01C31">
        <w:rPr>
          <w:rFonts w:ascii="Arial" w:hAnsi="Arial" w:cs="Arial"/>
          <w:sz w:val="24"/>
        </w:rPr>
        <w:t>o</w:t>
      </w:r>
      <w:r w:rsidRPr="003D1FBA">
        <w:rPr>
          <w:rFonts w:ascii="Arial" w:hAnsi="Arial" w:cs="Arial"/>
          <w:sz w:val="24"/>
        </w:rPr>
        <w:t xml:space="preserve">r finalizada </w:t>
      </w:r>
      <w:r w:rsidR="00E01C31">
        <w:rPr>
          <w:rFonts w:ascii="Arial" w:hAnsi="Arial" w:cs="Arial"/>
          <w:sz w:val="24"/>
        </w:rPr>
        <w:t>c</w:t>
      </w:r>
      <w:r w:rsidRPr="003D1FBA">
        <w:rPr>
          <w:rFonts w:ascii="Arial" w:hAnsi="Arial" w:cs="Arial"/>
          <w:sz w:val="24"/>
        </w:rPr>
        <w:t>uan</w:t>
      </w:r>
      <w:r w:rsidR="00E01C31">
        <w:rPr>
          <w:rFonts w:ascii="Arial" w:hAnsi="Arial" w:cs="Arial"/>
          <w:sz w:val="24"/>
        </w:rPr>
        <w:t>do</w:t>
      </w:r>
      <w:r w:rsidRPr="003D1FBA">
        <w:rPr>
          <w:rFonts w:ascii="Arial" w:hAnsi="Arial" w:cs="Arial"/>
          <w:sz w:val="24"/>
        </w:rPr>
        <w:t xml:space="preserve"> no </w:t>
      </w:r>
      <w:r w:rsidR="00E01C31">
        <w:rPr>
          <w:rFonts w:ascii="Arial" w:hAnsi="Arial" w:cs="Arial"/>
          <w:sz w:val="24"/>
        </w:rPr>
        <w:t>conseguían llegar, por segunda vez,</w:t>
      </w:r>
      <w:r w:rsidRPr="003D1FBA">
        <w:rPr>
          <w:rFonts w:ascii="Arial" w:hAnsi="Arial" w:cs="Arial"/>
          <w:sz w:val="24"/>
        </w:rPr>
        <w:t xml:space="preserve"> </w:t>
      </w:r>
      <w:r w:rsidR="00E01C31">
        <w:rPr>
          <w:rFonts w:ascii="Arial" w:hAnsi="Arial" w:cs="Arial"/>
          <w:sz w:val="24"/>
        </w:rPr>
        <w:t xml:space="preserve">a </w:t>
      </w:r>
      <w:r w:rsidRPr="003D1FBA">
        <w:rPr>
          <w:rFonts w:ascii="Arial" w:hAnsi="Arial" w:cs="Arial"/>
          <w:sz w:val="24"/>
        </w:rPr>
        <w:t>una de les tres zon</w:t>
      </w:r>
      <w:r w:rsidR="00E01C31">
        <w:rPr>
          <w:rFonts w:ascii="Arial" w:hAnsi="Arial" w:cs="Arial"/>
          <w:sz w:val="24"/>
        </w:rPr>
        <w:t>a</w:t>
      </w:r>
      <w:r w:rsidRPr="003D1FBA">
        <w:rPr>
          <w:rFonts w:ascii="Arial" w:hAnsi="Arial" w:cs="Arial"/>
          <w:sz w:val="24"/>
        </w:rPr>
        <w:t>s</w:t>
      </w:r>
      <w:r w:rsidR="00E01C31">
        <w:rPr>
          <w:rFonts w:ascii="Arial" w:hAnsi="Arial" w:cs="Arial"/>
          <w:sz w:val="24"/>
        </w:rPr>
        <w:t xml:space="preserve"> antes que sonase el silbato</w:t>
      </w:r>
      <w:r w:rsidRPr="003D1FBA">
        <w:rPr>
          <w:rFonts w:ascii="Arial" w:hAnsi="Arial" w:cs="Arial"/>
          <w:sz w:val="24"/>
        </w:rPr>
        <w:t xml:space="preserve">. </w:t>
      </w:r>
      <w:r w:rsidR="00E01C31">
        <w:rPr>
          <w:rFonts w:ascii="Arial" w:hAnsi="Arial" w:cs="Arial"/>
          <w:sz w:val="24"/>
        </w:rPr>
        <w:t>Este</w:t>
      </w:r>
      <w:r w:rsidRPr="003D1FBA">
        <w:rPr>
          <w:rFonts w:ascii="Arial" w:hAnsi="Arial" w:cs="Arial"/>
          <w:sz w:val="24"/>
        </w:rPr>
        <w:t xml:space="preserve"> test se e</w:t>
      </w:r>
      <w:r w:rsidR="00E01C31">
        <w:rPr>
          <w:rFonts w:ascii="Arial" w:hAnsi="Arial" w:cs="Arial"/>
          <w:sz w:val="24"/>
        </w:rPr>
        <w:t>ligió</w:t>
      </w:r>
      <w:r w:rsidRPr="003D1FBA">
        <w:rPr>
          <w:rFonts w:ascii="Arial" w:hAnsi="Arial" w:cs="Arial"/>
          <w:sz w:val="24"/>
        </w:rPr>
        <w:t xml:space="preserve"> p</w:t>
      </w:r>
      <w:r w:rsidR="00E01C31">
        <w:rPr>
          <w:rFonts w:ascii="Arial" w:hAnsi="Arial" w:cs="Arial"/>
          <w:sz w:val="24"/>
        </w:rPr>
        <w:t>o</w:t>
      </w:r>
      <w:r w:rsidRPr="003D1FBA">
        <w:rPr>
          <w:rFonts w:ascii="Arial" w:hAnsi="Arial" w:cs="Arial"/>
          <w:sz w:val="24"/>
        </w:rPr>
        <w:t xml:space="preserve">r </w:t>
      </w:r>
      <w:r w:rsidR="00E01C31">
        <w:rPr>
          <w:rFonts w:ascii="Arial" w:hAnsi="Arial" w:cs="Arial"/>
          <w:sz w:val="24"/>
        </w:rPr>
        <w:t>su</w:t>
      </w:r>
      <w:r w:rsidRPr="003D1FBA">
        <w:rPr>
          <w:rFonts w:ascii="Arial" w:hAnsi="Arial" w:cs="Arial"/>
          <w:sz w:val="24"/>
        </w:rPr>
        <w:t xml:space="preserve"> s</w:t>
      </w:r>
      <w:r w:rsidR="00E01C31">
        <w:rPr>
          <w:rFonts w:ascii="Arial" w:hAnsi="Arial" w:cs="Arial"/>
          <w:sz w:val="24"/>
        </w:rPr>
        <w:t xml:space="preserve">imilitud con </w:t>
      </w:r>
      <w:r w:rsidRPr="003D1FBA">
        <w:rPr>
          <w:rFonts w:ascii="Arial" w:hAnsi="Arial" w:cs="Arial"/>
          <w:sz w:val="24"/>
        </w:rPr>
        <w:t>el j</w:t>
      </w:r>
      <w:r w:rsidR="00E01C31">
        <w:rPr>
          <w:rFonts w:ascii="Arial" w:hAnsi="Arial" w:cs="Arial"/>
          <w:sz w:val="24"/>
        </w:rPr>
        <w:t>uego</w:t>
      </w:r>
      <w:r w:rsidRPr="003D1FBA">
        <w:rPr>
          <w:rFonts w:ascii="Arial" w:hAnsi="Arial" w:cs="Arial"/>
          <w:sz w:val="24"/>
        </w:rPr>
        <w:t xml:space="preserve"> real, </w:t>
      </w:r>
      <w:r w:rsidR="00E01C31">
        <w:rPr>
          <w:rFonts w:ascii="Arial" w:hAnsi="Arial" w:cs="Arial"/>
          <w:sz w:val="24"/>
        </w:rPr>
        <w:t>ya</w:t>
      </w:r>
      <w:r w:rsidRPr="003D1FBA">
        <w:rPr>
          <w:rFonts w:ascii="Arial" w:hAnsi="Arial" w:cs="Arial"/>
          <w:sz w:val="24"/>
        </w:rPr>
        <w:t xml:space="preserve"> que </w:t>
      </w:r>
      <w:r w:rsidRPr="003D1FBA">
        <w:rPr>
          <w:rFonts w:ascii="Arial" w:hAnsi="Arial" w:cs="Arial"/>
          <w:sz w:val="24"/>
        </w:rPr>
        <w:lastRenderedPageBreak/>
        <w:t>tant</w:t>
      </w:r>
      <w:r w:rsidR="00E01C31">
        <w:rPr>
          <w:rFonts w:ascii="Arial" w:hAnsi="Arial" w:cs="Arial"/>
          <w:sz w:val="24"/>
        </w:rPr>
        <w:t>o</w:t>
      </w:r>
      <w:r w:rsidRPr="003D1FBA">
        <w:rPr>
          <w:rFonts w:ascii="Arial" w:hAnsi="Arial" w:cs="Arial"/>
          <w:sz w:val="24"/>
        </w:rPr>
        <w:t xml:space="preserve"> el ba</w:t>
      </w:r>
      <w:r w:rsidR="00E01C31">
        <w:rPr>
          <w:rFonts w:ascii="Arial" w:hAnsi="Arial" w:cs="Arial"/>
          <w:sz w:val="24"/>
        </w:rPr>
        <w:t>loncesto</w:t>
      </w:r>
      <w:r w:rsidRPr="003D1FBA">
        <w:rPr>
          <w:rFonts w:ascii="Arial" w:hAnsi="Arial" w:cs="Arial"/>
          <w:sz w:val="24"/>
        </w:rPr>
        <w:t xml:space="preserve"> com</w:t>
      </w:r>
      <w:r w:rsidR="00E01C31">
        <w:rPr>
          <w:rFonts w:ascii="Arial" w:hAnsi="Arial" w:cs="Arial"/>
          <w:sz w:val="24"/>
        </w:rPr>
        <w:t>o</w:t>
      </w:r>
      <w:r w:rsidRPr="003D1FBA">
        <w:rPr>
          <w:rFonts w:ascii="Arial" w:hAnsi="Arial" w:cs="Arial"/>
          <w:sz w:val="24"/>
        </w:rPr>
        <w:t xml:space="preserve"> </w:t>
      </w:r>
      <w:r w:rsidR="00E01C31">
        <w:rPr>
          <w:rFonts w:ascii="Arial" w:hAnsi="Arial" w:cs="Arial"/>
          <w:sz w:val="24"/>
        </w:rPr>
        <w:t xml:space="preserve">el </w:t>
      </w:r>
      <w:r w:rsidR="00814891">
        <w:rPr>
          <w:rFonts w:ascii="Arial" w:hAnsi="Arial" w:cs="Arial"/>
          <w:sz w:val="24"/>
        </w:rPr>
        <w:t>balonmano</w:t>
      </w:r>
      <w:r w:rsidRPr="003D1FBA">
        <w:rPr>
          <w:rFonts w:ascii="Arial" w:hAnsi="Arial" w:cs="Arial"/>
          <w:sz w:val="24"/>
        </w:rPr>
        <w:t xml:space="preserve"> s</w:t>
      </w:r>
      <w:r w:rsidR="00E01C31">
        <w:rPr>
          <w:rFonts w:ascii="Arial" w:hAnsi="Arial" w:cs="Arial"/>
          <w:sz w:val="24"/>
        </w:rPr>
        <w:t>o</w:t>
      </w:r>
      <w:r w:rsidRPr="003D1FBA">
        <w:rPr>
          <w:rFonts w:ascii="Arial" w:hAnsi="Arial" w:cs="Arial"/>
          <w:sz w:val="24"/>
        </w:rPr>
        <w:t xml:space="preserve">n </w:t>
      </w:r>
      <w:r w:rsidR="00E01C31">
        <w:rPr>
          <w:rFonts w:ascii="Arial" w:hAnsi="Arial" w:cs="Arial"/>
          <w:sz w:val="24"/>
        </w:rPr>
        <w:t>deportes</w:t>
      </w:r>
      <w:r w:rsidRPr="003D1FBA">
        <w:rPr>
          <w:rFonts w:ascii="Arial" w:hAnsi="Arial" w:cs="Arial"/>
          <w:sz w:val="24"/>
        </w:rPr>
        <w:t xml:space="preserve"> intermitent</w:t>
      </w:r>
      <w:r w:rsidR="00E01C31">
        <w:rPr>
          <w:rFonts w:ascii="Arial" w:hAnsi="Arial" w:cs="Arial"/>
          <w:sz w:val="24"/>
        </w:rPr>
        <w:t>e</w:t>
      </w:r>
      <w:r w:rsidRPr="003D1FBA">
        <w:rPr>
          <w:rFonts w:ascii="Arial" w:hAnsi="Arial" w:cs="Arial"/>
          <w:sz w:val="24"/>
        </w:rPr>
        <w:t xml:space="preserve">s </w:t>
      </w:r>
      <w:r w:rsidR="00E01C31">
        <w:rPr>
          <w:rFonts w:ascii="Arial" w:hAnsi="Arial" w:cs="Arial"/>
          <w:sz w:val="24"/>
        </w:rPr>
        <w:t>donde</w:t>
      </w:r>
      <w:r w:rsidRPr="003D1FBA">
        <w:rPr>
          <w:rFonts w:ascii="Arial" w:hAnsi="Arial" w:cs="Arial"/>
          <w:sz w:val="24"/>
        </w:rPr>
        <w:t xml:space="preserve"> </w:t>
      </w:r>
      <w:r w:rsidR="00E01C31">
        <w:rPr>
          <w:rFonts w:ascii="Arial" w:hAnsi="Arial" w:cs="Arial"/>
          <w:sz w:val="24"/>
        </w:rPr>
        <w:t>se</w:t>
      </w:r>
      <w:r w:rsidRPr="003D1FBA">
        <w:rPr>
          <w:rFonts w:ascii="Arial" w:hAnsi="Arial" w:cs="Arial"/>
          <w:sz w:val="24"/>
        </w:rPr>
        <w:t xml:space="preserve"> d</w:t>
      </w:r>
      <w:r w:rsidR="00E01C31">
        <w:rPr>
          <w:rFonts w:ascii="Arial" w:hAnsi="Arial" w:cs="Arial"/>
          <w:sz w:val="24"/>
        </w:rPr>
        <w:t>a</w:t>
      </w:r>
      <w:r w:rsidRPr="003D1FBA">
        <w:rPr>
          <w:rFonts w:ascii="Arial" w:hAnsi="Arial" w:cs="Arial"/>
          <w:sz w:val="24"/>
        </w:rPr>
        <w:t>n accion</w:t>
      </w:r>
      <w:r w:rsidR="00E01C31">
        <w:rPr>
          <w:rFonts w:ascii="Arial" w:hAnsi="Arial" w:cs="Arial"/>
          <w:sz w:val="24"/>
        </w:rPr>
        <w:t>e</w:t>
      </w:r>
      <w:r w:rsidRPr="003D1FBA">
        <w:rPr>
          <w:rFonts w:ascii="Arial" w:hAnsi="Arial" w:cs="Arial"/>
          <w:sz w:val="24"/>
        </w:rPr>
        <w:t>s d</w:t>
      </w:r>
      <w:r w:rsidR="00E01C31">
        <w:rPr>
          <w:rFonts w:ascii="Arial" w:hAnsi="Arial" w:cs="Arial"/>
          <w:sz w:val="24"/>
        </w:rPr>
        <w:t xml:space="preserve">e </w:t>
      </w:r>
      <w:r w:rsidRPr="003D1FBA">
        <w:rPr>
          <w:rFonts w:ascii="Arial" w:hAnsi="Arial" w:cs="Arial"/>
          <w:sz w:val="24"/>
        </w:rPr>
        <w:t>intensi</w:t>
      </w:r>
      <w:r w:rsidR="00485080">
        <w:rPr>
          <w:rFonts w:ascii="Arial" w:hAnsi="Arial" w:cs="Arial"/>
          <w:sz w:val="24"/>
        </w:rPr>
        <w:t>d</w:t>
      </w:r>
      <w:r w:rsidRPr="003D1FBA">
        <w:rPr>
          <w:rFonts w:ascii="Arial" w:hAnsi="Arial" w:cs="Arial"/>
          <w:sz w:val="24"/>
        </w:rPr>
        <w:t>a</w:t>
      </w:r>
      <w:r w:rsidR="00485080">
        <w:rPr>
          <w:rFonts w:ascii="Arial" w:hAnsi="Arial" w:cs="Arial"/>
          <w:sz w:val="24"/>
        </w:rPr>
        <w:t>d</w:t>
      </w:r>
      <w:r w:rsidRPr="003D1FBA">
        <w:rPr>
          <w:rFonts w:ascii="Arial" w:hAnsi="Arial" w:cs="Arial"/>
          <w:sz w:val="24"/>
        </w:rPr>
        <w:t xml:space="preserve"> seguid</w:t>
      </w:r>
      <w:r w:rsidR="00485080">
        <w:rPr>
          <w:rFonts w:ascii="Arial" w:hAnsi="Arial" w:cs="Arial"/>
          <w:sz w:val="24"/>
        </w:rPr>
        <w:t>a</w:t>
      </w:r>
      <w:r w:rsidRPr="003D1FBA">
        <w:rPr>
          <w:rFonts w:ascii="Arial" w:hAnsi="Arial" w:cs="Arial"/>
          <w:sz w:val="24"/>
        </w:rPr>
        <w:t>s de períod</w:t>
      </w:r>
      <w:r w:rsidR="00485080">
        <w:rPr>
          <w:rFonts w:ascii="Arial" w:hAnsi="Arial" w:cs="Arial"/>
          <w:sz w:val="24"/>
        </w:rPr>
        <w:t>o</w:t>
      </w:r>
      <w:r w:rsidRPr="003D1FBA">
        <w:rPr>
          <w:rFonts w:ascii="Arial" w:hAnsi="Arial" w:cs="Arial"/>
          <w:sz w:val="24"/>
        </w:rPr>
        <w:t>s c</w:t>
      </w:r>
      <w:r w:rsidR="00485080">
        <w:rPr>
          <w:rFonts w:ascii="Arial" w:hAnsi="Arial" w:cs="Arial"/>
          <w:sz w:val="24"/>
        </w:rPr>
        <w:t>o</w:t>
      </w:r>
      <w:r w:rsidRPr="003D1FBA">
        <w:rPr>
          <w:rFonts w:ascii="Arial" w:hAnsi="Arial" w:cs="Arial"/>
          <w:sz w:val="24"/>
        </w:rPr>
        <w:t>rt</w:t>
      </w:r>
      <w:r w:rsidR="00485080">
        <w:rPr>
          <w:rFonts w:ascii="Arial" w:hAnsi="Arial" w:cs="Arial"/>
          <w:sz w:val="24"/>
        </w:rPr>
        <w:t>o</w:t>
      </w:r>
      <w:r w:rsidRPr="003D1FBA">
        <w:rPr>
          <w:rFonts w:ascii="Arial" w:hAnsi="Arial" w:cs="Arial"/>
          <w:sz w:val="24"/>
        </w:rPr>
        <w:t>s de descans</w:t>
      </w:r>
      <w:r w:rsidR="00485080">
        <w:rPr>
          <w:rFonts w:ascii="Arial" w:hAnsi="Arial" w:cs="Arial"/>
          <w:sz w:val="24"/>
        </w:rPr>
        <w:t>o</w:t>
      </w:r>
      <w:r w:rsidRPr="003D1FBA">
        <w:rPr>
          <w:rFonts w:ascii="Arial" w:hAnsi="Arial" w:cs="Arial"/>
          <w:sz w:val="24"/>
        </w:rPr>
        <w:t xml:space="preserve"> o </w:t>
      </w:r>
      <w:r w:rsidR="00485080">
        <w:rPr>
          <w:rFonts w:ascii="Arial" w:hAnsi="Arial" w:cs="Arial"/>
          <w:sz w:val="24"/>
        </w:rPr>
        <w:t xml:space="preserve">baja </w:t>
      </w:r>
      <w:r w:rsidRPr="003D1FBA">
        <w:rPr>
          <w:rFonts w:ascii="Arial" w:hAnsi="Arial" w:cs="Arial"/>
          <w:sz w:val="24"/>
        </w:rPr>
        <w:t>intensi</w:t>
      </w:r>
      <w:r w:rsidR="00485080">
        <w:rPr>
          <w:rFonts w:ascii="Arial" w:hAnsi="Arial" w:cs="Arial"/>
          <w:sz w:val="24"/>
        </w:rPr>
        <w:t>d</w:t>
      </w:r>
      <w:r w:rsidRPr="003D1FBA">
        <w:rPr>
          <w:rFonts w:ascii="Arial" w:hAnsi="Arial" w:cs="Arial"/>
          <w:sz w:val="24"/>
        </w:rPr>
        <w:t>a</w:t>
      </w:r>
      <w:r w:rsidR="00485080">
        <w:rPr>
          <w:rFonts w:ascii="Arial" w:hAnsi="Arial" w:cs="Arial"/>
          <w:sz w:val="24"/>
        </w:rPr>
        <w:t>d</w:t>
      </w:r>
      <w:r w:rsidRPr="003D1FBA">
        <w:rPr>
          <w:rFonts w:ascii="Arial" w:hAnsi="Arial" w:cs="Arial"/>
          <w:sz w:val="24"/>
        </w:rPr>
        <w:t>.</w:t>
      </w:r>
      <w:r w:rsidR="00B36AAE" w:rsidRPr="003D1FBA">
        <w:rPr>
          <w:rFonts w:ascii="Arial" w:hAnsi="Arial" w:cs="Arial"/>
          <w:sz w:val="24"/>
          <w:vertAlign w:val="superscript"/>
        </w:rPr>
        <w:fldChar w:fldCharType="begin" w:fldLock="1"/>
      </w:r>
      <w:r w:rsidR="00EE7DE8" w:rsidRPr="003D1FBA">
        <w:rPr>
          <w:rFonts w:ascii="Arial" w:hAnsi="Arial" w:cs="Arial"/>
          <w:sz w:val="24"/>
          <w:vertAlign w:val="superscript"/>
        </w:rPr>
        <w:instrText>ADDIN CSL_CITATION {"citationItems":[{"id":"ITEM-1","itemData":{"ISBN":"0009-9236 (Print)\\n0009-9236 (Linking)","ISSN":"&lt;null&gt;","PMID":"487693","abstract":"Happy birthday, to the 30 - 15 Intermittent Fitness Test ( 30 -15IFT)! In July 2010, the test celebrates its 10th anniversary. How time flies! This enables me the opportunity to reflect on the past 10 years, seize the time to (re) clarify the interest and utility of the test , and at last ... \\n","author":[{"dropping-particle":"","family":"Buchheit","given":"M","non-dropping-particle":"","parse-names":false,"suffix":""}],"container-title":"Myorobie Journal","id":"ITEM-1","issued":{"date-parts":[["2010"]]},"page":"1-9","title":"The 30-15 Intermittent Fitness Test: 10 year review","type":"article-journal","volume":"1"},"uris":["http://www.mendeley.com/documents/?uuid=2b007da3-afe1-41d4-a2de-b99e325da8b3"]},{"id":"ITEM-2","itemData":{"author":[{"dropping-particle":"","family":"Haydar","given":"B","non-dropping-particle":"","parse-names":false,"suffix":""},{"dropping-particle":"","family":"Buchheit","given":"M","non-dropping-particle":"","parse-names":false,"suffix":""}],"container-title":"Pivot","id":"ITEM-2","issued":{"date-parts":[["2009"]]},"page":"2-5","title":"Le 30-15 Intermittent Fitness Test- application pour le Basketball.","type":"article-magazine"},"uris":["http://www.mendeley.com/documents/?uuid=fa9a15db-1013-4454-8ceb-4c3ac10e27f2"]},{"id":"ITEM-3","itemData":{"DOI":"10.3141/1747-08","ISSN":"0361-1981","author":[{"dropping-particle":"","family":"Buchheit","given":"M","non-dropping-particle":"","parse-names":false,"suffix":""}],"container-title":"J Strength Cond Res","id":"ITEM-3","issue":"2","issued":{"date-parts":[["2008"]]},"page":"365-74","title":"The 30-15 Intermittent Fitness Test: Accuracy For Individualizing Interval Training of Young Intermittent Sport Players.","type":"article-journal","volume":"22"},"uris":["http://www.mendeley.com/documents/?uuid=bf915a03-e69b-487d-8ae0-5fb56a4e7ed9"]}],"mendeley":{"formattedCitation":"(25–27)","manualFormatting":"25–27","plainTextFormattedCitation":"(25–27)","previouslyFormattedCitation":"(25–27)"},"properties":{"noteIndex":0},"schema":"https://github.com/citation-style-language/schema/raw/master/csl-citation.json"}</w:instrText>
      </w:r>
      <w:r w:rsidR="00B36AAE" w:rsidRPr="003D1FBA">
        <w:rPr>
          <w:rFonts w:ascii="Arial" w:hAnsi="Arial" w:cs="Arial"/>
          <w:sz w:val="24"/>
          <w:vertAlign w:val="superscript"/>
        </w:rPr>
        <w:fldChar w:fldCharType="separate"/>
      </w:r>
      <w:r w:rsidR="007E2E79" w:rsidRPr="003D1FBA">
        <w:rPr>
          <w:rFonts w:ascii="Arial" w:hAnsi="Arial" w:cs="Arial"/>
          <w:noProof/>
          <w:sz w:val="24"/>
          <w:vertAlign w:val="superscript"/>
        </w:rPr>
        <w:t>25–27</w:t>
      </w:r>
      <w:r w:rsidR="00B36AAE" w:rsidRPr="003D1FBA">
        <w:rPr>
          <w:rFonts w:ascii="Arial" w:hAnsi="Arial" w:cs="Arial"/>
          <w:sz w:val="24"/>
          <w:vertAlign w:val="superscript"/>
        </w:rPr>
        <w:fldChar w:fldCharType="end"/>
      </w:r>
    </w:p>
    <w:p w:rsidR="00652C28" w:rsidRPr="003D1FBA" w:rsidRDefault="00652C28" w:rsidP="00D57717">
      <w:pPr>
        <w:pStyle w:val="Ttol2"/>
        <w:spacing w:line="360" w:lineRule="auto"/>
        <w:jc w:val="both"/>
      </w:pPr>
      <w:bookmarkStart w:id="11" w:name="_Toc20417705"/>
      <w:r w:rsidRPr="003D1FBA">
        <w:t>An</w:t>
      </w:r>
      <w:r w:rsidR="00485080">
        <w:t>á</w:t>
      </w:r>
      <w:r w:rsidRPr="003D1FBA">
        <w:t>lisi</w:t>
      </w:r>
      <w:r w:rsidR="00485080">
        <w:t>s</w:t>
      </w:r>
      <w:r w:rsidRPr="003D1FBA">
        <w:t xml:space="preserve"> estadístic</w:t>
      </w:r>
      <w:bookmarkEnd w:id="11"/>
      <w:r w:rsidR="00485080">
        <w:t>o</w:t>
      </w:r>
    </w:p>
    <w:p w:rsidR="006432A4" w:rsidRPr="003D1FBA" w:rsidRDefault="00485080" w:rsidP="00E824EE">
      <w:pPr>
        <w:spacing w:line="360" w:lineRule="auto"/>
        <w:jc w:val="both"/>
        <w:rPr>
          <w:rFonts w:ascii="Arial" w:hAnsi="Arial" w:cs="Arial"/>
          <w:sz w:val="24"/>
          <w:szCs w:val="24"/>
        </w:rPr>
      </w:pPr>
      <w:r>
        <w:rPr>
          <w:rFonts w:ascii="Arial" w:hAnsi="Arial" w:cs="Arial"/>
          <w:sz w:val="24"/>
          <w:szCs w:val="24"/>
        </w:rPr>
        <w:t xml:space="preserve">El </w:t>
      </w:r>
      <w:r w:rsidR="00E824EE" w:rsidRPr="003D1FBA">
        <w:rPr>
          <w:rFonts w:ascii="Arial" w:hAnsi="Arial" w:cs="Arial"/>
          <w:sz w:val="24"/>
          <w:szCs w:val="24"/>
        </w:rPr>
        <w:t>an</w:t>
      </w:r>
      <w:r>
        <w:rPr>
          <w:rFonts w:ascii="Arial" w:hAnsi="Arial" w:cs="Arial"/>
          <w:sz w:val="24"/>
          <w:szCs w:val="24"/>
        </w:rPr>
        <w:t>á</w:t>
      </w:r>
      <w:r w:rsidR="00E824EE" w:rsidRPr="003D1FBA">
        <w:rPr>
          <w:rFonts w:ascii="Arial" w:hAnsi="Arial" w:cs="Arial"/>
          <w:sz w:val="24"/>
          <w:szCs w:val="24"/>
        </w:rPr>
        <w:t>lisi</w:t>
      </w:r>
      <w:r>
        <w:rPr>
          <w:rFonts w:ascii="Arial" w:hAnsi="Arial" w:cs="Arial"/>
          <w:sz w:val="24"/>
          <w:szCs w:val="24"/>
        </w:rPr>
        <w:t>s</w:t>
      </w:r>
      <w:r w:rsidR="00E824EE" w:rsidRPr="003D1FBA">
        <w:rPr>
          <w:rFonts w:ascii="Arial" w:hAnsi="Arial" w:cs="Arial"/>
          <w:sz w:val="24"/>
          <w:szCs w:val="24"/>
        </w:rPr>
        <w:t xml:space="preserve"> de resulta</w:t>
      </w:r>
      <w:r>
        <w:rPr>
          <w:rFonts w:ascii="Arial" w:hAnsi="Arial" w:cs="Arial"/>
          <w:sz w:val="24"/>
          <w:szCs w:val="24"/>
        </w:rPr>
        <w:t>dos</w:t>
      </w:r>
      <w:r w:rsidR="00E824EE" w:rsidRPr="003D1FBA">
        <w:rPr>
          <w:rFonts w:ascii="Arial" w:hAnsi="Arial" w:cs="Arial"/>
          <w:sz w:val="24"/>
          <w:szCs w:val="24"/>
        </w:rPr>
        <w:t xml:space="preserve"> </w:t>
      </w:r>
      <w:r>
        <w:rPr>
          <w:rFonts w:ascii="Arial" w:hAnsi="Arial" w:cs="Arial"/>
          <w:sz w:val="24"/>
          <w:szCs w:val="24"/>
        </w:rPr>
        <w:t>se</w:t>
      </w:r>
      <w:r w:rsidR="00E824EE" w:rsidRPr="003D1FBA">
        <w:rPr>
          <w:rFonts w:ascii="Arial" w:hAnsi="Arial" w:cs="Arial"/>
          <w:sz w:val="24"/>
          <w:szCs w:val="24"/>
        </w:rPr>
        <w:t xml:space="preserve"> reali</w:t>
      </w:r>
      <w:r>
        <w:rPr>
          <w:rFonts w:ascii="Arial" w:hAnsi="Arial" w:cs="Arial"/>
          <w:sz w:val="24"/>
          <w:szCs w:val="24"/>
        </w:rPr>
        <w:t>zó</w:t>
      </w:r>
      <w:r w:rsidR="00E824EE" w:rsidRPr="003D1FBA">
        <w:rPr>
          <w:rFonts w:ascii="Arial" w:hAnsi="Arial" w:cs="Arial"/>
          <w:sz w:val="24"/>
          <w:szCs w:val="24"/>
        </w:rPr>
        <w:t xml:space="preserve"> m</w:t>
      </w:r>
      <w:r>
        <w:rPr>
          <w:rFonts w:ascii="Arial" w:hAnsi="Arial" w:cs="Arial"/>
          <w:sz w:val="24"/>
          <w:szCs w:val="24"/>
        </w:rPr>
        <w:t>ediante</w:t>
      </w:r>
      <w:r w:rsidR="00E824EE" w:rsidRPr="003D1FBA">
        <w:rPr>
          <w:rFonts w:ascii="Arial" w:hAnsi="Arial" w:cs="Arial"/>
          <w:sz w:val="24"/>
          <w:szCs w:val="24"/>
        </w:rPr>
        <w:t xml:space="preserve"> el paquet</w:t>
      </w:r>
      <w:r>
        <w:rPr>
          <w:rFonts w:ascii="Arial" w:hAnsi="Arial" w:cs="Arial"/>
          <w:sz w:val="24"/>
          <w:szCs w:val="24"/>
        </w:rPr>
        <w:t>e</w:t>
      </w:r>
      <w:r w:rsidR="00E824EE" w:rsidRPr="003D1FBA">
        <w:rPr>
          <w:rFonts w:ascii="Arial" w:hAnsi="Arial" w:cs="Arial"/>
          <w:sz w:val="24"/>
          <w:szCs w:val="24"/>
        </w:rPr>
        <w:t xml:space="preserve"> estadístic</w:t>
      </w:r>
      <w:r>
        <w:rPr>
          <w:rFonts w:ascii="Arial" w:hAnsi="Arial" w:cs="Arial"/>
          <w:sz w:val="24"/>
          <w:szCs w:val="24"/>
        </w:rPr>
        <w:t>o</w:t>
      </w:r>
      <w:r w:rsidR="00E824EE" w:rsidRPr="003D1FBA">
        <w:rPr>
          <w:rFonts w:ascii="Arial" w:hAnsi="Arial" w:cs="Arial"/>
          <w:sz w:val="24"/>
          <w:szCs w:val="24"/>
        </w:rPr>
        <w:t xml:space="preserve"> SPSS (Statical Package for the Social Sciences) versió</w:t>
      </w:r>
      <w:r>
        <w:rPr>
          <w:rFonts w:ascii="Arial" w:hAnsi="Arial" w:cs="Arial"/>
          <w:sz w:val="24"/>
          <w:szCs w:val="24"/>
        </w:rPr>
        <w:t>n</w:t>
      </w:r>
      <w:r w:rsidR="00E824EE" w:rsidRPr="003D1FBA">
        <w:rPr>
          <w:rFonts w:ascii="Arial" w:hAnsi="Arial" w:cs="Arial"/>
          <w:sz w:val="24"/>
          <w:szCs w:val="24"/>
        </w:rPr>
        <w:t xml:space="preserve"> 18.0 p</w:t>
      </w:r>
      <w:r>
        <w:rPr>
          <w:rFonts w:ascii="Arial" w:hAnsi="Arial" w:cs="Arial"/>
          <w:sz w:val="24"/>
          <w:szCs w:val="24"/>
        </w:rPr>
        <w:t>a</w:t>
      </w:r>
      <w:r w:rsidR="00E824EE" w:rsidRPr="003D1FBA">
        <w:rPr>
          <w:rFonts w:ascii="Arial" w:hAnsi="Arial" w:cs="Arial"/>
          <w:sz w:val="24"/>
          <w:szCs w:val="24"/>
        </w:rPr>
        <w:t>r</w:t>
      </w:r>
      <w:r>
        <w:rPr>
          <w:rFonts w:ascii="Arial" w:hAnsi="Arial" w:cs="Arial"/>
          <w:sz w:val="24"/>
          <w:szCs w:val="24"/>
        </w:rPr>
        <w:t>a</w:t>
      </w:r>
      <w:r w:rsidR="00E824EE" w:rsidRPr="003D1FBA">
        <w:rPr>
          <w:rFonts w:ascii="Arial" w:hAnsi="Arial" w:cs="Arial"/>
          <w:sz w:val="24"/>
          <w:szCs w:val="24"/>
        </w:rPr>
        <w:t xml:space="preserve"> Windows. L</w:t>
      </w:r>
      <w:r>
        <w:rPr>
          <w:rFonts w:ascii="Arial" w:hAnsi="Arial" w:cs="Arial"/>
          <w:sz w:val="24"/>
          <w:szCs w:val="24"/>
        </w:rPr>
        <w:t>a</w:t>
      </w:r>
      <w:r w:rsidR="00E824EE" w:rsidRPr="003D1FBA">
        <w:rPr>
          <w:rFonts w:ascii="Arial" w:hAnsi="Arial" w:cs="Arial"/>
          <w:sz w:val="24"/>
          <w:szCs w:val="24"/>
        </w:rPr>
        <w:t xml:space="preserve">s variables </w:t>
      </w:r>
      <w:r>
        <w:rPr>
          <w:rFonts w:ascii="Arial" w:hAnsi="Arial" w:cs="Arial"/>
          <w:sz w:val="24"/>
          <w:szCs w:val="24"/>
        </w:rPr>
        <w:t>c</w:t>
      </w:r>
      <w:r w:rsidR="00E824EE" w:rsidRPr="003D1FBA">
        <w:rPr>
          <w:rFonts w:ascii="Arial" w:hAnsi="Arial" w:cs="Arial"/>
          <w:sz w:val="24"/>
          <w:szCs w:val="24"/>
        </w:rPr>
        <w:t>uantitativ</w:t>
      </w:r>
      <w:r>
        <w:rPr>
          <w:rFonts w:ascii="Arial" w:hAnsi="Arial" w:cs="Arial"/>
          <w:sz w:val="24"/>
          <w:szCs w:val="24"/>
        </w:rPr>
        <w:t>a</w:t>
      </w:r>
      <w:r w:rsidR="00E824EE" w:rsidRPr="003D1FBA">
        <w:rPr>
          <w:rFonts w:ascii="Arial" w:hAnsi="Arial" w:cs="Arial"/>
          <w:sz w:val="24"/>
          <w:szCs w:val="24"/>
        </w:rPr>
        <w:t>s obt</w:t>
      </w:r>
      <w:r>
        <w:rPr>
          <w:rFonts w:ascii="Arial" w:hAnsi="Arial" w:cs="Arial"/>
          <w:sz w:val="24"/>
          <w:szCs w:val="24"/>
        </w:rPr>
        <w:t>enida</w:t>
      </w:r>
      <w:r w:rsidR="00E824EE" w:rsidRPr="003D1FBA">
        <w:rPr>
          <w:rFonts w:ascii="Arial" w:hAnsi="Arial" w:cs="Arial"/>
          <w:sz w:val="24"/>
          <w:szCs w:val="24"/>
        </w:rPr>
        <w:t xml:space="preserve">s </w:t>
      </w:r>
      <w:r>
        <w:rPr>
          <w:rFonts w:ascii="Arial" w:hAnsi="Arial" w:cs="Arial"/>
          <w:sz w:val="24"/>
          <w:szCs w:val="24"/>
        </w:rPr>
        <w:t>en</w:t>
      </w:r>
      <w:r w:rsidR="00E824EE" w:rsidRPr="003D1FBA">
        <w:rPr>
          <w:rFonts w:ascii="Arial" w:hAnsi="Arial" w:cs="Arial"/>
          <w:sz w:val="24"/>
          <w:szCs w:val="24"/>
        </w:rPr>
        <w:t xml:space="preserve"> </w:t>
      </w:r>
      <w:r>
        <w:rPr>
          <w:rFonts w:ascii="Arial" w:hAnsi="Arial" w:cs="Arial"/>
          <w:sz w:val="24"/>
          <w:szCs w:val="24"/>
        </w:rPr>
        <w:t xml:space="preserve">el </w:t>
      </w:r>
      <w:r w:rsidR="00E824EE" w:rsidRPr="003D1FBA">
        <w:rPr>
          <w:rFonts w:ascii="Arial" w:hAnsi="Arial" w:cs="Arial"/>
          <w:sz w:val="24"/>
          <w:szCs w:val="24"/>
        </w:rPr>
        <w:t>estudi</w:t>
      </w:r>
      <w:r>
        <w:rPr>
          <w:rFonts w:ascii="Arial" w:hAnsi="Arial" w:cs="Arial"/>
          <w:sz w:val="24"/>
          <w:szCs w:val="24"/>
        </w:rPr>
        <w:t>o</w:t>
      </w:r>
      <w:r w:rsidR="00E824EE" w:rsidRPr="003D1FBA">
        <w:rPr>
          <w:rFonts w:ascii="Arial" w:hAnsi="Arial" w:cs="Arial"/>
          <w:sz w:val="24"/>
          <w:szCs w:val="24"/>
        </w:rPr>
        <w:t xml:space="preserve"> </w:t>
      </w:r>
      <w:r w:rsidR="00245EC2" w:rsidRPr="003D1FBA">
        <w:rPr>
          <w:rFonts w:ascii="Arial" w:hAnsi="Arial" w:cs="Arial"/>
          <w:sz w:val="24"/>
          <w:szCs w:val="24"/>
        </w:rPr>
        <w:t>s</w:t>
      </w:r>
      <w:r>
        <w:rPr>
          <w:rFonts w:ascii="Arial" w:hAnsi="Arial" w:cs="Arial"/>
          <w:sz w:val="24"/>
          <w:szCs w:val="24"/>
        </w:rPr>
        <w:t>e</w:t>
      </w:r>
      <w:r w:rsidR="00245EC2" w:rsidRPr="003D1FBA">
        <w:rPr>
          <w:rFonts w:ascii="Arial" w:hAnsi="Arial" w:cs="Arial"/>
          <w:sz w:val="24"/>
          <w:szCs w:val="24"/>
        </w:rPr>
        <w:t xml:space="preserve"> descri</w:t>
      </w:r>
      <w:r>
        <w:rPr>
          <w:rFonts w:ascii="Arial" w:hAnsi="Arial" w:cs="Arial"/>
          <w:sz w:val="24"/>
          <w:szCs w:val="24"/>
        </w:rPr>
        <w:t>bieron</w:t>
      </w:r>
      <w:r w:rsidR="00E824EE" w:rsidRPr="003D1FBA">
        <w:rPr>
          <w:rFonts w:ascii="Arial" w:hAnsi="Arial" w:cs="Arial"/>
          <w:sz w:val="24"/>
          <w:szCs w:val="24"/>
        </w:rPr>
        <w:t xml:space="preserve"> m</w:t>
      </w:r>
      <w:r>
        <w:rPr>
          <w:rFonts w:ascii="Arial" w:hAnsi="Arial" w:cs="Arial"/>
          <w:sz w:val="24"/>
          <w:szCs w:val="24"/>
        </w:rPr>
        <w:t>ediante</w:t>
      </w:r>
      <w:r w:rsidR="00E824EE" w:rsidRPr="003D1FBA">
        <w:rPr>
          <w:rFonts w:ascii="Arial" w:hAnsi="Arial" w:cs="Arial"/>
          <w:sz w:val="24"/>
          <w:szCs w:val="24"/>
        </w:rPr>
        <w:t xml:space="preserve"> me</w:t>
      </w:r>
      <w:r>
        <w:rPr>
          <w:rFonts w:ascii="Arial" w:hAnsi="Arial" w:cs="Arial"/>
          <w:sz w:val="24"/>
          <w:szCs w:val="24"/>
        </w:rPr>
        <w:t>didas</w:t>
      </w:r>
      <w:r w:rsidR="00E824EE" w:rsidRPr="003D1FBA">
        <w:rPr>
          <w:rFonts w:ascii="Arial" w:hAnsi="Arial" w:cs="Arial"/>
          <w:sz w:val="24"/>
          <w:szCs w:val="24"/>
        </w:rPr>
        <w:t xml:space="preserve"> de tend</w:t>
      </w:r>
      <w:r>
        <w:rPr>
          <w:rFonts w:ascii="Arial" w:hAnsi="Arial" w:cs="Arial"/>
          <w:sz w:val="24"/>
          <w:szCs w:val="24"/>
        </w:rPr>
        <w:t>e</w:t>
      </w:r>
      <w:r w:rsidR="00E824EE" w:rsidRPr="003D1FBA">
        <w:rPr>
          <w:rFonts w:ascii="Arial" w:hAnsi="Arial" w:cs="Arial"/>
          <w:sz w:val="24"/>
          <w:szCs w:val="24"/>
        </w:rPr>
        <w:t xml:space="preserve">ncia central </w:t>
      </w:r>
      <w:r>
        <w:rPr>
          <w:rFonts w:ascii="Arial" w:hAnsi="Arial" w:cs="Arial"/>
          <w:sz w:val="24"/>
          <w:szCs w:val="24"/>
        </w:rPr>
        <w:t>y</w:t>
      </w:r>
      <w:r w:rsidR="00E824EE" w:rsidRPr="003D1FBA">
        <w:rPr>
          <w:rFonts w:ascii="Arial" w:hAnsi="Arial" w:cs="Arial"/>
          <w:sz w:val="24"/>
          <w:szCs w:val="24"/>
        </w:rPr>
        <w:t xml:space="preserve"> dispersió</w:t>
      </w:r>
      <w:r>
        <w:rPr>
          <w:rFonts w:ascii="Arial" w:hAnsi="Arial" w:cs="Arial"/>
          <w:sz w:val="24"/>
          <w:szCs w:val="24"/>
        </w:rPr>
        <w:t>n</w:t>
      </w:r>
      <w:r w:rsidR="00E824EE" w:rsidRPr="003D1FBA">
        <w:rPr>
          <w:rFonts w:ascii="Arial" w:hAnsi="Arial" w:cs="Arial"/>
          <w:sz w:val="24"/>
          <w:szCs w:val="24"/>
        </w:rPr>
        <w:t>, concretament</w:t>
      </w:r>
      <w:r>
        <w:rPr>
          <w:rFonts w:ascii="Arial" w:hAnsi="Arial" w:cs="Arial"/>
          <w:sz w:val="24"/>
          <w:szCs w:val="24"/>
        </w:rPr>
        <w:t>e</w:t>
      </w:r>
      <w:r w:rsidR="00E824EE" w:rsidRPr="003D1FBA">
        <w:rPr>
          <w:rFonts w:ascii="Arial" w:hAnsi="Arial" w:cs="Arial"/>
          <w:sz w:val="24"/>
          <w:szCs w:val="24"/>
        </w:rPr>
        <w:t>, la m</w:t>
      </w:r>
      <w:r>
        <w:rPr>
          <w:rFonts w:ascii="Arial" w:hAnsi="Arial" w:cs="Arial"/>
          <w:sz w:val="24"/>
          <w:szCs w:val="24"/>
        </w:rPr>
        <w:t>edia</w:t>
      </w:r>
      <w:r w:rsidR="00E824EE" w:rsidRPr="003D1FBA">
        <w:rPr>
          <w:rFonts w:ascii="Arial" w:hAnsi="Arial" w:cs="Arial"/>
          <w:sz w:val="24"/>
          <w:szCs w:val="24"/>
        </w:rPr>
        <w:t xml:space="preserve"> </w:t>
      </w:r>
      <w:r>
        <w:rPr>
          <w:rFonts w:ascii="Arial" w:hAnsi="Arial" w:cs="Arial"/>
          <w:sz w:val="24"/>
          <w:szCs w:val="24"/>
        </w:rPr>
        <w:t>y</w:t>
      </w:r>
      <w:r w:rsidR="00E824EE" w:rsidRPr="003D1FBA">
        <w:rPr>
          <w:rFonts w:ascii="Arial" w:hAnsi="Arial" w:cs="Arial"/>
          <w:sz w:val="24"/>
          <w:szCs w:val="24"/>
        </w:rPr>
        <w:t xml:space="preserve"> desviació</w:t>
      </w:r>
      <w:r>
        <w:rPr>
          <w:rFonts w:ascii="Arial" w:hAnsi="Arial" w:cs="Arial"/>
          <w:sz w:val="24"/>
          <w:szCs w:val="24"/>
        </w:rPr>
        <w:t>n</w:t>
      </w:r>
      <w:r w:rsidR="00E824EE" w:rsidRPr="003D1FBA">
        <w:rPr>
          <w:rFonts w:ascii="Arial" w:hAnsi="Arial" w:cs="Arial"/>
          <w:sz w:val="24"/>
          <w:szCs w:val="24"/>
        </w:rPr>
        <w:t xml:space="preserve"> est</w:t>
      </w:r>
      <w:r>
        <w:rPr>
          <w:rFonts w:ascii="Arial" w:hAnsi="Arial" w:cs="Arial"/>
          <w:sz w:val="24"/>
          <w:szCs w:val="24"/>
        </w:rPr>
        <w:t>á</w:t>
      </w:r>
      <w:r w:rsidR="00E824EE" w:rsidRPr="003D1FBA">
        <w:rPr>
          <w:rFonts w:ascii="Arial" w:hAnsi="Arial" w:cs="Arial"/>
          <w:sz w:val="24"/>
          <w:szCs w:val="24"/>
        </w:rPr>
        <w:t xml:space="preserve">ndar. </w:t>
      </w:r>
    </w:p>
    <w:p w:rsidR="00E824EE" w:rsidRPr="003D1FBA" w:rsidRDefault="00E824EE" w:rsidP="00E824EE">
      <w:pPr>
        <w:spacing w:line="360" w:lineRule="auto"/>
        <w:jc w:val="both"/>
        <w:rPr>
          <w:rFonts w:ascii="Arial" w:hAnsi="Arial" w:cs="Arial"/>
          <w:sz w:val="24"/>
          <w:szCs w:val="24"/>
        </w:rPr>
      </w:pPr>
      <w:r w:rsidRPr="003D1FBA">
        <w:rPr>
          <w:rFonts w:ascii="Arial" w:hAnsi="Arial" w:cs="Arial"/>
          <w:sz w:val="24"/>
          <w:szCs w:val="24"/>
        </w:rPr>
        <w:t>En to</w:t>
      </w:r>
      <w:r w:rsidR="00485080">
        <w:rPr>
          <w:rFonts w:ascii="Arial" w:hAnsi="Arial" w:cs="Arial"/>
          <w:sz w:val="24"/>
          <w:szCs w:val="24"/>
        </w:rPr>
        <w:t>dos</w:t>
      </w:r>
      <w:r w:rsidRPr="003D1FBA">
        <w:rPr>
          <w:rFonts w:ascii="Arial" w:hAnsi="Arial" w:cs="Arial"/>
          <w:sz w:val="24"/>
          <w:szCs w:val="24"/>
        </w:rPr>
        <w:t xml:space="preserve"> </w:t>
      </w:r>
      <w:r w:rsidR="00485080">
        <w:rPr>
          <w:rFonts w:ascii="Arial" w:hAnsi="Arial" w:cs="Arial"/>
          <w:sz w:val="24"/>
          <w:szCs w:val="24"/>
        </w:rPr>
        <w:t>lo</w:t>
      </w:r>
      <w:r w:rsidRPr="003D1FBA">
        <w:rPr>
          <w:rFonts w:ascii="Arial" w:hAnsi="Arial" w:cs="Arial"/>
          <w:sz w:val="24"/>
          <w:szCs w:val="24"/>
        </w:rPr>
        <w:t xml:space="preserve">s casos </w:t>
      </w:r>
      <w:r w:rsidR="00245EC2" w:rsidRPr="003D1FBA">
        <w:rPr>
          <w:rFonts w:ascii="Arial" w:hAnsi="Arial" w:cs="Arial"/>
          <w:sz w:val="24"/>
          <w:szCs w:val="24"/>
        </w:rPr>
        <w:t>s</w:t>
      </w:r>
      <w:r w:rsidR="00485080">
        <w:rPr>
          <w:rFonts w:ascii="Arial" w:hAnsi="Arial" w:cs="Arial"/>
          <w:sz w:val="24"/>
          <w:szCs w:val="24"/>
        </w:rPr>
        <w:t>e</w:t>
      </w:r>
      <w:r w:rsidR="00245EC2" w:rsidRPr="003D1FBA">
        <w:rPr>
          <w:rFonts w:ascii="Arial" w:hAnsi="Arial" w:cs="Arial"/>
          <w:sz w:val="24"/>
          <w:szCs w:val="24"/>
        </w:rPr>
        <w:t xml:space="preserve"> compar</w:t>
      </w:r>
      <w:r w:rsidR="00485080">
        <w:rPr>
          <w:rFonts w:ascii="Arial" w:hAnsi="Arial" w:cs="Arial"/>
          <w:sz w:val="24"/>
          <w:szCs w:val="24"/>
        </w:rPr>
        <w:t>ó</w:t>
      </w:r>
      <w:r w:rsidR="00245EC2" w:rsidRPr="003D1FBA">
        <w:rPr>
          <w:rFonts w:ascii="Arial" w:hAnsi="Arial" w:cs="Arial"/>
          <w:sz w:val="24"/>
          <w:szCs w:val="24"/>
        </w:rPr>
        <w:t xml:space="preserve"> </w:t>
      </w:r>
      <w:r w:rsidRPr="003D1FBA">
        <w:rPr>
          <w:rFonts w:ascii="Arial" w:hAnsi="Arial" w:cs="Arial"/>
          <w:sz w:val="24"/>
          <w:szCs w:val="24"/>
        </w:rPr>
        <w:t>si ha</w:t>
      </w:r>
      <w:r w:rsidR="00485080">
        <w:rPr>
          <w:rFonts w:ascii="Arial" w:hAnsi="Arial" w:cs="Arial"/>
          <w:sz w:val="24"/>
          <w:szCs w:val="24"/>
        </w:rPr>
        <w:t>bía</w:t>
      </w:r>
      <w:r w:rsidRPr="003D1FBA">
        <w:rPr>
          <w:rFonts w:ascii="Arial" w:hAnsi="Arial" w:cs="Arial"/>
          <w:sz w:val="24"/>
          <w:szCs w:val="24"/>
        </w:rPr>
        <w:t xml:space="preserve"> normali</w:t>
      </w:r>
      <w:r w:rsidR="00485080">
        <w:rPr>
          <w:rFonts w:ascii="Arial" w:hAnsi="Arial" w:cs="Arial"/>
          <w:sz w:val="24"/>
          <w:szCs w:val="24"/>
        </w:rPr>
        <w:t>dad</w:t>
      </w:r>
      <w:r w:rsidRPr="003D1FBA">
        <w:rPr>
          <w:rFonts w:ascii="Arial" w:hAnsi="Arial" w:cs="Arial"/>
          <w:sz w:val="24"/>
          <w:szCs w:val="24"/>
        </w:rPr>
        <w:t xml:space="preserve"> m</w:t>
      </w:r>
      <w:r w:rsidR="00485080">
        <w:rPr>
          <w:rFonts w:ascii="Arial" w:hAnsi="Arial" w:cs="Arial"/>
          <w:sz w:val="24"/>
          <w:szCs w:val="24"/>
        </w:rPr>
        <w:t>ediante</w:t>
      </w:r>
      <w:r w:rsidRPr="003D1FBA">
        <w:rPr>
          <w:rFonts w:ascii="Arial" w:hAnsi="Arial" w:cs="Arial"/>
          <w:sz w:val="24"/>
          <w:szCs w:val="24"/>
        </w:rPr>
        <w:t xml:space="preserve"> el test de Shapiro-Wilk p</w:t>
      </w:r>
      <w:r w:rsidR="00485080">
        <w:rPr>
          <w:rFonts w:ascii="Arial" w:hAnsi="Arial" w:cs="Arial"/>
          <w:sz w:val="24"/>
          <w:szCs w:val="24"/>
        </w:rPr>
        <w:t>a</w:t>
      </w:r>
      <w:r w:rsidRPr="003D1FBA">
        <w:rPr>
          <w:rFonts w:ascii="Arial" w:hAnsi="Arial" w:cs="Arial"/>
          <w:sz w:val="24"/>
          <w:szCs w:val="24"/>
        </w:rPr>
        <w:t>r</w:t>
      </w:r>
      <w:r w:rsidR="00485080">
        <w:rPr>
          <w:rFonts w:ascii="Arial" w:hAnsi="Arial" w:cs="Arial"/>
          <w:sz w:val="24"/>
          <w:szCs w:val="24"/>
        </w:rPr>
        <w:t>a</w:t>
      </w:r>
      <w:r w:rsidRPr="003D1FBA">
        <w:rPr>
          <w:rFonts w:ascii="Arial" w:hAnsi="Arial" w:cs="Arial"/>
          <w:sz w:val="24"/>
          <w:szCs w:val="24"/>
        </w:rPr>
        <w:t xml:space="preserve"> m</w:t>
      </w:r>
      <w:r w:rsidR="00485080">
        <w:rPr>
          <w:rFonts w:ascii="Arial" w:hAnsi="Arial" w:cs="Arial"/>
          <w:sz w:val="24"/>
          <w:szCs w:val="24"/>
        </w:rPr>
        <w:t>ue</w:t>
      </w:r>
      <w:r w:rsidRPr="003D1FBA">
        <w:rPr>
          <w:rFonts w:ascii="Arial" w:hAnsi="Arial" w:cs="Arial"/>
          <w:sz w:val="24"/>
          <w:szCs w:val="24"/>
        </w:rPr>
        <w:t>str</w:t>
      </w:r>
      <w:r w:rsidR="00485080">
        <w:rPr>
          <w:rFonts w:ascii="Arial" w:hAnsi="Arial" w:cs="Arial"/>
          <w:sz w:val="24"/>
          <w:szCs w:val="24"/>
        </w:rPr>
        <w:t>a</w:t>
      </w:r>
      <w:r w:rsidRPr="003D1FBA">
        <w:rPr>
          <w:rFonts w:ascii="Arial" w:hAnsi="Arial" w:cs="Arial"/>
          <w:sz w:val="24"/>
          <w:szCs w:val="24"/>
        </w:rPr>
        <w:t>s de m</w:t>
      </w:r>
      <w:r w:rsidR="00485080">
        <w:rPr>
          <w:rFonts w:ascii="Arial" w:hAnsi="Arial" w:cs="Arial"/>
          <w:sz w:val="24"/>
          <w:szCs w:val="24"/>
        </w:rPr>
        <w:t>e</w:t>
      </w:r>
      <w:r w:rsidRPr="003D1FBA">
        <w:rPr>
          <w:rFonts w:ascii="Arial" w:hAnsi="Arial" w:cs="Arial"/>
          <w:sz w:val="24"/>
          <w:szCs w:val="24"/>
        </w:rPr>
        <w:t>d</w:t>
      </w:r>
      <w:r w:rsidR="00485080">
        <w:rPr>
          <w:rFonts w:ascii="Arial" w:hAnsi="Arial" w:cs="Arial"/>
          <w:sz w:val="24"/>
          <w:szCs w:val="24"/>
        </w:rPr>
        <w:t>id</w:t>
      </w:r>
      <w:r w:rsidRPr="003D1FBA">
        <w:rPr>
          <w:rFonts w:ascii="Arial" w:hAnsi="Arial" w:cs="Arial"/>
          <w:sz w:val="24"/>
          <w:szCs w:val="24"/>
        </w:rPr>
        <w:t>a n&lt;50.</w:t>
      </w:r>
    </w:p>
    <w:p w:rsidR="00E824EE" w:rsidRPr="003D1FBA" w:rsidRDefault="00583641" w:rsidP="00E824EE">
      <w:pPr>
        <w:spacing w:line="360" w:lineRule="auto"/>
        <w:jc w:val="both"/>
        <w:rPr>
          <w:rFonts w:ascii="Arial" w:hAnsi="Arial" w:cs="Arial"/>
          <w:sz w:val="24"/>
          <w:szCs w:val="24"/>
        </w:rPr>
      </w:pPr>
      <w:r>
        <w:rPr>
          <w:rFonts w:ascii="Arial" w:hAnsi="Arial" w:cs="Arial"/>
          <w:sz w:val="24"/>
          <w:szCs w:val="24"/>
        </w:rPr>
        <w:t>Para</w:t>
      </w:r>
      <w:r w:rsidR="00E824EE" w:rsidRPr="003D1FBA">
        <w:rPr>
          <w:rFonts w:ascii="Arial" w:hAnsi="Arial" w:cs="Arial"/>
          <w:sz w:val="24"/>
          <w:szCs w:val="24"/>
        </w:rPr>
        <w:t xml:space="preserve"> buscar la significació</w:t>
      </w:r>
      <w:r w:rsidR="00485080">
        <w:rPr>
          <w:rFonts w:ascii="Arial" w:hAnsi="Arial" w:cs="Arial"/>
          <w:sz w:val="24"/>
          <w:szCs w:val="24"/>
        </w:rPr>
        <w:t>n</w:t>
      </w:r>
      <w:r w:rsidR="00E824EE" w:rsidRPr="003D1FBA">
        <w:rPr>
          <w:rFonts w:ascii="Arial" w:hAnsi="Arial" w:cs="Arial"/>
          <w:sz w:val="24"/>
          <w:szCs w:val="24"/>
        </w:rPr>
        <w:t xml:space="preserve"> </w:t>
      </w:r>
      <w:r w:rsidR="00AB04D7" w:rsidRPr="003D1FBA">
        <w:rPr>
          <w:rFonts w:ascii="Arial" w:hAnsi="Arial" w:cs="Arial"/>
          <w:sz w:val="24"/>
          <w:szCs w:val="24"/>
        </w:rPr>
        <w:t>en la R</w:t>
      </w:r>
      <w:r w:rsidR="00485080">
        <w:rPr>
          <w:rFonts w:ascii="Arial" w:hAnsi="Arial" w:cs="Arial"/>
          <w:sz w:val="24"/>
          <w:szCs w:val="24"/>
        </w:rPr>
        <w:t>a</w:t>
      </w:r>
      <w:r w:rsidR="00AB04D7" w:rsidRPr="003D1FBA">
        <w:rPr>
          <w:rFonts w:ascii="Arial" w:hAnsi="Arial" w:cs="Arial"/>
          <w:sz w:val="24"/>
          <w:szCs w:val="24"/>
        </w:rPr>
        <w:t>tio I/Q</w:t>
      </w:r>
      <w:r w:rsidR="001105D5" w:rsidRPr="003D1FBA">
        <w:rPr>
          <w:rFonts w:ascii="Arial" w:hAnsi="Arial" w:cs="Arial"/>
          <w:sz w:val="24"/>
          <w:szCs w:val="24"/>
        </w:rPr>
        <w:t>,</w:t>
      </w:r>
      <w:r w:rsidR="00AB04D7" w:rsidRPr="003D1FBA">
        <w:rPr>
          <w:rFonts w:ascii="Arial" w:hAnsi="Arial" w:cs="Arial"/>
          <w:sz w:val="24"/>
          <w:szCs w:val="24"/>
        </w:rPr>
        <w:t xml:space="preserve"> en la f</w:t>
      </w:r>
      <w:r w:rsidR="00485080">
        <w:rPr>
          <w:rFonts w:ascii="Arial" w:hAnsi="Arial" w:cs="Arial"/>
          <w:sz w:val="24"/>
          <w:szCs w:val="24"/>
        </w:rPr>
        <w:t>uerz</w:t>
      </w:r>
      <w:r w:rsidR="00AB04D7" w:rsidRPr="003D1FBA">
        <w:rPr>
          <w:rFonts w:ascii="Arial" w:hAnsi="Arial" w:cs="Arial"/>
          <w:sz w:val="24"/>
          <w:szCs w:val="24"/>
        </w:rPr>
        <w:t>a muscular</w:t>
      </w:r>
      <w:r w:rsidR="001105D5" w:rsidRPr="003D1FBA">
        <w:rPr>
          <w:rFonts w:ascii="Arial" w:hAnsi="Arial" w:cs="Arial"/>
          <w:sz w:val="24"/>
          <w:szCs w:val="24"/>
        </w:rPr>
        <w:t xml:space="preserve"> </w:t>
      </w:r>
      <w:r w:rsidR="00485080">
        <w:rPr>
          <w:rFonts w:ascii="Arial" w:hAnsi="Arial" w:cs="Arial"/>
          <w:sz w:val="24"/>
          <w:szCs w:val="24"/>
        </w:rPr>
        <w:t>y</w:t>
      </w:r>
      <w:r w:rsidR="001105D5" w:rsidRPr="003D1FBA">
        <w:rPr>
          <w:rFonts w:ascii="Arial" w:hAnsi="Arial" w:cs="Arial"/>
          <w:sz w:val="24"/>
          <w:szCs w:val="24"/>
        </w:rPr>
        <w:t xml:space="preserve"> en el RPE</w:t>
      </w:r>
      <w:r w:rsidR="00AB04D7" w:rsidRPr="003D1FBA">
        <w:rPr>
          <w:rFonts w:ascii="Arial" w:hAnsi="Arial" w:cs="Arial"/>
          <w:sz w:val="24"/>
          <w:szCs w:val="24"/>
        </w:rPr>
        <w:t xml:space="preserve"> pre-pos</w:t>
      </w:r>
      <w:r w:rsidR="00665D8D" w:rsidRPr="003D1FBA">
        <w:rPr>
          <w:rFonts w:ascii="Arial" w:hAnsi="Arial" w:cs="Arial"/>
          <w:sz w:val="24"/>
          <w:szCs w:val="24"/>
        </w:rPr>
        <w:t>t</w:t>
      </w:r>
      <w:r w:rsidR="00AB04D7" w:rsidRPr="003D1FBA">
        <w:rPr>
          <w:rFonts w:ascii="Arial" w:hAnsi="Arial" w:cs="Arial"/>
          <w:sz w:val="24"/>
          <w:szCs w:val="24"/>
        </w:rPr>
        <w:t xml:space="preserve"> 30-15</w:t>
      </w:r>
      <w:r w:rsidR="00665D8D" w:rsidRPr="003D1FBA">
        <w:rPr>
          <w:rFonts w:ascii="Arial" w:hAnsi="Arial" w:cs="Arial"/>
          <w:sz w:val="24"/>
          <w:szCs w:val="24"/>
        </w:rPr>
        <w:t xml:space="preserve"> </w:t>
      </w:r>
      <w:r w:rsidR="00AB04D7" w:rsidRPr="003D1FBA">
        <w:rPr>
          <w:rFonts w:ascii="Arial" w:hAnsi="Arial" w:cs="Arial"/>
          <w:sz w:val="24"/>
          <w:szCs w:val="24"/>
        </w:rPr>
        <w:t>IFT</w:t>
      </w:r>
      <w:r w:rsidR="00245EC2" w:rsidRPr="003D1FBA">
        <w:rPr>
          <w:rFonts w:ascii="Arial" w:hAnsi="Arial" w:cs="Arial"/>
          <w:sz w:val="24"/>
          <w:szCs w:val="24"/>
        </w:rPr>
        <w:t xml:space="preserve"> </w:t>
      </w:r>
      <w:r w:rsidR="00485080">
        <w:rPr>
          <w:rFonts w:ascii="Arial" w:hAnsi="Arial" w:cs="Arial"/>
          <w:sz w:val="24"/>
          <w:szCs w:val="24"/>
        </w:rPr>
        <w:t>se hizo</w:t>
      </w:r>
      <w:r w:rsidR="00245EC2" w:rsidRPr="003D1FBA">
        <w:rPr>
          <w:rFonts w:ascii="Arial" w:hAnsi="Arial" w:cs="Arial"/>
          <w:sz w:val="24"/>
          <w:szCs w:val="24"/>
        </w:rPr>
        <w:t xml:space="preserve"> </w:t>
      </w:r>
      <w:r w:rsidR="00E824EE" w:rsidRPr="003D1FBA">
        <w:rPr>
          <w:rFonts w:ascii="Arial" w:hAnsi="Arial" w:cs="Arial"/>
          <w:sz w:val="24"/>
          <w:szCs w:val="24"/>
        </w:rPr>
        <w:t>una t-student p</w:t>
      </w:r>
      <w:r w:rsidR="00485080">
        <w:rPr>
          <w:rFonts w:ascii="Arial" w:hAnsi="Arial" w:cs="Arial"/>
          <w:sz w:val="24"/>
          <w:szCs w:val="24"/>
        </w:rPr>
        <w:t>a</w:t>
      </w:r>
      <w:r w:rsidR="00E824EE" w:rsidRPr="003D1FBA">
        <w:rPr>
          <w:rFonts w:ascii="Arial" w:hAnsi="Arial" w:cs="Arial"/>
          <w:sz w:val="24"/>
          <w:szCs w:val="24"/>
        </w:rPr>
        <w:t>r</w:t>
      </w:r>
      <w:r w:rsidR="00485080">
        <w:rPr>
          <w:rFonts w:ascii="Arial" w:hAnsi="Arial" w:cs="Arial"/>
          <w:sz w:val="24"/>
          <w:szCs w:val="24"/>
        </w:rPr>
        <w:t>a</w:t>
      </w:r>
      <w:r w:rsidR="00E824EE" w:rsidRPr="003D1FBA">
        <w:rPr>
          <w:rFonts w:ascii="Arial" w:hAnsi="Arial" w:cs="Arial"/>
          <w:sz w:val="24"/>
          <w:szCs w:val="24"/>
        </w:rPr>
        <w:t xml:space="preserve"> m</w:t>
      </w:r>
      <w:r w:rsidR="00485080">
        <w:rPr>
          <w:rFonts w:ascii="Arial" w:hAnsi="Arial" w:cs="Arial"/>
          <w:sz w:val="24"/>
          <w:szCs w:val="24"/>
        </w:rPr>
        <w:t>uestra</w:t>
      </w:r>
      <w:r w:rsidR="00E824EE" w:rsidRPr="003D1FBA">
        <w:rPr>
          <w:rFonts w:ascii="Arial" w:hAnsi="Arial" w:cs="Arial"/>
          <w:sz w:val="24"/>
          <w:szCs w:val="24"/>
        </w:rPr>
        <w:t xml:space="preserve">s </w:t>
      </w:r>
      <w:r w:rsidR="00E824EE" w:rsidRPr="008B7D3A">
        <w:rPr>
          <w:rFonts w:ascii="Arial" w:hAnsi="Arial" w:cs="Arial"/>
          <w:sz w:val="24"/>
          <w:szCs w:val="24"/>
        </w:rPr>
        <w:t>depend</w:t>
      </w:r>
      <w:r w:rsidR="008B7D3A" w:rsidRPr="008B7D3A">
        <w:rPr>
          <w:rFonts w:ascii="Arial" w:hAnsi="Arial" w:cs="Arial"/>
          <w:sz w:val="24"/>
          <w:szCs w:val="24"/>
        </w:rPr>
        <w:t>i</w:t>
      </w:r>
      <w:r w:rsidR="00E824EE" w:rsidRPr="008B7D3A">
        <w:rPr>
          <w:rFonts w:ascii="Arial" w:hAnsi="Arial" w:cs="Arial"/>
          <w:sz w:val="24"/>
          <w:szCs w:val="24"/>
        </w:rPr>
        <w:t>ent</w:t>
      </w:r>
      <w:r w:rsidR="00485080" w:rsidRPr="008B7D3A">
        <w:rPr>
          <w:rFonts w:ascii="Arial" w:hAnsi="Arial" w:cs="Arial"/>
          <w:sz w:val="24"/>
          <w:szCs w:val="24"/>
        </w:rPr>
        <w:t>e</w:t>
      </w:r>
      <w:r w:rsidR="00E824EE" w:rsidRPr="008B7D3A">
        <w:rPr>
          <w:rFonts w:ascii="Arial" w:hAnsi="Arial" w:cs="Arial"/>
          <w:sz w:val="24"/>
          <w:szCs w:val="24"/>
        </w:rPr>
        <w:t>s</w:t>
      </w:r>
      <w:r w:rsidR="00AB04D7" w:rsidRPr="008B7D3A">
        <w:rPr>
          <w:rFonts w:ascii="Arial" w:hAnsi="Arial" w:cs="Arial"/>
          <w:sz w:val="24"/>
          <w:szCs w:val="24"/>
        </w:rPr>
        <w:t>,</w:t>
      </w:r>
      <w:r w:rsidR="00AB04D7" w:rsidRPr="003D1FBA">
        <w:rPr>
          <w:rFonts w:ascii="Arial" w:hAnsi="Arial" w:cs="Arial"/>
          <w:sz w:val="24"/>
          <w:szCs w:val="24"/>
        </w:rPr>
        <w:t xml:space="preserve"> </w:t>
      </w:r>
      <w:r w:rsidR="00485080">
        <w:rPr>
          <w:rFonts w:ascii="Arial" w:hAnsi="Arial" w:cs="Arial"/>
          <w:sz w:val="24"/>
          <w:szCs w:val="24"/>
        </w:rPr>
        <w:t>y</w:t>
      </w:r>
      <w:r w:rsidR="00AB04D7" w:rsidRPr="003D1FBA">
        <w:rPr>
          <w:rFonts w:ascii="Arial" w:hAnsi="Arial" w:cs="Arial"/>
          <w:sz w:val="24"/>
          <w:szCs w:val="24"/>
        </w:rPr>
        <w:t>a que l</w:t>
      </w:r>
      <w:r w:rsidR="00485080">
        <w:rPr>
          <w:rFonts w:ascii="Arial" w:hAnsi="Arial" w:cs="Arial"/>
          <w:sz w:val="24"/>
          <w:szCs w:val="24"/>
        </w:rPr>
        <w:t>a</w:t>
      </w:r>
      <w:r w:rsidR="00AB04D7" w:rsidRPr="003D1FBA">
        <w:rPr>
          <w:rFonts w:ascii="Arial" w:hAnsi="Arial" w:cs="Arial"/>
          <w:sz w:val="24"/>
          <w:szCs w:val="24"/>
        </w:rPr>
        <w:t xml:space="preserve">s </w:t>
      </w:r>
      <w:r w:rsidR="001105D5" w:rsidRPr="003D1FBA">
        <w:rPr>
          <w:rFonts w:ascii="Arial" w:hAnsi="Arial" w:cs="Arial"/>
          <w:sz w:val="24"/>
          <w:szCs w:val="24"/>
        </w:rPr>
        <w:t>tres</w:t>
      </w:r>
      <w:r w:rsidR="00AB04D7" w:rsidRPr="003D1FBA">
        <w:rPr>
          <w:rFonts w:ascii="Arial" w:hAnsi="Arial" w:cs="Arial"/>
          <w:sz w:val="24"/>
          <w:szCs w:val="24"/>
        </w:rPr>
        <w:t xml:space="preserve"> variables segu</w:t>
      </w:r>
      <w:r>
        <w:rPr>
          <w:rFonts w:ascii="Arial" w:hAnsi="Arial" w:cs="Arial"/>
          <w:sz w:val="24"/>
          <w:szCs w:val="24"/>
        </w:rPr>
        <w:t>í</w:t>
      </w:r>
      <w:r w:rsidR="00485080">
        <w:rPr>
          <w:rFonts w:ascii="Arial" w:hAnsi="Arial" w:cs="Arial"/>
          <w:sz w:val="24"/>
          <w:szCs w:val="24"/>
        </w:rPr>
        <w:t>a</w:t>
      </w:r>
      <w:r w:rsidR="00AB04D7" w:rsidRPr="003D1FBA">
        <w:rPr>
          <w:rFonts w:ascii="Arial" w:hAnsi="Arial" w:cs="Arial"/>
          <w:sz w:val="24"/>
          <w:szCs w:val="24"/>
        </w:rPr>
        <w:t>n una distribució</w:t>
      </w:r>
      <w:r>
        <w:rPr>
          <w:rFonts w:ascii="Arial" w:hAnsi="Arial" w:cs="Arial"/>
          <w:sz w:val="24"/>
          <w:szCs w:val="24"/>
        </w:rPr>
        <w:t>n</w:t>
      </w:r>
      <w:r w:rsidR="00AB04D7" w:rsidRPr="003D1FBA">
        <w:rPr>
          <w:rFonts w:ascii="Arial" w:hAnsi="Arial" w:cs="Arial"/>
          <w:sz w:val="24"/>
          <w:szCs w:val="24"/>
        </w:rPr>
        <w:t xml:space="preserve"> normal.</w:t>
      </w:r>
    </w:p>
    <w:p w:rsidR="005C4B83" w:rsidRPr="003D1FBA" w:rsidRDefault="00E824EE" w:rsidP="00C25E21">
      <w:pPr>
        <w:spacing w:line="360" w:lineRule="auto"/>
        <w:jc w:val="both"/>
        <w:rPr>
          <w:rFonts w:ascii="Arial" w:hAnsi="Arial" w:cs="Arial"/>
          <w:sz w:val="24"/>
          <w:szCs w:val="24"/>
        </w:rPr>
      </w:pPr>
      <w:r w:rsidRPr="003D1FBA">
        <w:rPr>
          <w:rFonts w:ascii="Arial" w:hAnsi="Arial" w:cs="Arial"/>
          <w:sz w:val="24"/>
          <w:szCs w:val="24"/>
        </w:rPr>
        <w:t>To</w:t>
      </w:r>
      <w:r w:rsidR="00583641">
        <w:rPr>
          <w:rFonts w:ascii="Arial" w:hAnsi="Arial" w:cs="Arial"/>
          <w:sz w:val="24"/>
          <w:szCs w:val="24"/>
        </w:rPr>
        <w:t>dos</w:t>
      </w:r>
      <w:r w:rsidRPr="003D1FBA">
        <w:rPr>
          <w:rFonts w:ascii="Arial" w:hAnsi="Arial" w:cs="Arial"/>
          <w:sz w:val="24"/>
          <w:szCs w:val="24"/>
        </w:rPr>
        <w:t xml:space="preserve"> l</w:t>
      </w:r>
      <w:r w:rsidR="00583641">
        <w:rPr>
          <w:rFonts w:ascii="Arial" w:hAnsi="Arial" w:cs="Arial"/>
          <w:sz w:val="24"/>
          <w:szCs w:val="24"/>
        </w:rPr>
        <w:t>o</w:t>
      </w:r>
      <w:r w:rsidRPr="003D1FBA">
        <w:rPr>
          <w:rFonts w:ascii="Arial" w:hAnsi="Arial" w:cs="Arial"/>
          <w:sz w:val="24"/>
          <w:szCs w:val="24"/>
        </w:rPr>
        <w:t>s test estadístic</w:t>
      </w:r>
      <w:r w:rsidR="00583641">
        <w:rPr>
          <w:rFonts w:ascii="Arial" w:hAnsi="Arial" w:cs="Arial"/>
          <w:sz w:val="24"/>
          <w:szCs w:val="24"/>
        </w:rPr>
        <w:t>os</w:t>
      </w:r>
      <w:r w:rsidR="00245EC2" w:rsidRPr="003D1FBA">
        <w:rPr>
          <w:rFonts w:ascii="Arial" w:hAnsi="Arial" w:cs="Arial"/>
          <w:sz w:val="24"/>
          <w:szCs w:val="24"/>
        </w:rPr>
        <w:t xml:space="preserve"> </w:t>
      </w:r>
      <w:r w:rsidR="001105D5" w:rsidRPr="003D1FBA">
        <w:rPr>
          <w:rFonts w:ascii="Arial" w:hAnsi="Arial" w:cs="Arial"/>
          <w:sz w:val="24"/>
          <w:szCs w:val="24"/>
        </w:rPr>
        <w:t>s</w:t>
      </w:r>
      <w:r w:rsidR="00583641">
        <w:rPr>
          <w:rFonts w:ascii="Arial" w:hAnsi="Arial" w:cs="Arial"/>
          <w:sz w:val="24"/>
          <w:szCs w:val="24"/>
        </w:rPr>
        <w:t>e</w:t>
      </w:r>
      <w:r w:rsidR="001105D5" w:rsidRPr="003D1FBA">
        <w:rPr>
          <w:rFonts w:ascii="Arial" w:hAnsi="Arial" w:cs="Arial"/>
          <w:sz w:val="24"/>
          <w:szCs w:val="24"/>
        </w:rPr>
        <w:t xml:space="preserve"> fi</w:t>
      </w:r>
      <w:r w:rsidR="00583641">
        <w:rPr>
          <w:rFonts w:ascii="Arial" w:hAnsi="Arial" w:cs="Arial"/>
          <w:sz w:val="24"/>
          <w:szCs w:val="24"/>
        </w:rPr>
        <w:t>j</w:t>
      </w:r>
      <w:r w:rsidR="001105D5" w:rsidRPr="003D1FBA">
        <w:rPr>
          <w:rFonts w:ascii="Arial" w:hAnsi="Arial" w:cs="Arial"/>
          <w:sz w:val="24"/>
          <w:szCs w:val="24"/>
        </w:rPr>
        <w:t>ar</w:t>
      </w:r>
      <w:r w:rsidR="00583641">
        <w:rPr>
          <w:rFonts w:ascii="Arial" w:hAnsi="Arial" w:cs="Arial"/>
          <w:sz w:val="24"/>
          <w:szCs w:val="24"/>
        </w:rPr>
        <w:t>on</w:t>
      </w:r>
      <w:r w:rsidR="0087310B" w:rsidRPr="003D1FBA">
        <w:rPr>
          <w:rFonts w:ascii="Arial" w:hAnsi="Arial" w:cs="Arial"/>
          <w:sz w:val="24"/>
          <w:szCs w:val="24"/>
        </w:rPr>
        <w:t xml:space="preserve"> </w:t>
      </w:r>
      <w:r w:rsidR="00583641">
        <w:rPr>
          <w:rFonts w:ascii="Arial" w:hAnsi="Arial" w:cs="Arial"/>
          <w:sz w:val="24"/>
          <w:szCs w:val="24"/>
        </w:rPr>
        <w:t xml:space="preserve">con </w:t>
      </w:r>
      <w:r w:rsidRPr="003D1FBA">
        <w:rPr>
          <w:rFonts w:ascii="Arial" w:hAnsi="Arial" w:cs="Arial"/>
          <w:sz w:val="24"/>
          <w:szCs w:val="24"/>
        </w:rPr>
        <w:t>un nivel de significació</w:t>
      </w:r>
      <w:r w:rsidR="00583641">
        <w:rPr>
          <w:rFonts w:ascii="Arial" w:hAnsi="Arial" w:cs="Arial"/>
          <w:sz w:val="24"/>
          <w:szCs w:val="24"/>
        </w:rPr>
        <w:t>n</w:t>
      </w:r>
      <w:r w:rsidRPr="003D1FBA">
        <w:rPr>
          <w:rFonts w:ascii="Arial" w:hAnsi="Arial" w:cs="Arial"/>
          <w:sz w:val="24"/>
          <w:szCs w:val="24"/>
        </w:rPr>
        <w:t xml:space="preserve"> de α ≤ 0,05.</w:t>
      </w:r>
    </w:p>
    <w:p w:rsidR="00053B6F" w:rsidRPr="003D1FBA" w:rsidRDefault="00053B6F" w:rsidP="00053B6F">
      <w:pPr>
        <w:pStyle w:val="Ttol2"/>
        <w:spacing w:line="360" w:lineRule="auto"/>
      </w:pPr>
      <w:r w:rsidRPr="003D1FBA">
        <w:t>Consideracion</w:t>
      </w:r>
      <w:r w:rsidR="00583641">
        <w:t>e</w:t>
      </w:r>
      <w:r w:rsidRPr="003D1FBA">
        <w:t xml:space="preserve">s </w:t>
      </w:r>
      <w:r w:rsidR="00583641">
        <w:t>é</w:t>
      </w:r>
      <w:r w:rsidRPr="003D1FBA">
        <w:t>ti</w:t>
      </w:r>
      <w:r w:rsidR="00583641">
        <w:t>ca</w:t>
      </w:r>
      <w:r w:rsidRPr="003D1FBA">
        <w:t>s</w:t>
      </w:r>
    </w:p>
    <w:p w:rsidR="00053B6F" w:rsidRPr="003D1FBA" w:rsidRDefault="00583641" w:rsidP="00053B6F">
      <w:pPr>
        <w:spacing w:line="360" w:lineRule="auto"/>
        <w:jc w:val="both"/>
        <w:rPr>
          <w:rFonts w:ascii="Arial" w:eastAsiaTheme="majorEastAsia" w:hAnsi="Arial" w:cs="Arial"/>
          <w:bCs/>
          <w:sz w:val="24"/>
          <w:szCs w:val="24"/>
        </w:rPr>
      </w:pPr>
      <w:r>
        <w:rPr>
          <w:rFonts w:ascii="Arial" w:eastAsiaTheme="majorEastAsia" w:hAnsi="Arial" w:cs="Arial"/>
          <w:bCs/>
          <w:sz w:val="24"/>
          <w:szCs w:val="24"/>
        </w:rPr>
        <w:t xml:space="preserve">El </w:t>
      </w:r>
      <w:r w:rsidR="00053B6F" w:rsidRPr="003D1FBA">
        <w:rPr>
          <w:rFonts w:ascii="Arial" w:eastAsiaTheme="majorEastAsia" w:hAnsi="Arial" w:cs="Arial"/>
          <w:bCs/>
          <w:sz w:val="24"/>
          <w:szCs w:val="24"/>
        </w:rPr>
        <w:t>estudi</w:t>
      </w:r>
      <w:r>
        <w:rPr>
          <w:rFonts w:ascii="Arial" w:eastAsiaTheme="majorEastAsia" w:hAnsi="Arial" w:cs="Arial"/>
          <w:bCs/>
          <w:sz w:val="24"/>
          <w:szCs w:val="24"/>
        </w:rPr>
        <w:t>o fue</w:t>
      </w:r>
      <w:r w:rsidR="00053B6F" w:rsidRPr="003D1FBA">
        <w:rPr>
          <w:rFonts w:ascii="Arial" w:eastAsiaTheme="majorEastAsia" w:hAnsi="Arial" w:cs="Arial"/>
          <w:bCs/>
          <w:sz w:val="24"/>
          <w:szCs w:val="24"/>
        </w:rPr>
        <w:t xml:space="preserve"> presenta</w:t>
      </w:r>
      <w:r>
        <w:rPr>
          <w:rFonts w:ascii="Arial" w:eastAsiaTheme="majorEastAsia" w:hAnsi="Arial" w:cs="Arial"/>
          <w:bCs/>
          <w:sz w:val="24"/>
          <w:szCs w:val="24"/>
        </w:rPr>
        <w:t>do</w:t>
      </w:r>
      <w:r w:rsidR="00053B6F" w:rsidRPr="003D1FBA">
        <w:rPr>
          <w:rFonts w:ascii="Arial" w:eastAsiaTheme="majorEastAsia" w:hAnsi="Arial" w:cs="Arial"/>
          <w:bCs/>
          <w:sz w:val="24"/>
          <w:szCs w:val="24"/>
        </w:rPr>
        <w:t xml:space="preserve"> </w:t>
      </w:r>
      <w:r>
        <w:rPr>
          <w:rFonts w:ascii="Arial" w:eastAsiaTheme="majorEastAsia" w:hAnsi="Arial" w:cs="Arial"/>
          <w:bCs/>
          <w:sz w:val="24"/>
          <w:szCs w:val="24"/>
        </w:rPr>
        <w:t>y</w:t>
      </w:r>
      <w:r w:rsidR="00053B6F" w:rsidRPr="003D1FBA">
        <w:rPr>
          <w:rFonts w:ascii="Arial" w:eastAsiaTheme="majorEastAsia" w:hAnsi="Arial" w:cs="Arial"/>
          <w:bCs/>
          <w:sz w:val="24"/>
          <w:szCs w:val="24"/>
        </w:rPr>
        <w:t xml:space="preserve"> acepta</w:t>
      </w:r>
      <w:r>
        <w:rPr>
          <w:rFonts w:ascii="Arial" w:eastAsiaTheme="majorEastAsia" w:hAnsi="Arial" w:cs="Arial"/>
          <w:bCs/>
          <w:sz w:val="24"/>
          <w:szCs w:val="24"/>
        </w:rPr>
        <w:t>do</w:t>
      </w:r>
      <w:r w:rsidR="00053B6F" w:rsidRPr="003D1FBA">
        <w:rPr>
          <w:rFonts w:ascii="Arial" w:eastAsiaTheme="majorEastAsia" w:hAnsi="Arial" w:cs="Arial"/>
          <w:bCs/>
          <w:sz w:val="24"/>
          <w:szCs w:val="24"/>
        </w:rPr>
        <w:t xml:space="preserve"> p</w:t>
      </w:r>
      <w:r>
        <w:rPr>
          <w:rFonts w:ascii="Arial" w:eastAsiaTheme="majorEastAsia" w:hAnsi="Arial" w:cs="Arial"/>
          <w:bCs/>
          <w:sz w:val="24"/>
          <w:szCs w:val="24"/>
        </w:rPr>
        <w:t>or el</w:t>
      </w:r>
      <w:r w:rsidR="00053B6F" w:rsidRPr="003D1FBA">
        <w:rPr>
          <w:rFonts w:ascii="Arial" w:eastAsiaTheme="majorEastAsia" w:hAnsi="Arial" w:cs="Arial"/>
          <w:bCs/>
          <w:sz w:val="24"/>
          <w:szCs w:val="24"/>
        </w:rPr>
        <w:t xml:space="preserve"> Comit</w:t>
      </w:r>
      <w:r>
        <w:rPr>
          <w:rFonts w:ascii="Arial" w:eastAsiaTheme="majorEastAsia" w:hAnsi="Arial" w:cs="Arial"/>
          <w:bCs/>
          <w:sz w:val="24"/>
          <w:szCs w:val="24"/>
        </w:rPr>
        <w:t>é</w:t>
      </w:r>
      <w:r w:rsidR="00053B6F" w:rsidRPr="003D1FBA">
        <w:rPr>
          <w:rFonts w:ascii="Arial" w:eastAsiaTheme="majorEastAsia" w:hAnsi="Arial" w:cs="Arial"/>
          <w:bCs/>
          <w:sz w:val="24"/>
          <w:szCs w:val="24"/>
        </w:rPr>
        <w:t xml:space="preserve"> d</w:t>
      </w:r>
      <w:r>
        <w:rPr>
          <w:rFonts w:ascii="Arial" w:eastAsiaTheme="majorEastAsia" w:hAnsi="Arial" w:cs="Arial"/>
          <w:bCs/>
          <w:sz w:val="24"/>
          <w:szCs w:val="24"/>
        </w:rPr>
        <w:t>e É</w:t>
      </w:r>
      <w:r w:rsidR="00053B6F" w:rsidRPr="003D1FBA">
        <w:rPr>
          <w:rFonts w:ascii="Arial" w:eastAsiaTheme="majorEastAsia" w:hAnsi="Arial" w:cs="Arial"/>
          <w:bCs/>
          <w:sz w:val="24"/>
          <w:szCs w:val="24"/>
        </w:rPr>
        <w:t>tica de la Recerca de la Faculta</w:t>
      </w:r>
      <w:r>
        <w:rPr>
          <w:rFonts w:ascii="Arial" w:eastAsiaTheme="majorEastAsia" w:hAnsi="Arial" w:cs="Arial"/>
          <w:bCs/>
          <w:sz w:val="24"/>
          <w:szCs w:val="24"/>
        </w:rPr>
        <w:t>d</w:t>
      </w:r>
      <w:r w:rsidR="00053B6F" w:rsidRPr="003D1FBA">
        <w:rPr>
          <w:rFonts w:ascii="Arial" w:eastAsiaTheme="majorEastAsia" w:hAnsi="Arial" w:cs="Arial"/>
          <w:bCs/>
          <w:sz w:val="24"/>
          <w:szCs w:val="24"/>
        </w:rPr>
        <w:t xml:space="preserve"> de Ci</w:t>
      </w:r>
      <w:r>
        <w:rPr>
          <w:rFonts w:ascii="Arial" w:eastAsiaTheme="majorEastAsia" w:hAnsi="Arial" w:cs="Arial"/>
          <w:bCs/>
          <w:sz w:val="24"/>
          <w:szCs w:val="24"/>
        </w:rPr>
        <w:t>e</w:t>
      </w:r>
      <w:r w:rsidR="00053B6F" w:rsidRPr="003D1FBA">
        <w:rPr>
          <w:rFonts w:ascii="Arial" w:eastAsiaTheme="majorEastAsia" w:hAnsi="Arial" w:cs="Arial"/>
          <w:bCs/>
          <w:sz w:val="24"/>
          <w:szCs w:val="24"/>
        </w:rPr>
        <w:t>nci</w:t>
      </w:r>
      <w:r>
        <w:rPr>
          <w:rFonts w:ascii="Arial" w:eastAsiaTheme="majorEastAsia" w:hAnsi="Arial" w:cs="Arial"/>
          <w:bCs/>
          <w:sz w:val="24"/>
          <w:szCs w:val="24"/>
        </w:rPr>
        <w:t>a</w:t>
      </w:r>
      <w:r w:rsidR="00053B6F" w:rsidRPr="003D1FBA">
        <w:rPr>
          <w:rFonts w:ascii="Arial" w:eastAsiaTheme="majorEastAsia" w:hAnsi="Arial" w:cs="Arial"/>
          <w:bCs/>
          <w:sz w:val="24"/>
          <w:szCs w:val="24"/>
        </w:rPr>
        <w:t>s de la Salu</w:t>
      </w:r>
      <w:r>
        <w:rPr>
          <w:rFonts w:ascii="Arial" w:eastAsiaTheme="majorEastAsia" w:hAnsi="Arial" w:cs="Arial"/>
          <w:bCs/>
          <w:sz w:val="24"/>
          <w:szCs w:val="24"/>
        </w:rPr>
        <w:t>d</w:t>
      </w:r>
      <w:r w:rsidR="00053B6F" w:rsidRPr="003D1FBA">
        <w:rPr>
          <w:rFonts w:ascii="Arial" w:eastAsiaTheme="majorEastAsia" w:hAnsi="Arial" w:cs="Arial"/>
          <w:bCs/>
          <w:sz w:val="24"/>
          <w:szCs w:val="24"/>
        </w:rPr>
        <w:t xml:space="preserve"> Blanquerna (CER-FCSB) </w:t>
      </w:r>
      <w:r>
        <w:rPr>
          <w:rFonts w:ascii="Arial" w:eastAsiaTheme="majorEastAsia" w:hAnsi="Arial" w:cs="Arial"/>
          <w:bCs/>
          <w:sz w:val="24"/>
          <w:szCs w:val="24"/>
        </w:rPr>
        <w:t>y</w:t>
      </w:r>
      <w:r w:rsidR="00053B6F" w:rsidRPr="003D1FBA">
        <w:rPr>
          <w:rFonts w:ascii="Arial" w:eastAsiaTheme="majorEastAsia" w:hAnsi="Arial" w:cs="Arial"/>
          <w:bCs/>
          <w:sz w:val="24"/>
          <w:szCs w:val="24"/>
        </w:rPr>
        <w:t xml:space="preserve"> c</w:t>
      </w:r>
      <w:r>
        <w:rPr>
          <w:rFonts w:ascii="Arial" w:eastAsiaTheme="majorEastAsia" w:hAnsi="Arial" w:cs="Arial"/>
          <w:bCs/>
          <w:sz w:val="24"/>
          <w:szCs w:val="24"/>
        </w:rPr>
        <w:t>umple</w:t>
      </w:r>
      <w:r w:rsidR="00053B6F" w:rsidRPr="003D1FBA">
        <w:rPr>
          <w:rFonts w:ascii="Arial" w:eastAsiaTheme="majorEastAsia" w:hAnsi="Arial" w:cs="Arial"/>
          <w:bCs/>
          <w:sz w:val="24"/>
          <w:szCs w:val="24"/>
        </w:rPr>
        <w:t xml:space="preserve"> </w:t>
      </w:r>
      <w:r>
        <w:rPr>
          <w:rFonts w:ascii="Arial" w:eastAsiaTheme="majorEastAsia" w:hAnsi="Arial" w:cs="Arial"/>
          <w:bCs/>
          <w:sz w:val="24"/>
          <w:szCs w:val="24"/>
        </w:rPr>
        <w:t>lo</w:t>
      </w:r>
      <w:r w:rsidR="00053B6F" w:rsidRPr="003D1FBA">
        <w:rPr>
          <w:rFonts w:ascii="Arial" w:eastAsiaTheme="majorEastAsia" w:hAnsi="Arial" w:cs="Arial"/>
          <w:bCs/>
          <w:sz w:val="24"/>
          <w:szCs w:val="24"/>
        </w:rPr>
        <w:t>s principi</w:t>
      </w:r>
      <w:r>
        <w:rPr>
          <w:rFonts w:ascii="Arial" w:eastAsiaTheme="majorEastAsia" w:hAnsi="Arial" w:cs="Arial"/>
          <w:bCs/>
          <w:sz w:val="24"/>
          <w:szCs w:val="24"/>
        </w:rPr>
        <w:t>o</w:t>
      </w:r>
      <w:r w:rsidR="00053B6F" w:rsidRPr="003D1FBA">
        <w:rPr>
          <w:rFonts w:ascii="Arial" w:eastAsiaTheme="majorEastAsia" w:hAnsi="Arial" w:cs="Arial"/>
          <w:bCs/>
          <w:sz w:val="24"/>
          <w:szCs w:val="24"/>
        </w:rPr>
        <w:t>s de la declaració</w:t>
      </w:r>
      <w:r>
        <w:rPr>
          <w:rFonts w:ascii="Arial" w:eastAsiaTheme="majorEastAsia" w:hAnsi="Arial" w:cs="Arial"/>
          <w:bCs/>
          <w:sz w:val="24"/>
          <w:szCs w:val="24"/>
        </w:rPr>
        <w:t>n</w:t>
      </w:r>
      <w:r w:rsidR="00053B6F" w:rsidRPr="003D1FBA">
        <w:rPr>
          <w:rFonts w:ascii="Arial" w:eastAsiaTheme="majorEastAsia" w:hAnsi="Arial" w:cs="Arial"/>
          <w:bCs/>
          <w:sz w:val="24"/>
          <w:szCs w:val="24"/>
        </w:rPr>
        <w:t xml:space="preserve"> de Helsinki del 1975 revisada </w:t>
      </w:r>
      <w:r>
        <w:rPr>
          <w:rFonts w:ascii="Arial" w:eastAsiaTheme="majorEastAsia" w:hAnsi="Arial" w:cs="Arial"/>
          <w:bCs/>
          <w:sz w:val="24"/>
          <w:szCs w:val="24"/>
        </w:rPr>
        <w:t>e</w:t>
      </w:r>
      <w:r w:rsidR="00053B6F" w:rsidRPr="003D1FBA">
        <w:rPr>
          <w:rFonts w:ascii="Arial" w:eastAsiaTheme="majorEastAsia" w:hAnsi="Arial" w:cs="Arial"/>
          <w:bCs/>
          <w:sz w:val="24"/>
          <w:szCs w:val="24"/>
        </w:rPr>
        <w:t>l 1983.</w:t>
      </w:r>
    </w:p>
    <w:p w:rsidR="00053B6F" w:rsidRPr="003D1FBA" w:rsidRDefault="00583641" w:rsidP="00C25E21">
      <w:pPr>
        <w:spacing w:line="360" w:lineRule="auto"/>
        <w:jc w:val="both"/>
        <w:rPr>
          <w:rFonts w:ascii="Arial" w:eastAsiaTheme="majorEastAsia" w:hAnsi="Arial" w:cs="Arial"/>
          <w:bCs/>
          <w:sz w:val="24"/>
          <w:szCs w:val="24"/>
        </w:rPr>
      </w:pPr>
      <w:r>
        <w:rPr>
          <w:rFonts w:ascii="Arial" w:eastAsiaTheme="majorEastAsia" w:hAnsi="Arial" w:cs="Arial"/>
          <w:bCs/>
          <w:sz w:val="24"/>
          <w:szCs w:val="24"/>
        </w:rPr>
        <w:t>Se</w:t>
      </w:r>
      <w:r w:rsidR="002B7938" w:rsidRPr="003D1FBA">
        <w:rPr>
          <w:rFonts w:ascii="Arial" w:eastAsiaTheme="majorEastAsia" w:hAnsi="Arial" w:cs="Arial"/>
          <w:bCs/>
          <w:sz w:val="24"/>
          <w:szCs w:val="24"/>
        </w:rPr>
        <w:t xml:space="preserve"> present</w:t>
      </w:r>
      <w:r>
        <w:rPr>
          <w:rFonts w:ascii="Arial" w:eastAsiaTheme="majorEastAsia" w:hAnsi="Arial" w:cs="Arial"/>
          <w:bCs/>
          <w:sz w:val="24"/>
          <w:szCs w:val="24"/>
        </w:rPr>
        <w:t>ó</w:t>
      </w:r>
      <w:r w:rsidR="002B7938" w:rsidRPr="003D1FBA">
        <w:rPr>
          <w:rFonts w:ascii="Arial" w:eastAsiaTheme="majorEastAsia" w:hAnsi="Arial" w:cs="Arial"/>
          <w:bCs/>
          <w:sz w:val="24"/>
          <w:szCs w:val="24"/>
        </w:rPr>
        <w:t xml:space="preserve"> un</w:t>
      </w:r>
      <w:r>
        <w:rPr>
          <w:rFonts w:ascii="Arial" w:eastAsiaTheme="majorEastAsia" w:hAnsi="Arial" w:cs="Arial"/>
          <w:bCs/>
          <w:sz w:val="24"/>
          <w:szCs w:val="24"/>
        </w:rPr>
        <w:t>a</w:t>
      </w:r>
      <w:r w:rsidR="002B7938" w:rsidRPr="003D1FBA">
        <w:rPr>
          <w:rFonts w:ascii="Arial" w:eastAsiaTheme="majorEastAsia" w:hAnsi="Arial" w:cs="Arial"/>
          <w:bCs/>
          <w:sz w:val="24"/>
          <w:szCs w:val="24"/>
        </w:rPr>
        <w:t xml:space="preserve"> </w:t>
      </w:r>
      <w:r>
        <w:rPr>
          <w:rFonts w:ascii="Arial" w:eastAsiaTheme="majorEastAsia" w:hAnsi="Arial" w:cs="Arial"/>
          <w:bCs/>
          <w:sz w:val="24"/>
          <w:szCs w:val="24"/>
        </w:rPr>
        <w:t>hoja</w:t>
      </w:r>
      <w:r w:rsidR="002B7938" w:rsidRPr="003D1FBA">
        <w:rPr>
          <w:rFonts w:ascii="Arial" w:eastAsiaTheme="majorEastAsia" w:hAnsi="Arial" w:cs="Arial"/>
          <w:bCs/>
          <w:sz w:val="24"/>
          <w:szCs w:val="24"/>
        </w:rPr>
        <w:t xml:space="preserve"> informati</w:t>
      </w:r>
      <w:r>
        <w:rPr>
          <w:rFonts w:ascii="Arial" w:eastAsiaTheme="majorEastAsia" w:hAnsi="Arial" w:cs="Arial"/>
          <w:bCs/>
          <w:sz w:val="24"/>
          <w:szCs w:val="24"/>
        </w:rPr>
        <w:t>va</w:t>
      </w:r>
      <w:r w:rsidR="002B7938" w:rsidRPr="003D1FBA">
        <w:rPr>
          <w:rFonts w:ascii="Arial" w:eastAsiaTheme="majorEastAsia" w:hAnsi="Arial" w:cs="Arial"/>
          <w:bCs/>
          <w:sz w:val="24"/>
          <w:szCs w:val="24"/>
        </w:rPr>
        <w:t xml:space="preserve"> acompa</w:t>
      </w:r>
      <w:r>
        <w:rPr>
          <w:rFonts w:ascii="Arial" w:eastAsiaTheme="majorEastAsia" w:hAnsi="Arial" w:cs="Arial"/>
          <w:bCs/>
          <w:sz w:val="24"/>
          <w:szCs w:val="24"/>
        </w:rPr>
        <w:t xml:space="preserve">ñada </w:t>
      </w:r>
      <w:r w:rsidR="002B7938" w:rsidRPr="003D1FBA">
        <w:rPr>
          <w:rFonts w:ascii="Arial" w:eastAsiaTheme="majorEastAsia" w:hAnsi="Arial" w:cs="Arial"/>
          <w:bCs/>
          <w:sz w:val="24"/>
          <w:szCs w:val="24"/>
        </w:rPr>
        <w:t>d</w:t>
      </w:r>
      <w:r>
        <w:rPr>
          <w:rFonts w:ascii="Arial" w:eastAsiaTheme="majorEastAsia" w:hAnsi="Arial" w:cs="Arial"/>
          <w:bCs/>
          <w:sz w:val="24"/>
          <w:szCs w:val="24"/>
        </w:rPr>
        <w:t>e u</w:t>
      </w:r>
      <w:r w:rsidR="002B7938" w:rsidRPr="003D1FBA">
        <w:rPr>
          <w:rFonts w:ascii="Arial" w:eastAsiaTheme="majorEastAsia" w:hAnsi="Arial" w:cs="Arial"/>
          <w:bCs/>
          <w:sz w:val="24"/>
          <w:szCs w:val="24"/>
        </w:rPr>
        <w:t xml:space="preserve">n </w:t>
      </w:r>
      <w:r w:rsidRPr="003D1FBA">
        <w:rPr>
          <w:rFonts w:ascii="Arial" w:eastAsiaTheme="majorEastAsia" w:hAnsi="Arial" w:cs="Arial"/>
          <w:bCs/>
          <w:sz w:val="24"/>
          <w:szCs w:val="24"/>
        </w:rPr>
        <w:t>Consentimien</w:t>
      </w:r>
      <w:r>
        <w:rPr>
          <w:rFonts w:ascii="Arial" w:eastAsiaTheme="majorEastAsia" w:hAnsi="Arial" w:cs="Arial"/>
          <w:bCs/>
          <w:sz w:val="24"/>
          <w:szCs w:val="24"/>
        </w:rPr>
        <w:t>to</w:t>
      </w:r>
      <w:r w:rsidR="002B7938" w:rsidRPr="003D1FBA">
        <w:rPr>
          <w:rFonts w:ascii="Arial" w:eastAsiaTheme="majorEastAsia" w:hAnsi="Arial" w:cs="Arial"/>
          <w:bCs/>
          <w:sz w:val="24"/>
          <w:szCs w:val="24"/>
        </w:rPr>
        <w:t xml:space="preserve"> Informa</w:t>
      </w:r>
      <w:r>
        <w:rPr>
          <w:rFonts w:ascii="Arial" w:eastAsiaTheme="majorEastAsia" w:hAnsi="Arial" w:cs="Arial"/>
          <w:bCs/>
          <w:sz w:val="24"/>
          <w:szCs w:val="24"/>
        </w:rPr>
        <w:t>do</w:t>
      </w:r>
      <w:r w:rsidR="002B7938" w:rsidRPr="003D1FBA">
        <w:rPr>
          <w:rFonts w:ascii="Arial" w:eastAsiaTheme="majorEastAsia" w:hAnsi="Arial" w:cs="Arial"/>
          <w:bCs/>
          <w:sz w:val="24"/>
          <w:szCs w:val="24"/>
        </w:rPr>
        <w:t xml:space="preserve"> a l</w:t>
      </w:r>
      <w:r>
        <w:rPr>
          <w:rFonts w:ascii="Arial" w:eastAsiaTheme="majorEastAsia" w:hAnsi="Arial" w:cs="Arial"/>
          <w:bCs/>
          <w:sz w:val="24"/>
          <w:szCs w:val="24"/>
        </w:rPr>
        <w:t>a</w:t>
      </w:r>
      <w:r w:rsidR="002B7938" w:rsidRPr="003D1FBA">
        <w:rPr>
          <w:rFonts w:ascii="Arial" w:eastAsiaTheme="majorEastAsia" w:hAnsi="Arial" w:cs="Arial"/>
          <w:bCs/>
          <w:sz w:val="24"/>
          <w:szCs w:val="24"/>
        </w:rPr>
        <w:t>s jugador</w:t>
      </w:r>
      <w:r>
        <w:rPr>
          <w:rFonts w:ascii="Arial" w:eastAsiaTheme="majorEastAsia" w:hAnsi="Arial" w:cs="Arial"/>
          <w:bCs/>
          <w:sz w:val="24"/>
          <w:szCs w:val="24"/>
        </w:rPr>
        <w:t>a</w:t>
      </w:r>
      <w:r w:rsidR="002B7938" w:rsidRPr="003D1FBA">
        <w:rPr>
          <w:rFonts w:ascii="Arial" w:eastAsiaTheme="majorEastAsia" w:hAnsi="Arial" w:cs="Arial"/>
          <w:bCs/>
          <w:sz w:val="24"/>
          <w:szCs w:val="24"/>
        </w:rPr>
        <w:t xml:space="preserve">s </w:t>
      </w:r>
      <w:r>
        <w:rPr>
          <w:rFonts w:ascii="Arial" w:eastAsiaTheme="majorEastAsia" w:hAnsi="Arial" w:cs="Arial"/>
          <w:bCs/>
          <w:sz w:val="24"/>
          <w:szCs w:val="24"/>
        </w:rPr>
        <w:t>y</w:t>
      </w:r>
      <w:r w:rsidR="002B7938" w:rsidRPr="003D1FBA">
        <w:rPr>
          <w:rFonts w:ascii="Arial" w:eastAsiaTheme="majorEastAsia" w:hAnsi="Arial" w:cs="Arial"/>
          <w:bCs/>
          <w:sz w:val="24"/>
          <w:szCs w:val="24"/>
        </w:rPr>
        <w:t xml:space="preserve"> a sus pares </w:t>
      </w:r>
      <w:r>
        <w:rPr>
          <w:rFonts w:ascii="Arial" w:eastAsiaTheme="majorEastAsia" w:hAnsi="Arial" w:cs="Arial"/>
          <w:bCs/>
          <w:sz w:val="24"/>
          <w:szCs w:val="24"/>
        </w:rPr>
        <w:t>y</w:t>
      </w:r>
      <w:r w:rsidR="002B7938" w:rsidRPr="003D1FBA">
        <w:rPr>
          <w:rFonts w:ascii="Arial" w:eastAsiaTheme="majorEastAsia" w:hAnsi="Arial" w:cs="Arial"/>
          <w:bCs/>
          <w:sz w:val="24"/>
          <w:szCs w:val="24"/>
        </w:rPr>
        <w:t xml:space="preserve">/o tutor legal. </w:t>
      </w:r>
      <w:r>
        <w:rPr>
          <w:rFonts w:ascii="Arial" w:eastAsiaTheme="majorEastAsia" w:hAnsi="Arial" w:cs="Arial"/>
          <w:bCs/>
          <w:sz w:val="24"/>
          <w:szCs w:val="24"/>
        </w:rPr>
        <w:t>Los dos</w:t>
      </w:r>
      <w:r w:rsidR="002B7938" w:rsidRPr="003D1FBA">
        <w:rPr>
          <w:rFonts w:ascii="Arial" w:eastAsiaTheme="majorEastAsia" w:hAnsi="Arial" w:cs="Arial"/>
          <w:bCs/>
          <w:sz w:val="24"/>
          <w:szCs w:val="24"/>
        </w:rPr>
        <w:t xml:space="preserve"> </w:t>
      </w:r>
      <w:r>
        <w:rPr>
          <w:rFonts w:ascii="Arial" w:eastAsiaTheme="majorEastAsia" w:hAnsi="Arial" w:cs="Arial"/>
          <w:bCs/>
          <w:sz w:val="24"/>
          <w:szCs w:val="24"/>
        </w:rPr>
        <w:t>tenían</w:t>
      </w:r>
      <w:r w:rsidR="002B7938" w:rsidRPr="003D1FBA">
        <w:rPr>
          <w:rFonts w:ascii="Arial" w:eastAsiaTheme="majorEastAsia" w:hAnsi="Arial" w:cs="Arial"/>
          <w:bCs/>
          <w:sz w:val="24"/>
          <w:szCs w:val="24"/>
        </w:rPr>
        <w:t xml:space="preserve"> </w:t>
      </w:r>
      <w:r>
        <w:rPr>
          <w:rFonts w:ascii="Arial" w:eastAsiaTheme="majorEastAsia" w:hAnsi="Arial" w:cs="Arial"/>
          <w:bCs/>
          <w:sz w:val="24"/>
          <w:szCs w:val="24"/>
        </w:rPr>
        <w:t>que leer éste</w:t>
      </w:r>
      <w:r w:rsidR="002B7938" w:rsidRPr="003D1FBA">
        <w:rPr>
          <w:rFonts w:ascii="Arial" w:eastAsiaTheme="majorEastAsia" w:hAnsi="Arial" w:cs="Arial"/>
          <w:bCs/>
          <w:sz w:val="24"/>
          <w:szCs w:val="24"/>
        </w:rPr>
        <w:t xml:space="preserve"> </w:t>
      </w:r>
      <w:r>
        <w:rPr>
          <w:rFonts w:ascii="Arial" w:eastAsiaTheme="majorEastAsia" w:hAnsi="Arial" w:cs="Arial"/>
          <w:bCs/>
          <w:sz w:val="24"/>
          <w:szCs w:val="24"/>
        </w:rPr>
        <w:t>y</w:t>
      </w:r>
      <w:r w:rsidR="002B7938" w:rsidRPr="003D1FBA">
        <w:rPr>
          <w:rFonts w:ascii="Arial" w:eastAsiaTheme="majorEastAsia" w:hAnsi="Arial" w:cs="Arial"/>
          <w:bCs/>
          <w:sz w:val="24"/>
          <w:szCs w:val="24"/>
        </w:rPr>
        <w:t xml:space="preserve"> firmarlo conforme acep</w:t>
      </w:r>
      <w:r>
        <w:rPr>
          <w:rFonts w:ascii="Arial" w:eastAsiaTheme="majorEastAsia" w:hAnsi="Arial" w:cs="Arial"/>
          <w:bCs/>
          <w:sz w:val="24"/>
          <w:szCs w:val="24"/>
        </w:rPr>
        <w:t>t</w:t>
      </w:r>
      <w:r w:rsidR="002B7938" w:rsidRPr="003D1FBA">
        <w:rPr>
          <w:rFonts w:ascii="Arial" w:eastAsiaTheme="majorEastAsia" w:hAnsi="Arial" w:cs="Arial"/>
          <w:bCs/>
          <w:sz w:val="24"/>
          <w:szCs w:val="24"/>
        </w:rPr>
        <w:t>a</w:t>
      </w:r>
      <w:r>
        <w:rPr>
          <w:rFonts w:ascii="Arial" w:eastAsiaTheme="majorEastAsia" w:hAnsi="Arial" w:cs="Arial"/>
          <w:bCs/>
          <w:sz w:val="24"/>
          <w:szCs w:val="24"/>
        </w:rPr>
        <w:t>ba</w:t>
      </w:r>
      <w:r w:rsidR="002B7938" w:rsidRPr="003D1FBA">
        <w:rPr>
          <w:rFonts w:ascii="Arial" w:eastAsiaTheme="majorEastAsia" w:hAnsi="Arial" w:cs="Arial"/>
          <w:bCs/>
          <w:sz w:val="24"/>
          <w:szCs w:val="24"/>
        </w:rPr>
        <w:t xml:space="preserve">n participar </w:t>
      </w:r>
      <w:r w:rsidRPr="003D1FBA">
        <w:rPr>
          <w:rFonts w:ascii="Arial" w:eastAsiaTheme="majorEastAsia" w:hAnsi="Arial" w:cs="Arial"/>
          <w:bCs/>
          <w:sz w:val="24"/>
          <w:szCs w:val="24"/>
        </w:rPr>
        <w:t>volunt</w:t>
      </w:r>
      <w:r>
        <w:rPr>
          <w:rFonts w:ascii="Arial" w:eastAsiaTheme="majorEastAsia" w:hAnsi="Arial" w:cs="Arial"/>
          <w:bCs/>
          <w:sz w:val="24"/>
          <w:szCs w:val="24"/>
        </w:rPr>
        <w:t>a</w:t>
      </w:r>
      <w:r w:rsidRPr="003D1FBA">
        <w:rPr>
          <w:rFonts w:ascii="Arial" w:eastAsiaTheme="majorEastAsia" w:hAnsi="Arial" w:cs="Arial"/>
          <w:bCs/>
          <w:sz w:val="24"/>
          <w:szCs w:val="24"/>
        </w:rPr>
        <w:t>riament</w:t>
      </w:r>
      <w:r>
        <w:rPr>
          <w:rFonts w:ascii="Arial" w:eastAsiaTheme="majorEastAsia" w:hAnsi="Arial" w:cs="Arial"/>
          <w:bCs/>
          <w:sz w:val="24"/>
          <w:szCs w:val="24"/>
        </w:rPr>
        <w:t>e</w:t>
      </w:r>
      <w:r w:rsidR="002B7938" w:rsidRPr="003D1FBA">
        <w:rPr>
          <w:rFonts w:ascii="Arial" w:eastAsiaTheme="majorEastAsia" w:hAnsi="Arial" w:cs="Arial"/>
          <w:bCs/>
          <w:sz w:val="24"/>
          <w:szCs w:val="24"/>
        </w:rPr>
        <w:t xml:space="preserve"> </w:t>
      </w:r>
      <w:r>
        <w:rPr>
          <w:rFonts w:ascii="Arial" w:eastAsiaTheme="majorEastAsia" w:hAnsi="Arial" w:cs="Arial"/>
          <w:bCs/>
          <w:sz w:val="24"/>
          <w:szCs w:val="24"/>
        </w:rPr>
        <w:t>en el</w:t>
      </w:r>
      <w:r w:rsidR="002B7938" w:rsidRPr="003D1FBA">
        <w:rPr>
          <w:rFonts w:ascii="Arial" w:eastAsiaTheme="majorEastAsia" w:hAnsi="Arial" w:cs="Arial"/>
          <w:bCs/>
          <w:sz w:val="24"/>
          <w:szCs w:val="24"/>
        </w:rPr>
        <w:t xml:space="preserve"> estudi</w:t>
      </w:r>
      <w:r>
        <w:rPr>
          <w:rFonts w:ascii="Arial" w:eastAsiaTheme="majorEastAsia" w:hAnsi="Arial" w:cs="Arial"/>
          <w:bCs/>
          <w:sz w:val="24"/>
          <w:szCs w:val="24"/>
        </w:rPr>
        <w:t>o</w:t>
      </w:r>
      <w:r w:rsidR="002B7938" w:rsidRPr="003D1FBA">
        <w:rPr>
          <w:rFonts w:ascii="Arial" w:eastAsiaTheme="majorEastAsia" w:hAnsi="Arial" w:cs="Arial"/>
          <w:bCs/>
          <w:sz w:val="24"/>
          <w:szCs w:val="24"/>
        </w:rPr>
        <w:t>.</w:t>
      </w:r>
    </w:p>
    <w:p w:rsidR="00315369" w:rsidRPr="003D1FBA" w:rsidRDefault="00315369" w:rsidP="00893DC5">
      <w:pPr>
        <w:pStyle w:val="Ttol1"/>
        <w:spacing w:line="360" w:lineRule="auto"/>
        <w:jc w:val="center"/>
      </w:pPr>
      <w:bookmarkStart w:id="12" w:name="_Toc20417706"/>
      <w:r w:rsidRPr="003D1FBA">
        <w:t>Resulta</w:t>
      </w:r>
      <w:bookmarkEnd w:id="12"/>
      <w:r w:rsidR="00583641">
        <w:t>dos</w:t>
      </w:r>
    </w:p>
    <w:p w:rsidR="006745FB" w:rsidRPr="003D1FBA" w:rsidRDefault="008B2AC4" w:rsidP="008B2AC4">
      <w:pPr>
        <w:spacing w:line="360" w:lineRule="auto"/>
        <w:jc w:val="both"/>
        <w:rPr>
          <w:rFonts w:ascii="Arial" w:eastAsiaTheme="majorEastAsia" w:hAnsi="Arial" w:cs="Arial"/>
          <w:bCs/>
          <w:sz w:val="24"/>
          <w:szCs w:val="24"/>
        </w:rPr>
      </w:pPr>
      <w:r w:rsidRPr="003D1FBA">
        <w:rPr>
          <w:rFonts w:ascii="Arial" w:eastAsiaTheme="majorEastAsia" w:hAnsi="Arial" w:cs="Arial"/>
          <w:bCs/>
          <w:sz w:val="24"/>
          <w:szCs w:val="24"/>
        </w:rPr>
        <w:t>Del total de 30 jugador</w:t>
      </w:r>
      <w:r w:rsidR="00583641">
        <w:rPr>
          <w:rFonts w:ascii="Arial" w:eastAsiaTheme="majorEastAsia" w:hAnsi="Arial" w:cs="Arial"/>
          <w:bCs/>
          <w:sz w:val="24"/>
          <w:szCs w:val="24"/>
        </w:rPr>
        <w:t>a</w:t>
      </w:r>
      <w:r w:rsidRPr="003D1FBA">
        <w:rPr>
          <w:rFonts w:ascii="Arial" w:eastAsiaTheme="majorEastAsia" w:hAnsi="Arial" w:cs="Arial"/>
          <w:bCs/>
          <w:sz w:val="24"/>
          <w:szCs w:val="24"/>
        </w:rPr>
        <w:t>s estudiad</w:t>
      </w:r>
      <w:r w:rsidR="00583641">
        <w:rPr>
          <w:rFonts w:ascii="Arial" w:eastAsiaTheme="majorEastAsia" w:hAnsi="Arial" w:cs="Arial"/>
          <w:bCs/>
          <w:sz w:val="24"/>
          <w:szCs w:val="24"/>
        </w:rPr>
        <w:t>a</w:t>
      </w:r>
      <w:r w:rsidRPr="003D1FBA">
        <w:rPr>
          <w:rFonts w:ascii="Arial" w:eastAsiaTheme="majorEastAsia" w:hAnsi="Arial" w:cs="Arial"/>
          <w:bCs/>
          <w:sz w:val="24"/>
          <w:szCs w:val="24"/>
        </w:rPr>
        <w:t xml:space="preserve">s, 19 </w:t>
      </w:r>
      <w:r w:rsidR="009D0528" w:rsidRPr="003D1FBA">
        <w:rPr>
          <w:rFonts w:ascii="Arial" w:eastAsiaTheme="majorEastAsia" w:hAnsi="Arial" w:cs="Arial"/>
          <w:bCs/>
          <w:sz w:val="24"/>
          <w:szCs w:val="24"/>
        </w:rPr>
        <w:t>er</w:t>
      </w:r>
      <w:r w:rsidR="00583641">
        <w:rPr>
          <w:rFonts w:ascii="Arial" w:eastAsiaTheme="majorEastAsia" w:hAnsi="Arial" w:cs="Arial"/>
          <w:bCs/>
          <w:sz w:val="24"/>
          <w:szCs w:val="24"/>
        </w:rPr>
        <w:t>a</w:t>
      </w:r>
      <w:r w:rsidR="009D0528" w:rsidRPr="003D1FBA">
        <w:rPr>
          <w:rFonts w:ascii="Arial" w:eastAsiaTheme="majorEastAsia" w:hAnsi="Arial" w:cs="Arial"/>
          <w:bCs/>
          <w:sz w:val="24"/>
          <w:szCs w:val="24"/>
        </w:rPr>
        <w:t>n</w:t>
      </w:r>
      <w:r w:rsidRPr="003D1FBA">
        <w:rPr>
          <w:rFonts w:ascii="Arial" w:eastAsiaTheme="majorEastAsia" w:hAnsi="Arial" w:cs="Arial"/>
          <w:bCs/>
          <w:sz w:val="24"/>
          <w:szCs w:val="24"/>
        </w:rPr>
        <w:t xml:space="preserve"> jugador</w:t>
      </w:r>
      <w:r w:rsidR="00583641">
        <w:rPr>
          <w:rFonts w:ascii="Arial" w:eastAsiaTheme="majorEastAsia" w:hAnsi="Arial" w:cs="Arial"/>
          <w:bCs/>
          <w:sz w:val="24"/>
          <w:szCs w:val="24"/>
        </w:rPr>
        <w:t>a</w:t>
      </w:r>
      <w:r w:rsidRPr="003D1FBA">
        <w:rPr>
          <w:rFonts w:ascii="Arial" w:eastAsiaTheme="majorEastAsia" w:hAnsi="Arial" w:cs="Arial"/>
          <w:bCs/>
          <w:sz w:val="24"/>
          <w:szCs w:val="24"/>
        </w:rPr>
        <w:t>s de b</w:t>
      </w:r>
      <w:r w:rsidR="003C7D89" w:rsidRPr="003D1FBA">
        <w:rPr>
          <w:rFonts w:ascii="Arial" w:eastAsiaTheme="majorEastAsia" w:hAnsi="Arial" w:cs="Arial"/>
          <w:bCs/>
          <w:sz w:val="24"/>
          <w:szCs w:val="24"/>
        </w:rPr>
        <w:t>al</w:t>
      </w:r>
      <w:r w:rsidR="00583641">
        <w:rPr>
          <w:rFonts w:ascii="Arial" w:eastAsiaTheme="majorEastAsia" w:hAnsi="Arial" w:cs="Arial"/>
          <w:bCs/>
          <w:sz w:val="24"/>
          <w:szCs w:val="24"/>
        </w:rPr>
        <w:t>oncesto</w:t>
      </w:r>
      <w:r w:rsidRPr="003D1FBA">
        <w:rPr>
          <w:rFonts w:ascii="Arial" w:eastAsiaTheme="majorEastAsia" w:hAnsi="Arial" w:cs="Arial"/>
          <w:bCs/>
          <w:sz w:val="24"/>
          <w:szCs w:val="24"/>
        </w:rPr>
        <w:t xml:space="preserve"> m</w:t>
      </w:r>
      <w:r w:rsidR="00583641">
        <w:rPr>
          <w:rFonts w:ascii="Arial" w:eastAsiaTheme="majorEastAsia" w:hAnsi="Arial" w:cs="Arial"/>
          <w:bCs/>
          <w:sz w:val="24"/>
          <w:szCs w:val="24"/>
        </w:rPr>
        <w:t>ie</w:t>
      </w:r>
      <w:r w:rsidRPr="003D1FBA">
        <w:rPr>
          <w:rFonts w:ascii="Arial" w:eastAsiaTheme="majorEastAsia" w:hAnsi="Arial" w:cs="Arial"/>
          <w:bCs/>
          <w:sz w:val="24"/>
          <w:szCs w:val="24"/>
        </w:rPr>
        <w:t>ntr</w:t>
      </w:r>
      <w:r w:rsidR="00583641">
        <w:rPr>
          <w:rFonts w:ascii="Arial" w:eastAsiaTheme="majorEastAsia" w:hAnsi="Arial" w:cs="Arial"/>
          <w:bCs/>
          <w:sz w:val="24"/>
          <w:szCs w:val="24"/>
        </w:rPr>
        <w:t>as</w:t>
      </w:r>
      <w:r w:rsidRPr="003D1FBA">
        <w:rPr>
          <w:rFonts w:ascii="Arial" w:eastAsiaTheme="majorEastAsia" w:hAnsi="Arial" w:cs="Arial"/>
          <w:bCs/>
          <w:sz w:val="24"/>
          <w:szCs w:val="24"/>
        </w:rPr>
        <w:t xml:space="preserve"> que 11 </w:t>
      </w:r>
      <w:r w:rsidR="009D0528" w:rsidRPr="003D1FBA">
        <w:rPr>
          <w:rFonts w:ascii="Arial" w:eastAsiaTheme="majorEastAsia" w:hAnsi="Arial" w:cs="Arial"/>
          <w:bCs/>
          <w:sz w:val="24"/>
          <w:szCs w:val="24"/>
        </w:rPr>
        <w:t>er</w:t>
      </w:r>
      <w:r w:rsidR="00583641">
        <w:rPr>
          <w:rFonts w:ascii="Arial" w:eastAsiaTheme="majorEastAsia" w:hAnsi="Arial" w:cs="Arial"/>
          <w:bCs/>
          <w:sz w:val="24"/>
          <w:szCs w:val="24"/>
        </w:rPr>
        <w:t>a</w:t>
      </w:r>
      <w:r w:rsidR="009D0528" w:rsidRPr="003D1FBA">
        <w:rPr>
          <w:rFonts w:ascii="Arial" w:eastAsiaTheme="majorEastAsia" w:hAnsi="Arial" w:cs="Arial"/>
          <w:bCs/>
          <w:sz w:val="24"/>
          <w:szCs w:val="24"/>
        </w:rPr>
        <w:t>n</w:t>
      </w:r>
      <w:r w:rsidRPr="003D1FBA">
        <w:rPr>
          <w:rFonts w:ascii="Arial" w:eastAsiaTheme="majorEastAsia" w:hAnsi="Arial" w:cs="Arial"/>
          <w:bCs/>
          <w:sz w:val="24"/>
          <w:szCs w:val="24"/>
        </w:rPr>
        <w:t xml:space="preserve"> jugador</w:t>
      </w:r>
      <w:r w:rsidR="00583641">
        <w:rPr>
          <w:rFonts w:ascii="Arial" w:eastAsiaTheme="majorEastAsia" w:hAnsi="Arial" w:cs="Arial"/>
          <w:bCs/>
          <w:sz w:val="24"/>
          <w:szCs w:val="24"/>
        </w:rPr>
        <w:t>a</w:t>
      </w:r>
      <w:r w:rsidRPr="003D1FBA">
        <w:rPr>
          <w:rFonts w:ascii="Arial" w:eastAsiaTheme="majorEastAsia" w:hAnsi="Arial" w:cs="Arial"/>
          <w:bCs/>
          <w:sz w:val="24"/>
          <w:szCs w:val="24"/>
        </w:rPr>
        <w:t>s d</w:t>
      </w:r>
      <w:r w:rsidR="00583641">
        <w:rPr>
          <w:rFonts w:ascii="Arial" w:eastAsiaTheme="majorEastAsia" w:hAnsi="Arial" w:cs="Arial"/>
          <w:bCs/>
          <w:sz w:val="24"/>
          <w:szCs w:val="24"/>
        </w:rPr>
        <w:t xml:space="preserve">e </w:t>
      </w:r>
      <w:r w:rsidR="00814891">
        <w:rPr>
          <w:rFonts w:ascii="Arial" w:eastAsiaTheme="majorEastAsia" w:hAnsi="Arial" w:cs="Arial"/>
          <w:bCs/>
          <w:sz w:val="24"/>
          <w:szCs w:val="24"/>
        </w:rPr>
        <w:t>balonmano</w:t>
      </w:r>
      <w:r w:rsidRPr="003D1FBA">
        <w:rPr>
          <w:rFonts w:ascii="Arial" w:eastAsiaTheme="majorEastAsia" w:hAnsi="Arial" w:cs="Arial"/>
          <w:bCs/>
          <w:sz w:val="24"/>
          <w:szCs w:val="24"/>
        </w:rPr>
        <w:t>. L</w:t>
      </w:r>
      <w:r w:rsidR="004E6127" w:rsidRPr="003D1FBA">
        <w:rPr>
          <w:rFonts w:ascii="Arial" w:eastAsiaTheme="majorEastAsia" w:hAnsi="Arial" w:cs="Arial"/>
          <w:bCs/>
          <w:sz w:val="24"/>
          <w:szCs w:val="24"/>
        </w:rPr>
        <w:t xml:space="preserve">a </w:t>
      </w:r>
      <w:r w:rsidRPr="003D1FBA">
        <w:rPr>
          <w:rFonts w:ascii="Arial" w:eastAsiaTheme="majorEastAsia" w:hAnsi="Arial" w:cs="Arial"/>
          <w:bCs/>
          <w:sz w:val="24"/>
          <w:szCs w:val="24"/>
        </w:rPr>
        <w:t>m</w:t>
      </w:r>
      <w:r w:rsidR="00583641">
        <w:rPr>
          <w:rFonts w:ascii="Arial" w:eastAsiaTheme="majorEastAsia" w:hAnsi="Arial" w:cs="Arial"/>
          <w:bCs/>
          <w:sz w:val="24"/>
          <w:szCs w:val="24"/>
        </w:rPr>
        <w:t xml:space="preserve">edia </w:t>
      </w:r>
      <w:r w:rsidR="004B0367" w:rsidRPr="003D1FBA">
        <w:rPr>
          <w:rFonts w:ascii="Arial" w:eastAsiaTheme="majorEastAsia" w:hAnsi="Arial" w:cs="Arial"/>
          <w:bCs/>
          <w:sz w:val="24"/>
          <w:szCs w:val="24"/>
        </w:rPr>
        <w:t>(</w:t>
      </w:r>
      <w:r w:rsidR="004B0367" w:rsidRPr="003D1FBA">
        <w:rPr>
          <w:rFonts w:ascii="MS Reference Sans Serif" w:eastAsiaTheme="majorEastAsia" w:hAnsi="MS Reference Sans Serif" w:cs="Arial"/>
          <w:bCs/>
          <w:sz w:val="24"/>
          <w:szCs w:val="24"/>
        </w:rPr>
        <w:t></w:t>
      </w:r>
      <w:r w:rsidR="004B0367" w:rsidRPr="003D1FBA">
        <w:rPr>
          <w:rFonts w:ascii="Arial" w:eastAsiaTheme="majorEastAsia" w:hAnsi="Arial" w:cs="Arial"/>
          <w:bCs/>
          <w:sz w:val="24"/>
          <w:szCs w:val="24"/>
        </w:rPr>
        <w:t>)</w:t>
      </w:r>
      <w:r w:rsidR="004E6127" w:rsidRPr="003D1FBA">
        <w:rPr>
          <w:rFonts w:ascii="Arial" w:eastAsiaTheme="majorEastAsia" w:hAnsi="Arial" w:cs="Arial"/>
          <w:bCs/>
          <w:sz w:val="24"/>
          <w:szCs w:val="24"/>
        </w:rPr>
        <w:t xml:space="preserve"> d</w:t>
      </w:r>
      <w:r w:rsidR="00583641">
        <w:rPr>
          <w:rFonts w:ascii="Arial" w:eastAsiaTheme="majorEastAsia" w:hAnsi="Arial" w:cs="Arial"/>
          <w:bCs/>
          <w:sz w:val="24"/>
          <w:szCs w:val="24"/>
        </w:rPr>
        <w:t xml:space="preserve">e </w:t>
      </w:r>
      <w:r w:rsidR="004E6127" w:rsidRPr="003D1FBA">
        <w:rPr>
          <w:rFonts w:ascii="Arial" w:eastAsiaTheme="majorEastAsia" w:hAnsi="Arial" w:cs="Arial"/>
          <w:bCs/>
          <w:sz w:val="24"/>
          <w:szCs w:val="24"/>
        </w:rPr>
        <w:t>eda</w:t>
      </w:r>
      <w:r w:rsidR="00583641">
        <w:rPr>
          <w:rFonts w:ascii="Arial" w:eastAsiaTheme="majorEastAsia" w:hAnsi="Arial" w:cs="Arial"/>
          <w:bCs/>
          <w:sz w:val="24"/>
          <w:szCs w:val="24"/>
        </w:rPr>
        <w:t>d</w:t>
      </w:r>
      <w:r w:rsidRPr="003D1FBA">
        <w:rPr>
          <w:rFonts w:ascii="Arial" w:eastAsiaTheme="majorEastAsia" w:hAnsi="Arial" w:cs="Arial"/>
          <w:bCs/>
          <w:sz w:val="24"/>
          <w:szCs w:val="24"/>
        </w:rPr>
        <w:t xml:space="preserve"> de l</w:t>
      </w:r>
      <w:r w:rsidR="00583641">
        <w:rPr>
          <w:rFonts w:ascii="Arial" w:eastAsiaTheme="majorEastAsia" w:hAnsi="Arial" w:cs="Arial"/>
          <w:bCs/>
          <w:sz w:val="24"/>
          <w:szCs w:val="24"/>
        </w:rPr>
        <w:t>a</w:t>
      </w:r>
      <w:r w:rsidRPr="003D1FBA">
        <w:rPr>
          <w:rFonts w:ascii="Arial" w:eastAsiaTheme="majorEastAsia" w:hAnsi="Arial" w:cs="Arial"/>
          <w:bCs/>
          <w:sz w:val="24"/>
          <w:szCs w:val="24"/>
        </w:rPr>
        <w:t xml:space="preserve">s </w:t>
      </w:r>
      <w:r w:rsidR="00583641">
        <w:rPr>
          <w:rFonts w:ascii="Arial" w:eastAsiaTheme="majorEastAsia" w:hAnsi="Arial" w:cs="Arial"/>
          <w:bCs/>
          <w:sz w:val="24"/>
          <w:szCs w:val="24"/>
        </w:rPr>
        <w:t>de</w:t>
      </w:r>
      <w:r w:rsidRPr="003D1FBA">
        <w:rPr>
          <w:rFonts w:ascii="Arial" w:eastAsiaTheme="majorEastAsia" w:hAnsi="Arial" w:cs="Arial"/>
          <w:bCs/>
          <w:sz w:val="24"/>
          <w:szCs w:val="24"/>
        </w:rPr>
        <w:t>portist</w:t>
      </w:r>
      <w:r w:rsidR="00583641">
        <w:rPr>
          <w:rFonts w:ascii="Arial" w:eastAsiaTheme="majorEastAsia" w:hAnsi="Arial" w:cs="Arial"/>
          <w:bCs/>
          <w:sz w:val="24"/>
          <w:szCs w:val="24"/>
        </w:rPr>
        <w:t>a</w:t>
      </w:r>
      <w:r w:rsidRPr="003D1FBA">
        <w:rPr>
          <w:rFonts w:ascii="Arial" w:eastAsiaTheme="majorEastAsia" w:hAnsi="Arial" w:cs="Arial"/>
          <w:bCs/>
          <w:sz w:val="24"/>
          <w:szCs w:val="24"/>
        </w:rPr>
        <w:t xml:space="preserve">s </w:t>
      </w:r>
      <w:r w:rsidR="00583641">
        <w:rPr>
          <w:rFonts w:ascii="Arial" w:eastAsiaTheme="majorEastAsia" w:hAnsi="Arial" w:cs="Arial"/>
          <w:bCs/>
          <w:sz w:val="24"/>
          <w:szCs w:val="24"/>
        </w:rPr>
        <w:t>fue</w:t>
      </w:r>
      <w:r w:rsidRPr="003D1FBA">
        <w:rPr>
          <w:rFonts w:ascii="Arial" w:eastAsiaTheme="majorEastAsia" w:hAnsi="Arial" w:cs="Arial"/>
          <w:bCs/>
          <w:sz w:val="24"/>
          <w:szCs w:val="24"/>
        </w:rPr>
        <w:t xml:space="preserve"> de 17</w:t>
      </w:r>
      <w:r w:rsidR="004537EC">
        <w:rPr>
          <w:rFonts w:ascii="Arial" w:eastAsiaTheme="majorEastAsia" w:hAnsi="Arial" w:cs="Arial"/>
          <w:bCs/>
          <w:sz w:val="24"/>
          <w:szCs w:val="24"/>
        </w:rPr>
        <w:t>.</w:t>
      </w:r>
      <w:r w:rsidR="004E6127" w:rsidRPr="003D1FBA">
        <w:rPr>
          <w:rFonts w:ascii="Arial" w:eastAsiaTheme="majorEastAsia" w:hAnsi="Arial" w:cs="Arial"/>
          <w:bCs/>
          <w:sz w:val="24"/>
          <w:szCs w:val="24"/>
        </w:rPr>
        <w:t>02</w:t>
      </w:r>
      <w:r w:rsidRPr="003D1FBA">
        <w:rPr>
          <w:rFonts w:ascii="Arial" w:eastAsiaTheme="majorEastAsia" w:hAnsi="Arial" w:cs="Arial"/>
          <w:bCs/>
          <w:sz w:val="24"/>
          <w:szCs w:val="24"/>
        </w:rPr>
        <w:t xml:space="preserve"> ± 1</w:t>
      </w:r>
      <w:r w:rsidR="004537EC">
        <w:rPr>
          <w:rFonts w:ascii="Arial" w:eastAsiaTheme="majorEastAsia" w:hAnsi="Arial" w:cs="Arial"/>
          <w:bCs/>
          <w:sz w:val="24"/>
          <w:szCs w:val="24"/>
        </w:rPr>
        <w:t>.</w:t>
      </w:r>
      <w:r w:rsidR="004E6127" w:rsidRPr="003D1FBA">
        <w:rPr>
          <w:rFonts w:ascii="Arial" w:eastAsiaTheme="majorEastAsia" w:hAnsi="Arial" w:cs="Arial"/>
          <w:bCs/>
          <w:sz w:val="24"/>
          <w:szCs w:val="24"/>
        </w:rPr>
        <w:t>19</w:t>
      </w:r>
      <w:r w:rsidRPr="003D1FBA">
        <w:rPr>
          <w:rFonts w:ascii="Arial" w:eastAsiaTheme="majorEastAsia" w:hAnsi="Arial" w:cs="Arial"/>
          <w:bCs/>
          <w:sz w:val="24"/>
          <w:szCs w:val="24"/>
        </w:rPr>
        <w:t xml:space="preserve"> a</w:t>
      </w:r>
      <w:r w:rsidR="00583641">
        <w:rPr>
          <w:rFonts w:ascii="Arial" w:eastAsiaTheme="majorEastAsia" w:hAnsi="Arial" w:cs="Arial"/>
          <w:bCs/>
          <w:sz w:val="24"/>
          <w:szCs w:val="24"/>
        </w:rPr>
        <w:t>ño</w:t>
      </w:r>
      <w:r w:rsidRPr="003D1FBA">
        <w:rPr>
          <w:rFonts w:ascii="Arial" w:eastAsiaTheme="majorEastAsia" w:hAnsi="Arial" w:cs="Arial"/>
          <w:bCs/>
          <w:sz w:val="24"/>
          <w:szCs w:val="24"/>
        </w:rPr>
        <w:t xml:space="preserve">s, </w:t>
      </w:r>
      <w:r w:rsidR="004C113A" w:rsidRPr="003D1FBA">
        <w:rPr>
          <w:rFonts w:ascii="Arial" w:eastAsiaTheme="majorEastAsia" w:hAnsi="Arial" w:cs="Arial"/>
          <w:bCs/>
          <w:sz w:val="24"/>
          <w:szCs w:val="24"/>
        </w:rPr>
        <w:t xml:space="preserve">en </w:t>
      </w:r>
      <w:r w:rsidR="00583641">
        <w:rPr>
          <w:rFonts w:ascii="Arial" w:eastAsiaTheme="majorEastAsia" w:hAnsi="Arial" w:cs="Arial"/>
          <w:bCs/>
          <w:sz w:val="24"/>
          <w:szCs w:val="24"/>
        </w:rPr>
        <w:t>c</w:t>
      </w:r>
      <w:r w:rsidR="004C113A" w:rsidRPr="003D1FBA">
        <w:rPr>
          <w:rFonts w:ascii="Arial" w:eastAsiaTheme="majorEastAsia" w:hAnsi="Arial" w:cs="Arial"/>
          <w:bCs/>
          <w:sz w:val="24"/>
          <w:szCs w:val="24"/>
        </w:rPr>
        <w:t>uant</w:t>
      </w:r>
      <w:r w:rsidR="00583641">
        <w:rPr>
          <w:rFonts w:ascii="Arial" w:eastAsiaTheme="majorEastAsia" w:hAnsi="Arial" w:cs="Arial"/>
          <w:bCs/>
          <w:sz w:val="24"/>
          <w:szCs w:val="24"/>
        </w:rPr>
        <w:t>o</w:t>
      </w:r>
      <w:r w:rsidR="004C113A" w:rsidRPr="003D1FBA">
        <w:rPr>
          <w:rFonts w:ascii="Arial" w:eastAsiaTheme="majorEastAsia" w:hAnsi="Arial" w:cs="Arial"/>
          <w:bCs/>
          <w:sz w:val="24"/>
          <w:szCs w:val="24"/>
        </w:rPr>
        <w:t xml:space="preserve"> a da</w:t>
      </w:r>
      <w:r w:rsidR="00583641">
        <w:rPr>
          <w:rFonts w:ascii="Arial" w:eastAsiaTheme="majorEastAsia" w:hAnsi="Arial" w:cs="Arial"/>
          <w:bCs/>
          <w:sz w:val="24"/>
          <w:szCs w:val="24"/>
        </w:rPr>
        <w:t>to</w:t>
      </w:r>
      <w:r w:rsidR="004C113A" w:rsidRPr="003D1FBA">
        <w:rPr>
          <w:rFonts w:ascii="Arial" w:eastAsiaTheme="majorEastAsia" w:hAnsi="Arial" w:cs="Arial"/>
          <w:bCs/>
          <w:sz w:val="24"/>
          <w:szCs w:val="24"/>
        </w:rPr>
        <w:t>s antropom</w:t>
      </w:r>
      <w:r w:rsidR="00583641">
        <w:rPr>
          <w:rFonts w:ascii="Arial" w:eastAsiaTheme="majorEastAsia" w:hAnsi="Arial" w:cs="Arial"/>
          <w:bCs/>
          <w:sz w:val="24"/>
          <w:szCs w:val="24"/>
        </w:rPr>
        <w:t>é</w:t>
      </w:r>
      <w:r w:rsidR="004C113A" w:rsidRPr="003D1FBA">
        <w:rPr>
          <w:rFonts w:ascii="Arial" w:eastAsiaTheme="majorEastAsia" w:hAnsi="Arial" w:cs="Arial"/>
          <w:bCs/>
          <w:sz w:val="24"/>
          <w:szCs w:val="24"/>
        </w:rPr>
        <w:t>tri</w:t>
      </w:r>
      <w:r w:rsidR="00583641">
        <w:rPr>
          <w:rFonts w:ascii="Arial" w:eastAsiaTheme="majorEastAsia" w:hAnsi="Arial" w:cs="Arial"/>
          <w:bCs/>
          <w:sz w:val="24"/>
          <w:szCs w:val="24"/>
        </w:rPr>
        <w:t>co</w:t>
      </w:r>
      <w:r w:rsidR="004C113A" w:rsidRPr="003D1FBA">
        <w:rPr>
          <w:rFonts w:ascii="Arial" w:eastAsiaTheme="majorEastAsia" w:hAnsi="Arial" w:cs="Arial"/>
          <w:bCs/>
          <w:sz w:val="24"/>
          <w:szCs w:val="24"/>
        </w:rPr>
        <w:t xml:space="preserve">s, </w:t>
      </w:r>
      <w:r w:rsidRPr="003D1FBA">
        <w:rPr>
          <w:rFonts w:ascii="Arial" w:eastAsiaTheme="majorEastAsia" w:hAnsi="Arial" w:cs="Arial"/>
          <w:bCs/>
          <w:sz w:val="24"/>
          <w:szCs w:val="24"/>
        </w:rPr>
        <w:t>l</w:t>
      </w:r>
      <w:r w:rsidR="004C113A" w:rsidRPr="003D1FBA">
        <w:rPr>
          <w:rFonts w:ascii="Arial" w:eastAsiaTheme="majorEastAsia" w:hAnsi="Arial" w:cs="Arial"/>
          <w:bCs/>
          <w:sz w:val="24"/>
          <w:szCs w:val="24"/>
        </w:rPr>
        <w:t>a m</w:t>
      </w:r>
      <w:r w:rsidR="00583641">
        <w:rPr>
          <w:rFonts w:ascii="Arial" w:eastAsiaTheme="majorEastAsia" w:hAnsi="Arial" w:cs="Arial"/>
          <w:bCs/>
          <w:sz w:val="24"/>
          <w:szCs w:val="24"/>
        </w:rPr>
        <w:t>edia</w:t>
      </w:r>
      <w:r w:rsidR="004C113A" w:rsidRPr="003D1FBA">
        <w:rPr>
          <w:rFonts w:ascii="Arial" w:eastAsiaTheme="majorEastAsia" w:hAnsi="Arial" w:cs="Arial"/>
          <w:bCs/>
          <w:sz w:val="24"/>
          <w:szCs w:val="24"/>
        </w:rPr>
        <w:t xml:space="preserve"> de </w:t>
      </w:r>
      <w:r w:rsidRPr="003D1FBA">
        <w:rPr>
          <w:rFonts w:ascii="Arial" w:eastAsiaTheme="majorEastAsia" w:hAnsi="Arial" w:cs="Arial"/>
          <w:bCs/>
          <w:sz w:val="24"/>
          <w:szCs w:val="24"/>
        </w:rPr>
        <w:t>al</w:t>
      </w:r>
      <w:r w:rsidR="00583641">
        <w:rPr>
          <w:rFonts w:ascii="Arial" w:eastAsiaTheme="majorEastAsia" w:hAnsi="Arial" w:cs="Arial"/>
          <w:bCs/>
          <w:sz w:val="24"/>
          <w:szCs w:val="24"/>
        </w:rPr>
        <w:t>tura</w:t>
      </w:r>
      <w:r w:rsidRPr="003D1FBA">
        <w:rPr>
          <w:rFonts w:ascii="Arial" w:eastAsiaTheme="majorEastAsia" w:hAnsi="Arial" w:cs="Arial"/>
          <w:bCs/>
          <w:sz w:val="24"/>
          <w:szCs w:val="24"/>
        </w:rPr>
        <w:t xml:space="preserve"> </w:t>
      </w:r>
      <w:r w:rsidR="00583641">
        <w:rPr>
          <w:rFonts w:ascii="Arial" w:eastAsiaTheme="majorEastAsia" w:hAnsi="Arial" w:cs="Arial"/>
          <w:bCs/>
          <w:sz w:val="24"/>
          <w:szCs w:val="24"/>
        </w:rPr>
        <w:t>fue</w:t>
      </w:r>
      <w:r w:rsidR="004537EC">
        <w:rPr>
          <w:rFonts w:ascii="Arial" w:eastAsiaTheme="majorEastAsia" w:hAnsi="Arial" w:cs="Arial"/>
          <w:bCs/>
          <w:sz w:val="24"/>
          <w:szCs w:val="24"/>
        </w:rPr>
        <w:t xml:space="preserve"> de 177.8 ± 7.</w:t>
      </w:r>
      <w:r w:rsidRPr="003D1FBA">
        <w:rPr>
          <w:rFonts w:ascii="Arial" w:eastAsiaTheme="majorEastAsia" w:hAnsi="Arial" w:cs="Arial"/>
          <w:bCs/>
          <w:sz w:val="24"/>
          <w:szCs w:val="24"/>
        </w:rPr>
        <w:t xml:space="preserve">2 cm </w:t>
      </w:r>
      <w:r w:rsidR="00583641">
        <w:rPr>
          <w:rFonts w:ascii="Arial" w:eastAsiaTheme="majorEastAsia" w:hAnsi="Arial" w:cs="Arial"/>
          <w:bCs/>
          <w:sz w:val="24"/>
          <w:szCs w:val="24"/>
        </w:rPr>
        <w:t>y</w:t>
      </w:r>
      <w:r w:rsidRPr="003D1FBA">
        <w:rPr>
          <w:rFonts w:ascii="Arial" w:eastAsiaTheme="majorEastAsia" w:hAnsi="Arial" w:cs="Arial"/>
          <w:bCs/>
          <w:sz w:val="24"/>
          <w:szCs w:val="24"/>
        </w:rPr>
        <w:t xml:space="preserve"> la de pes</w:t>
      </w:r>
      <w:r w:rsidR="00583641">
        <w:rPr>
          <w:rFonts w:ascii="Arial" w:eastAsiaTheme="majorEastAsia" w:hAnsi="Arial" w:cs="Arial"/>
          <w:bCs/>
          <w:sz w:val="24"/>
          <w:szCs w:val="24"/>
        </w:rPr>
        <w:t>o</w:t>
      </w:r>
      <w:r w:rsidR="004537EC">
        <w:rPr>
          <w:rFonts w:ascii="Arial" w:eastAsiaTheme="majorEastAsia" w:hAnsi="Arial" w:cs="Arial"/>
          <w:bCs/>
          <w:sz w:val="24"/>
          <w:szCs w:val="24"/>
        </w:rPr>
        <w:t xml:space="preserve"> corporal de 68.6 ± 9.</w:t>
      </w:r>
      <w:r w:rsidRPr="003D1FBA">
        <w:rPr>
          <w:rFonts w:ascii="Arial" w:eastAsiaTheme="majorEastAsia" w:hAnsi="Arial" w:cs="Arial"/>
          <w:bCs/>
          <w:sz w:val="24"/>
          <w:szCs w:val="24"/>
        </w:rPr>
        <w:t>3 kg</w:t>
      </w:r>
      <w:r w:rsidR="001105D5" w:rsidRPr="003D1FBA">
        <w:rPr>
          <w:rFonts w:ascii="Arial" w:eastAsiaTheme="majorEastAsia" w:hAnsi="Arial" w:cs="Arial"/>
          <w:bCs/>
          <w:sz w:val="24"/>
          <w:szCs w:val="24"/>
        </w:rPr>
        <w:t xml:space="preserve">. </w:t>
      </w:r>
      <w:r w:rsidR="00583641">
        <w:rPr>
          <w:rFonts w:ascii="Arial" w:eastAsiaTheme="majorEastAsia" w:hAnsi="Arial" w:cs="Arial"/>
          <w:bCs/>
          <w:sz w:val="24"/>
          <w:szCs w:val="24"/>
        </w:rPr>
        <w:t>En</w:t>
      </w:r>
      <w:r w:rsidR="001105D5" w:rsidRPr="003D1FBA">
        <w:rPr>
          <w:rFonts w:ascii="Arial" w:eastAsiaTheme="majorEastAsia" w:hAnsi="Arial" w:cs="Arial"/>
          <w:bCs/>
          <w:sz w:val="24"/>
          <w:szCs w:val="24"/>
        </w:rPr>
        <w:t xml:space="preserve"> la Ta</w:t>
      </w:r>
      <w:r w:rsidR="00583641">
        <w:rPr>
          <w:rFonts w:ascii="Arial" w:eastAsiaTheme="majorEastAsia" w:hAnsi="Arial" w:cs="Arial"/>
          <w:bCs/>
          <w:sz w:val="24"/>
          <w:szCs w:val="24"/>
        </w:rPr>
        <w:t>b</w:t>
      </w:r>
      <w:r w:rsidR="001105D5" w:rsidRPr="003D1FBA">
        <w:rPr>
          <w:rFonts w:ascii="Arial" w:eastAsiaTheme="majorEastAsia" w:hAnsi="Arial" w:cs="Arial"/>
          <w:bCs/>
          <w:sz w:val="24"/>
          <w:szCs w:val="24"/>
        </w:rPr>
        <w:t>la 1, p</w:t>
      </w:r>
      <w:r w:rsidR="00583641">
        <w:rPr>
          <w:rFonts w:ascii="Arial" w:eastAsiaTheme="majorEastAsia" w:hAnsi="Arial" w:cs="Arial"/>
          <w:bCs/>
          <w:sz w:val="24"/>
          <w:szCs w:val="24"/>
        </w:rPr>
        <w:t>uede observarse</w:t>
      </w:r>
      <w:r w:rsidR="001105D5" w:rsidRPr="003D1FBA">
        <w:rPr>
          <w:rFonts w:ascii="Arial" w:eastAsiaTheme="majorEastAsia" w:hAnsi="Arial" w:cs="Arial"/>
          <w:bCs/>
          <w:sz w:val="24"/>
          <w:szCs w:val="24"/>
        </w:rPr>
        <w:t xml:space="preserve"> com</w:t>
      </w:r>
      <w:r w:rsidR="00583641">
        <w:rPr>
          <w:rFonts w:ascii="Arial" w:eastAsiaTheme="majorEastAsia" w:hAnsi="Arial" w:cs="Arial"/>
          <w:bCs/>
          <w:sz w:val="24"/>
          <w:szCs w:val="24"/>
        </w:rPr>
        <w:t>o</w:t>
      </w:r>
      <w:r w:rsidR="001105D5" w:rsidRPr="003D1FBA">
        <w:rPr>
          <w:rFonts w:ascii="Arial" w:eastAsiaTheme="majorEastAsia" w:hAnsi="Arial" w:cs="Arial"/>
          <w:bCs/>
          <w:sz w:val="24"/>
          <w:szCs w:val="24"/>
        </w:rPr>
        <w:t xml:space="preserve"> qued</w:t>
      </w:r>
      <w:r w:rsidR="00583641">
        <w:rPr>
          <w:rFonts w:ascii="Arial" w:eastAsiaTheme="majorEastAsia" w:hAnsi="Arial" w:cs="Arial"/>
          <w:bCs/>
          <w:sz w:val="24"/>
          <w:szCs w:val="24"/>
        </w:rPr>
        <w:t>a</w:t>
      </w:r>
      <w:r w:rsidR="001105D5" w:rsidRPr="003D1FBA">
        <w:rPr>
          <w:rFonts w:ascii="Arial" w:eastAsiaTheme="majorEastAsia" w:hAnsi="Arial" w:cs="Arial"/>
          <w:bCs/>
          <w:sz w:val="24"/>
          <w:szCs w:val="24"/>
        </w:rPr>
        <w:t xml:space="preserve">n </w:t>
      </w:r>
      <w:r w:rsidR="00583641">
        <w:rPr>
          <w:rFonts w:ascii="Arial" w:eastAsiaTheme="majorEastAsia" w:hAnsi="Arial" w:cs="Arial"/>
          <w:bCs/>
          <w:sz w:val="24"/>
          <w:szCs w:val="24"/>
        </w:rPr>
        <w:t>esto</w:t>
      </w:r>
      <w:r w:rsidR="001105D5" w:rsidRPr="003D1FBA">
        <w:rPr>
          <w:rFonts w:ascii="Arial" w:eastAsiaTheme="majorEastAsia" w:hAnsi="Arial" w:cs="Arial"/>
          <w:bCs/>
          <w:sz w:val="24"/>
          <w:szCs w:val="24"/>
        </w:rPr>
        <w:t>s da</w:t>
      </w:r>
      <w:r w:rsidR="00583641">
        <w:rPr>
          <w:rFonts w:ascii="Arial" w:eastAsiaTheme="majorEastAsia" w:hAnsi="Arial" w:cs="Arial"/>
          <w:bCs/>
          <w:sz w:val="24"/>
          <w:szCs w:val="24"/>
        </w:rPr>
        <w:t>to</w:t>
      </w:r>
      <w:r w:rsidR="001105D5" w:rsidRPr="003D1FBA">
        <w:rPr>
          <w:rFonts w:ascii="Arial" w:eastAsiaTheme="majorEastAsia" w:hAnsi="Arial" w:cs="Arial"/>
          <w:bCs/>
          <w:sz w:val="24"/>
          <w:szCs w:val="24"/>
        </w:rPr>
        <w:t xml:space="preserve">s </w:t>
      </w:r>
      <w:r w:rsidR="00583641" w:rsidRPr="003D1FBA">
        <w:rPr>
          <w:rFonts w:ascii="Arial" w:eastAsiaTheme="majorEastAsia" w:hAnsi="Arial" w:cs="Arial"/>
          <w:bCs/>
          <w:sz w:val="24"/>
          <w:szCs w:val="24"/>
        </w:rPr>
        <w:t>antropom</w:t>
      </w:r>
      <w:r w:rsidR="00583641">
        <w:rPr>
          <w:rFonts w:ascii="Arial" w:eastAsiaTheme="majorEastAsia" w:hAnsi="Arial" w:cs="Arial"/>
          <w:bCs/>
          <w:sz w:val="24"/>
          <w:szCs w:val="24"/>
        </w:rPr>
        <w:t>é</w:t>
      </w:r>
      <w:r w:rsidR="00583641" w:rsidRPr="003D1FBA">
        <w:rPr>
          <w:rFonts w:ascii="Arial" w:eastAsiaTheme="majorEastAsia" w:hAnsi="Arial" w:cs="Arial"/>
          <w:bCs/>
          <w:sz w:val="24"/>
          <w:szCs w:val="24"/>
        </w:rPr>
        <w:t>tri</w:t>
      </w:r>
      <w:r w:rsidR="00583641">
        <w:rPr>
          <w:rFonts w:ascii="Arial" w:eastAsiaTheme="majorEastAsia" w:hAnsi="Arial" w:cs="Arial"/>
          <w:bCs/>
          <w:sz w:val="24"/>
          <w:szCs w:val="24"/>
        </w:rPr>
        <w:t>co</w:t>
      </w:r>
      <w:r w:rsidR="00583641" w:rsidRPr="003D1FBA">
        <w:rPr>
          <w:rFonts w:ascii="Arial" w:eastAsiaTheme="majorEastAsia" w:hAnsi="Arial" w:cs="Arial"/>
          <w:bCs/>
          <w:sz w:val="24"/>
          <w:szCs w:val="24"/>
        </w:rPr>
        <w:t>s</w:t>
      </w:r>
      <w:r w:rsidR="001105D5" w:rsidRPr="003D1FBA">
        <w:rPr>
          <w:rFonts w:ascii="Arial" w:eastAsiaTheme="majorEastAsia" w:hAnsi="Arial" w:cs="Arial"/>
          <w:bCs/>
          <w:sz w:val="24"/>
          <w:szCs w:val="24"/>
        </w:rPr>
        <w:t xml:space="preserve"> seg</w:t>
      </w:r>
      <w:r w:rsidR="00583641">
        <w:rPr>
          <w:rFonts w:ascii="Arial" w:eastAsiaTheme="majorEastAsia" w:hAnsi="Arial" w:cs="Arial"/>
          <w:bCs/>
          <w:sz w:val="24"/>
          <w:szCs w:val="24"/>
        </w:rPr>
        <w:t>ún</w:t>
      </w:r>
      <w:r w:rsidR="001105D5" w:rsidRPr="003D1FBA">
        <w:rPr>
          <w:rFonts w:ascii="Arial" w:eastAsiaTheme="majorEastAsia" w:hAnsi="Arial" w:cs="Arial"/>
          <w:bCs/>
          <w:sz w:val="24"/>
          <w:szCs w:val="24"/>
        </w:rPr>
        <w:t xml:space="preserve"> </w:t>
      </w:r>
      <w:r w:rsidR="00583641">
        <w:rPr>
          <w:rFonts w:ascii="Arial" w:eastAsiaTheme="majorEastAsia" w:hAnsi="Arial" w:cs="Arial"/>
          <w:bCs/>
          <w:sz w:val="24"/>
          <w:szCs w:val="24"/>
        </w:rPr>
        <w:t>el deporte</w:t>
      </w:r>
      <w:r w:rsidR="001105D5" w:rsidRPr="003D1FBA">
        <w:rPr>
          <w:rFonts w:ascii="Arial" w:eastAsiaTheme="majorEastAsia" w:hAnsi="Arial" w:cs="Arial"/>
          <w:bCs/>
          <w:sz w:val="24"/>
          <w:szCs w:val="24"/>
        </w:rPr>
        <w:t>, l</w:t>
      </w:r>
      <w:r w:rsidR="00583641">
        <w:rPr>
          <w:rFonts w:ascii="Arial" w:eastAsiaTheme="majorEastAsia" w:hAnsi="Arial" w:cs="Arial"/>
          <w:bCs/>
          <w:sz w:val="24"/>
          <w:szCs w:val="24"/>
        </w:rPr>
        <w:t xml:space="preserve">a </w:t>
      </w:r>
      <w:r w:rsidR="001105D5" w:rsidRPr="003D1FBA">
        <w:rPr>
          <w:rFonts w:ascii="Arial" w:eastAsiaTheme="majorEastAsia" w:hAnsi="Arial" w:cs="Arial"/>
          <w:bCs/>
          <w:sz w:val="24"/>
          <w:szCs w:val="24"/>
        </w:rPr>
        <w:t>eda</w:t>
      </w:r>
      <w:r w:rsidR="00583641">
        <w:rPr>
          <w:rFonts w:ascii="Arial" w:eastAsiaTheme="majorEastAsia" w:hAnsi="Arial" w:cs="Arial"/>
          <w:bCs/>
          <w:sz w:val="24"/>
          <w:szCs w:val="24"/>
        </w:rPr>
        <w:t>d</w:t>
      </w:r>
      <w:r w:rsidR="001105D5" w:rsidRPr="003D1FBA">
        <w:rPr>
          <w:rFonts w:ascii="Arial" w:eastAsiaTheme="majorEastAsia" w:hAnsi="Arial" w:cs="Arial"/>
          <w:bCs/>
          <w:sz w:val="24"/>
          <w:szCs w:val="24"/>
        </w:rPr>
        <w:t xml:space="preserve"> </w:t>
      </w:r>
      <w:r w:rsidR="00583641">
        <w:rPr>
          <w:rFonts w:ascii="Arial" w:eastAsiaTheme="majorEastAsia" w:hAnsi="Arial" w:cs="Arial"/>
          <w:bCs/>
          <w:sz w:val="24"/>
          <w:szCs w:val="24"/>
        </w:rPr>
        <w:t>y</w:t>
      </w:r>
      <w:r w:rsidR="001105D5" w:rsidRPr="003D1FBA">
        <w:rPr>
          <w:rFonts w:ascii="Arial" w:eastAsiaTheme="majorEastAsia" w:hAnsi="Arial" w:cs="Arial"/>
          <w:bCs/>
          <w:sz w:val="24"/>
          <w:szCs w:val="24"/>
        </w:rPr>
        <w:t xml:space="preserve"> general</w:t>
      </w:r>
      <w:r w:rsidR="00583641">
        <w:rPr>
          <w:rFonts w:ascii="Arial" w:eastAsiaTheme="majorEastAsia" w:hAnsi="Arial" w:cs="Arial"/>
          <w:bCs/>
          <w:sz w:val="24"/>
          <w:szCs w:val="24"/>
        </w:rPr>
        <w:t>e</w:t>
      </w:r>
      <w:r w:rsidR="001105D5" w:rsidRPr="003D1FBA">
        <w:rPr>
          <w:rFonts w:ascii="Arial" w:eastAsiaTheme="majorEastAsia" w:hAnsi="Arial" w:cs="Arial"/>
          <w:bCs/>
          <w:sz w:val="24"/>
          <w:szCs w:val="24"/>
        </w:rPr>
        <w:t>s.</w:t>
      </w:r>
    </w:p>
    <w:p w:rsidR="00F64C8F" w:rsidRPr="003D1FBA" w:rsidRDefault="00443407" w:rsidP="008B2AC4">
      <w:pPr>
        <w:spacing w:line="360" w:lineRule="auto"/>
        <w:jc w:val="both"/>
        <w:rPr>
          <w:rFonts w:ascii="Arial" w:eastAsiaTheme="majorEastAsia" w:hAnsi="Arial" w:cs="Arial"/>
          <w:bCs/>
          <w:sz w:val="24"/>
          <w:szCs w:val="24"/>
        </w:rPr>
      </w:pPr>
      <w:r w:rsidRPr="003D1FBA">
        <w:rPr>
          <w:rFonts w:ascii="Arial" w:eastAsiaTheme="majorEastAsia" w:hAnsi="Arial" w:cs="Arial"/>
          <w:bCs/>
          <w:sz w:val="24"/>
          <w:szCs w:val="24"/>
        </w:rPr>
        <w:t>“</w:t>
      </w:r>
      <w:r w:rsidR="00F64C8F" w:rsidRPr="003D1FBA">
        <w:rPr>
          <w:rFonts w:ascii="Arial" w:eastAsiaTheme="majorEastAsia" w:hAnsi="Arial" w:cs="Arial"/>
          <w:bCs/>
          <w:sz w:val="24"/>
          <w:szCs w:val="24"/>
        </w:rPr>
        <w:t>TA</w:t>
      </w:r>
      <w:r w:rsidR="00583641">
        <w:rPr>
          <w:rFonts w:ascii="Arial" w:eastAsiaTheme="majorEastAsia" w:hAnsi="Arial" w:cs="Arial"/>
          <w:bCs/>
          <w:sz w:val="24"/>
          <w:szCs w:val="24"/>
        </w:rPr>
        <w:t>B</w:t>
      </w:r>
      <w:r w:rsidR="00F64C8F" w:rsidRPr="003D1FBA">
        <w:rPr>
          <w:rFonts w:ascii="Arial" w:eastAsiaTheme="majorEastAsia" w:hAnsi="Arial" w:cs="Arial"/>
          <w:bCs/>
          <w:sz w:val="24"/>
          <w:szCs w:val="24"/>
        </w:rPr>
        <w:t>LA 1 AQUÍ</w:t>
      </w:r>
      <w:r w:rsidRPr="003D1FBA">
        <w:rPr>
          <w:rFonts w:ascii="Arial" w:eastAsiaTheme="majorEastAsia" w:hAnsi="Arial" w:cs="Arial"/>
          <w:bCs/>
          <w:sz w:val="24"/>
          <w:szCs w:val="24"/>
        </w:rPr>
        <w:t>”</w:t>
      </w:r>
    </w:p>
    <w:p w:rsidR="009F5DE6" w:rsidRPr="003D1FBA" w:rsidRDefault="00583641" w:rsidP="008B2AC4">
      <w:pPr>
        <w:spacing w:line="360" w:lineRule="auto"/>
        <w:jc w:val="both"/>
        <w:rPr>
          <w:rFonts w:ascii="Arial" w:eastAsiaTheme="majorEastAsia" w:hAnsi="Arial" w:cs="Arial"/>
          <w:bCs/>
          <w:sz w:val="24"/>
          <w:szCs w:val="24"/>
        </w:rPr>
      </w:pPr>
      <w:r>
        <w:rPr>
          <w:rFonts w:ascii="Arial" w:eastAsiaTheme="majorEastAsia" w:hAnsi="Arial" w:cs="Arial"/>
          <w:bCs/>
          <w:sz w:val="24"/>
          <w:szCs w:val="24"/>
        </w:rPr>
        <w:lastRenderedPageBreak/>
        <w:t>Se</w:t>
      </w:r>
      <w:r w:rsidR="009F5DE6" w:rsidRPr="003D1FBA">
        <w:rPr>
          <w:rFonts w:ascii="Arial" w:eastAsiaTheme="majorEastAsia" w:hAnsi="Arial" w:cs="Arial"/>
          <w:bCs/>
          <w:sz w:val="24"/>
          <w:szCs w:val="24"/>
        </w:rPr>
        <w:t xml:space="preserve"> calcul</w:t>
      </w:r>
      <w:r>
        <w:rPr>
          <w:rFonts w:ascii="Arial" w:eastAsiaTheme="majorEastAsia" w:hAnsi="Arial" w:cs="Arial"/>
          <w:bCs/>
          <w:sz w:val="24"/>
          <w:szCs w:val="24"/>
        </w:rPr>
        <w:t xml:space="preserve">ó </w:t>
      </w:r>
      <w:r w:rsidR="009F5DE6" w:rsidRPr="003D1FBA">
        <w:rPr>
          <w:rFonts w:ascii="Arial" w:eastAsiaTheme="majorEastAsia" w:hAnsi="Arial" w:cs="Arial"/>
          <w:bCs/>
          <w:sz w:val="24"/>
          <w:szCs w:val="24"/>
        </w:rPr>
        <w:t xml:space="preserve">la </w:t>
      </w:r>
      <w:r w:rsidR="009B2053" w:rsidRPr="003D1FBA">
        <w:rPr>
          <w:rFonts w:ascii="Arial" w:eastAsiaTheme="majorEastAsia" w:hAnsi="Arial" w:cs="Arial"/>
          <w:bCs/>
          <w:sz w:val="24"/>
          <w:szCs w:val="24"/>
        </w:rPr>
        <w:t>R</w:t>
      </w:r>
      <w:r>
        <w:rPr>
          <w:rFonts w:ascii="Arial" w:eastAsiaTheme="majorEastAsia" w:hAnsi="Arial" w:cs="Arial"/>
          <w:bCs/>
          <w:sz w:val="24"/>
          <w:szCs w:val="24"/>
        </w:rPr>
        <w:t>a</w:t>
      </w:r>
      <w:r w:rsidR="009F5DE6" w:rsidRPr="003D1FBA">
        <w:rPr>
          <w:rFonts w:ascii="Arial" w:eastAsiaTheme="majorEastAsia" w:hAnsi="Arial" w:cs="Arial"/>
          <w:bCs/>
          <w:sz w:val="24"/>
          <w:szCs w:val="24"/>
        </w:rPr>
        <w:t xml:space="preserve">tio I/Q de la </w:t>
      </w:r>
      <w:r>
        <w:rPr>
          <w:rFonts w:ascii="Arial" w:eastAsiaTheme="majorEastAsia" w:hAnsi="Arial" w:cs="Arial"/>
          <w:bCs/>
          <w:sz w:val="24"/>
          <w:szCs w:val="24"/>
        </w:rPr>
        <w:t>pierna derecha y</w:t>
      </w:r>
      <w:r w:rsidR="009F5DE6" w:rsidRPr="003D1FBA">
        <w:rPr>
          <w:rFonts w:ascii="Arial" w:eastAsiaTheme="majorEastAsia" w:hAnsi="Arial" w:cs="Arial"/>
          <w:bCs/>
          <w:sz w:val="24"/>
          <w:szCs w:val="24"/>
        </w:rPr>
        <w:t xml:space="preserve"> de</w:t>
      </w:r>
      <w:r w:rsidR="00AB04D7" w:rsidRPr="003D1FBA">
        <w:rPr>
          <w:rFonts w:ascii="Arial" w:eastAsiaTheme="majorEastAsia" w:hAnsi="Arial" w:cs="Arial"/>
          <w:bCs/>
          <w:sz w:val="24"/>
          <w:szCs w:val="24"/>
        </w:rPr>
        <w:t xml:space="preserve"> la </w:t>
      </w:r>
      <w:r>
        <w:rPr>
          <w:rFonts w:ascii="Arial" w:eastAsiaTheme="majorEastAsia" w:hAnsi="Arial" w:cs="Arial"/>
          <w:bCs/>
          <w:sz w:val="24"/>
          <w:szCs w:val="24"/>
        </w:rPr>
        <w:t>pierna izquierda</w:t>
      </w:r>
      <w:r w:rsidR="009F5DE6" w:rsidRPr="003D1FBA">
        <w:rPr>
          <w:rFonts w:ascii="Arial" w:eastAsiaTheme="majorEastAsia" w:hAnsi="Arial" w:cs="Arial"/>
          <w:bCs/>
          <w:sz w:val="24"/>
          <w:szCs w:val="24"/>
        </w:rPr>
        <w:t xml:space="preserve"> de l</w:t>
      </w:r>
      <w:r>
        <w:rPr>
          <w:rFonts w:ascii="Arial" w:eastAsiaTheme="majorEastAsia" w:hAnsi="Arial" w:cs="Arial"/>
          <w:bCs/>
          <w:sz w:val="24"/>
          <w:szCs w:val="24"/>
        </w:rPr>
        <w:t>a</w:t>
      </w:r>
      <w:r w:rsidR="009F5DE6" w:rsidRPr="003D1FBA">
        <w:rPr>
          <w:rFonts w:ascii="Arial" w:eastAsiaTheme="majorEastAsia" w:hAnsi="Arial" w:cs="Arial"/>
          <w:bCs/>
          <w:sz w:val="24"/>
          <w:szCs w:val="24"/>
        </w:rPr>
        <w:t>s jugador</w:t>
      </w:r>
      <w:r>
        <w:rPr>
          <w:rFonts w:ascii="Arial" w:eastAsiaTheme="majorEastAsia" w:hAnsi="Arial" w:cs="Arial"/>
          <w:bCs/>
          <w:sz w:val="24"/>
          <w:szCs w:val="24"/>
        </w:rPr>
        <w:t>a</w:t>
      </w:r>
      <w:r w:rsidR="009F5DE6" w:rsidRPr="003D1FBA">
        <w:rPr>
          <w:rFonts w:ascii="Arial" w:eastAsiaTheme="majorEastAsia" w:hAnsi="Arial" w:cs="Arial"/>
          <w:bCs/>
          <w:sz w:val="24"/>
          <w:szCs w:val="24"/>
        </w:rPr>
        <w:t>s a</w:t>
      </w:r>
      <w:r>
        <w:rPr>
          <w:rFonts w:ascii="Arial" w:eastAsiaTheme="majorEastAsia" w:hAnsi="Arial" w:cs="Arial"/>
          <w:bCs/>
          <w:sz w:val="24"/>
          <w:szCs w:val="24"/>
        </w:rPr>
        <w:t>nte</w:t>
      </w:r>
      <w:r w:rsidR="009F5DE6" w:rsidRPr="003D1FBA">
        <w:rPr>
          <w:rFonts w:ascii="Arial" w:eastAsiaTheme="majorEastAsia" w:hAnsi="Arial" w:cs="Arial"/>
          <w:bCs/>
          <w:sz w:val="24"/>
          <w:szCs w:val="24"/>
        </w:rPr>
        <w:t xml:space="preserve">s </w:t>
      </w:r>
      <w:r>
        <w:rPr>
          <w:rFonts w:ascii="Arial" w:eastAsiaTheme="majorEastAsia" w:hAnsi="Arial" w:cs="Arial"/>
          <w:bCs/>
          <w:sz w:val="24"/>
          <w:szCs w:val="24"/>
        </w:rPr>
        <w:t>y</w:t>
      </w:r>
      <w:r w:rsidR="009F5DE6" w:rsidRPr="003D1FBA">
        <w:rPr>
          <w:rFonts w:ascii="Arial" w:eastAsiaTheme="majorEastAsia" w:hAnsi="Arial" w:cs="Arial"/>
          <w:bCs/>
          <w:sz w:val="24"/>
          <w:szCs w:val="24"/>
        </w:rPr>
        <w:t xml:space="preserve"> desp</w:t>
      </w:r>
      <w:r>
        <w:rPr>
          <w:rFonts w:ascii="Arial" w:eastAsiaTheme="majorEastAsia" w:hAnsi="Arial" w:cs="Arial"/>
          <w:bCs/>
          <w:sz w:val="24"/>
          <w:szCs w:val="24"/>
        </w:rPr>
        <w:t>u</w:t>
      </w:r>
      <w:r w:rsidR="009F5DE6" w:rsidRPr="003D1FBA">
        <w:rPr>
          <w:rFonts w:ascii="Arial" w:eastAsiaTheme="majorEastAsia" w:hAnsi="Arial" w:cs="Arial"/>
          <w:bCs/>
          <w:sz w:val="24"/>
          <w:szCs w:val="24"/>
        </w:rPr>
        <w:t>és de la pr</w:t>
      </w:r>
      <w:r>
        <w:rPr>
          <w:rFonts w:ascii="Arial" w:eastAsiaTheme="majorEastAsia" w:hAnsi="Arial" w:cs="Arial"/>
          <w:bCs/>
          <w:sz w:val="24"/>
          <w:szCs w:val="24"/>
        </w:rPr>
        <w:t>ueb</w:t>
      </w:r>
      <w:r w:rsidR="009F5DE6" w:rsidRPr="003D1FBA">
        <w:rPr>
          <w:rFonts w:ascii="Arial" w:eastAsiaTheme="majorEastAsia" w:hAnsi="Arial" w:cs="Arial"/>
          <w:bCs/>
          <w:sz w:val="24"/>
          <w:szCs w:val="24"/>
        </w:rPr>
        <w:t>a fatigant</w:t>
      </w:r>
      <w:r>
        <w:rPr>
          <w:rFonts w:ascii="Arial" w:eastAsiaTheme="majorEastAsia" w:hAnsi="Arial" w:cs="Arial"/>
          <w:bCs/>
          <w:sz w:val="24"/>
          <w:szCs w:val="24"/>
        </w:rPr>
        <w:t>e</w:t>
      </w:r>
      <w:r w:rsidR="009F5DE6" w:rsidRPr="003D1FBA">
        <w:rPr>
          <w:rFonts w:ascii="Arial" w:eastAsiaTheme="majorEastAsia" w:hAnsi="Arial" w:cs="Arial"/>
          <w:bCs/>
          <w:sz w:val="24"/>
          <w:szCs w:val="24"/>
        </w:rPr>
        <w:t>. La m</w:t>
      </w:r>
      <w:r>
        <w:rPr>
          <w:rFonts w:ascii="Arial" w:eastAsiaTheme="majorEastAsia" w:hAnsi="Arial" w:cs="Arial"/>
          <w:bCs/>
          <w:sz w:val="24"/>
          <w:szCs w:val="24"/>
        </w:rPr>
        <w:t>edia</w:t>
      </w:r>
      <w:r w:rsidR="009F5DE6" w:rsidRPr="003D1FBA">
        <w:rPr>
          <w:rFonts w:ascii="Arial" w:eastAsiaTheme="majorEastAsia" w:hAnsi="Arial" w:cs="Arial"/>
          <w:bCs/>
          <w:sz w:val="24"/>
          <w:szCs w:val="24"/>
        </w:rPr>
        <w:t xml:space="preserve"> de </w:t>
      </w:r>
      <w:r w:rsidR="001105D5" w:rsidRPr="003D1FBA">
        <w:rPr>
          <w:rFonts w:ascii="Arial" w:eastAsiaTheme="majorEastAsia" w:hAnsi="Arial" w:cs="Arial"/>
          <w:bCs/>
          <w:sz w:val="24"/>
          <w:szCs w:val="24"/>
        </w:rPr>
        <w:t xml:space="preserve">la </w:t>
      </w:r>
      <w:r w:rsidR="009F5DE6" w:rsidRPr="003D1FBA">
        <w:rPr>
          <w:rFonts w:ascii="Arial" w:eastAsiaTheme="majorEastAsia" w:hAnsi="Arial" w:cs="Arial"/>
          <w:bCs/>
          <w:sz w:val="24"/>
          <w:szCs w:val="24"/>
        </w:rPr>
        <w:t>R</w:t>
      </w:r>
      <w:r>
        <w:rPr>
          <w:rFonts w:ascii="Arial" w:eastAsiaTheme="majorEastAsia" w:hAnsi="Arial" w:cs="Arial"/>
          <w:bCs/>
          <w:sz w:val="24"/>
          <w:szCs w:val="24"/>
        </w:rPr>
        <w:t>a</w:t>
      </w:r>
      <w:r w:rsidR="009F5DE6" w:rsidRPr="003D1FBA">
        <w:rPr>
          <w:rFonts w:ascii="Arial" w:eastAsiaTheme="majorEastAsia" w:hAnsi="Arial" w:cs="Arial"/>
          <w:bCs/>
          <w:sz w:val="24"/>
          <w:szCs w:val="24"/>
        </w:rPr>
        <w:t xml:space="preserve">tio I/Q de la </w:t>
      </w:r>
      <w:r>
        <w:rPr>
          <w:rFonts w:ascii="Arial" w:eastAsiaTheme="majorEastAsia" w:hAnsi="Arial" w:cs="Arial"/>
          <w:bCs/>
          <w:sz w:val="24"/>
          <w:szCs w:val="24"/>
        </w:rPr>
        <w:t>pierna derecha</w:t>
      </w:r>
      <w:r w:rsidR="009F5DE6" w:rsidRPr="003D1FBA">
        <w:rPr>
          <w:rFonts w:ascii="Arial" w:eastAsiaTheme="majorEastAsia" w:hAnsi="Arial" w:cs="Arial"/>
          <w:bCs/>
          <w:sz w:val="24"/>
          <w:szCs w:val="24"/>
        </w:rPr>
        <w:t xml:space="preserve"> de l</w:t>
      </w:r>
      <w:r>
        <w:rPr>
          <w:rFonts w:ascii="Arial" w:eastAsiaTheme="majorEastAsia" w:hAnsi="Arial" w:cs="Arial"/>
          <w:bCs/>
          <w:sz w:val="24"/>
          <w:szCs w:val="24"/>
        </w:rPr>
        <w:t>a</w:t>
      </w:r>
      <w:r w:rsidR="009F5DE6" w:rsidRPr="003D1FBA">
        <w:rPr>
          <w:rFonts w:ascii="Arial" w:eastAsiaTheme="majorEastAsia" w:hAnsi="Arial" w:cs="Arial"/>
          <w:bCs/>
          <w:sz w:val="24"/>
          <w:szCs w:val="24"/>
        </w:rPr>
        <w:t>s jugador</w:t>
      </w:r>
      <w:r>
        <w:rPr>
          <w:rFonts w:ascii="Arial" w:eastAsiaTheme="majorEastAsia" w:hAnsi="Arial" w:cs="Arial"/>
          <w:bCs/>
          <w:sz w:val="24"/>
          <w:szCs w:val="24"/>
        </w:rPr>
        <w:t>a</w:t>
      </w:r>
      <w:r w:rsidR="009F5DE6" w:rsidRPr="003D1FBA">
        <w:rPr>
          <w:rFonts w:ascii="Arial" w:eastAsiaTheme="majorEastAsia" w:hAnsi="Arial" w:cs="Arial"/>
          <w:bCs/>
          <w:sz w:val="24"/>
          <w:szCs w:val="24"/>
        </w:rPr>
        <w:t>s pr</w:t>
      </w:r>
      <w:r>
        <w:rPr>
          <w:rFonts w:ascii="Arial" w:eastAsiaTheme="majorEastAsia" w:hAnsi="Arial" w:cs="Arial"/>
          <w:bCs/>
          <w:sz w:val="24"/>
          <w:szCs w:val="24"/>
        </w:rPr>
        <w:t>e</w:t>
      </w:r>
      <w:r w:rsidR="00E205A3" w:rsidRPr="003D1FBA">
        <w:rPr>
          <w:rFonts w:ascii="Arial" w:eastAsiaTheme="majorEastAsia" w:hAnsi="Arial" w:cs="Arial"/>
          <w:bCs/>
          <w:sz w:val="24"/>
          <w:szCs w:val="24"/>
        </w:rPr>
        <w:t>via al</w:t>
      </w:r>
      <w:r w:rsidR="009F5DE6" w:rsidRPr="003D1FBA">
        <w:rPr>
          <w:rFonts w:ascii="Arial" w:eastAsiaTheme="majorEastAsia" w:hAnsi="Arial" w:cs="Arial"/>
          <w:bCs/>
          <w:sz w:val="24"/>
          <w:szCs w:val="24"/>
        </w:rPr>
        <w:t xml:space="preserve"> 30-15 IFT </w:t>
      </w:r>
      <w:r>
        <w:rPr>
          <w:rFonts w:ascii="Arial" w:eastAsiaTheme="majorEastAsia" w:hAnsi="Arial" w:cs="Arial"/>
          <w:bCs/>
          <w:sz w:val="24"/>
          <w:szCs w:val="24"/>
        </w:rPr>
        <w:t>fue</w:t>
      </w:r>
      <w:r w:rsidR="004537EC">
        <w:rPr>
          <w:rFonts w:ascii="Arial" w:eastAsiaTheme="majorEastAsia" w:hAnsi="Arial" w:cs="Arial"/>
          <w:bCs/>
          <w:sz w:val="24"/>
          <w:szCs w:val="24"/>
        </w:rPr>
        <w:t xml:space="preserve"> de 0.52 ± 0.</w:t>
      </w:r>
      <w:r w:rsidR="009F5DE6" w:rsidRPr="003D1FBA">
        <w:rPr>
          <w:rFonts w:ascii="Arial" w:eastAsiaTheme="majorEastAsia" w:hAnsi="Arial" w:cs="Arial"/>
          <w:bCs/>
          <w:sz w:val="24"/>
          <w:szCs w:val="24"/>
        </w:rPr>
        <w:t xml:space="preserve">08 </w:t>
      </w:r>
      <w:r>
        <w:rPr>
          <w:rFonts w:ascii="Arial" w:eastAsiaTheme="majorEastAsia" w:hAnsi="Arial" w:cs="Arial"/>
          <w:bCs/>
          <w:sz w:val="24"/>
          <w:szCs w:val="24"/>
        </w:rPr>
        <w:t>y</w:t>
      </w:r>
      <w:r w:rsidR="004537EC">
        <w:rPr>
          <w:rFonts w:ascii="Arial" w:eastAsiaTheme="majorEastAsia" w:hAnsi="Arial" w:cs="Arial"/>
          <w:bCs/>
          <w:sz w:val="24"/>
          <w:szCs w:val="24"/>
        </w:rPr>
        <w:t xml:space="preserve"> la post 30-15 IFT de 0.50 ± 0.</w:t>
      </w:r>
      <w:r w:rsidR="009F5DE6" w:rsidRPr="003D1FBA">
        <w:rPr>
          <w:rFonts w:ascii="Arial" w:eastAsiaTheme="majorEastAsia" w:hAnsi="Arial" w:cs="Arial"/>
          <w:bCs/>
          <w:sz w:val="24"/>
          <w:szCs w:val="24"/>
        </w:rPr>
        <w:t xml:space="preserve">09. </w:t>
      </w:r>
      <w:r>
        <w:rPr>
          <w:rFonts w:ascii="Arial" w:eastAsiaTheme="majorEastAsia" w:hAnsi="Arial" w:cs="Arial"/>
          <w:bCs/>
          <w:sz w:val="24"/>
          <w:szCs w:val="24"/>
        </w:rPr>
        <w:t>En referencia a</w:t>
      </w:r>
      <w:r w:rsidR="009F5DE6" w:rsidRPr="003D1FBA">
        <w:rPr>
          <w:rFonts w:ascii="Arial" w:eastAsiaTheme="majorEastAsia" w:hAnsi="Arial" w:cs="Arial"/>
          <w:bCs/>
          <w:sz w:val="24"/>
          <w:szCs w:val="24"/>
        </w:rPr>
        <w:t xml:space="preserve"> la </w:t>
      </w:r>
      <w:r w:rsidR="009F5DE6" w:rsidRPr="003D1FBA">
        <w:rPr>
          <w:rFonts w:ascii="MS Reference Sans Serif" w:eastAsiaTheme="majorEastAsia" w:hAnsi="MS Reference Sans Serif" w:cs="Arial"/>
          <w:bCs/>
          <w:sz w:val="24"/>
          <w:szCs w:val="24"/>
        </w:rPr>
        <w:t></w:t>
      </w:r>
      <w:r w:rsidR="009F5DE6" w:rsidRPr="003D1FBA">
        <w:rPr>
          <w:rFonts w:ascii="Arial" w:eastAsiaTheme="majorEastAsia" w:hAnsi="Arial" w:cs="Arial"/>
          <w:bCs/>
          <w:sz w:val="24"/>
          <w:szCs w:val="24"/>
        </w:rPr>
        <w:t xml:space="preserve"> de la R</w:t>
      </w:r>
      <w:r>
        <w:rPr>
          <w:rFonts w:ascii="Arial" w:eastAsiaTheme="majorEastAsia" w:hAnsi="Arial" w:cs="Arial"/>
          <w:bCs/>
          <w:sz w:val="24"/>
          <w:szCs w:val="24"/>
        </w:rPr>
        <w:t>a</w:t>
      </w:r>
      <w:r w:rsidR="009F5DE6" w:rsidRPr="003D1FBA">
        <w:rPr>
          <w:rFonts w:ascii="Arial" w:eastAsiaTheme="majorEastAsia" w:hAnsi="Arial" w:cs="Arial"/>
          <w:bCs/>
          <w:sz w:val="24"/>
          <w:szCs w:val="24"/>
        </w:rPr>
        <w:t xml:space="preserve">tio I/Q de la </w:t>
      </w:r>
      <w:r>
        <w:rPr>
          <w:rFonts w:ascii="Arial" w:eastAsiaTheme="majorEastAsia" w:hAnsi="Arial" w:cs="Arial"/>
          <w:bCs/>
          <w:sz w:val="24"/>
          <w:szCs w:val="24"/>
        </w:rPr>
        <w:t>pierna</w:t>
      </w:r>
      <w:r w:rsidR="009F5DE6" w:rsidRPr="003D1FBA">
        <w:rPr>
          <w:rFonts w:ascii="Arial" w:eastAsiaTheme="majorEastAsia" w:hAnsi="Arial" w:cs="Arial"/>
          <w:bCs/>
          <w:sz w:val="24"/>
          <w:szCs w:val="24"/>
        </w:rPr>
        <w:t xml:space="preserve"> </w:t>
      </w:r>
      <w:r>
        <w:rPr>
          <w:rFonts w:ascii="Arial" w:eastAsiaTheme="majorEastAsia" w:hAnsi="Arial" w:cs="Arial"/>
          <w:bCs/>
          <w:sz w:val="24"/>
          <w:szCs w:val="24"/>
        </w:rPr>
        <w:t>izquierda</w:t>
      </w:r>
      <w:r w:rsidR="009F5DE6" w:rsidRPr="003D1FBA">
        <w:rPr>
          <w:rFonts w:ascii="Arial" w:eastAsiaTheme="majorEastAsia" w:hAnsi="Arial" w:cs="Arial"/>
          <w:bCs/>
          <w:sz w:val="24"/>
          <w:szCs w:val="24"/>
        </w:rPr>
        <w:t xml:space="preserve"> pr</w:t>
      </w:r>
      <w:r>
        <w:rPr>
          <w:rFonts w:ascii="Arial" w:eastAsiaTheme="majorEastAsia" w:hAnsi="Arial" w:cs="Arial"/>
          <w:bCs/>
          <w:sz w:val="24"/>
          <w:szCs w:val="24"/>
        </w:rPr>
        <w:t>e</w:t>
      </w:r>
      <w:r w:rsidR="00E205A3" w:rsidRPr="003D1FBA">
        <w:rPr>
          <w:rFonts w:ascii="Arial" w:eastAsiaTheme="majorEastAsia" w:hAnsi="Arial" w:cs="Arial"/>
          <w:bCs/>
          <w:sz w:val="24"/>
          <w:szCs w:val="24"/>
        </w:rPr>
        <w:t>via a la</w:t>
      </w:r>
      <w:r w:rsidR="009F5DE6" w:rsidRPr="003D1FBA">
        <w:rPr>
          <w:rFonts w:ascii="Arial" w:eastAsiaTheme="majorEastAsia" w:hAnsi="Arial" w:cs="Arial"/>
          <w:bCs/>
          <w:sz w:val="24"/>
          <w:szCs w:val="24"/>
        </w:rPr>
        <w:t xml:space="preserve"> pr</w:t>
      </w:r>
      <w:r>
        <w:rPr>
          <w:rFonts w:ascii="Arial" w:eastAsiaTheme="majorEastAsia" w:hAnsi="Arial" w:cs="Arial"/>
          <w:bCs/>
          <w:sz w:val="24"/>
          <w:szCs w:val="24"/>
        </w:rPr>
        <w:t>ueb</w:t>
      </w:r>
      <w:r w:rsidR="009F5DE6" w:rsidRPr="003D1FBA">
        <w:rPr>
          <w:rFonts w:ascii="Arial" w:eastAsiaTheme="majorEastAsia" w:hAnsi="Arial" w:cs="Arial"/>
          <w:bCs/>
          <w:sz w:val="24"/>
          <w:szCs w:val="24"/>
        </w:rPr>
        <w:t>a fatigant</w:t>
      </w:r>
      <w:r>
        <w:rPr>
          <w:rFonts w:ascii="Arial" w:eastAsiaTheme="majorEastAsia" w:hAnsi="Arial" w:cs="Arial"/>
          <w:bCs/>
          <w:sz w:val="24"/>
          <w:szCs w:val="24"/>
        </w:rPr>
        <w:t>e</w:t>
      </w:r>
      <w:r w:rsidR="009F5DE6" w:rsidRPr="003D1FBA">
        <w:rPr>
          <w:rFonts w:ascii="Arial" w:eastAsiaTheme="majorEastAsia" w:hAnsi="Arial" w:cs="Arial"/>
          <w:bCs/>
          <w:sz w:val="24"/>
          <w:szCs w:val="24"/>
        </w:rPr>
        <w:t xml:space="preserve"> </w:t>
      </w:r>
      <w:r w:rsidR="009D0528" w:rsidRPr="003D1FBA">
        <w:rPr>
          <w:rFonts w:ascii="Arial" w:eastAsiaTheme="majorEastAsia" w:hAnsi="Arial" w:cs="Arial"/>
          <w:bCs/>
          <w:sz w:val="24"/>
          <w:szCs w:val="24"/>
        </w:rPr>
        <w:t>fu</w:t>
      </w:r>
      <w:r>
        <w:rPr>
          <w:rFonts w:ascii="Arial" w:eastAsiaTheme="majorEastAsia" w:hAnsi="Arial" w:cs="Arial"/>
          <w:bCs/>
          <w:sz w:val="24"/>
          <w:szCs w:val="24"/>
        </w:rPr>
        <w:t>e</w:t>
      </w:r>
      <w:r w:rsidR="009D0528" w:rsidRPr="003D1FBA">
        <w:rPr>
          <w:rFonts w:ascii="Arial" w:eastAsiaTheme="majorEastAsia" w:hAnsi="Arial" w:cs="Arial"/>
          <w:bCs/>
          <w:sz w:val="24"/>
          <w:szCs w:val="24"/>
        </w:rPr>
        <w:t xml:space="preserve"> </w:t>
      </w:r>
      <w:r w:rsidR="004537EC">
        <w:rPr>
          <w:rFonts w:ascii="Arial" w:eastAsiaTheme="majorEastAsia" w:hAnsi="Arial" w:cs="Arial"/>
          <w:bCs/>
          <w:sz w:val="24"/>
          <w:szCs w:val="24"/>
        </w:rPr>
        <w:t>de 0.52 ± 0.</w:t>
      </w:r>
      <w:r w:rsidR="009F5DE6" w:rsidRPr="003D1FBA">
        <w:rPr>
          <w:rFonts w:ascii="Arial" w:eastAsiaTheme="majorEastAsia" w:hAnsi="Arial" w:cs="Arial"/>
          <w:bCs/>
          <w:sz w:val="24"/>
          <w:szCs w:val="24"/>
        </w:rPr>
        <w:t xml:space="preserve">13 </w:t>
      </w:r>
      <w:r>
        <w:rPr>
          <w:rFonts w:ascii="Arial" w:eastAsiaTheme="majorEastAsia" w:hAnsi="Arial" w:cs="Arial"/>
          <w:bCs/>
          <w:sz w:val="24"/>
          <w:szCs w:val="24"/>
        </w:rPr>
        <w:t>y</w:t>
      </w:r>
      <w:r w:rsidR="004537EC">
        <w:rPr>
          <w:rFonts w:ascii="Arial" w:eastAsiaTheme="majorEastAsia" w:hAnsi="Arial" w:cs="Arial"/>
          <w:bCs/>
          <w:sz w:val="24"/>
          <w:szCs w:val="24"/>
        </w:rPr>
        <w:t xml:space="preserve"> la post de 0.50 ± 0.</w:t>
      </w:r>
      <w:r w:rsidR="009F5DE6" w:rsidRPr="003D1FBA">
        <w:rPr>
          <w:rFonts w:ascii="Arial" w:eastAsiaTheme="majorEastAsia" w:hAnsi="Arial" w:cs="Arial"/>
          <w:bCs/>
          <w:sz w:val="24"/>
          <w:szCs w:val="24"/>
        </w:rPr>
        <w:t xml:space="preserve">13. </w:t>
      </w:r>
      <w:r w:rsidR="001D74B0">
        <w:rPr>
          <w:rFonts w:ascii="Arial" w:eastAsiaTheme="majorEastAsia" w:hAnsi="Arial" w:cs="Arial"/>
          <w:bCs/>
          <w:sz w:val="24"/>
          <w:szCs w:val="24"/>
        </w:rPr>
        <w:t>Esta</w:t>
      </w:r>
      <w:r w:rsidR="009F5DE6" w:rsidRPr="003D1FBA">
        <w:rPr>
          <w:rFonts w:ascii="Arial" w:eastAsiaTheme="majorEastAsia" w:hAnsi="Arial" w:cs="Arial"/>
          <w:bCs/>
          <w:sz w:val="24"/>
          <w:szCs w:val="24"/>
        </w:rPr>
        <w:t xml:space="preserve"> difer</w:t>
      </w:r>
      <w:r w:rsidR="001D74B0">
        <w:rPr>
          <w:rFonts w:ascii="Arial" w:eastAsiaTheme="majorEastAsia" w:hAnsi="Arial" w:cs="Arial"/>
          <w:bCs/>
          <w:sz w:val="24"/>
          <w:szCs w:val="24"/>
        </w:rPr>
        <w:t>e</w:t>
      </w:r>
      <w:r w:rsidR="009F5DE6" w:rsidRPr="003D1FBA">
        <w:rPr>
          <w:rFonts w:ascii="Arial" w:eastAsiaTheme="majorEastAsia" w:hAnsi="Arial" w:cs="Arial"/>
          <w:bCs/>
          <w:sz w:val="24"/>
          <w:szCs w:val="24"/>
        </w:rPr>
        <w:t>ncia de valor</w:t>
      </w:r>
      <w:r w:rsidR="001D74B0">
        <w:rPr>
          <w:rFonts w:ascii="Arial" w:eastAsiaTheme="majorEastAsia" w:hAnsi="Arial" w:cs="Arial"/>
          <w:bCs/>
          <w:sz w:val="24"/>
          <w:szCs w:val="24"/>
        </w:rPr>
        <w:t>e</w:t>
      </w:r>
      <w:r w:rsidR="009F5DE6" w:rsidRPr="003D1FBA">
        <w:rPr>
          <w:rFonts w:ascii="Arial" w:eastAsiaTheme="majorEastAsia" w:hAnsi="Arial" w:cs="Arial"/>
          <w:bCs/>
          <w:sz w:val="24"/>
          <w:szCs w:val="24"/>
        </w:rPr>
        <w:t>s entre la R</w:t>
      </w:r>
      <w:r w:rsidR="001D74B0">
        <w:rPr>
          <w:rFonts w:ascii="Arial" w:eastAsiaTheme="majorEastAsia" w:hAnsi="Arial" w:cs="Arial"/>
          <w:bCs/>
          <w:sz w:val="24"/>
          <w:szCs w:val="24"/>
        </w:rPr>
        <w:t>a</w:t>
      </w:r>
      <w:r w:rsidR="009F5DE6" w:rsidRPr="003D1FBA">
        <w:rPr>
          <w:rFonts w:ascii="Arial" w:eastAsiaTheme="majorEastAsia" w:hAnsi="Arial" w:cs="Arial"/>
          <w:bCs/>
          <w:sz w:val="24"/>
          <w:szCs w:val="24"/>
        </w:rPr>
        <w:t xml:space="preserve">tio I/Q no </w:t>
      </w:r>
      <w:r w:rsidR="001D74B0">
        <w:rPr>
          <w:rFonts w:ascii="Arial" w:eastAsiaTheme="majorEastAsia" w:hAnsi="Arial" w:cs="Arial"/>
          <w:bCs/>
          <w:sz w:val="24"/>
          <w:szCs w:val="24"/>
        </w:rPr>
        <w:t>fue</w:t>
      </w:r>
      <w:r w:rsidR="009F5DE6" w:rsidRPr="003D1FBA">
        <w:rPr>
          <w:rFonts w:ascii="Arial" w:eastAsiaTheme="majorEastAsia" w:hAnsi="Arial" w:cs="Arial"/>
          <w:bCs/>
          <w:sz w:val="24"/>
          <w:szCs w:val="24"/>
        </w:rPr>
        <w:t xml:space="preserve"> significativa estadísticament</w:t>
      </w:r>
      <w:r w:rsidR="001D74B0">
        <w:rPr>
          <w:rFonts w:ascii="Arial" w:eastAsiaTheme="majorEastAsia" w:hAnsi="Arial" w:cs="Arial"/>
          <w:bCs/>
          <w:sz w:val="24"/>
          <w:szCs w:val="24"/>
        </w:rPr>
        <w:t>e</w:t>
      </w:r>
      <w:r w:rsidR="009F5DE6" w:rsidRPr="003D1FBA">
        <w:rPr>
          <w:rFonts w:ascii="Arial" w:eastAsiaTheme="majorEastAsia" w:hAnsi="Arial" w:cs="Arial"/>
          <w:bCs/>
          <w:sz w:val="24"/>
          <w:szCs w:val="24"/>
        </w:rPr>
        <w:t xml:space="preserve"> ni </w:t>
      </w:r>
      <w:r w:rsidR="001D74B0">
        <w:rPr>
          <w:rFonts w:ascii="Arial" w:eastAsiaTheme="majorEastAsia" w:hAnsi="Arial" w:cs="Arial"/>
          <w:bCs/>
          <w:sz w:val="24"/>
          <w:szCs w:val="24"/>
        </w:rPr>
        <w:t>en</w:t>
      </w:r>
      <w:r w:rsidR="009F5DE6" w:rsidRPr="003D1FBA">
        <w:rPr>
          <w:rFonts w:ascii="Arial" w:eastAsiaTheme="majorEastAsia" w:hAnsi="Arial" w:cs="Arial"/>
          <w:bCs/>
          <w:sz w:val="24"/>
          <w:szCs w:val="24"/>
        </w:rPr>
        <w:t xml:space="preserve"> la </w:t>
      </w:r>
      <w:r w:rsidR="001D74B0">
        <w:rPr>
          <w:rFonts w:ascii="Arial" w:eastAsiaTheme="majorEastAsia" w:hAnsi="Arial" w:cs="Arial"/>
          <w:bCs/>
          <w:sz w:val="24"/>
          <w:szCs w:val="24"/>
        </w:rPr>
        <w:t>pierna derecha</w:t>
      </w:r>
      <w:r w:rsidR="009F5DE6" w:rsidRPr="003D1FBA">
        <w:rPr>
          <w:rFonts w:ascii="Arial" w:eastAsiaTheme="majorEastAsia" w:hAnsi="Arial" w:cs="Arial"/>
          <w:bCs/>
          <w:sz w:val="24"/>
          <w:szCs w:val="24"/>
        </w:rPr>
        <w:t xml:space="preserve"> (</w:t>
      </w:r>
      <w:r w:rsidR="009F5DE6" w:rsidRPr="003D1FBA">
        <w:rPr>
          <w:rFonts w:ascii="Arial" w:hAnsi="Arial" w:cs="Arial"/>
          <w:sz w:val="24"/>
        </w:rPr>
        <w:t>p</w:t>
      </w:r>
      <w:r w:rsidR="00665D8D" w:rsidRPr="003D1FBA">
        <w:rPr>
          <w:rFonts w:ascii="Arial" w:hAnsi="Arial" w:cs="Arial"/>
          <w:sz w:val="24"/>
        </w:rPr>
        <w:t xml:space="preserve"> </w:t>
      </w:r>
      <w:r w:rsidR="009F5DE6" w:rsidRPr="003D1FBA">
        <w:rPr>
          <w:rFonts w:ascii="Arial" w:hAnsi="Arial" w:cs="Arial"/>
          <w:sz w:val="24"/>
        </w:rPr>
        <w:t>≤</w:t>
      </w:r>
      <w:r w:rsidR="00665D8D" w:rsidRPr="003D1FBA">
        <w:rPr>
          <w:rFonts w:ascii="Arial" w:hAnsi="Arial" w:cs="Arial"/>
          <w:sz w:val="24"/>
        </w:rPr>
        <w:t xml:space="preserve"> </w:t>
      </w:r>
      <w:r w:rsidR="009F5DE6" w:rsidRPr="003D1FBA">
        <w:rPr>
          <w:rFonts w:ascii="Arial" w:hAnsi="Arial" w:cs="Arial"/>
          <w:sz w:val="24"/>
        </w:rPr>
        <w:t>0</w:t>
      </w:r>
      <w:r w:rsidR="009F5DE6" w:rsidRPr="003D1FBA">
        <w:rPr>
          <w:rFonts w:ascii="Arial" w:eastAsiaTheme="majorEastAsia" w:hAnsi="Arial" w:cs="Arial"/>
          <w:bCs/>
          <w:sz w:val="24"/>
          <w:szCs w:val="24"/>
        </w:rPr>
        <w:t xml:space="preserve">.3) ni </w:t>
      </w:r>
      <w:r w:rsidR="001D74B0">
        <w:rPr>
          <w:rFonts w:ascii="Arial" w:eastAsiaTheme="majorEastAsia" w:hAnsi="Arial" w:cs="Arial"/>
          <w:bCs/>
          <w:sz w:val="24"/>
          <w:szCs w:val="24"/>
        </w:rPr>
        <w:t>en</w:t>
      </w:r>
      <w:r w:rsidR="009F5DE6" w:rsidRPr="003D1FBA">
        <w:rPr>
          <w:rFonts w:ascii="Arial" w:eastAsiaTheme="majorEastAsia" w:hAnsi="Arial" w:cs="Arial"/>
          <w:bCs/>
          <w:sz w:val="24"/>
          <w:szCs w:val="24"/>
        </w:rPr>
        <w:t xml:space="preserve"> la </w:t>
      </w:r>
      <w:r w:rsidR="001D74B0">
        <w:rPr>
          <w:rFonts w:ascii="Arial" w:eastAsiaTheme="majorEastAsia" w:hAnsi="Arial" w:cs="Arial"/>
          <w:bCs/>
          <w:sz w:val="24"/>
          <w:szCs w:val="24"/>
        </w:rPr>
        <w:t>pierna izquierd</w:t>
      </w:r>
      <w:r w:rsidR="009F5DE6" w:rsidRPr="003D1FBA">
        <w:rPr>
          <w:rFonts w:ascii="Arial" w:eastAsiaTheme="majorEastAsia" w:hAnsi="Arial" w:cs="Arial"/>
          <w:bCs/>
          <w:sz w:val="24"/>
          <w:szCs w:val="24"/>
        </w:rPr>
        <w:t>a (</w:t>
      </w:r>
      <w:r w:rsidR="009F5DE6" w:rsidRPr="003D1FBA">
        <w:rPr>
          <w:rFonts w:ascii="Arial" w:hAnsi="Arial" w:cs="Arial"/>
          <w:sz w:val="24"/>
        </w:rPr>
        <w:t>p</w:t>
      </w:r>
      <w:r w:rsidR="00665D8D" w:rsidRPr="003D1FBA">
        <w:rPr>
          <w:rFonts w:ascii="Arial" w:hAnsi="Arial" w:cs="Arial"/>
          <w:sz w:val="24"/>
        </w:rPr>
        <w:t xml:space="preserve"> </w:t>
      </w:r>
      <w:r w:rsidR="009F5DE6" w:rsidRPr="003D1FBA">
        <w:rPr>
          <w:rFonts w:ascii="Arial" w:hAnsi="Arial" w:cs="Arial"/>
          <w:sz w:val="24"/>
        </w:rPr>
        <w:t>≤</w:t>
      </w:r>
      <w:r w:rsidR="00665D8D" w:rsidRPr="003D1FBA">
        <w:rPr>
          <w:rFonts w:ascii="Arial" w:hAnsi="Arial" w:cs="Arial"/>
          <w:sz w:val="24"/>
        </w:rPr>
        <w:t xml:space="preserve"> </w:t>
      </w:r>
      <w:r w:rsidR="009F5DE6" w:rsidRPr="003D1FBA">
        <w:rPr>
          <w:rFonts w:ascii="Arial" w:hAnsi="Arial" w:cs="Arial"/>
          <w:sz w:val="24"/>
        </w:rPr>
        <w:t>0</w:t>
      </w:r>
      <w:r w:rsidR="009F5DE6" w:rsidRPr="003D1FBA">
        <w:rPr>
          <w:rFonts w:ascii="Arial" w:eastAsiaTheme="majorEastAsia" w:hAnsi="Arial" w:cs="Arial"/>
          <w:bCs/>
          <w:sz w:val="24"/>
          <w:szCs w:val="24"/>
        </w:rPr>
        <w:t>.35) (</w:t>
      </w:r>
      <w:r w:rsidR="009678C8" w:rsidRPr="003D1FBA">
        <w:rPr>
          <w:rFonts w:ascii="Arial" w:eastAsiaTheme="majorEastAsia" w:hAnsi="Arial" w:cs="Arial"/>
          <w:bCs/>
          <w:sz w:val="24"/>
          <w:szCs w:val="24"/>
        </w:rPr>
        <w:t>Ta</w:t>
      </w:r>
      <w:r w:rsidR="001D74B0">
        <w:rPr>
          <w:rFonts w:ascii="Arial" w:eastAsiaTheme="majorEastAsia" w:hAnsi="Arial" w:cs="Arial"/>
          <w:bCs/>
          <w:sz w:val="24"/>
          <w:szCs w:val="24"/>
        </w:rPr>
        <w:t>b</w:t>
      </w:r>
      <w:r w:rsidR="009678C8" w:rsidRPr="003D1FBA">
        <w:rPr>
          <w:rFonts w:ascii="Arial" w:eastAsiaTheme="majorEastAsia" w:hAnsi="Arial" w:cs="Arial"/>
          <w:bCs/>
          <w:sz w:val="24"/>
          <w:szCs w:val="24"/>
        </w:rPr>
        <w:t xml:space="preserve">la </w:t>
      </w:r>
      <w:r w:rsidR="009F5DE6" w:rsidRPr="003D1FBA">
        <w:rPr>
          <w:rFonts w:ascii="Arial" w:eastAsiaTheme="majorEastAsia" w:hAnsi="Arial" w:cs="Arial"/>
          <w:bCs/>
          <w:sz w:val="24"/>
          <w:szCs w:val="24"/>
        </w:rPr>
        <w:t>2).</w:t>
      </w:r>
    </w:p>
    <w:p w:rsidR="00F64C8F" w:rsidRPr="003D1FBA" w:rsidRDefault="00443407" w:rsidP="008B2AC4">
      <w:pPr>
        <w:spacing w:line="360" w:lineRule="auto"/>
        <w:jc w:val="both"/>
        <w:rPr>
          <w:rFonts w:ascii="Arial" w:eastAsiaTheme="majorEastAsia" w:hAnsi="Arial" w:cs="Arial"/>
          <w:bCs/>
          <w:sz w:val="24"/>
          <w:szCs w:val="24"/>
        </w:rPr>
      </w:pPr>
      <w:r w:rsidRPr="003D1FBA">
        <w:rPr>
          <w:rFonts w:ascii="Arial" w:eastAsiaTheme="majorEastAsia" w:hAnsi="Arial" w:cs="Arial"/>
          <w:bCs/>
          <w:sz w:val="24"/>
          <w:szCs w:val="24"/>
        </w:rPr>
        <w:t>“</w:t>
      </w:r>
      <w:r w:rsidR="00F64C8F" w:rsidRPr="003D1FBA">
        <w:rPr>
          <w:rFonts w:ascii="Arial" w:eastAsiaTheme="majorEastAsia" w:hAnsi="Arial" w:cs="Arial"/>
          <w:bCs/>
          <w:sz w:val="24"/>
          <w:szCs w:val="24"/>
        </w:rPr>
        <w:t>TA</w:t>
      </w:r>
      <w:r w:rsidR="001D74B0">
        <w:rPr>
          <w:rFonts w:ascii="Arial" w:eastAsiaTheme="majorEastAsia" w:hAnsi="Arial" w:cs="Arial"/>
          <w:bCs/>
          <w:sz w:val="24"/>
          <w:szCs w:val="24"/>
        </w:rPr>
        <w:t>B</w:t>
      </w:r>
      <w:r w:rsidR="00F64C8F" w:rsidRPr="003D1FBA">
        <w:rPr>
          <w:rFonts w:ascii="Arial" w:eastAsiaTheme="majorEastAsia" w:hAnsi="Arial" w:cs="Arial"/>
          <w:bCs/>
          <w:sz w:val="24"/>
          <w:szCs w:val="24"/>
        </w:rPr>
        <w:t>LA 2 AQUÍ</w:t>
      </w:r>
      <w:r w:rsidRPr="003D1FBA">
        <w:rPr>
          <w:rFonts w:ascii="Arial" w:eastAsiaTheme="majorEastAsia" w:hAnsi="Arial" w:cs="Arial"/>
          <w:bCs/>
          <w:sz w:val="24"/>
          <w:szCs w:val="24"/>
        </w:rPr>
        <w:t>”</w:t>
      </w:r>
    </w:p>
    <w:p w:rsidR="00E45698" w:rsidRPr="003D1FBA" w:rsidRDefault="001D74B0" w:rsidP="008B2AC4">
      <w:pPr>
        <w:spacing w:line="360" w:lineRule="auto"/>
        <w:jc w:val="both"/>
        <w:rPr>
          <w:rFonts w:ascii="Arial" w:eastAsiaTheme="majorEastAsia" w:hAnsi="Arial" w:cs="Arial"/>
          <w:bCs/>
          <w:sz w:val="24"/>
          <w:szCs w:val="24"/>
        </w:rPr>
      </w:pPr>
      <w:r>
        <w:rPr>
          <w:rFonts w:ascii="Arial" w:eastAsiaTheme="majorEastAsia" w:hAnsi="Arial" w:cs="Arial"/>
          <w:bCs/>
          <w:sz w:val="24"/>
          <w:szCs w:val="24"/>
        </w:rPr>
        <w:t>En</w:t>
      </w:r>
      <w:r w:rsidR="004B4386" w:rsidRPr="003D1FBA">
        <w:rPr>
          <w:rFonts w:ascii="Arial" w:eastAsiaTheme="majorEastAsia" w:hAnsi="Arial" w:cs="Arial"/>
          <w:bCs/>
          <w:sz w:val="24"/>
          <w:szCs w:val="24"/>
        </w:rPr>
        <w:t xml:space="preserve"> la Ta</w:t>
      </w:r>
      <w:r>
        <w:rPr>
          <w:rFonts w:ascii="Arial" w:eastAsiaTheme="majorEastAsia" w:hAnsi="Arial" w:cs="Arial"/>
          <w:bCs/>
          <w:sz w:val="24"/>
          <w:szCs w:val="24"/>
        </w:rPr>
        <w:t>b</w:t>
      </w:r>
      <w:r w:rsidR="004B4386" w:rsidRPr="003D1FBA">
        <w:rPr>
          <w:rFonts w:ascii="Arial" w:eastAsiaTheme="majorEastAsia" w:hAnsi="Arial" w:cs="Arial"/>
          <w:bCs/>
          <w:sz w:val="24"/>
          <w:szCs w:val="24"/>
        </w:rPr>
        <w:t xml:space="preserve">la 3 </w:t>
      </w:r>
      <w:r>
        <w:rPr>
          <w:rFonts w:ascii="Arial" w:eastAsiaTheme="majorEastAsia" w:hAnsi="Arial" w:cs="Arial"/>
          <w:bCs/>
          <w:sz w:val="24"/>
          <w:szCs w:val="24"/>
        </w:rPr>
        <w:t>se pueden</w:t>
      </w:r>
      <w:r w:rsidR="004B4386" w:rsidRPr="003D1FBA">
        <w:rPr>
          <w:rFonts w:ascii="Arial" w:eastAsiaTheme="majorEastAsia" w:hAnsi="Arial" w:cs="Arial"/>
          <w:bCs/>
          <w:sz w:val="24"/>
          <w:szCs w:val="24"/>
        </w:rPr>
        <w:t xml:space="preserve"> observar </w:t>
      </w:r>
      <w:r>
        <w:rPr>
          <w:rFonts w:ascii="Arial" w:eastAsiaTheme="majorEastAsia" w:hAnsi="Arial" w:cs="Arial"/>
          <w:bCs/>
          <w:sz w:val="24"/>
          <w:szCs w:val="24"/>
        </w:rPr>
        <w:t>lo</w:t>
      </w:r>
      <w:r w:rsidR="004B4386" w:rsidRPr="003D1FBA">
        <w:rPr>
          <w:rFonts w:ascii="Arial" w:eastAsiaTheme="majorEastAsia" w:hAnsi="Arial" w:cs="Arial"/>
          <w:bCs/>
          <w:sz w:val="24"/>
          <w:szCs w:val="24"/>
        </w:rPr>
        <w:t>s valor</w:t>
      </w:r>
      <w:r>
        <w:rPr>
          <w:rFonts w:ascii="Arial" w:eastAsiaTheme="majorEastAsia" w:hAnsi="Arial" w:cs="Arial"/>
          <w:bCs/>
          <w:sz w:val="24"/>
          <w:szCs w:val="24"/>
        </w:rPr>
        <w:t>e</w:t>
      </w:r>
      <w:r w:rsidR="004B4386" w:rsidRPr="003D1FBA">
        <w:rPr>
          <w:rFonts w:ascii="Arial" w:eastAsiaTheme="majorEastAsia" w:hAnsi="Arial" w:cs="Arial"/>
          <w:bCs/>
          <w:sz w:val="24"/>
          <w:szCs w:val="24"/>
        </w:rPr>
        <w:t>s de f</w:t>
      </w:r>
      <w:r>
        <w:rPr>
          <w:rFonts w:ascii="Arial" w:eastAsiaTheme="majorEastAsia" w:hAnsi="Arial" w:cs="Arial"/>
          <w:bCs/>
          <w:sz w:val="24"/>
          <w:szCs w:val="24"/>
        </w:rPr>
        <w:t>uerz</w:t>
      </w:r>
      <w:r w:rsidR="004B4386" w:rsidRPr="003D1FBA">
        <w:rPr>
          <w:rFonts w:ascii="Arial" w:eastAsiaTheme="majorEastAsia" w:hAnsi="Arial" w:cs="Arial"/>
          <w:bCs/>
          <w:sz w:val="24"/>
          <w:szCs w:val="24"/>
        </w:rPr>
        <w:t>a pre</w:t>
      </w:r>
      <w:r w:rsidR="00E205A3" w:rsidRPr="003D1FBA">
        <w:rPr>
          <w:rFonts w:ascii="Arial" w:eastAsiaTheme="majorEastAsia" w:hAnsi="Arial" w:cs="Arial"/>
          <w:bCs/>
          <w:sz w:val="24"/>
          <w:szCs w:val="24"/>
        </w:rPr>
        <w:t>vi</w:t>
      </w:r>
      <w:r>
        <w:rPr>
          <w:rFonts w:ascii="Arial" w:eastAsiaTheme="majorEastAsia" w:hAnsi="Arial" w:cs="Arial"/>
          <w:bCs/>
          <w:sz w:val="24"/>
          <w:szCs w:val="24"/>
        </w:rPr>
        <w:t>o</w:t>
      </w:r>
      <w:r w:rsidR="00E205A3" w:rsidRPr="003D1FBA">
        <w:rPr>
          <w:rFonts w:ascii="Arial" w:eastAsiaTheme="majorEastAsia" w:hAnsi="Arial" w:cs="Arial"/>
          <w:bCs/>
          <w:sz w:val="24"/>
          <w:szCs w:val="24"/>
        </w:rPr>
        <w:t>s</w:t>
      </w:r>
      <w:r w:rsidR="004B4386" w:rsidRPr="003D1FBA">
        <w:rPr>
          <w:rFonts w:ascii="Arial" w:eastAsiaTheme="majorEastAsia" w:hAnsi="Arial" w:cs="Arial"/>
          <w:bCs/>
          <w:sz w:val="24"/>
          <w:szCs w:val="24"/>
        </w:rPr>
        <w:t xml:space="preserve"> </w:t>
      </w:r>
      <w:r>
        <w:rPr>
          <w:rFonts w:ascii="Arial" w:eastAsiaTheme="majorEastAsia" w:hAnsi="Arial" w:cs="Arial"/>
          <w:bCs/>
          <w:sz w:val="24"/>
          <w:szCs w:val="24"/>
        </w:rPr>
        <w:t>y</w:t>
      </w:r>
      <w:r w:rsidR="004B4386" w:rsidRPr="003D1FBA">
        <w:rPr>
          <w:rFonts w:ascii="Arial" w:eastAsiaTheme="majorEastAsia" w:hAnsi="Arial" w:cs="Arial"/>
          <w:bCs/>
          <w:sz w:val="24"/>
          <w:szCs w:val="24"/>
        </w:rPr>
        <w:t xml:space="preserve"> post</w:t>
      </w:r>
      <w:r w:rsidR="00E205A3" w:rsidRPr="003D1FBA">
        <w:rPr>
          <w:rFonts w:ascii="Arial" w:eastAsiaTheme="majorEastAsia" w:hAnsi="Arial" w:cs="Arial"/>
          <w:bCs/>
          <w:sz w:val="24"/>
          <w:szCs w:val="24"/>
        </w:rPr>
        <w:t>erior</w:t>
      </w:r>
      <w:r>
        <w:rPr>
          <w:rFonts w:ascii="Arial" w:eastAsiaTheme="majorEastAsia" w:hAnsi="Arial" w:cs="Arial"/>
          <w:bCs/>
          <w:sz w:val="24"/>
          <w:szCs w:val="24"/>
        </w:rPr>
        <w:t>e</w:t>
      </w:r>
      <w:r w:rsidR="00E205A3" w:rsidRPr="003D1FBA">
        <w:rPr>
          <w:rFonts w:ascii="Arial" w:eastAsiaTheme="majorEastAsia" w:hAnsi="Arial" w:cs="Arial"/>
          <w:bCs/>
          <w:sz w:val="24"/>
          <w:szCs w:val="24"/>
        </w:rPr>
        <w:t>s</w:t>
      </w:r>
      <w:r w:rsidR="004B4386" w:rsidRPr="003D1FBA">
        <w:rPr>
          <w:rFonts w:ascii="Arial" w:eastAsiaTheme="majorEastAsia" w:hAnsi="Arial" w:cs="Arial"/>
          <w:bCs/>
          <w:sz w:val="24"/>
          <w:szCs w:val="24"/>
        </w:rPr>
        <w:t xml:space="preserve"> </w:t>
      </w:r>
      <w:r w:rsidR="00E205A3" w:rsidRPr="003D1FBA">
        <w:rPr>
          <w:rFonts w:ascii="Arial" w:eastAsiaTheme="majorEastAsia" w:hAnsi="Arial" w:cs="Arial"/>
          <w:bCs/>
          <w:sz w:val="24"/>
          <w:szCs w:val="24"/>
        </w:rPr>
        <w:t>a</w:t>
      </w:r>
      <w:r w:rsidR="000E31F1" w:rsidRPr="003D1FBA">
        <w:rPr>
          <w:rFonts w:ascii="Arial" w:eastAsiaTheme="majorEastAsia" w:hAnsi="Arial" w:cs="Arial"/>
          <w:bCs/>
          <w:sz w:val="24"/>
          <w:szCs w:val="24"/>
        </w:rPr>
        <w:t xml:space="preserve">l </w:t>
      </w:r>
      <w:r w:rsidR="004B4386" w:rsidRPr="003D1FBA">
        <w:rPr>
          <w:rFonts w:ascii="Arial" w:eastAsiaTheme="majorEastAsia" w:hAnsi="Arial" w:cs="Arial"/>
          <w:bCs/>
          <w:sz w:val="24"/>
          <w:szCs w:val="24"/>
        </w:rPr>
        <w:t>test fatigant</w:t>
      </w:r>
      <w:r>
        <w:rPr>
          <w:rFonts w:ascii="Arial" w:eastAsiaTheme="majorEastAsia" w:hAnsi="Arial" w:cs="Arial"/>
          <w:bCs/>
          <w:sz w:val="24"/>
          <w:szCs w:val="24"/>
        </w:rPr>
        <w:t>e</w:t>
      </w:r>
      <w:r w:rsidR="004B4386" w:rsidRPr="003D1FBA">
        <w:rPr>
          <w:rFonts w:ascii="Arial" w:eastAsiaTheme="majorEastAsia" w:hAnsi="Arial" w:cs="Arial"/>
          <w:bCs/>
          <w:sz w:val="24"/>
          <w:szCs w:val="24"/>
        </w:rPr>
        <w:t>, obt</w:t>
      </w:r>
      <w:r>
        <w:rPr>
          <w:rFonts w:ascii="Arial" w:eastAsiaTheme="majorEastAsia" w:hAnsi="Arial" w:cs="Arial"/>
          <w:bCs/>
          <w:sz w:val="24"/>
          <w:szCs w:val="24"/>
        </w:rPr>
        <w:t>enido</w:t>
      </w:r>
      <w:r w:rsidR="004B4386" w:rsidRPr="003D1FBA">
        <w:rPr>
          <w:rFonts w:ascii="Arial" w:eastAsiaTheme="majorEastAsia" w:hAnsi="Arial" w:cs="Arial"/>
          <w:bCs/>
          <w:sz w:val="24"/>
          <w:szCs w:val="24"/>
        </w:rPr>
        <w:t>s en la posició</w:t>
      </w:r>
      <w:r>
        <w:rPr>
          <w:rFonts w:ascii="Arial" w:eastAsiaTheme="majorEastAsia" w:hAnsi="Arial" w:cs="Arial"/>
          <w:bCs/>
          <w:sz w:val="24"/>
          <w:szCs w:val="24"/>
        </w:rPr>
        <w:t>n</w:t>
      </w:r>
      <w:r w:rsidR="004B4386" w:rsidRPr="003D1FBA">
        <w:rPr>
          <w:rFonts w:ascii="Arial" w:eastAsiaTheme="majorEastAsia" w:hAnsi="Arial" w:cs="Arial"/>
          <w:bCs/>
          <w:sz w:val="24"/>
          <w:szCs w:val="24"/>
        </w:rPr>
        <w:t xml:space="preserve"> descrita anteriorment</w:t>
      </w:r>
      <w:r>
        <w:rPr>
          <w:rFonts w:ascii="Arial" w:eastAsiaTheme="majorEastAsia" w:hAnsi="Arial" w:cs="Arial"/>
          <w:bCs/>
          <w:sz w:val="24"/>
          <w:szCs w:val="24"/>
        </w:rPr>
        <w:t>e</w:t>
      </w:r>
      <w:r w:rsidR="004B4386" w:rsidRPr="003D1FBA">
        <w:rPr>
          <w:rFonts w:ascii="Arial" w:eastAsiaTheme="majorEastAsia" w:hAnsi="Arial" w:cs="Arial"/>
          <w:bCs/>
          <w:sz w:val="24"/>
          <w:szCs w:val="24"/>
        </w:rPr>
        <w:t>. En to</w:t>
      </w:r>
      <w:r>
        <w:rPr>
          <w:rFonts w:ascii="Arial" w:eastAsiaTheme="majorEastAsia" w:hAnsi="Arial" w:cs="Arial"/>
          <w:bCs/>
          <w:sz w:val="24"/>
          <w:szCs w:val="24"/>
        </w:rPr>
        <w:t>do</w:t>
      </w:r>
      <w:r w:rsidR="004B4386" w:rsidRPr="003D1FBA">
        <w:rPr>
          <w:rFonts w:ascii="Arial" w:eastAsiaTheme="majorEastAsia" w:hAnsi="Arial" w:cs="Arial"/>
          <w:bCs/>
          <w:sz w:val="24"/>
          <w:szCs w:val="24"/>
        </w:rPr>
        <w:t>s l</w:t>
      </w:r>
      <w:r>
        <w:rPr>
          <w:rFonts w:ascii="Arial" w:eastAsiaTheme="majorEastAsia" w:hAnsi="Arial" w:cs="Arial"/>
          <w:bCs/>
          <w:sz w:val="24"/>
          <w:szCs w:val="24"/>
        </w:rPr>
        <w:t>o</w:t>
      </w:r>
      <w:r w:rsidR="004B4386" w:rsidRPr="003D1FBA">
        <w:rPr>
          <w:rFonts w:ascii="Arial" w:eastAsiaTheme="majorEastAsia" w:hAnsi="Arial" w:cs="Arial"/>
          <w:bCs/>
          <w:sz w:val="24"/>
          <w:szCs w:val="24"/>
        </w:rPr>
        <w:t>s grup</w:t>
      </w:r>
      <w:r>
        <w:rPr>
          <w:rFonts w:ascii="Arial" w:eastAsiaTheme="majorEastAsia" w:hAnsi="Arial" w:cs="Arial"/>
          <w:bCs/>
          <w:sz w:val="24"/>
          <w:szCs w:val="24"/>
        </w:rPr>
        <w:t>o</w:t>
      </w:r>
      <w:r w:rsidR="004B4386" w:rsidRPr="003D1FBA">
        <w:rPr>
          <w:rFonts w:ascii="Arial" w:eastAsiaTheme="majorEastAsia" w:hAnsi="Arial" w:cs="Arial"/>
          <w:bCs/>
          <w:sz w:val="24"/>
          <w:szCs w:val="24"/>
        </w:rPr>
        <w:t>s muscular</w:t>
      </w:r>
      <w:r>
        <w:rPr>
          <w:rFonts w:ascii="Arial" w:eastAsiaTheme="majorEastAsia" w:hAnsi="Arial" w:cs="Arial"/>
          <w:bCs/>
          <w:sz w:val="24"/>
          <w:szCs w:val="24"/>
        </w:rPr>
        <w:t>e</w:t>
      </w:r>
      <w:r w:rsidR="00E205A3" w:rsidRPr="003D1FBA">
        <w:rPr>
          <w:rFonts w:ascii="Arial" w:eastAsiaTheme="majorEastAsia" w:hAnsi="Arial" w:cs="Arial"/>
          <w:bCs/>
          <w:sz w:val="24"/>
          <w:szCs w:val="24"/>
        </w:rPr>
        <w:t>s</w:t>
      </w:r>
      <w:r w:rsidR="004B4386" w:rsidRPr="003D1FBA">
        <w:rPr>
          <w:rFonts w:ascii="Arial" w:eastAsiaTheme="majorEastAsia" w:hAnsi="Arial" w:cs="Arial"/>
          <w:bCs/>
          <w:sz w:val="24"/>
          <w:szCs w:val="24"/>
        </w:rPr>
        <w:t xml:space="preserve"> </w:t>
      </w:r>
      <w:r>
        <w:rPr>
          <w:rFonts w:ascii="Arial" w:eastAsiaTheme="majorEastAsia" w:hAnsi="Arial" w:cs="Arial"/>
          <w:bCs/>
          <w:sz w:val="24"/>
          <w:szCs w:val="24"/>
        </w:rPr>
        <w:t>hubo</w:t>
      </w:r>
      <w:r w:rsidR="004B4386" w:rsidRPr="003D1FBA">
        <w:rPr>
          <w:rFonts w:ascii="Arial" w:eastAsiaTheme="majorEastAsia" w:hAnsi="Arial" w:cs="Arial"/>
          <w:bCs/>
          <w:sz w:val="24"/>
          <w:szCs w:val="24"/>
        </w:rPr>
        <w:t xml:space="preserve"> una p</w:t>
      </w:r>
      <w:r>
        <w:rPr>
          <w:rFonts w:ascii="Arial" w:eastAsiaTheme="majorEastAsia" w:hAnsi="Arial" w:cs="Arial"/>
          <w:bCs/>
          <w:sz w:val="24"/>
          <w:szCs w:val="24"/>
        </w:rPr>
        <w:t>é</w:t>
      </w:r>
      <w:r w:rsidR="004B4386" w:rsidRPr="003D1FBA">
        <w:rPr>
          <w:rFonts w:ascii="Arial" w:eastAsiaTheme="majorEastAsia" w:hAnsi="Arial" w:cs="Arial"/>
          <w:bCs/>
          <w:sz w:val="24"/>
          <w:szCs w:val="24"/>
        </w:rPr>
        <w:t>rd</w:t>
      </w:r>
      <w:r>
        <w:rPr>
          <w:rFonts w:ascii="Arial" w:eastAsiaTheme="majorEastAsia" w:hAnsi="Arial" w:cs="Arial"/>
          <w:bCs/>
          <w:sz w:val="24"/>
          <w:szCs w:val="24"/>
        </w:rPr>
        <w:t>id</w:t>
      </w:r>
      <w:r w:rsidR="004B4386" w:rsidRPr="003D1FBA">
        <w:rPr>
          <w:rFonts w:ascii="Arial" w:eastAsiaTheme="majorEastAsia" w:hAnsi="Arial" w:cs="Arial"/>
          <w:bCs/>
          <w:sz w:val="24"/>
          <w:szCs w:val="24"/>
        </w:rPr>
        <w:t>a de f</w:t>
      </w:r>
      <w:r>
        <w:rPr>
          <w:rFonts w:ascii="Arial" w:eastAsiaTheme="majorEastAsia" w:hAnsi="Arial" w:cs="Arial"/>
          <w:bCs/>
          <w:sz w:val="24"/>
          <w:szCs w:val="24"/>
        </w:rPr>
        <w:t>uerz</w:t>
      </w:r>
      <w:r w:rsidR="004B4386" w:rsidRPr="003D1FBA">
        <w:rPr>
          <w:rFonts w:ascii="Arial" w:eastAsiaTheme="majorEastAsia" w:hAnsi="Arial" w:cs="Arial"/>
          <w:bCs/>
          <w:sz w:val="24"/>
          <w:szCs w:val="24"/>
        </w:rPr>
        <w:t>a</w:t>
      </w:r>
      <w:r w:rsidR="002809AA" w:rsidRPr="003D1FBA">
        <w:rPr>
          <w:rFonts w:ascii="Arial" w:eastAsiaTheme="majorEastAsia" w:hAnsi="Arial" w:cs="Arial"/>
          <w:bCs/>
          <w:sz w:val="24"/>
          <w:szCs w:val="24"/>
        </w:rPr>
        <w:t xml:space="preserve"> significativa</w:t>
      </w:r>
      <w:r w:rsidR="004B4386" w:rsidRPr="003D1FBA">
        <w:rPr>
          <w:rFonts w:ascii="Arial" w:eastAsiaTheme="majorEastAsia" w:hAnsi="Arial" w:cs="Arial"/>
          <w:bCs/>
          <w:sz w:val="24"/>
          <w:szCs w:val="24"/>
        </w:rPr>
        <w:t>,</w:t>
      </w:r>
      <w:r w:rsidR="00377128" w:rsidRPr="003D1FBA">
        <w:rPr>
          <w:rFonts w:ascii="Arial" w:eastAsiaTheme="majorEastAsia" w:hAnsi="Arial" w:cs="Arial"/>
          <w:bCs/>
          <w:sz w:val="24"/>
          <w:szCs w:val="24"/>
        </w:rPr>
        <w:t xml:space="preserve"> </w:t>
      </w:r>
      <w:r>
        <w:rPr>
          <w:rFonts w:ascii="Arial" w:eastAsiaTheme="majorEastAsia" w:hAnsi="Arial" w:cs="Arial"/>
          <w:bCs/>
          <w:sz w:val="24"/>
          <w:szCs w:val="24"/>
        </w:rPr>
        <w:t>en el</w:t>
      </w:r>
      <w:r w:rsidR="00377128" w:rsidRPr="003D1FBA">
        <w:rPr>
          <w:rFonts w:ascii="Arial" w:eastAsiaTheme="majorEastAsia" w:hAnsi="Arial" w:cs="Arial"/>
          <w:bCs/>
          <w:sz w:val="24"/>
          <w:szCs w:val="24"/>
        </w:rPr>
        <w:t xml:space="preserve"> QD</w:t>
      </w:r>
      <w:r w:rsidR="00C22AC6" w:rsidRPr="003D1FBA">
        <w:rPr>
          <w:rFonts w:ascii="Arial" w:eastAsiaTheme="majorEastAsia" w:hAnsi="Arial" w:cs="Arial"/>
          <w:bCs/>
          <w:sz w:val="24"/>
          <w:szCs w:val="24"/>
        </w:rPr>
        <w:t xml:space="preserve"> </w:t>
      </w:r>
      <w:r w:rsidR="00C22AC6" w:rsidRPr="003D1FBA">
        <w:rPr>
          <w:rFonts w:ascii="Arial" w:hAnsi="Arial" w:cs="Arial"/>
          <w:sz w:val="24"/>
        </w:rPr>
        <w:t>p ≤ 0</w:t>
      </w:r>
      <w:r w:rsidR="00C22AC6" w:rsidRPr="003D1FBA">
        <w:rPr>
          <w:rFonts w:ascii="Arial" w:eastAsiaTheme="majorEastAsia" w:hAnsi="Arial" w:cs="Arial"/>
          <w:bCs/>
          <w:sz w:val="24"/>
          <w:szCs w:val="24"/>
        </w:rPr>
        <w:t xml:space="preserve">.05, </w:t>
      </w:r>
      <w:r>
        <w:rPr>
          <w:rFonts w:ascii="Arial" w:eastAsiaTheme="majorEastAsia" w:hAnsi="Arial" w:cs="Arial"/>
          <w:bCs/>
          <w:sz w:val="24"/>
          <w:szCs w:val="24"/>
        </w:rPr>
        <w:t>en el</w:t>
      </w:r>
      <w:r w:rsidR="00B14C71" w:rsidRPr="003D1FBA">
        <w:rPr>
          <w:rFonts w:ascii="Arial" w:eastAsiaTheme="majorEastAsia" w:hAnsi="Arial" w:cs="Arial"/>
          <w:bCs/>
          <w:sz w:val="24"/>
          <w:szCs w:val="24"/>
        </w:rPr>
        <w:t xml:space="preserve"> QE </w:t>
      </w:r>
      <w:r w:rsidR="00893239" w:rsidRPr="003D1FBA">
        <w:rPr>
          <w:rFonts w:ascii="Arial" w:hAnsi="Arial" w:cs="Arial"/>
          <w:sz w:val="24"/>
        </w:rPr>
        <w:t>p</w:t>
      </w:r>
      <w:r w:rsidR="00665D8D" w:rsidRPr="003D1FBA">
        <w:rPr>
          <w:rFonts w:ascii="Arial" w:hAnsi="Arial" w:cs="Arial"/>
          <w:sz w:val="24"/>
        </w:rPr>
        <w:t xml:space="preserve"> </w:t>
      </w:r>
      <w:r w:rsidR="00893239" w:rsidRPr="003D1FBA">
        <w:rPr>
          <w:rFonts w:ascii="Arial" w:hAnsi="Arial" w:cs="Arial"/>
          <w:sz w:val="24"/>
        </w:rPr>
        <w:t>≤</w:t>
      </w:r>
      <w:r w:rsidR="00665D8D" w:rsidRPr="003D1FBA">
        <w:rPr>
          <w:rFonts w:ascii="Arial" w:hAnsi="Arial" w:cs="Arial"/>
          <w:sz w:val="24"/>
        </w:rPr>
        <w:t xml:space="preserve"> </w:t>
      </w:r>
      <w:r w:rsidR="00893239" w:rsidRPr="003D1FBA">
        <w:rPr>
          <w:rFonts w:ascii="Arial" w:hAnsi="Arial" w:cs="Arial"/>
          <w:sz w:val="24"/>
        </w:rPr>
        <w:t>0</w:t>
      </w:r>
      <w:r w:rsidR="00B14C71" w:rsidRPr="003D1FBA">
        <w:rPr>
          <w:rFonts w:ascii="Arial" w:eastAsiaTheme="majorEastAsia" w:hAnsi="Arial" w:cs="Arial"/>
          <w:bCs/>
          <w:sz w:val="24"/>
          <w:szCs w:val="24"/>
        </w:rPr>
        <w:t>.</w:t>
      </w:r>
      <w:r w:rsidR="00572AEB" w:rsidRPr="003D1FBA">
        <w:rPr>
          <w:rFonts w:ascii="Arial" w:eastAsiaTheme="majorEastAsia" w:hAnsi="Arial" w:cs="Arial"/>
          <w:bCs/>
          <w:sz w:val="24"/>
          <w:szCs w:val="24"/>
        </w:rPr>
        <w:t xml:space="preserve">01, </w:t>
      </w:r>
      <w:r>
        <w:rPr>
          <w:rFonts w:ascii="Arial" w:eastAsiaTheme="majorEastAsia" w:hAnsi="Arial" w:cs="Arial"/>
          <w:bCs/>
          <w:sz w:val="24"/>
          <w:szCs w:val="24"/>
        </w:rPr>
        <w:t>en el</w:t>
      </w:r>
      <w:r w:rsidR="00572AEB" w:rsidRPr="003D1FBA">
        <w:rPr>
          <w:rFonts w:ascii="Arial" w:eastAsiaTheme="majorEastAsia" w:hAnsi="Arial" w:cs="Arial"/>
          <w:bCs/>
          <w:sz w:val="24"/>
          <w:szCs w:val="24"/>
        </w:rPr>
        <w:t xml:space="preserve"> ID </w:t>
      </w:r>
      <w:r w:rsidR="00893239" w:rsidRPr="003D1FBA">
        <w:rPr>
          <w:rFonts w:ascii="Arial" w:hAnsi="Arial" w:cs="Arial"/>
          <w:sz w:val="24"/>
        </w:rPr>
        <w:t>p</w:t>
      </w:r>
      <w:r w:rsidR="00665D8D" w:rsidRPr="003D1FBA">
        <w:rPr>
          <w:rFonts w:ascii="Arial" w:hAnsi="Arial" w:cs="Arial"/>
          <w:sz w:val="24"/>
        </w:rPr>
        <w:t xml:space="preserve"> </w:t>
      </w:r>
      <w:r w:rsidR="001E251F" w:rsidRPr="003D1FBA">
        <w:rPr>
          <w:rFonts w:ascii="Arial" w:hAnsi="Arial" w:cs="Arial"/>
          <w:sz w:val="24"/>
        </w:rPr>
        <w:t>&lt;</w:t>
      </w:r>
      <w:r w:rsidR="00665D8D" w:rsidRPr="003D1FBA">
        <w:rPr>
          <w:rFonts w:ascii="Arial" w:hAnsi="Arial" w:cs="Arial"/>
          <w:sz w:val="24"/>
        </w:rPr>
        <w:t xml:space="preserve"> </w:t>
      </w:r>
      <w:r w:rsidR="00893239" w:rsidRPr="003D1FBA">
        <w:rPr>
          <w:rFonts w:ascii="Arial" w:hAnsi="Arial" w:cs="Arial"/>
          <w:sz w:val="24"/>
        </w:rPr>
        <w:t>0</w:t>
      </w:r>
      <w:r w:rsidR="00572AEB" w:rsidRPr="003D1FBA">
        <w:rPr>
          <w:rFonts w:ascii="Arial" w:eastAsiaTheme="majorEastAsia" w:hAnsi="Arial" w:cs="Arial"/>
          <w:bCs/>
          <w:sz w:val="24"/>
          <w:szCs w:val="24"/>
        </w:rPr>
        <w:t>.0</w:t>
      </w:r>
      <w:r w:rsidR="001E251F" w:rsidRPr="003D1FBA">
        <w:rPr>
          <w:rFonts w:ascii="Arial" w:eastAsiaTheme="majorEastAsia" w:hAnsi="Arial" w:cs="Arial"/>
          <w:bCs/>
          <w:sz w:val="24"/>
          <w:szCs w:val="24"/>
        </w:rPr>
        <w:t>1</w:t>
      </w:r>
      <w:r w:rsidR="00572AEB" w:rsidRPr="003D1FBA">
        <w:rPr>
          <w:rFonts w:ascii="Arial" w:eastAsiaTheme="majorEastAsia" w:hAnsi="Arial" w:cs="Arial"/>
          <w:bCs/>
          <w:sz w:val="24"/>
          <w:szCs w:val="24"/>
        </w:rPr>
        <w:t xml:space="preserve"> </w:t>
      </w:r>
      <w:r>
        <w:rPr>
          <w:rFonts w:ascii="Arial" w:eastAsiaTheme="majorEastAsia" w:hAnsi="Arial" w:cs="Arial"/>
          <w:bCs/>
          <w:sz w:val="24"/>
          <w:szCs w:val="24"/>
        </w:rPr>
        <w:t>y</w:t>
      </w:r>
      <w:r w:rsidR="00572AEB" w:rsidRPr="003D1FBA">
        <w:rPr>
          <w:rFonts w:ascii="Arial" w:eastAsiaTheme="majorEastAsia" w:hAnsi="Arial" w:cs="Arial"/>
          <w:bCs/>
          <w:sz w:val="24"/>
          <w:szCs w:val="24"/>
        </w:rPr>
        <w:t xml:space="preserve"> </w:t>
      </w:r>
      <w:r>
        <w:rPr>
          <w:rFonts w:ascii="Arial" w:eastAsiaTheme="majorEastAsia" w:hAnsi="Arial" w:cs="Arial"/>
          <w:bCs/>
          <w:sz w:val="24"/>
          <w:szCs w:val="24"/>
        </w:rPr>
        <w:t xml:space="preserve">en el </w:t>
      </w:r>
      <w:r w:rsidR="00572AEB" w:rsidRPr="003D1FBA">
        <w:rPr>
          <w:rFonts w:ascii="Arial" w:eastAsiaTheme="majorEastAsia" w:hAnsi="Arial" w:cs="Arial"/>
          <w:bCs/>
          <w:sz w:val="24"/>
          <w:szCs w:val="24"/>
        </w:rPr>
        <w:t xml:space="preserve">IE </w:t>
      </w:r>
      <w:r w:rsidR="00893239" w:rsidRPr="003D1FBA">
        <w:rPr>
          <w:rFonts w:ascii="Arial" w:hAnsi="Arial" w:cs="Arial"/>
          <w:sz w:val="24"/>
        </w:rPr>
        <w:t>p</w:t>
      </w:r>
      <w:r w:rsidR="00665D8D" w:rsidRPr="003D1FBA">
        <w:rPr>
          <w:rFonts w:ascii="Arial" w:hAnsi="Arial" w:cs="Arial"/>
          <w:sz w:val="24"/>
        </w:rPr>
        <w:t xml:space="preserve"> </w:t>
      </w:r>
      <w:r w:rsidR="001E251F" w:rsidRPr="003D1FBA">
        <w:rPr>
          <w:rFonts w:ascii="Arial" w:hAnsi="Arial" w:cs="Arial"/>
          <w:sz w:val="24"/>
        </w:rPr>
        <w:t>&lt;</w:t>
      </w:r>
      <w:r w:rsidR="00665D8D" w:rsidRPr="003D1FBA">
        <w:rPr>
          <w:rFonts w:ascii="Arial" w:hAnsi="Arial" w:cs="Arial"/>
          <w:sz w:val="24"/>
        </w:rPr>
        <w:t xml:space="preserve"> </w:t>
      </w:r>
      <w:r w:rsidR="00893239" w:rsidRPr="003D1FBA">
        <w:rPr>
          <w:rFonts w:ascii="Arial" w:hAnsi="Arial" w:cs="Arial"/>
          <w:sz w:val="24"/>
        </w:rPr>
        <w:t>0</w:t>
      </w:r>
      <w:r w:rsidR="00572AEB" w:rsidRPr="003D1FBA">
        <w:rPr>
          <w:rFonts w:ascii="Arial" w:eastAsiaTheme="majorEastAsia" w:hAnsi="Arial" w:cs="Arial"/>
          <w:bCs/>
          <w:sz w:val="24"/>
          <w:szCs w:val="24"/>
        </w:rPr>
        <w:t>.0</w:t>
      </w:r>
      <w:r w:rsidR="001E251F" w:rsidRPr="003D1FBA">
        <w:rPr>
          <w:rFonts w:ascii="Arial" w:eastAsiaTheme="majorEastAsia" w:hAnsi="Arial" w:cs="Arial"/>
          <w:bCs/>
          <w:sz w:val="24"/>
          <w:szCs w:val="24"/>
        </w:rPr>
        <w:t>1</w:t>
      </w:r>
      <w:r w:rsidR="00572AEB" w:rsidRPr="003D1FBA">
        <w:rPr>
          <w:rFonts w:ascii="Arial" w:eastAsiaTheme="majorEastAsia" w:hAnsi="Arial" w:cs="Arial"/>
          <w:bCs/>
          <w:sz w:val="24"/>
          <w:szCs w:val="24"/>
        </w:rPr>
        <w:t>.</w:t>
      </w:r>
    </w:p>
    <w:p w:rsidR="00F64C8F" w:rsidRPr="003D1FBA" w:rsidRDefault="00443407" w:rsidP="008B2AC4">
      <w:pPr>
        <w:spacing w:line="360" w:lineRule="auto"/>
        <w:jc w:val="both"/>
        <w:rPr>
          <w:rFonts w:ascii="Arial" w:eastAsiaTheme="majorEastAsia" w:hAnsi="Arial" w:cs="Arial"/>
          <w:bCs/>
          <w:sz w:val="24"/>
          <w:szCs w:val="24"/>
        </w:rPr>
      </w:pPr>
      <w:r w:rsidRPr="003D1FBA">
        <w:rPr>
          <w:rFonts w:ascii="Arial" w:eastAsiaTheme="majorEastAsia" w:hAnsi="Arial" w:cs="Arial"/>
          <w:bCs/>
          <w:sz w:val="24"/>
          <w:szCs w:val="24"/>
        </w:rPr>
        <w:t>“</w:t>
      </w:r>
      <w:r w:rsidR="00F64C8F" w:rsidRPr="003D1FBA">
        <w:rPr>
          <w:rFonts w:ascii="Arial" w:eastAsiaTheme="majorEastAsia" w:hAnsi="Arial" w:cs="Arial"/>
          <w:bCs/>
          <w:sz w:val="24"/>
          <w:szCs w:val="24"/>
        </w:rPr>
        <w:t>TA</w:t>
      </w:r>
      <w:r w:rsidR="001D74B0">
        <w:rPr>
          <w:rFonts w:ascii="Arial" w:eastAsiaTheme="majorEastAsia" w:hAnsi="Arial" w:cs="Arial"/>
          <w:bCs/>
          <w:sz w:val="24"/>
          <w:szCs w:val="24"/>
        </w:rPr>
        <w:t>B</w:t>
      </w:r>
      <w:r w:rsidR="00F64C8F" w:rsidRPr="003D1FBA">
        <w:rPr>
          <w:rFonts w:ascii="Arial" w:eastAsiaTheme="majorEastAsia" w:hAnsi="Arial" w:cs="Arial"/>
          <w:bCs/>
          <w:sz w:val="24"/>
          <w:szCs w:val="24"/>
        </w:rPr>
        <w:t>LA 3 AQUÍ</w:t>
      </w:r>
      <w:r w:rsidRPr="003D1FBA">
        <w:rPr>
          <w:rFonts w:ascii="Arial" w:eastAsiaTheme="majorEastAsia" w:hAnsi="Arial" w:cs="Arial"/>
          <w:bCs/>
          <w:sz w:val="24"/>
          <w:szCs w:val="24"/>
        </w:rPr>
        <w:t>”</w:t>
      </w:r>
    </w:p>
    <w:p w:rsidR="001B34B8" w:rsidRPr="008B7D3A" w:rsidRDefault="009F5DE6" w:rsidP="008B2AC4">
      <w:pPr>
        <w:spacing w:line="360" w:lineRule="auto"/>
        <w:jc w:val="both"/>
        <w:rPr>
          <w:rFonts w:ascii="Arial" w:eastAsiaTheme="majorEastAsia" w:hAnsi="Arial" w:cs="Arial"/>
          <w:bCs/>
          <w:sz w:val="24"/>
          <w:szCs w:val="24"/>
        </w:rPr>
      </w:pPr>
      <w:r w:rsidRPr="003D1FBA">
        <w:rPr>
          <w:rFonts w:ascii="Arial" w:eastAsiaTheme="majorEastAsia" w:hAnsi="Arial" w:cs="Arial"/>
          <w:bCs/>
          <w:sz w:val="24"/>
          <w:szCs w:val="24"/>
        </w:rPr>
        <w:t>P</w:t>
      </w:r>
      <w:r w:rsidR="001D74B0">
        <w:rPr>
          <w:rFonts w:ascii="Arial" w:eastAsiaTheme="majorEastAsia" w:hAnsi="Arial" w:cs="Arial"/>
          <w:bCs/>
          <w:sz w:val="24"/>
          <w:szCs w:val="24"/>
        </w:rPr>
        <w:t>or</w:t>
      </w:r>
      <w:r w:rsidRPr="003D1FBA">
        <w:rPr>
          <w:rFonts w:ascii="Arial" w:eastAsiaTheme="majorEastAsia" w:hAnsi="Arial" w:cs="Arial"/>
          <w:bCs/>
          <w:sz w:val="24"/>
          <w:szCs w:val="24"/>
        </w:rPr>
        <w:t xml:space="preserve"> </w:t>
      </w:r>
      <w:r w:rsidR="001D74B0" w:rsidRPr="003D1FBA">
        <w:rPr>
          <w:rFonts w:ascii="Arial" w:eastAsiaTheme="majorEastAsia" w:hAnsi="Arial" w:cs="Arial"/>
          <w:bCs/>
          <w:sz w:val="24"/>
          <w:szCs w:val="24"/>
        </w:rPr>
        <w:t>últim</w:t>
      </w:r>
      <w:r w:rsidR="001D74B0">
        <w:rPr>
          <w:rFonts w:ascii="Arial" w:eastAsiaTheme="majorEastAsia" w:hAnsi="Arial" w:cs="Arial"/>
          <w:bCs/>
          <w:sz w:val="24"/>
          <w:szCs w:val="24"/>
        </w:rPr>
        <w:t>o,</w:t>
      </w:r>
      <w:r w:rsidRPr="003D1FBA">
        <w:rPr>
          <w:rFonts w:ascii="Arial" w:eastAsiaTheme="majorEastAsia" w:hAnsi="Arial" w:cs="Arial"/>
          <w:bCs/>
          <w:sz w:val="24"/>
          <w:szCs w:val="24"/>
        </w:rPr>
        <w:t xml:space="preserve"> </w:t>
      </w:r>
      <w:r w:rsidR="001D74B0">
        <w:rPr>
          <w:rFonts w:ascii="Arial" w:eastAsiaTheme="majorEastAsia" w:hAnsi="Arial" w:cs="Arial"/>
          <w:bCs/>
          <w:sz w:val="24"/>
          <w:szCs w:val="24"/>
        </w:rPr>
        <w:t xml:space="preserve">en </w:t>
      </w:r>
      <w:r w:rsidRPr="003D1FBA">
        <w:rPr>
          <w:rFonts w:ascii="Arial" w:eastAsiaTheme="majorEastAsia" w:hAnsi="Arial" w:cs="Arial"/>
          <w:bCs/>
          <w:sz w:val="24"/>
          <w:szCs w:val="24"/>
        </w:rPr>
        <w:t>la Ta</w:t>
      </w:r>
      <w:r w:rsidR="001D74B0">
        <w:rPr>
          <w:rFonts w:ascii="Arial" w:eastAsiaTheme="majorEastAsia" w:hAnsi="Arial" w:cs="Arial"/>
          <w:bCs/>
          <w:sz w:val="24"/>
          <w:szCs w:val="24"/>
        </w:rPr>
        <w:t>b</w:t>
      </w:r>
      <w:r w:rsidRPr="003D1FBA">
        <w:rPr>
          <w:rFonts w:ascii="Arial" w:eastAsiaTheme="majorEastAsia" w:hAnsi="Arial" w:cs="Arial"/>
          <w:bCs/>
          <w:sz w:val="24"/>
          <w:szCs w:val="24"/>
        </w:rPr>
        <w:t xml:space="preserve">la </w:t>
      </w:r>
      <w:r w:rsidR="00AD3CBF" w:rsidRPr="003D1FBA">
        <w:rPr>
          <w:rFonts w:ascii="Arial" w:eastAsiaTheme="majorEastAsia" w:hAnsi="Arial" w:cs="Arial"/>
          <w:bCs/>
          <w:sz w:val="24"/>
          <w:szCs w:val="24"/>
        </w:rPr>
        <w:t>4</w:t>
      </w:r>
      <w:r w:rsidRPr="003D1FBA">
        <w:rPr>
          <w:rFonts w:ascii="Arial" w:eastAsiaTheme="majorEastAsia" w:hAnsi="Arial" w:cs="Arial"/>
          <w:bCs/>
          <w:sz w:val="24"/>
          <w:szCs w:val="24"/>
        </w:rPr>
        <w:t xml:space="preserve"> </w:t>
      </w:r>
      <w:r w:rsidR="001D74B0">
        <w:rPr>
          <w:rFonts w:ascii="Arial" w:eastAsiaTheme="majorEastAsia" w:hAnsi="Arial" w:cs="Arial"/>
          <w:bCs/>
          <w:sz w:val="24"/>
          <w:szCs w:val="24"/>
        </w:rPr>
        <w:t>se</w:t>
      </w:r>
      <w:r w:rsidR="006021C5" w:rsidRPr="003D1FBA">
        <w:rPr>
          <w:rFonts w:ascii="Arial" w:eastAsiaTheme="majorEastAsia" w:hAnsi="Arial" w:cs="Arial"/>
          <w:bCs/>
          <w:sz w:val="24"/>
          <w:szCs w:val="24"/>
        </w:rPr>
        <w:t xml:space="preserve"> p</w:t>
      </w:r>
      <w:r w:rsidR="001D74B0">
        <w:rPr>
          <w:rFonts w:ascii="Arial" w:eastAsiaTheme="majorEastAsia" w:hAnsi="Arial" w:cs="Arial"/>
          <w:bCs/>
          <w:sz w:val="24"/>
          <w:szCs w:val="24"/>
        </w:rPr>
        <w:t>ue</w:t>
      </w:r>
      <w:r w:rsidR="006021C5" w:rsidRPr="003D1FBA">
        <w:rPr>
          <w:rFonts w:ascii="Arial" w:eastAsiaTheme="majorEastAsia" w:hAnsi="Arial" w:cs="Arial"/>
          <w:bCs/>
          <w:sz w:val="24"/>
          <w:szCs w:val="24"/>
        </w:rPr>
        <w:t>den</w:t>
      </w:r>
      <w:r w:rsidRPr="003D1FBA">
        <w:rPr>
          <w:rFonts w:ascii="Arial" w:eastAsiaTheme="majorEastAsia" w:hAnsi="Arial" w:cs="Arial"/>
          <w:bCs/>
          <w:sz w:val="24"/>
          <w:szCs w:val="24"/>
        </w:rPr>
        <w:t xml:space="preserve"> ver </w:t>
      </w:r>
      <w:r w:rsidR="001D74B0">
        <w:rPr>
          <w:rFonts w:ascii="Arial" w:eastAsiaTheme="majorEastAsia" w:hAnsi="Arial" w:cs="Arial"/>
          <w:bCs/>
          <w:sz w:val="24"/>
          <w:szCs w:val="24"/>
        </w:rPr>
        <w:t>lo</w:t>
      </w:r>
      <w:r w:rsidRPr="003D1FBA">
        <w:rPr>
          <w:rFonts w:ascii="Arial" w:eastAsiaTheme="majorEastAsia" w:hAnsi="Arial" w:cs="Arial"/>
          <w:bCs/>
          <w:sz w:val="24"/>
          <w:szCs w:val="24"/>
        </w:rPr>
        <w:t>s valor</w:t>
      </w:r>
      <w:r w:rsidR="001D74B0">
        <w:rPr>
          <w:rFonts w:ascii="Arial" w:eastAsiaTheme="majorEastAsia" w:hAnsi="Arial" w:cs="Arial"/>
          <w:bCs/>
          <w:sz w:val="24"/>
          <w:szCs w:val="24"/>
        </w:rPr>
        <w:t>e</w:t>
      </w:r>
      <w:r w:rsidRPr="003D1FBA">
        <w:rPr>
          <w:rFonts w:ascii="Arial" w:eastAsiaTheme="majorEastAsia" w:hAnsi="Arial" w:cs="Arial"/>
          <w:bCs/>
          <w:sz w:val="24"/>
          <w:szCs w:val="24"/>
        </w:rPr>
        <w:t>s del RPE, la m</w:t>
      </w:r>
      <w:r w:rsidR="001D74B0">
        <w:rPr>
          <w:rFonts w:ascii="Arial" w:eastAsiaTheme="majorEastAsia" w:hAnsi="Arial" w:cs="Arial"/>
          <w:bCs/>
          <w:sz w:val="24"/>
          <w:szCs w:val="24"/>
        </w:rPr>
        <w:t>edia</w:t>
      </w:r>
      <w:r w:rsidRPr="003D1FBA">
        <w:rPr>
          <w:rFonts w:ascii="Arial" w:eastAsiaTheme="majorEastAsia" w:hAnsi="Arial" w:cs="Arial"/>
          <w:bCs/>
          <w:sz w:val="24"/>
          <w:szCs w:val="24"/>
        </w:rPr>
        <w:t xml:space="preserve"> a</w:t>
      </w:r>
      <w:r w:rsidR="001D74B0">
        <w:rPr>
          <w:rFonts w:ascii="Arial" w:eastAsiaTheme="majorEastAsia" w:hAnsi="Arial" w:cs="Arial"/>
          <w:bCs/>
          <w:sz w:val="24"/>
          <w:szCs w:val="24"/>
        </w:rPr>
        <w:t>nte</w:t>
      </w:r>
      <w:r w:rsidRPr="003D1FBA">
        <w:rPr>
          <w:rFonts w:ascii="Arial" w:eastAsiaTheme="majorEastAsia" w:hAnsi="Arial" w:cs="Arial"/>
          <w:bCs/>
          <w:sz w:val="24"/>
          <w:szCs w:val="24"/>
        </w:rPr>
        <w:t xml:space="preserve">s de </w:t>
      </w:r>
      <w:r w:rsidR="001D74B0">
        <w:rPr>
          <w:rFonts w:ascii="Arial" w:eastAsiaTheme="majorEastAsia" w:hAnsi="Arial" w:cs="Arial"/>
          <w:bCs/>
          <w:sz w:val="24"/>
          <w:szCs w:val="24"/>
        </w:rPr>
        <w:t>hacer</w:t>
      </w:r>
      <w:r w:rsidRPr="003D1FBA">
        <w:rPr>
          <w:rFonts w:ascii="Arial" w:eastAsiaTheme="majorEastAsia" w:hAnsi="Arial" w:cs="Arial"/>
          <w:bCs/>
          <w:sz w:val="24"/>
          <w:szCs w:val="24"/>
        </w:rPr>
        <w:t xml:space="preserve"> la pr</w:t>
      </w:r>
      <w:r w:rsidR="001D74B0">
        <w:rPr>
          <w:rFonts w:ascii="Arial" w:eastAsiaTheme="majorEastAsia" w:hAnsi="Arial" w:cs="Arial"/>
          <w:bCs/>
          <w:sz w:val="24"/>
          <w:szCs w:val="24"/>
        </w:rPr>
        <w:t>ueb</w:t>
      </w:r>
      <w:r w:rsidRPr="003D1FBA">
        <w:rPr>
          <w:rFonts w:ascii="Arial" w:eastAsiaTheme="majorEastAsia" w:hAnsi="Arial" w:cs="Arial"/>
          <w:bCs/>
          <w:sz w:val="24"/>
          <w:szCs w:val="24"/>
        </w:rPr>
        <w:t>a fatigant</w:t>
      </w:r>
      <w:r w:rsidR="001D74B0">
        <w:rPr>
          <w:rFonts w:ascii="Arial" w:eastAsiaTheme="majorEastAsia" w:hAnsi="Arial" w:cs="Arial"/>
          <w:bCs/>
          <w:sz w:val="24"/>
          <w:szCs w:val="24"/>
        </w:rPr>
        <w:t>e</w:t>
      </w:r>
      <w:r w:rsidRPr="003D1FBA">
        <w:rPr>
          <w:rFonts w:ascii="Arial" w:eastAsiaTheme="majorEastAsia" w:hAnsi="Arial" w:cs="Arial"/>
          <w:bCs/>
          <w:sz w:val="24"/>
          <w:szCs w:val="24"/>
        </w:rPr>
        <w:t xml:space="preserve"> </w:t>
      </w:r>
      <w:r w:rsidR="001D74B0">
        <w:rPr>
          <w:rFonts w:ascii="Arial" w:eastAsiaTheme="majorEastAsia" w:hAnsi="Arial" w:cs="Arial"/>
          <w:bCs/>
          <w:sz w:val="24"/>
          <w:szCs w:val="24"/>
        </w:rPr>
        <w:t>fue</w:t>
      </w:r>
      <w:r w:rsidR="009D0528" w:rsidRPr="003D1FBA">
        <w:rPr>
          <w:rFonts w:ascii="Arial" w:eastAsiaTheme="majorEastAsia" w:hAnsi="Arial" w:cs="Arial"/>
          <w:bCs/>
          <w:sz w:val="24"/>
          <w:szCs w:val="24"/>
        </w:rPr>
        <w:t xml:space="preserve"> </w:t>
      </w:r>
      <w:r w:rsidRPr="008B7D3A">
        <w:rPr>
          <w:rFonts w:ascii="Arial" w:eastAsiaTheme="majorEastAsia" w:hAnsi="Arial" w:cs="Arial"/>
          <w:bCs/>
          <w:sz w:val="24"/>
          <w:szCs w:val="24"/>
        </w:rPr>
        <w:t xml:space="preserve">de </w:t>
      </w:r>
      <w:r w:rsidR="004537EC" w:rsidRPr="008B7D3A">
        <w:rPr>
          <w:rFonts w:ascii="Arial" w:eastAsiaTheme="majorEastAsia" w:hAnsi="Arial" w:cs="Arial"/>
          <w:bCs/>
          <w:sz w:val="24"/>
          <w:szCs w:val="24"/>
        </w:rPr>
        <w:t>2.</w:t>
      </w:r>
      <w:r w:rsidRPr="008B7D3A">
        <w:rPr>
          <w:rFonts w:ascii="Arial" w:eastAsiaTheme="majorEastAsia" w:hAnsi="Arial" w:cs="Arial"/>
          <w:bCs/>
          <w:sz w:val="24"/>
          <w:szCs w:val="24"/>
        </w:rPr>
        <w:t xml:space="preserve">43 ± 2 </w:t>
      </w:r>
      <w:r w:rsidR="001D74B0" w:rsidRPr="008B7D3A">
        <w:rPr>
          <w:rFonts w:ascii="Arial" w:eastAsiaTheme="majorEastAsia" w:hAnsi="Arial" w:cs="Arial"/>
          <w:bCs/>
          <w:sz w:val="24"/>
          <w:szCs w:val="24"/>
        </w:rPr>
        <w:t>y</w:t>
      </w:r>
      <w:r w:rsidRPr="008B7D3A">
        <w:rPr>
          <w:rFonts w:ascii="Arial" w:eastAsiaTheme="majorEastAsia" w:hAnsi="Arial" w:cs="Arial"/>
          <w:bCs/>
          <w:sz w:val="24"/>
          <w:szCs w:val="24"/>
        </w:rPr>
        <w:t xml:space="preserve"> la de desp</w:t>
      </w:r>
      <w:r w:rsidR="001D74B0" w:rsidRPr="008B7D3A">
        <w:rPr>
          <w:rFonts w:ascii="Arial" w:eastAsiaTheme="majorEastAsia" w:hAnsi="Arial" w:cs="Arial"/>
          <w:bCs/>
          <w:sz w:val="24"/>
          <w:szCs w:val="24"/>
        </w:rPr>
        <w:t>u</w:t>
      </w:r>
      <w:r w:rsidRPr="008B7D3A">
        <w:rPr>
          <w:rFonts w:ascii="Arial" w:eastAsiaTheme="majorEastAsia" w:hAnsi="Arial" w:cs="Arial"/>
          <w:bCs/>
          <w:sz w:val="24"/>
          <w:szCs w:val="24"/>
        </w:rPr>
        <w:t xml:space="preserve">és de </w:t>
      </w:r>
      <w:r w:rsidR="004537EC" w:rsidRPr="008B7D3A">
        <w:rPr>
          <w:rFonts w:ascii="Arial" w:eastAsiaTheme="majorEastAsia" w:hAnsi="Arial" w:cs="Arial"/>
          <w:bCs/>
          <w:sz w:val="24"/>
          <w:szCs w:val="24"/>
        </w:rPr>
        <w:t>6.10 ± 1.</w:t>
      </w:r>
      <w:r w:rsidRPr="008B7D3A">
        <w:rPr>
          <w:rFonts w:ascii="Arial" w:eastAsiaTheme="majorEastAsia" w:hAnsi="Arial" w:cs="Arial"/>
          <w:bCs/>
          <w:sz w:val="24"/>
          <w:szCs w:val="24"/>
        </w:rPr>
        <w:t>8, d</w:t>
      </w:r>
      <w:r w:rsidR="001D74B0" w:rsidRPr="008B7D3A">
        <w:rPr>
          <w:rFonts w:ascii="Arial" w:eastAsiaTheme="majorEastAsia" w:hAnsi="Arial" w:cs="Arial"/>
          <w:bCs/>
          <w:sz w:val="24"/>
          <w:szCs w:val="24"/>
        </w:rPr>
        <w:t>ando</w:t>
      </w:r>
      <w:r w:rsidRPr="008B7D3A">
        <w:rPr>
          <w:rFonts w:ascii="Arial" w:eastAsiaTheme="majorEastAsia" w:hAnsi="Arial" w:cs="Arial"/>
          <w:bCs/>
          <w:sz w:val="24"/>
          <w:szCs w:val="24"/>
        </w:rPr>
        <w:t xml:space="preserve"> una </w:t>
      </w:r>
      <w:r w:rsidRPr="008B7D3A">
        <w:rPr>
          <w:rFonts w:ascii="Arial" w:hAnsi="Arial" w:cs="Arial"/>
          <w:sz w:val="24"/>
        </w:rPr>
        <w:t>p</w:t>
      </w:r>
      <w:r w:rsidR="00665D8D" w:rsidRPr="008B7D3A">
        <w:rPr>
          <w:rFonts w:ascii="Arial" w:hAnsi="Arial" w:cs="Arial"/>
          <w:sz w:val="24"/>
        </w:rPr>
        <w:t xml:space="preserve"> </w:t>
      </w:r>
      <w:r w:rsidR="001E251F" w:rsidRPr="008B7D3A">
        <w:rPr>
          <w:rFonts w:ascii="Arial" w:hAnsi="Arial" w:cs="Arial"/>
          <w:sz w:val="24"/>
        </w:rPr>
        <w:t>&lt;</w:t>
      </w:r>
      <w:r w:rsidR="00665D8D" w:rsidRPr="008B7D3A">
        <w:rPr>
          <w:rFonts w:ascii="Arial" w:hAnsi="Arial" w:cs="Arial"/>
          <w:sz w:val="24"/>
        </w:rPr>
        <w:t xml:space="preserve"> </w:t>
      </w:r>
      <w:r w:rsidRPr="008B7D3A">
        <w:rPr>
          <w:rFonts w:ascii="Arial" w:eastAsiaTheme="majorEastAsia" w:hAnsi="Arial" w:cs="Arial"/>
          <w:bCs/>
          <w:sz w:val="24"/>
          <w:szCs w:val="24"/>
        </w:rPr>
        <w:t>0,0</w:t>
      </w:r>
      <w:r w:rsidR="001E251F" w:rsidRPr="008B7D3A">
        <w:rPr>
          <w:rFonts w:ascii="Arial" w:eastAsiaTheme="majorEastAsia" w:hAnsi="Arial" w:cs="Arial"/>
          <w:bCs/>
          <w:sz w:val="24"/>
          <w:szCs w:val="24"/>
        </w:rPr>
        <w:t>1</w:t>
      </w:r>
      <w:r w:rsidR="00AD3CBF" w:rsidRPr="008B7D3A">
        <w:rPr>
          <w:rFonts w:ascii="Arial" w:eastAsiaTheme="majorEastAsia" w:hAnsi="Arial" w:cs="Arial"/>
          <w:bCs/>
          <w:sz w:val="24"/>
          <w:szCs w:val="24"/>
        </w:rPr>
        <w:t>.</w:t>
      </w:r>
    </w:p>
    <w:p w:rsidR="00F64C8F" w:rsidRPr="008B7D3A" w:rsidRDefault="00443407" w:rsidP="008B2AC4">
      <w:pPr>
        <w:spacing w:line="360" w:lineRule="auto"/>
        <w:jc w:val="both"/>
        <w:rPr>
          <w:rFonts w:ascii="Arial" w:eastAsiaTheme="majorEastAsia" w:hAnsi="Arial" w:cs="Arial"/>
          <w:bCs/>
          <w:sz w:val="24"/>
          <w:szCs w:val="24"/>
        </w:rPr>
      </w:pPr>
      <w:r w:rsidRPr="008B7D3A">
        <w:rPr>
          <w:rFonts w:ascii="Arial" w:eastAsiaTheme="majorEastAsia" w:hAnsi="Arial" w:cs="Arial"/>
          <w:bCs/>
          <w:sz w:val="24"/>
          <w:szCs w:val="24"/>
        </w:rPr>
        <w:t>“</w:t>
      </w:r>
      <w:r w:rsidR="00F64C8F" w:rsidRPr="008B7D3A">
        <w:rPr>
          <w:rFonts w:ascii="Arial" w:eastAsiaTheme="majorEastAsia" w:hAnsi="Arial" w:cs="Arial"/>
          <w:bCs/>
          <w:sz w:val="24"/>
          <w:szCs w:val="24"/>
        </w:rPr>
        <w:t>TA</w:t>
      </w:r>
      <w:r w:rsidR="001D74B0" w:rsidRPr="008B7D3A">
        <w:rPr>
          <w:rFonts w:ascii="Arial" w:eastAsiaTheme="majorEastAsia" w:hAnsi="Arial" w:cs="Arial"/>
          <w:bCs/>
          <w:sz w:val="24"/>
          <w:szCs w:val="24"/>
        </w:rPr>
        <w:t>B</w:t>
      </w:r>
      <w:r w:rsidR="00F64C8F" w:rsidRPr="008B7D3A">
        <w:rPr>
          <w:rFonts w:ascii="Arial" w:eastAsiaTheme="majorEastAsia" w:hAnsi="Arial" w:cs="Arial"/>
          <w:bCs/>
          <w:sz w:val="24"/>
          <w:szCs w:val="24"/>
        </w:rPr>
        <w:t>LA 4 AQUÍ</w:t>
      </w:r>
      <w:r w:rsidRPr="008B7D3A">
        <w:rPr>
          <w:rFonts w:ascii="Arial" w:eastAsiaTheme="majorEastAsia" w:hAnsi="Arial" w:cs="Arial"/>
          <w:bCs/>
          <w:sz w:val="24"/>
          <w:szCs w:val="24"/>
        </w:rPr>
        <w:t>”</w:t>
      </w:r>
    </w:p>
    <w:p w:rsidR="00315369" w:rsidRPr="008B7D3A" w:rsidRDefault="00315369" w:rsidP="00893DC5">
      <w:pPr>
        <w:pStyle w:val="Ttol1"/>
        <w:spacing w:line="360" w:lineRule="auto"/>
        <w:jc w:val="center"/>
      </w:pPr>
      <w:bookmarkStart w:id="13" w:name="_Toc20417707"/>
      <w:r w:rsidRPr="008B7D3A">
        <w:t>Discusió</w:t>
      </w:r>
      <w:bookmarkEnd w:id="13"/>
      <w:r w:rsidR="001D74B0" w:rsidRPr="008B7D3A">
        <w:t>n</w:t>
      </w:r>
    </w:p>
    <w:p w:rsidR="00045D29" w:rsidRPr="008B7D3A" w:rsidRDefault="00D926B0" w:rsidP="00FC4616">
      <w:pPr>
        <w:spacing w:line="360" w:lineRule="auto"/>
        <w:jc w:val="both"/>
        <w:rPr>
          <w:rFonts w:ascii="Arial" w:eastAsiaTheme="majorEastAsia" w:hAnsi="Arial" w:cstheme="majorBidi"/>
          <w:sz w:val="24"/>
          <w:szCs w:val="24"/>
        </w:rPr>
      </w:pPr>
      <w:r w:rsidRPr="008B7D3A">
        <w:rPr>
          <w:rFonts w:ascii="Arial" w:eastAsiaTheme="majorEastAsia" w:hAnsi="Arial" w:cstheme="majorBidi"/>
          <w:sz w:val="24"/>
          <w:szCs w:val="24"/>
        </w:rPr>
        <w:t>En r</w:t>
      </w:r>
      <w:r w:rsidR="001D5F4F" w:rsidRPr="008B7D3A">
        <w:rPr>
          <w:rFonts w:ascii="Arial" w:eastAsiaTheme="majorEastAsia" w:hAnsi="Arial" w:cstheme="majorBidi"/>
          <w:sz w:val="24"/>
          <w:szCs w:val="24"/>
        </w:rPr>
        <w:t>efer</w:t>
      </w:r>
      <w:r w:rsidRPr="008B7D3A">
        <w:rPr>
          <w:rFonts w:ascii="Arial" w:eastAsiaTheme="majorEastAsia" w:hAnsi="Arial" w:cstheme="majorBidi"/>
          <w:sz w:val="24"/>
          <w:szCs w:val="24"/>
        </w:rPr>
        <w:t>e</w:t>
      </w:r>
      <w:r w:rsidR="001D5F4F" w:rsidRPr="008B7D3A">
        <w:rPr>
          <w:rFonts w:ascii="Arial" w:eastAsiaTheme="majorEastAsia" w:hAnsi="Arial" w:cstheme="majorBidi"/>
          <w:sz w:val="24"/>
          <w:szCs w:val="24"/>
        </w:rPr>
        <w:t>ncia a</w:t>
      </w:r>
      <w:r w:rsidRPr="008B7D3A">
        <w:rPr>
          <w:rFonts w:ascii="Arial" w:eastAsiaTheme="majorEastAsia" w:hAnsi="Arial" w:cstheme="majorBidi"/>
          <w:sz w:val="24"/>
          <w:szCs w:val="24"/>
        </w:rPr>
        <w:t xml:space="preserve"> los</w:t>
      </w:r>
      <w:r w:rsidR="001D5F4F" w:rsidRPr="008B7D3A">
        <w:rPr>
          <w:rFonts w:ascii="Arial" w:eastAsiaTheme="majorEastAsia" w:hAnsi="Arial" w:cstheme="majorBidi"/>
          <w:sz w:val="24"/>
          <w:szCs w:val="24"/>
        </w:rPr>
        <w:t xml:space="preserve"> obje</w:t>
      </w:r>
      <w:r w:rsidRPr="008B7D3A">
        <w:rPr>
          <w:rFonts w:ascii="Arial" w:eastAsiaTheme="majorEastAsia" w:hAnsi="Arial" w:cstheme="majorBidi"/>
          <w:sz w:val="24"/>
          <w:szCs w:val="24"/>
        </w:rPr>
        <w:t>t</w:t>
      </w:r>
      <w:r w:rsidR="001D5F4F" w:rsidRPr="008B7D3A">
        <w:rPr>
          <w:rFonts w:ascii="Arial" w:eastAsiaTheme="majorEastAsia" w:hAnsi="Arial" w:cstheme="majorBidi"/>
          <w:sz w:val="24"/>
          <w:szCs w:val="24"/>
        </w:rPr>
        <w:t>i</w:t>
      </w:r>
      <w:r w:rsidRPr="008B7D3A">
        <w:rPr>
          <w:rFonts w:ascii="Arial" w:eastAsiaTheme="majorEastAsia" w:hAnsi="Arial" w:cstheme="majorBidi"/>
          <w:sz w:val="24"/>
          <w:szCs w:val="24"/>
        </w:rPr>
        <w:t>vo</w:t>
      </w:r>
      <w:r w:rsidR="001D5F4F" w:rsidRPr="008B7D3A">
        <w:rPr>
          <w:rFonts w:ascii="Arial" w:eastAsiaTheme="majorEastAsia" w:hAnsi="Arial" w:cstheme="majorBidi"/>
          <w:sz w:val="24"/>
          <w:szCs w:val="24"/>
        </w:rPr>
        <w:t>s de</w:t>
      </w:r>
      <w:r w:rsidRPr="008B7D3A">
        <w:rPr>
          <w:rFonts w:ascii="Arial" w:eastAsiaTheme="majorEastAsia" w:hAnsi="Arial" w:cstheme="majorBidi"/>
          <w:sz w:val="24"/>
          <w:szCs w:val="24"/>
        </w:rPr>
        <w:t>l</w:t>
      </w:r>
      <w:r w:rsidR="001D5F4F" w:rsidRPr="008B7D3A">
        <w:rPr>
          <w:rFonts w:ascii="Arial" w:eastAsiaTheme="majorEastAsia" w:hAnsi="Arial" w:cstheme="majorBidi"/>
          <w:sz w:val="24"/>
          <w:szCs w:val="24"/>
        </w:rPr>
        <w:t xml:space="preserve"> estudi</w:t>
      </w:r>
      <w:r w:rsidRPr="008B7D3A">
        <w:rPr>
          <w:rFonts w:ascii="Arial" w:eastAsiaTheme="majorEastAsia" w:hAnsi="Arial" w:cstheme="majorBidi"/>
          <w:sz w:val="24"/>
          <w:szCs w:val="24"/>
        </w:rPr>
        <w:t>o</w:t>
      </w:r>
      <w:r w:rsidR="001D5F4F" w:rsidRPr="008B7D3A">
        <w:rPr>
          <w:rFonts w:ascii="Arial" w:eastAsiaTheme="majorEastAsia" w:hAnsi="Arial" w:cstheme="majorBidi"/>
          <w:sz w:val="24"/>
          <w:szCs w:val="24"/>
        </w:rPr>
        <w:t xml:space="preserve">, </w:t>
      </w:r>
      <w:r w:rsidR="00ED0263" w:rsidRPr="008B7D3A">
        <w:rPr>
          <w:rFonts w:ascii="Arial" w:eastAsiaTheme="majorEastAsia" w:hAnsi="Arial" w:cstheme="majorBidi"/>
          <w:sz w:val="24"/>
          <w:szCs w:val="24"/>
        </w:rPr>
        <w:t>en esta m</w:t>
      </w:r>
      <w:r w:rsidRPr="008B7D3A">
        <w:rPr>
          <w:rFonts w:ascii="Arial" w:eastAsiaTheme="majorEastAsia" w:hAnsi="Arial" w:cstheme="majorBidi"/>
          <w:sz w:val="24"/>
          <w:szCs w:val="24"/>
        </w:rPr>
        <w:t>ue</w:t>
      </w:r>
      <w:r w:rsidR="00ED0263" w:rsidRPr="008B7D3A">
        <w:rPr>
          <w:rFonts w:ascii="Arial" w:eastAsiaTheme="majorEastAsia" w:hAnsi="Arial" w:cstheme="majorBidi"/>
          <w:sz w:val="24"/>
          <w:szCs w:val="24"/>
        </w:rPr>
        <w:t xml:space="preserve">stra, </w:t>
      </w:r>
      <w:r w:rsidR="006021C5" w:rsidRPr="008B7D3A">
        <w:rPr>
          <w:rFonts w:ascii="Arial" w:eastAsiaTheme="majorEastAsia" w:hAnsi="Arial" w:cstheme="majorBidi"/>
          <w:sz w:val="24"/>
          <w:szCs w:val="24"/>
        </w:rPr>
        <w:t>s</w:t>
      </w:r>
      <w:r w:rsidRPr="008B7D3A">
        <w:rPr>
          <w:rFonts w:ascii="Arial" w:eastAsiaTheme="majorEastAsia" w:hAnsi="Arial" w:cstheme="majorBidi"/>
          <w:sz w:val="24"/>
          <w:szCs w:val="24"/>
        </w:rPr>
        <w:t xml:space="preserve">e </w:t>
      </w:r>
      <w:r w:rsidR="006021C5" w:rsidRPr="008B7D3A">
        <w:rPr>
          <w:rFonts w:ascii="Arial" w:eastAsiaTheme="majorEastAsia" w:hAnsi="Arial" w:cstheme="majorBidi"/>
          <w:sz w:val="24"/>
          <w:szCs w:val="24"/>
        </w:rPr>
        <w:t>ha</w:t>
      </w:r>
      <w:r w:rsidR="001D5F4F" w:rsidRPr="008B7D3A">
        <w:rPr>
          <w:rFonts w:ascii="Arial" w:eastAsiaTheme="majorEastAsia" w:hAnsi="Arial" w:cstheme="majorBidi"/>
          <w:sz w:val="24"/>
          <w:szCs w:val="24"/>
        </w:rPr>
        <w:t xml:space="preserve"> vist</w:t>
      </w:r>
      <w:r w:rsidRPr="008B7D3A">
        <w:rPr>
          <w:rFonts w:ascii="Arial" w:eastAsiaTheme="majorEastAsia" w:hAnsi="Arial" w:cstheme="majorBidi"/>
          <w:sz w:val="24"/>
          <w:szCs w:val="24"/>
        </w:rPr>
        <w:t>o</w:t>
      </w:r>
      <w:r w:rsidR="001D5F4F" w:rsidRPr="008B7D3A">
        <w:rPr>
          <w:rFonts w:ascii="Arial" w:eastAsiaTheme="majorEastAsia" w:hAnsi="Arial" w:cstheme="majorBidi"/>
          <w:sz w:val="24"/>
          <w:szCs w:val="24"/>
        </w:rPr>
        <w:t xml:space="preserve"> que en condicion</w:t>
      </w:r>
      <w:r w:rsidRPr="008B7D3A">
        <w:rPr>
          <w:rFonts w:ascii="Arial" w:eastAsiaTheme="majorEastAsia" w:hAnsi="Arial" w:cstheme="majorBidi"/>
          <w:sz w:val="24"/>
          <w:szCs w:val="24"/>
        </w:rPr>
        <w:t>e</w:t>
      </w:r>
      <w:r w:rsidR="001D5F4F" w:rsidRPr="008B7D3A">
        <w:rPr>
          <w:rFonts w:ascii="Arial" w:eastAsiaTheme="majorEastAsia" w:hAnsi="Arial" w:cstheme="majorBidi"/>
          <w:sz w:val="24"/>
          <w:szCs w:val="24"/>
        </w:rPr>
        <w:t>s de fatiga, la R</w:t>
      </w:r>
      <w:r w:rsidRPr="008B7D3A">
        <w:rPr>
          <w:rFonts w:ascii="Arial" w:eastAsiaTheme="majorEastAsia" w:hAnsi="Arial" w:cstheme="majorBidi"/>
          <w:sz w:val="24"/>
          <w:szCs w:val="24"/>
        </w:rPr>
        <w:t>a</w:t>
      </w:r>
      <w:r w:rsidR="001D5F4F" w:rsidRPr="008B7D3A">
        <w:rPr>
          <w:rFonts w:ascii="Arial" w:eastAsiaTheme="majorEastAsia" w:hAnsi="Arial" w:cstheme="majorBidi"/>
          <w:sz w:val="24"/>
          <w:szCs w:val="24"/>
        </w:rPr>
        <w:t>tio I/Q no disminu</w:t>
      </w:r>
      <w:r w:rsidRPr="008B7D3A">
        <w:rPr>
          <w:rFonts w:ascii="Arial" w:eastAsiaTheme="majorEastAsia" w:hAnsi="Arial" w:cstheme="majorBidi"/>
          <w:sz w:val="24"/>
          <w:szCs w:val="24"/>
        </w:rPr>
        <w:t>y</w:t>
      </w:r>
      <w:r w:rsidR="001D5F4F" w:rsidRPr="008B7D3A">
        <w:rPr>
          <w:rFonts w:ascii="Arial" w:eastAsiaTheme="majorEastAsia" w:hAnsi="Arial" w:cstheme="majorBidi"/>
          <w:sz w:val="24"/>
          <w:szCs w:val="24"/>
        </w:rPr>
        <w:t>e de manera significativa</w:t>
      </w:r>
      <w:r w:rsidR="00A93A6C" w:rsidRPr="008B7D3A">
        <w:rPr>
          <w:rFonts w:ascii="Arial" w:eastAsiaTheme="majorEastAsia" w:hAnsi="Arial" w:cstheme="majorBidi"/>
          <w:sz w:val="24"/>
          <w:szCs w:val="24"/>
        </w:rPr>
        <w:t xml:space="preserve"> </w:t>
      </w:r>
      <w:r w:rsidR="00A93A6C" w:rsidRPr="008B7D3A">
        <w:rPr>
          <w:rFonts w:ascii="Arial" w:eastAsiaTheme="majorEastAsia" w:hAnsi="Arial" w:cs="Arial"/>
          <w:bCs/>
          <w:sz w:val="24"/>
          <w:szCs w:val="24"/>
        </w:rPr>
        <w:t>(</w:t>
      </w:r>
      <w:r w:rsidR="00A93A6C" w:rsidRPr="008B7D3A">
        <w:rPr>
          <w:rFonts w:ascii="Arial" w:hAnsi="Arial" w:cs="Arial"/>
          <w:sz w:val="24"/>
        </w:rPr>
        <w:t>p ≤ 0</w:t>
      </w:r>
      <w:r w:rsidR="00A93A6C" w:rsidRPr="008B7D3A">
        <w:rPr>
          <w:rFonts w:ascii="Arial" w:eastAsiaTheme="majorEastAsia" w:hAnsi="Arial" w:cs="Arial"/>
          <w:bCs/>
          <w:sz w:val="24"/>
          <w:szCs w:val="24"/>
        </w:rPr>
        <w:t xml:space="preserve">.3 D </w:t>
      </w:r>
      <w:r w:rsidRPr="008B7D3A">
        <w:rPr>
          <w:rFonts w:ascii="Arial" w:eastAsiaTheme="majorEastAsia" w:hAnsi="Arial" w:cs="Arial"/>
          <w:bCs/>
          <w:sz w:val="24"/>
          <w:szCs w:val="24"/>
        </w:rPr>
        <w:t>y</w:t>
      </w:r>
      <w:r w:rsidR="00A93A6C" w:rsidRPr="008B7D3A">
        <w:rPr>
          <w:rFonts w:ascii="Arial" w:eastAsiaTheme="majorEastAsia" w:hAnsi="Arial" w:cs="Arial"/>
          <w:bCs/>
          <w:sz w:val="24"/>
          <w:szCs w:val="24"/>
        </w:rPr>
        <w:t xml:space="preserve"> </w:t>
      </w:r>
      <w:r w:rsidR="00A93A6C" w:rsidRPr="008B7D3A">
        <w:rPr>
          <w:rFonts w:ascii="Arial" w:hAnsi="Arial" w:cs="Arial"/>
          <w:sz w:val="24"/>
        </w:rPr>
        <w:t>p ≤ 0</w:t>
      </w:r>
      <w:r w:rsidR="00A93A6C" w:rsidRPr="008B7D3A">
        <w:rPr>
          <w:rFonts w:ascii="Arial" w:eastAsiaTheme="majorEastAsia" w:hAnsi="Arial" w:cs="Arial"/>
          <w:bCs/>
          <w:sz w:val="24"/>
          <w:szCs w:val="24"/>
        </w:rPr>
        <w:t xml:space="preserve">.35 </w:t>
      </w:r>
      <w:r w:rsidRPr="008B7D3A">
        <w:rPr>
          <w:rFonts w:ascii="Arial" w:eastAsiaTheme="majorEastAsia" w:hAnsi="Arial" w:cs="Arial"/>
          <w:bCs/>
          <w:sz w:val="24"/>
          <w:szCs w:val="24"/>
        </w:rPr>
        <w:t>Iz</w:t>
      </w:r>
      <w:r w:rsidR="00A93A6C" w:rsidRPr="008B7D3A">
        <w:rPr>
          <w:rFonts w:ascii="Arial" w:eastAsiaTheme="majorEastAsia" w:hAnsi="Arial" w:cs="Arial"/>
          <w:bCs/>
          <w:sz w:val="24"/>
          <w:szCs w:val="24"/>
        </w:rPr>
        <w:t>)</w:t>
      </w:r>
      <w:r w:rsidR="001D5F4F" w:rsidRPr="008B7D3A">
        <w:rPr>
          <w:rFonts w:ascii="Arial" w:eastAsiaTheme="majorEastAsia" w:hAnsi="Arial" w:cstheme="majorBidi"/>
          <w:sz w:val="24"/>
          <w:szCs w:val="24"/>
        </w:rPr>
        <w:t xml:space="preserve">, </w:t>
      </w:r>
      <w:r w:rsidRPr="008B7D3A">
        <w:rPr>
          <w:rFonts w:ascii="Arial" w:eastAsiaTheme="majorEastAsia" w:hAnsi="Arial" w:cstheme="majorBidi"/>
          <w:sz w:val="24"/>
          <w:szCs w:val="24"/>
        </w:rPr>
        <w:t>aun</w:t>
      </w:r>
      <w:r w:rsidR="001D5F4F" w:rsidRPr="008B7D3A">
        <w:rPr>
          <w:rFonts w:ascii="Arial" w:eastAsiaTheme="majorEastAsia" w:hAnsi="Arial" w:cstheme="majorBidi"/>
          <w:sz w:val="24"/>
          <w:szCs w:val="24"/>
        </w:rPr>
        <w:t xml:space="preserve"> a</w:t>
      </w:r>
      <w:r w:rsidRPr="008B7D3A">
        <w:rPr>
          <w:rFonts w:ascii="Arial" w:eastAsiaTheme="majorEastAsia" w:hAnsi="Arial" w:cstheme="majorBidi"/>
          <w:sz w:val="24"/>
          <w:szCs w:val="24"/>
        </w:rPr>
        <w:t>s</w:t>
      </w:r>
      <w:r w:rsidR="001D5F4F" w:rsidRPr="008B7D3A">
        <w:rPr>
          <w:rFonts w:ascii="Arial" w:eastAsiaTheme="majorEastAsia" w:hAnsi="Arial" w:cstheme="majorBidi"/>
          <w:sz w:val="24"/>
          <w:szCs w:val="24"/>
        </w:rPr>
        <w:t>í</w:t>
      </w:r>
      <w:r w:rsidRPr="008B7D3A">
        <w:rPr>
          <w:rFonts w:ascii="Arial" w:eastAsiaTheme="majorEastAsia" w:hAnsi="Arial" w:cstheme="majorBidi"/>
          <w:sz w:val="24"/>
          <w:szCs w:val="24"/>
        </w:rPr>
        <w:t>,</w:t>
      </w:r>
      <w:r w:rsidR="001D5F4F" w:rsidRPr="008B7D3A">
        <w:rPr>
          <w:rFonts w:ascii="Arial" w:eastAsiaTheme="majorEastAsia" w:hAnsi="Arial" w:cstheme="majorBidi"/>
          <w:sz w:val="24"/>
          <w:szCs w:val="24"/>
        </w:rPr>
        <w:t xml:space="preserve"> s</w:t>
      </w:r>
      <w:r w:rsidRPr="008B7D3A">
        <w:rPr>
          <w:rFonts w:ascii="Arial" w:eastAsiaTheme="majorEastAsia" w:hAnsi="Arial" w:cstheme="majorBidi"/>
          <w:sz w:val="24"/>
          <w:szCs w:val="24"/>
        </w:rPr>
        <w:t>í</w:t>
      </w:r>
      <w:r w:rsidR="006021C5" w:rsidRPr="008B7D3A">
        <w:rPr>
          <w:rFonts w:ascii="Arial" w:eastAsiaTheme="majorEastAsia" w:hAnsi="Arial" w:cstheme="majorBidi"/>
          <w:sz w:val="24"/>
          <w:szCs w:val="24"/>
        </w:rPr>
        <w:t xml:space="preserve"> que </w:t>
      </w:r>
      <w:r w:rsidRPr="008B7D3A">
        <w:rPr>
          <w:rFonts w:ascii="Arial" w:eastAsiaTheme="majorEastAsia" w:hAnsi="Arial" w:cstheme="majorBidi"/>
          <w:sz w:val="24"/>
          <w:szCs w:val="24"/>
        </w:rPr>
        <w:t>se observa</w:t>
      </w:r>
      <w:r w:rsidR="006021C5" w:rsidRPr="008B7D3A">
        <w:rPr>
          <w:rFonts w:ascii="Arial" w:eastAsiaTheme="majorEastAsia" w:hAnsi="Arial" w:cstheme="majorBidi"/>
          <w:sz w:val="24"/>
          <w:szCs w:val="24"/>
        </w:rPr>
        <w:t xml:space="preserve"> </w:t>
      </w:r>
      <w:r w:rsidR="001D5F4F" w:rsidRPr="008B7D3A">
        <w:rPr>
          <w:rFonts w:ascii="Arial" w:eastAsiaTheme="majorEastAsia" w:hAnsi="Arial" w:cstheme="majorBidi"/>
          <w:sz w:val="24"/>
          <w:szCs w:val="24"/>
        </w:rPr>
        <w:t>que desp</w:t>
      </w:r>
      <w:r w:rsidRPr="008B7D3A">
        <w:rPr>
          <w:rFonts w:ascii="Arial" w:eastAsiaTheme="majorEastAsia" w:hAnsi="Arial" w:cstheme="majorBidi"/>
          <w:sz w:val="24"/>
          <w:szCs w:val="24"/>
        </w:rPr>
        <w:t>u</w:t>
      </w:r>
      <w:r w:rsidR="001D5F4F" w:rsidRPr="008B7D3A">
        <w:rPr>
          <w:rFonts w:ascii="Arial" w:eastAsiaTheme="majorEastAsia" w:hAnsi="Arial" w:cstheme="majorBidi"/>
          <w:sz w:val="24"/>
          <w:szCs w:val="24"/>
        </w:rPr>
        <w:t>és d</w:t>
      </w:r>
      <w:r w:rsidR="00E205A3" w:rsidRPr="008B7D3A">
        <w:rPr>
          <w:rFonts w:ascii="Arial" w:eastAsiaTheme="majorEastAsia" w:hAnsi="Arial" w:cstheme="majorBidi"/>
          <w:sz w:val="24"/>
          <w:szCs w:val="24"/>
        </w:rPr>
        <w:t xml:space="preserve">el </w:t>
      </w:r>
      <w:r w:rsidR="001D5F4F" w:rsidRPr="008B7D3A">
        <w:rPr>
          <w:rFonts w:ascii="Arial" w:eastAsiaTheme="majorEastAsia" w:hAnsi="Arial" w:cstheme="majorBidi"/>
          <w:sz w:val="24"/>
          <w:szCs w:val="24"/>
        </w:rPr>
        <w:t>test fatigant</w:t>
      </w:r>
      <w:r w:rsidRPr="008B7D3A">
        <w:rPr>
          <w:rFonts w:ascii="Arial" w:eastAsiaTheme="majorEastAsia" w:hAnsi="Arial" w:cstheme="majorBidi"/>
          <w:sz w:val="24"/>
          <w:szCs w:val="24"/>
        </w:rPr>
        <w:t>e</w:t>
      </w:r>
      <w:r w:rsidR="001D5F4F" w:rsidRPr="008B7D3A">
        <w:rPr>
          <w:rFonts w:ascii="Arial" w:eastAsiaTheme="majorEastAsia" w:hAnsi="Arial" w:cstheme="majorBidi"/>
          <w:sz w:val="24"/>
          <w:szCs w:val="24"/>
        </w:rPr>
        <w:t xml:space="preserve"> l</w:t>
      </w:r>
      <w:r w:rsidRPr="008B7D3A">
        <w:rPr>
          <w:rFonts w:ascii="Arial" w:eastAsiaTheme="majorEastAsia" w:hAnsi="Arial" w:cstheme="majorBidi"/>
          <w:sz w:val="24"/>
          <w:szCs w:val="24"/>
        </w:rPr>
        <w:t>o</w:t>
      </w:r>
      <w:r w:rsidR="001D5F4F" w:rsidRPr="008B7D3A">
        <w:rPr>
          <w:rFonts w:ascii="Arial" w:eastAsiaTheme="majorEastAsia" w:hAnsi="Arial" w:cstheme="majorBidi"/>
          <w:sz w:val="24"/>
          <w:szCs w:val="24"/>
        </w:rPr>
        <w:t>s valor</w:t>
      </w:r>
      <w:r w:rsidRPr="008B7D3A">
        <w:rPr>
          <w:rFonts w:ascii="Arial" w:eastAsiaTheme="majorEastAsia" w:hAnsi="Arial" w:cstheme="majorBidi"/>
          <w:sz w:val="24"/>
          <w:szCs w:val="24"/>
        </w:rPr>
        <w:t>e</w:t>
      </w:r>
      <w:r w:rsidR="001D5F4F" w:rsidRPr="008B7D3A">
        <w:rPr>
          <w:rFonts w:ascii="Arial" w:eastAsiaTheme="majorEastAsia" w:hAnsi="Arial" w:cstheme="majorBidi"/>
          <w:sz w:val="24"/>
          <w:szCs w:val="24"/>
        </w:rPr>
        <w:t>s de f</w:t>
      </w:r>
      <w:r w:rsidRPr="008B7D3A">
        <w:rPr>
          <w:rFonts w:ascii="Arial" w:eastAsiaTheme="majorEastAsia" w:hAnsi="Arial" w:cstheme="majorBidi"/>
          <w:sz w:val="24"/>
          <w:szCs w:val="24"/>
        </w:rPr>
        <w:t>uerz</w:t>
      </w:r>
      <w:r w:rsidR="001D5F4F" w:rsidRPr="008B7D3A">
        <w:rPr>
          <w:rFonts w:ascii="Arial" w:eastAsiaTheme="majorEastAsia" w:hAnsi="Arial" w:cstheme="majorBidi"/>
          <w:sz w:val="24"/>
          <w:szCs w:val="24"/>
        </w:rPr>
        <w:t>a de</w:t>
      </w:r>
      <w:r w:rsidRPr="008B7D3A">
        <w:rPr>
          <w:rFonts w:ascii="Arial" w:eastAsiaTheme="majorEastAsia" w:hAnsi="Arial" w:cstheme="majorBidi"/>
          <w:sz w:val="24"/>
          <w:szCs w:val="24"/>
        </w:rPr>
        <w:t xml:space="preserve"> los</w:t>
      </w:r>
      <w:r w:rsidR="001D5F4F" w:rsidRPr="008B7D3A">
        <w:rPr>
          <w:rFonts w:ascii="Arial" w:eastAsiaTheme="majorEastAsia" w:hAnsi="Arial" w:cstheme="majorBidi"/>
          <w:sz w:val="24"/>
          <w:szCs w:val="24"/>
        </w:rPr>
        <w:t xml:space="preserve"> </w:t>
      </w:r>
      <w:r w:rsidRPr="008B7D3A">
        <w:rPr>
          <w:rFonts w:ascii="Arial" w:eastAsiaTheme="majorEastAsia" w:hAnsi="Arial" w:cstheme="majorBidi"/>
          <w:sz w:val="24"/>
          <w:szCs w:val="24"/>
        </w:rPr>
        <w:t>c</w:t>
      </w:r>
      <w:r w:rsidR="001D5F4F" w:rsidRPr="008B7D3A">
        <w:rPr>
          <w:rFonts w:ascii="Arial" w:eastAsiaTheme="majorEastAsia" w:hAnsi="Arial" w:cstheme="majorBidi"/>
          <w:sz w:val="24"/>
          <w:szCs w:val="24"/>
        </w:rPr>
        <w:t>u</w:t>
      </w:r>
      <w:r w:rsidRPr="008B7D3A">
        <w:rPr>
          <w:rFonts w:ascii="Arial" w:eastAsiaTheme="majorEastAsia" w:hAnsi="Arial" w:cstheme="majorBidi"/>
          <w:sz w:val="24"/>
          <w:szCs w:val="24"/>
        </w:rPr>
        <w:t>á</w:t>
      </w:r>
      <w:r w:rsidR="001D5F4F" w:rsidRPr="008B7D3A">
        <w:rPr>
          <w:rFonts w:ascii="Arial" w:eastAsiaTheme="majorEastAsia" w:hAnsi="Arial" w:cstheme="majorBidi"/>
          <w:sz w:val="24"/>
          <w:szCs w:val="24"/>
        </w:rPr>
        <w:t xml:space="preserve">driceps </w:t>
      </w:r>
      <w:r w:rsidRPr="008B7D3A">
        <w:rPr>
          <w:rFonts w:ascii="Arial" w:eastAsiaTheme="majorEastAsia" w:hAnsi="Arial" w:cstheme="majorBidi"/>
          <w:sz w:val="24"/>
          <w:szCs w:val="24"/>
        </w:rPr>
        <w:t>y</w:t>
      </w:r>
      <w:r w:rsidR="001D5F4F" w:rsidRPr="008B7D3A">
        <w:rPr>
          <w:rFonts w:ascii="Arial" w:eastAsiaTheme="majorEastAsia" w:hAnsi="Arial" w:cstheme="majorBidi"/>
          <w:sz w:val="24"/>
          <w:szCs w:val="24"/>
        </w:rPr>
        <w:t xml:space="preserve"> </w:t>
      </w:r>
      <w:r w:rsidR="006576BC" w:rsidRPr="008B7D3A">
        <w:rPr>
          <w:rFonts w:ascii="Arial" w:eastAsiaTheme="majorEastAsia" w:hAnsi="Arial" w:cstheme="majorBidi"/>
          <w:sz w:val="24"/>
          <w:szCs w:val="24"/>
        </w:rPr>
        <w:t>d</w:t>
      </w:r>
      <w:r w:rsidRPr="008B7D3A">
        <w:rPr>
          <w:rFonts w:ascii="Arial" w:eastAsiaTheme="majorEastAsia" w:hAnsi="Arial" w:cstheme="majorBidi"/>
          <w:sz w:val="24"/>
          <w:szCs w:val="24"/>
        </w:rPr>
        <w:t xml:space="preserve">e los </w:t>
      </w:r>
      <w:r w:rsidR="001D5F4F" w:rsidRPr="008B7D3A">
        <w:rPr>
          <w:rFonts w:ascii="Arial" w:eastAsiaTheme="majorEastAsia" w:hAnsi="Arial" w:cstheme="majorBidi"/>
          <w:sz w:val="24"/>
          <w:szCs w:val="24"/>
        </w:rPr>
        <w:t>isquiosural</w:t>
      </w:r>
      <w:r w:rsidRPr="008B7D3A">
        <w:rPr>
          <w:rFonts w:ascii="Arial" w:eastAsiaTheme="majorEastAsia" w:hAnsi="Arial" w:cstheme="majorBidi"/>
          <w:sz w:val="24"/>
          <w:szCs w:val="24"/>
        </w:rPr>
        <w:t>e</w:t>
      </w:r>
      <w:r w:rsidR="001D5F4F" w:rsidRPr="008B7D3A">
        <w:rPr>
          <w:rFonts w:ascii="Arial" w:eastAsiaTheme="majorEastAsia" w:hAnsi="Arial" w:cstheme="majorBidi"/>
          <w:sz w:val="24"/>
          <w:szCs w:val="24"/>
        </w:rPr>
        <w:t>s</w:t>
      </w:r>
      <w:r w:rsidRPr="008B7D3A">
        <w:rPr>
          <w:rFonts w:ascii="Arial" w:eastAsiaTheme="majorEastAsia" w:hAnsi="Arial" w:cstheme="majorBidi"/>
          <w:sz w:val="24"/>
          <w:szCs w:val="24"/>
        </w:rPr>
        <w:t>,</w:t>
      </w:r>
      <w:r w:rsidR="001D5F4F" w:rsidRPr="008B7D3A">
        <w:rPr>
          <w:rFonts w:ascii="Arial" w:eastAsiaTheme="majorEastAsia" w:hAnsi="Arial" w:cstheme="majorBidi"/>
          <w:sz w:val="24"/>
          <w:szCs w:val="24"/>
        </w:rPr>
        <w:t xml:space="preserve"> disminu</w:t>
      </w:r>
      <w:r w:rsidRPr="008B7D3A">
        <w:rPr>
          <w:rFonts w:ascii="Arial" w:eastAsiaTheme="majorEastAsia" w:hAnsi="Arial" w:cstheme="majorBidi"/>
          <w:sz w:val="24"/>
          <w:szCs w:val="24"/>
        </w:rPr>
        <w:t>y</w:t>
      </w:r>
      <w:r w:rsidR="001D5F4F" w:rsidRPr="008B7D3A">
        <w:rPr>
          <w:rFonts w:ascii="Arial" w:eastAsiaTheme="majorEastAsia" w:hAnsi="Arial" w:cstheme="majorBidi"/>
          <w:sz w:val="24"/>
          <w:szCs w:val="24"/>
        </w:rPr>
        <w:t xml:space="preserve">en de manera significativa </w:t>
      </w:r>
      <w:r w:rsidRPr="008B7D3A">
        <w:rPr>
          <w:rFonts w:ascii="Arial" w:eastAsiaTheme="majorEastAsia" w:hAnsi="Arial" w:cstheme="majorBidi"/>
          <w:sz w:val="24"/>
          <w:szCs w:val="24"/>
        </w:rPr>
        <w:t>y</w:t>
      </w:r>
      <w:r w:rsidR="001D5F4F" w:rsidRPr="008B7D3A">
        <w:rPr>
          <w:rFonts w:ascii="Arial" w:eastAsiaTheme="majorEastAsia" w:hAnsi="Arial" w:cstheme="majorBidi"/>
          <w:sz w:val="24"/>
          <w:szCs w:val="24"/>
        </w:rPr>
        <w:t xml:space="preserve"> en valor</w:t>
      </w:r>
      <w:r w:rsidRPr="008B7D3A">
        <w:rPr>
          <w:rFonts w:ascii="Arial" w:eastAsiaTheme="majorEastAsia" w:hAnsi="Arial" w:cstheme="majorBidi"/>
          <w:sz w:val="24"/>
          <w:szCs w:val="24"/>
        </w:rPr>
        <w:t>e</w:t>
      </w:r>
      <w:r w:rsidR="001D5F4F" w:rsidRPr="008B7D3A">
        <w:rPr>
          <w:rFonts w:ascii="Arial" w:eastAsiaTheme="majorEastAsia" w:hAnsi="Arial" w:cstheme="majorBidi"/>
          <w:sz w:val="24"/>
          <w:szCs w:val="24"/>
        </w:rPr>
        <w:t>s m</w:t>
      </w:r>
      <w:r w:rsidRPr="008B7D3A">
        <w:rPr>
          <w:rFonts w:ascii="Arial" w:eastAsiaTheme="majorEastAsia" w:hAnsi="Arial" w:cstheme="majorBidi"/>
          <w:sz w:val="24"/>
          <w:szCs w:val="24"/>
        </w:rPr>
        <w:t>edio</w:t>
      </w:r>
      <w:r w:rsidR="001D5F4F" w:rsidRPr="008B7D3A">
        <w:rPr>
          <w:rFonts w:ascii="Arial" w:eastAsiaTheme="majorEastAsia" w:hAnsi="Arial" w:cstheme="majorBidi"/>
          <w:sz w:val="24"/>
          <w:szCs w:val="24"/>
        </w:rPr>
        <w:t>s, de forma ma</w:t>
      </w:r>
      <w:r w:rsidRPr="008B7D3A">
        <w:rPr>
          <w:rFonts w:ascii="Arial" w:eastAsiaTheme="majorEastAsia" w:hAnsi="Arial" w:cstheme="majorBidi"/>
          <w:sz w:val="24"/>
          <w:szCs w:val="24"/>
        </w:rPr>
        <w:t>y</w:t>
      </w:r>
      <w:r w:rsidR="001D5F4F" w:rsidRPr="008B7D3A">
        <w:rPr>
          <w:rFonts w:ascii="Arial" w:eastAsiaTheme="majorEastAsia" w:hAnsi="Arial" w:cstheme="majorBidi"/>
          <w:sz w:val="24"/>
          <w:szCs w:val="24"/>
        </w:rPr>
        <w:t xml:space="preserve">or en </w:t>
      </w:r>
      <w:bookmarkStart w:id="14" w:name="_GoBack"/>
      <w:bookmarkEnd w:id="14"/>
      <w:r w:rsidR="001D5F4F" w:rsidRPr="008B7D3A">
        <w:rPr>
          <w:rFonts w:ascii="Arial" w:eastAsiaTheme="majorEastAsia" w:hAnsi="Arial" w:cstheme="majorBidi"/>
          <w:sz w:val="24"/>
          <w:szCs w:val="24"/>
        </w:rPr>
        <w:t>l</w:t>
      </w:r>
      <w:r w:rsidRPr="008B7D3A">
        <w:rPr>
          <w:rFonts w:ascii="Arial" w:eastAsiaTheme="majorEastAsia" w:hAnsi="Arial" w:cstheme="majorBidi"/>
          <w:sz w:val="24"/>
          <w:szCs w:val="24"/>
        </w:rPr>
        <w:t>o</w:t>
      </w:r>
      <w:r w:rsidR="001D5F4F" w:rsidRPr="008B7D3A">
        <w:rPr>
          <w:rFonts w:ascii="Arial" w:eastAsiaTheme="majorEastAsia" w:hAnsi="Arial" w:cstheme="majorBidi"/>
          <w:sz w:val="24"/>
          <w:szCs w:val="24"/>
        </w:rPr>
        <w:t>s isquiosural</w:t>
      </w:r>
      <w:r w:rsidRPr="008B7D3A">
        <w:rPr>
          <w:rFonts w:ascii="Arial" w:eastAsiaTheme="majorEastAsia" w:hAnsi="Arial" w:cstheme="majorBidi"/>
          <w:sz w:val="24"/>
          <w:szCs w:val="24"/>
        </w:rPr>
        <w:t>e</w:t>
      </w:r>
      <w:r w:rsidR="001D5F4F" w:rsidRPr="008B7D3A">
        <w:rPr>
          <w:rFonts w:ascii="Arial" w:eastAsiaTheme="majorEastAsia" w:hAnsi="Arial" w:cstheme="majorBidi"/>
          <w:sz w:val="24"/>
          <w:szCs w:val="24"/>
        </w:rPr>
        <w:t>s</w:t>
      </w:r>
      <w:r w:rsidR="0036733A" w:rsidRPr="008B7D3A">
        <w:rPr>
          <w:rFonts w:ascii="Arial" w:eastAsiaTheme="majorEastAsia" w:hAnsi="Arial" w:cstheme="majorBidi"/>
          <w:sz w:val="24"/>
          <w:szCs w:val="24"/>
        </w:rPr>
        <w:t xml:space="preserve"> (-</w:t>
      </w:r>
      <w:r w:rsidR="004537EC" w:rsidRPr="008B7D3A">
        <w:rPr>
          <w:rFonts w:ascii="Arial" w:eastAsiaTheme="majorEastAsia" w:hAnsi="Arial" w:cstheme="majorBidi"/>
          <w:sz w:val="24"/>
          <w:szCs w:val="24"/>
        </w:rPr>
        <w:t>7.</w:t>
      </w:r>
      <w:r w:rsidR="0036733A" w:rsidRPr="008B7D3A">
        <w:rPr>
          <w:rFonts w:ascii="Arial" w:eastAsiaTheme="majorEastAsia" w:hAnsi="Arial" w:cstheme="majorBidi"/>
          <w:sz w:val="24"/>
          <w:szCs w:val="24"/>
        </w:rPr>
        <w:t>4</w:t>
      </w:r>
      <w:r w:rsidR="004E2583" w:rsidRPr="008B7D3A">
        <w:rPr>
          <w:rFonts w:ascii="Arial" w:eastAsiaTheme="majorEastAsia" w:hAnsi="Arial" w:cstheme="majorBidi"/>
          <w:sz w:val="24"/>
          <w:szCs w:val="24"/>
        </w:rPr>
        <w:t>0</w:t>
      </w:r>
      <w:r w:rsidR="0036733A" w:rsidRPr="008B7D3A">
        <w:rPr>
          <w:rFonts w:ascii="Arial" w:eastAsiaTheme="majorEastAsia" w:hAnsi="Arial" w:cstheme="majorBidi"/>
          <w:sz w:val="24"/>
          <w:szCs w:val="24"/>
        </w:rPr>
        <w:t>%</w:t>
      </w:r>
      <w:r w:rsidR="009C04C0" w:rsidRPr="008B7D3A">
        <w:rPr>
          <w:rFonts w:ascii="Arial" w:eastAsiaTheme="majorEastAsia" w:hAnsi="Arial" w:cstheme="majorBidi"/>
          <w:sz w:val="24"/>
          <w:szCs w:val="24"/>
        </w:rPr>
        <w:t xml:space="preserve">, p </w:t>
      </w:r>
      <w:r w:rsidR="009C04C0" w:rsidRPr="008B7D3A">
        <w:rPr>
          <w:rFonts w:ascii="Arial" w:hAnsi="Arial" w:cs="Arial"/>
          <w:sz w:val="24"/>
        </w:rPr>
        <w:t>≤ 0.01)</w:t>
      </w:r>
      <w:r w:rsidR="001D5F4F" w:rsidRPr="008B7D3A">
        <w:rPr>
          <w:rFonts w:ascii="Arial" w:eastAsiaTheme="majorEastAsia" w:hAnsi="Arial" w:cstheme="majorBidi"/>
          <w:sz w:val="24"/>
          <w:szCs w:val="24"/>
        </w:rPr>
        <w:t xml:space="preserve"> respe</w:t>
      </w:r>
      <w:r w:rsidRPr="008B7D3A">
        <w:rPr>
          <w:rFonts w:ascii="Arial" w:eastAsiaTheme="majorEastAsia" w:hAnsi="Arial" w:cstheme="majorBidi"/>
          <w:sz w:val="24"/>
          <w:szCs w:val="24"/>
        </w:rPr>
        <w:t>c</w:t>
      </w:r>
      <w:r w:rsidR="001D5F4F" w:rsidRPr="008B7D3A">
        <w:rPr>
          <w:rFonts w:ascii="Arial" w:eastAsiaTheme="majorEastAsia" w:hAnsi="Arial" w:cstheme="majorBidi"/>
          <w:sz w:val="24"/>
          <w:szCs w:val="24"/>
        </w:rPr>
        <w:t>t</w:t>
      </w:r>
      <w:r w:rsidRPr="008B7D3A">
        <w:rPr>
          <w:rFonts w:ascii="Arial" w:eastAsiaTheme="majorEastAsia" w:hAnsi="Arial" w:cstheme="majorBidi"/>
          <w:sz w:val="24"/>
          <w:szCs w:val="24"/>
        </w:rPr>
        <w:t>o</w:t>
      </w:r>
      <w:r w:rsidR="001D5F4F" w:rsidRPr="008B7D3A">
        <w:rPr>
          <w:rFonts w:ascii="Arial" w:eastAsiaTheme="majorEastAsia" w:hAnsi="Arial" w:cstheme="majorBidi"/>
          <w:sz w:val="24"/>
          <w:szCs w:val="24"/>
        </w:rPr>
        <w:t xml:space="preserve"> l</w:t>
      </w:r>
      <w:r w:rsidRPr="008B7D3A">
        <w:rPr>
          <w:rFonts w:ascii="Arial" w:eastAsiaTheme="majorEastAsia" w:hAnsi="Arial" w:cstheme="majorBidi"/>
          <w:sz w:val="24"/>
          <w:szCs w:val="24"/>
        </w:rPr>
        <w:t>o</w:t>
      </w:r>
      <w:r w:rsidR="001D5F4F" w:rsidRPr="008B7D3A">
        <w:rPr>
          <w:rFonts w:ascii="Arial" w:eastAsiaTheme="majorEastAsia" w:hAnsi="Arial" w:cstheme="majorBidi"/>
          <w:sz w:val="24"/>
          <w:szCs w:val="24"/>
        </w:rPr>
        <w:t xml:space="preserve">s </w:t>
      </w:r>
      <w:r w:rsidRPr="008B7D3A">
        <w:rPr>
          <w:rFonts w:ascii="Arial" w:eastAsiaTheme="majorEastAsia" w:hAnsi="Arial" w:cstheme="majorBidi"/>
          <w:sz w:val="24"/>
          <w:szCs w:val="24"/>
        </w:rPr>
        <w:t>c</w:t>
      </w:r>
      <w:r w:rsidR="001D5F4F" w:rsidRPr="008B7D3A">
        <w:rPr>
          <w:rFonts w:ascii="Arial" w:eastAsiaTheme="majorEastAsia" w:hAnsi="Arial" w:cstheme="majorBidi"/>
          <w:sz w:val="24"/>
          <w:szCs w:val="24"/>
        </w:rPr>
        <w:t>u</w:t>
      </w:r>
      <w:r w:rsidRPr="008B7D3A">
        <w:rPr>
          <w:rFonts w:ascii="Arial" w:eastAsiaTheme="majorEastAsia" w:hAnsi="Arial" w:cstheme="majorBidi"/>
          <w:sz w:val="24"/>
          <w:szCs w:val="24"/>
        </w:rPr>
        <w:t>á</w:t>
      </w:r>
      <w:r w:rsidR="001D5F4F" w:rsidRPr="008B7D3A">
        <w:rPr>
          <w:rFonts w:ascii="Arial" w:eastAsiaTheme="majorEastAsia" w:hAnsi="Arial" w:cstheme="majorBidi"/>
          <w:sz w:val="24"/>
          <w:szCs w:val="24"/>
        </w:rPr>
        <w:t>driceps</w:t>
      </w:r>
      <w:r w:rsidR="0036733A" w:rsidRPr="008B7D3A">
        <w:rPr>
          <w:rFonts w:ascii="Arial" w:eastAsiaTheme="majorEastAsia" w:hAnsi="Arial" w:cstheme="majorBidi"/>
          <w:sz w:val="24"/>
          <w:szCs w:val="24"/>
        </w:rPr>
        <w:t xml:space="preserve"> (-5</w:t>
      </w:r>
      <w:r w:rsidR="004537EC" w:rsidRPr="008B7D3A">
        <w:rPr>
          <w:rFonts w:ascii="Arial" w:eastAsiaTheme="majorEastAsia" w:hAnsi="Arial" w:cstheme="majorBidi"/>
          <w:sz w:val="24"/>
          <w:szCs w:val="24"/>
        </w:rPr>
        <w:t>.</w:t>
      </w:r>
      <w:r w:rsidR="0036733A" w:rsidRPr="008B7D3A">
        <w:rPr>
          <w:rFonts w:ascii="Arial" w:eastAsiaTheme="majorEastAsia" w:hAnsi="Arial" w:cstheme="majorBidi"/>
          <w:sz w:val="24"/>
          <w:szCs w:val="24"/>
        </w:rPr>
        <w:t>04%</w:t>
      </w:r>
      <w:r w:rsidR="009C04C0" w:rsidRPr="008B7D3A">
        <w:rPr>
          <w:rFonts w:ascii="Arial" w:eastAsiaTheme="majorEastAsia" w:hAnsi="Arial" w:cstheme="majorBidi"/>
          <w:sz w:val="24"/>
          <w:szCs w:val="24"/>
        </w:rPr>
        <w:t xml:space="preserve">, p </w:t>
      </w:r>
      <w:r w:rsidR="009C04C0" w:rsidRPr="008B7D3A">
        <w:rPr>
          <w:rFonts w:ascii="Arial" w:hAnsi="Arial" w:cs="Arial"/>
          <w:sz w:val="24"/>
        </w:rPr>
        <w:t>≤ 0.01</w:t>
      </w:r>
      <w:r w:rsidR="0036733A" w:rsidRPr="008B7D3A">
        <w:rPr>
          <w:rFonts w:ascii="Arial" w:eastAsiaTheme="majorEastAsia" w:hAnsi="Arial" w:cstheme="majorBidi"/>
          <w:sz w:val="24"/>
          <w:szCs w:val="24"/>
        </w:rPr>
        <w:t>)</w:t>
      </w:r>
      <w:r w:rsidR="001D5F4F" w:rsidRPr="008B7D3A">
        <w:rPr>
          <w:rFonts w:ascii="Arial" w:eastAsiaTheme="majorEastAsia" w:hAnsi="Arial" w:cstheme="majorBidi"/>
          <w:sz w:val="24"/>
          <w:szCs w:val="24"/>
        </w:rPr>
        <w:t>.</w:t>
      </w:r>
    </w:p>
    <w:p w:rsidR="0090596B" w:rsidRPr="003D1FBA" w:rsidRDefault="00D926B0" w:rsidP="00FC4616">
      <w:pPr>
        <w:spacing w:line="360" w:lineRule="auto"/>
        <w:jc w:val="both"/>
        <w:rPr>
          <w:rFonts w:ascii="Arial" w:eastAsiaTheme="majorEastAsia" w:hAnsi="Arial" w:cstheme="majorBidi"/>
          <w:sz w:val="24"/>
          <w:szCs w:val="24"/>
        </w:rPr>
      </w:pPr>
      <w:r w:rsidRPr="008B7D3A">
        <w:rPr>
          <w:rFonts w:ascii="Arial" w:eastAsiaTheme="majorEastAsia" w:hAnsi="Arial" w:cstheme="majorBidi"/>
          <w:sz w:val="24"/>
          <w:szCs w:val="24"/>
        </w:rPr>
        <w:t xml:space="preserve">El </w:t>
      </w:r>
      <w:r w:rsidR="00FC4616" w:rsidRPr="008B7D3A">
        <w:rPr>
          <w:rFonts w:ascii="Arial" w:eastAsiaTheme="majorEastAsia" w:hAnsi="Arial" w:cstheme="majorBidi"/>
          <w:sz w:val="24"/>
          <w:szCs w:val="24"/>
        </w:rPr>
        <w:t>objeti</w:t>
      </w:r>
      <w:r w:rsidRPr="008B7D3A">
        <w:rPr>
          <w:rFonts w:ascii="Arial" w:eastAsiaTheme="majorEastAsia" w:hAnsi="Arial" w:cstheme="majorBidi"/>
          <w:sz w:val="24"/>
          <w:szCs w:val="24"/>
        </w:rPr>
        <w:t>vo</w:t>
      </w:r>
      <w:r w:rsidR="00FC4616" w:rsidRPr="008B7D3A">
        <w:rPr>
          <w:rFonts w:ascii="Arial" w:eastAsiaTheme="majorEastAsia" w:hAnsi="Arial" w:cstheme="majorBidi"/>
          <w:sz w:val="24"/>
          <w:szCs w:val="24"/>
        </w:rPr>
        <w:t xml:space="preserve"> principal d</w:t>
      </w:r>
      <w:r w:rsidRPr="008B7D3A">
        <w:rPr>
          <w:rFonts w:ascii="Arial" w:eastAsiaTheme="majorEastAsia" w:hAnsi="Arial" w:cstheme="majorBidi"/>
          <w:sz w:val="24"/>
          <w:szCs w:val="24"/>
        </w:rPr>
        <w:t xml:space="preserve">e </w:t>
      </w:r>
      <w:r w:rsidR="00FC4616" w:rsidRPr="008B7D3A">
        <w:rPr>
          <w:rFonts w:ascii="Arial" w:eastAsiaTheme="majorEastAsia" w:hAnsi="Arial" w:cstheme="majorBidi"/>
          <w:sz w:val="24"/>
          <w:szCs w:val="24"/>
        </w:rPr>
        <w:t>esta investigació</w:t>
      </w:r>
      <w:r w:rsidRPr="008B7D3A">
        <w:rPr>
          <w:rFonts w:ascii="Arial" w:eastAsiaTheme="majorEastAsia" w:hAnsi="Arial" w:cstheme="majorBidi"/>
          <w:sz w:val="24"/>
          <w:szCs w:val="24"/>
        </w:rPr>
        <w:t>n</w:t>
      </w:r>
      <w:r w:rsidR="00FC4616" w:rsidRPr="008B7D3A">
        <w:rPr>
          <w:rFonts w:ascii="Arial" w:eastAsiaTheme="majorEastAsia" w:hAnsi="Arial" w:cstheme="majorBidi"/>
          <w:sz w:val="24"/>
          <w:szCs w:val="24"/>
        </w:rPr>
        <w:t xml:space="preserve"> </w:t>
      </w:r>
      <w:r w:rsidR="006021C5" w:rsidRPr="008B7D3A">
        <w:rPr>
          <w:rFonts w:ascii="Arial" w:eastAsiaTheme="majorEastAsia" w:hAnsi="Arial" w:cstheme="majorBidi"/>
          <w:sz w:val="24"/>
          <w:szCs w:val="24"/>
        </w:rPr>
        <w:t>fu</w:t>
      </w:r>
      <w:r w:rsidRPr="008B7D3A">
        <w:rPr>
          <w:rFonts w:ascii="Arial" w:eastAsiaTheme="majorEastAsia" w:hAnsi="Arial" w:cstheme="majorBidi"/>
          <w:sz w:val="24"/>
          <w:szCs w:val="24"/>
        </w:rPr>
        <w:t>e</w:t>
      </w:r>
      <w:r w:rsidR="00FC4616" w:rsidRPr="008B7D3A">
        <w:rPr>
          <w:rFonts w:ascii="Arial" w:eastAsiaTheme="majorEastAsia" w:hAnsi="Arial" w:cstheme="majorBidi"/>
          <w:sz w:val="24"/>
          <w:szCs w:val="24"/>
        </w:rPr>
        <w:t xml:space="preserve"> estudiar </w:t>
      </w:r>
      <w:r w:rsidRPr="008B7D3A">
        <w:rPr>
          <w:rFonts w:ascii="Arial" w:eastAsiaTheme="majorEastAsia" w:hAnsi="Arial" w:cstheme="majorBidi"/>
          <w:sz w:val="24"/>
          <w:szCs w:val="24"/>
        </w:rPr>
        <w:t xml:space="preserve">el </w:t>
      </w:r>
      <w:r w:rsidR="00FC4616" w:rsidRPr="008B7D3A">
        <w:rPr>
          <w:rFonts w:ascii="Arial" w:eastAsiaTheme="majorEastAsia" w:hAnsi="Arial" w:cstheme="majorBidi"/>
          <w:sz w:val="24"/>
          <w:szCs w:val="24"/>
        </w:rPr>
        <w:t>efect</w:t>
      </w:r>
      <w:r w:rsidRPr="008B7D3A">
        <w:rPr>
          <w:rFonts w:ascii="Arial" w:eastAsiaTheme="majorEastAsia" w:hAnsi="Arial" w:cstheme="majorBidi"/>
          <w:sz w:val="24"/>
          <w:szCs w:val="24"/>
        </w:rPr>
        <w:t>o</w:t>
      </w:r>
      <w:r w:rsidR="00FC4616" w:rsidRPr="008B7D3A">
        <w:rPr>
          <w:rFonts w:ascii="Arial" w:eastAsiaTheme="majorEastAsia" w:hAnsi="Arial" w:cstheme="majorBidi"/>
          <w:sz w:val="24"/>
          <w:szCs w:val="24"/>
        </w:rPr>
        <w:t xml:space="preserve"> de la fatiga neuromuscular en la R</w:t>
      </w:r>
      <w:r w:rsidRPr="008B7D3A">
        <w:rPr>
          <w:rFonts w:ascii="Arial" w:eastAsiaTheme="majorEastAsia" w:hAnsi="Arial" w:cstheme="majorBidi"/>
          <w:sz w:val="24"/>
          <w:szCs w:val="24"/>
        </w:rPr>
        <w:t>a</w:t>
      </w:r>
      <w:r w:rsidR="00FC4616" w:rsidRPr="008B7D3A">
        <w:rPr>
          <w:rFonts w:ascii="Arial" w:eastAsiaTheme="majorEastAsia" w:hAnsi="Arial" w:cstheme="majorBidi"/>
          <w:sz w:val="24"/>
          <w:szCs w:val="24"/>
        </w:rPr>
        <w:t>tio I/Q en jugador</w:t>
      </w:r>
      <w:r w:rsidRPr="008B7D3A">
        <w:rPr>
          <w:rFonts w:ascii="Arial" w:eastAsiaTheme="majorEastAsia" w:hAnsi="Arial" w:cstheme="majorBidi"/>
          <w:sz w:val="24"/>
          <w:szCs w:val="24"/>
        </w:rPr>
        <w:t>a</w:t>
      </w:r>
      <w:r w:rsidR="00FC4616" w:rsidRPr="008B7D3A">
        <w:rPr>
          <w:rFonts w:ascii="Arial" w:eastAsiaTheme="majorEastAsia" w:hAnsi="Arial" w:cstheme="majorBidi"/>
          <w:sz w:val="24"/>
          <w:szCs w:val="24"/>
        </w:rPr>
        <w:t>s de b</w:t>
      </w:r>
      <w:r w:rsidR="006021C5" w:rsidRPr="008B7D3A">
        <w:rPr>
          <w:rFonts w:ascii="Arial" w:eastAsiaTheme="majorEastAsia" w:hAnsi="Arial" w:cstheme="majorBidi"/>
          <w:sz w:val="24"/>
          <w:szCs w:val="24"/>
        </w:rPr>
        <w:t>al</w:t>
      </w:r>
      <w:r w:rsidRPr="008B7D3A">
        <w:rPr>
          <w:rFonts w:ascii="Arial" w:eastAsiaTheme="majorEastAsia" w:hAnsi="Arial" w:cstheme="majorBidi"/>
          <w:sz w:val="24"/>
          <w:szCs w:val="24"/>
        </w:rPr>
        <w:t>oncesto</w:t>
      </w:r>
      <w:r w:rsidR="00FC4616" w:rsidRPr="003D1FBA">
        <w:rPr>
          <w:rFonts w:ascii="Arial" w:eastAsiaTheme="majorEastAsia" w:hAnsi="Arial" w:cstheme="majorBidi"/>
          <w:sz w:val="24"/>
          <w:szCs w:val="24"/>
        </w:rPr>
        <w:t xml:space="preserve"> </w:t>
      </w:r>
      <w:r>
        <w:rPr>
          <w:rFonts w:ascii="Arial" w:eastAsiaTheme="majorEastAsia" w:hAnsi="Arial" w:cstheme="majorBidi"/>
          <w:sz w:val="24"/>
          <w:szCs w:val="24"/>
        </w:rPr>
        <w:t>y</w:t>
      </w:r>
      <w:r w:rsidR="00FC4616" w:rsidRPr="003D1FBA">
        <w:rPr>
          <w:rFonts w:ascii="Arial" w:eastAsiaTheme="majorEastAsia" w:hAnsi="Arial" w:cstheme="majorBidi"/>
          <w:sz w:val="24"/>
          <w:szCs w:val="24"/>
        </w:rPr>
        <w:t xml:space="preserve"> </w:t>
      </w:r>
      <w:r w:rsidR="00814891">
        <w:rPr>
          <w:rFonts w:ascii="Arial" w:eastAsiaTheme="majorEastAsia" w:hAnsi="Arial" w:cstheme="majorBidi"/>
          <w:sz w:val="24"/>
          <w:szCs w:val="24"/>
        </w:rPr>
        <w:t>balonmano</w:t>
      </w:r>
      <w:r w:rsidR="00FC4616" w:rsidRPr="003D1FBA">
        <w:rPr>
          <w:rFonts w:ascii="Arial" w:eastAsiaTheme="majorEastAsia" w:hAnsi="Arial" w:cstheme="majorBidi"/>
          <w:sz w:val="24"/>
          <w:szCs w:val="24"/>
        </w:rPr>
        <w:t xml:space="preserve"> adolescent</w:t>
      </w:r>
      <w:r>
        <w:rPr>
          <w:rFonts w:ascii="Arial" w:eastAsiaTheme="majorEastAsia" w:hAnsi="Arial" w:cstheme="majorBidi"/>
          <w:sz w:val="24"/>
          <w:szCs w:val="24"/>
        </w:rPr>
        <w:t>e</w:t>
      </w:r>
      <w:r w:rsidR="00FC4616" w:rsidRPr="003D1FBA">
        <w:rPr>
          <w:rFonts w:ascii="Arial" w:eastAsiaTheme="majorEastAsia" w:hAnsi="Arial" w:cstheme="majorBidi"/>
          <w:sz w:val="24"/>
          <w:szCs w:val="24"/>
        </w:rPr>
        <w:t>s</w:t>
      </w:r>
      <w:r w:rsidR="00F721D4" w:rsidRPr="003D1FBA">
        <w:rPr>
          <w:rFonts w:ascii="Arial" w:eastAsiaTheme="majorEastAsia" w:hAnsi="Arial" w:cstheme="majorBidi"/>
          <w:sz w:val="24"/>
          <w:szCs w:val="24"/>
        </w:rPr>
        <w:t xml:space="preserve">. </w:t>
      </w:r>
      <w:r>
        <w:rPr>
          <w:rFonts w:ascii="Arial" w:eastAsiaTheme="majorEastAsia" w:hAnsi="Arial" w:cstheme="majorBidi"/>
          <w:sz w:val="24"/>
          <w:szCs w:val="24"/>
        </w:rPr>
        <w:t>Los</w:t>
      </w:r>
      <w:r w:rsidR="00F721D4" w:rsidRPr="003D1FBA">
        <w:rPr>
          <w:rFonts w:ascii="Arial" w:eastAsiaTheme="majorEastAsia" w:hAnsi="Arial" w:cstheme="majorBidi"/>
          <w:sz w:val="24"/>
          <w:szCs w:val="24"/>
        </w:rPr>
        <w:t xml:space="preserve"> resulta</w:t>
      </w:r>
      <w:r>
        <w:rPr>
          <w:rFonts w:ascii="Arial" w:eastAsiaTheme="majorEastAsia" w:hAnsi="Arial" w:cstheme="majorBidi"/>
          <w:sz w:val="24"/>
          <w:szCs w:val="24"/>
        </w:rPr>
        <w:t>do</w:t>
      </w:r>
      <w:r w:rsidR="00F721D4" w:rsidRPr="003D1FBA">
        <w:rPr>
          <w:rFonts w:ascii="Arial" w:eastAsiaTheme="majorEastAsia" w:hAnsi="Arial" w:cstheme="majorBidi"/>
          <w:sz w:val="24"/>
          <w:szCs w:val="24"/>
        </w:rPr>
        <w:t>s del</w:t>
      </w:r>
      <w:r>
        <w:rPr>
          <w:rFonts w:ascii="Arial" w:eastAsiaTheme="majorEastAsia" w:hAnsi="Arial" w:cstheme="majorBidi"/>
          <w:sz w:val="24"/>
          <w:szCs w:val="24"/>
        </w:rPr>
        <w:t xml:space="preserve"> </w:t>
      </w:r>
      <w:r w:rsidR="00F721D4" w:rsidRPr="003D1FBA">
        <w:rPr>
          <w:rFonts w:ascii="Arial" w:eastAsiaTheme="majorEastAsia" w:hAnsi="Arial" w:cstheme="majorBidi"/>
          <w:sz w:val="24"/>
          <w:szCs w:val="24"/>
        </w:rPr>
        <w:t>estudi</w:t>
      </w:r>
      <w:r>
        <w:rPr>
          <w:rFonts w:ascii="Arial" w:eastAsiaTheme="majorEastAsia" w:hAnsi="Arial" w:cstheme="majorBidi"/>
          <w:sz w:val="24"/>
          <w:szCs w:val="24"/>
        </w:rPr>
        <w:t>o,</w:t>
      </w:r>
      <w:r w:rsidR="00F721D4" w:rsidRPr="003D1FBA">
        <w:rPr>
          <w:rFonts w:ascii="Arial" w:eastAsiaTheme="majorEastAsia" w:hAnsi="Arial" w:cstheme="majorBidi"/>
          <w:sz w:val="24"/>
          <w:szCs w:val="24"/>
        </w:rPr>
        <w:t xml:space="preserve"> dem</w:t>
      </w:r>
      <w:r>
        <w:rPr>
          <w:rFonts w:ascii="Arial" w:eastAsiaTheme="majorEastAsia" w:hAnsi="Arial" w:cstheme="majorBidi"/>
          <w:sz w:val="24"/>
          <w:szCs w:val="24"/>
        </w:rPr>
        <w:t>ue</w:t>
      </w:r>
      <w:r w:rsidR="00F721D4" w:rsidRPr="003D1FBA">
        <w:rPr>
          <w:rFonts w:ascii="Arial" w:eastAsiaTheme="majorEastAsia" w:hAnsi="Arial" w:cstheme="majorBidi"/>
          <w:sz w:val="24"/>
          <w:szCs w:val="24"/>
        </w:rPr>
        <w:t>str</w:t>
      </w:r>
      <w:r>
        <w:rPr>
          <w:rFonts w:ascii="Arial" w:eastAsiaTheme="majorEastAsia" w:hAnsi="Arial" w:cstheme="majorBidi"/>
          <w:sz w:val="24"/>
          <w:szCs w:val="24"/>
        </w:rPr>
        <w:t>a</w:t>
      </w:r>
      <w:r w:rsidR="00F721D4" w:rsidRPr="003D1FBA">
        <w:rPr>
          <w:rFonts w:ascii="Arial" w:eastAsiaTheme="majorEastAsia" w:hAnsi="Arial" w:cstheme="majorBidi"/>
          <w:sz w:val="24"/>
          <w:szCs w:val="24"/>
        </w:rPr>
        <w:t>n que</w:t>
      </w:r>
      <w:r w:rsidR="0090596B" w:rsidRPr="003D1FBA">
        <w:rPr>
          <w:rFonts w:ascii="Arial" w:eastAsiaTheme="majorEastAsia" w:hAnsi="Arial" w:cstheme="majorBidi"/>
          <w:sz w:val="24"/>
          <w:szCs w:val="24"/>
        </w:rPr>
        <w:t xml:space="preserve"> la </w:t>
      </w:r>
      <w:r w:rsidR="00C0788F" w:rsidRPr="003D1FBA">
        <w:rPr>
          <w:rFonts w:ascii="Arial" w:eastAsiaTheme="majorEastAsia" w:hAnsi="Arial" w:cstheme="majorBidi"/>
          <w:sz w:val="24"/>
          <w:szCs w:val="24"/>
        </w:rPr>
        <w:t>disminució</w:t>
      </w:r>
      <w:r>
        <w:rPr>
          <w:rFonts w:ascii="Arial" w:eastAsiaTheme="majorEastAsia" w:hAnsi="Arial" w:cstheme="majorBidi"/>
          <w:sz w:val="24"/>
          <w:szCs w:val="24"/>
        </w:rPr>
        <w:t>n</w:t>
      </w:r>
      <w:r w:rsidR="00C0788F" w:rsidRPr="003D1FBA">
        <w:rPr>
          <w:rFonts w:ascii="Arial" w:eastAsiaTheme="majorEastAsia" w:hAnsi="Arial" w:cstheme="majorBidi"/>
          <w:sz w:val="24"/>
          <w:szCs w:val="24"/>
        </w:rPr>
        <w:t xml:space="preserve"> de la </w:t>
      </w:r>
      <w:r w:rsidR="0090596B" w:rsidRPr="003D1FBA">
        <w:rPr>
          <w:rFonts w:ascii="Arial" w:eastAsiaTheme="majorEastAsia" w:hAnsi="Arial" w:cstheme="majorBidi"/>
          <w:sz w:val="24"/>
          <w:szCs w:val="24"/>
        </w:rPr>
        <w:t>R</w:t>
      </w:r>
      <w:r>
        <w:rPr>
          <w:rFonts w:ascii="Arial" w:eastAsiaTheme="majorEastAsia" w:hAnsi="Arial" w:cstheme="majorBidi"/>
          <w:sz w:val="24"/>
          <w:szCs w:val="24"/>
        </w:rPr>
        <w:t>a</w:t>
      </w:r>
      <w:r w:rsidR="0090596B" w:rsidRPr="003D1FBA">
        <w:rPr>
          <w:rFonts w:ascii="Arial" w:eastAsiaTheme="majorEastAsia" w:hAnsi="Arial" w:cstheme="majorBidi"/>
          <w:sz w:val="24"/>
          <w:szCs w:val="24"/>
        </w:rPr>
        <w:t xml:space="preserve">tio I/Q no ha </w:t>
      </w:r>
      <w:r>
        <w:rPr>
          <w:rFonts w:ascii="Arial" w:eastAsiaTheme="majorEastAsia" w:hAnsi="Arial" w:cstheme="majorBidi"/>
          <w:sz w:val="24"/>
          <w:szCs w:val="24"/>
        </w:rPr>
        <w:t>sido</w:t>
      </w:r>
      <w:r w:rsidR="0090596B" w:rsidRPr="003D1FBA">
        <w:rPr>
          <w:rFonts w:ascii="Arial" w:eastAsiaTheme="majorEastAsia" w:hAnsi="Arial" w:cstheme="majorBidi"/>
          <w:sz w:val="24"/>
          <w:szCs w:val="24"/>
        </w:rPr>
        <w:t xml:space="preserve"> significativa estadísticament</w:t>
      </w:r>
      <w:r>
        <w:rPr>
          <w:rFonts w:ascii="Arial" w:eastAsiaTheme="majorEastAsia" w:hAnsi="Arial" w:cstheme="majorBidi"/>
          <w:sz w:val="24"/>
          <w:szCs w:val="24"/>
        </w:rPr>
        <w:t>e</w:t>
      </w:r>
      <w:r w:rsidR="0090596B" w:rsidRPr="003D1FBA">
        <w:rPr>
          <w:rFonts w:ascii="Arial" w:eastAsiaTheme="majorEastAsia" w:hAnsi="Arial" w:cstheme="majorBidi"/>
          <w:sz w:val="24"/>
          <w:szCs w:val="24"/>
        </w:rPr>
        <w:t xml:space="preserve"> ni </w:t>
      </w:r>
      <w:r>
        <w:rPr>
          <w:rFonts w:ascii="Arial" w:eastAsiaTheme="majorEastAsia" w:hAnsi="Arial" w:cstheme="majorBidi"/>
          <w:sz w:val="24"/>
          <w:szCs w:val="24"/>
        </w:rPr>
        <w:t>en</w:t>
      </w:r>
      <w:r w:rsidR="0090596B" w:rsidRPr="003D1FBA">
        <w:rPr>
          <w:rFonts w:ascii="Arial" w:eastAsiaTheme="majorEastAsia" w:hAnsi="Arial" w:cstheme="majorBidi"/>
          <w:sz w:val="24"/>
          <w:szCs w:val="24"/>
        </w:rPr>
        <w:t xml:space="preserve"> la</w:t>
      </w:r>
      <w:r>
        <w:rPr>
          <w:rFonts w:ascii="Arial" w:eastAsiaTheme="majorEastAsia" w:hAnsi="Arial" w:cstheme="majorBidi"/>
          <w:sz w:val="24"/>
          <w:szCs w:val="24"/>
        </w:rPr>
        <w:t xml:space="preserve"> pierna derecha</w:t>
      </w:r>
      <w:r w:rsidR="0090596B" w:rsidRPr="003D1FBA">
        <w:rPr>
          <w:rFonts w:ascii="Arial" w:eastAsiaTheme="majorEastAsia" w:hAnsi="Arial" w:cstheme="majorBidi"/>
          <w:sz w:val="24"/>
          <w:szCs w:val="24"/>
        </w:rPr>
        <w:t xml:space="preserve"> (</w:t>
      </w:r>
      <w:r w:rsidR="0090596B" w:rsidRPr="003D1FBA">
        <w:rPr>
          <w:rFonts w:ascii="Arial" w:hAnsi="Arial" w:cs="Arial"/>
          <w:sz w:val="24"/>
        </w:rPr>
        <w:t>p</w:t>
      </w:r>
      <w:r w:rsidR="00905A21" w:rsidRPr="003D1FBA">
        <w:rPr>
          <w:rFonts w:ascii="Arial" w:hAnsi="Arial" w:cs="Arial"/>
          <w:sz w:val="24"/>
        </w:rPr>
        <w:t xml:space="preserve"> </w:t>
      </w:r>
      <w:r w:rsidR="0090596B" w:rsidRPr="003D1FBA">
        <w:rPr>
          <w:rFonts w:ascii="Arial" w:hAnsi="Arial" w:cs="Arial"/>
          <w:sz w:val="24"/>
        </w:rPr>
        <w:t>≤</w:t>
      </w:r>
      <w:r w:rsidR="00905A21" w:rsidRPr="003D1FBA">
        <w:rPr>
          <w:rFonts w:ascii="Arial" w:hAnsi="Arial" w:cs="Arial"/>
          <w:sz w:val="24"/>
        </w:rPr>
        <w:t xml:space="preserve"> </w:t>
      </w:r>
      <w:r w:rsidR="0090596B" w:rsidRPr="003D1FBA">
        <w:rPr>
          <w:rFonts w:ascii="Arial" w:hAnsi="Arial" w:cs="Arial"/>
          <w:sz w:val="24"/>
        </w:rPr>
        <w:t>0</w:t>
      </w:r>
      <w:r w:rsidR="0090596B" w:rsidRPr="003D1FBA">
        <w:rPr>
          <w:rFonts w:ascii="Arial" w:eastAsiaTheme="majorEastAsia" w:hAnsi="Arial" w:cstheme="majorBidi"/>
          <w:sz w:val="24"/>
          <w:szCs w:val="24"/>
        </w:rPr>
        <w:t xml:space="preserve">.3) ni </w:t>
      </w:r>
      <w:r>
        <w:rPr>
          <w:rFonts w:ascii="Arial" w:eastAsiaTheme="majorEastAsia" w:hAnsi="Arial" w:cstheme="majorBidi"/>
          <w:sz w:val="24"/>
          <w:szCs w:val="24"/>
        </w:rPr>
        <w:t>en</w:t>
      </w:r>
      <w:r w:rsidR="0032759D" w:rsidRPr="003D1FBA">
        <w:rPr>
          <w:rFonts w:ascii="Arial" w:eastAsiaTheme="majorEastAsia" w:hAnsi="Arial" w:cstheme="majorBidi"/>
          <w:sz w:val="24"/>
          <w:szCs w:val="24"/>
        </w:rPr>
        <w:t xml:space="preserve"> la </w:t>
      </w:r>
      <w:r>
        <w:rPr>
          <w:rFonts w:ascii="Arial" w:eastAsiaTheme="majorEastAsia" w:hAnsi="Arial" w:cstheme="majorBidi"/>
          <w:sz w:val="24"/>
          <w:szCs w:val="24"/>
        </w:rPr>
        <w:t xml:space="preserve">pierna izquierda </w:t>
      </w:r>
      <w:r w:rsidR="0090596B" w:rsidRPr="003D1FBA">
        <w:rPr>
          <w:rFonts w:ascii="Arial" w:eastAsiaTheme="majorEastAsia" w:hAnsi="Arial" w:cstheme="majorBidi"/>
          <w:sz w:val="24"/>
          <w:szCs w:val="24"/>
        </w:rPr>
        <w:t>(</w:t>
      </w:r>
      <w:r w:rsidR="0090596B" w:rsidRPr="003D1FBA">
        <w:rPr>
          <w:rFonts w:ascii="Arial" w:hAnsi="Arial" w:cs="Arial"/>
          <w:sz w:val="24"/>
        </w:rPr>
        <w:t>p</w:t>
      </w:r>
      <w:r w:rsidR="00905A21" w:rsidRPr="003D1FBA">
        <w:rPr>
          <w:rFonts w:ascii="Arial" w:hAnsi="Arial" w:cs="Arial"/>
          <w:sz w:val="24"/>
        </w:rPr>
        <w:t xml:space="preserve"> </w:t>
      </w:r>
      <w:r w:rsidR="0090596B" w:rsidRPr="003D1FBA">
        <w:rPr>
          <w:rFonts w:ascii="Arial" w:hAnsi="Arial" w:cs="Arial"/>
          <w:sz w:val="24"/>
        </w:rPr>
        <w:t>≤</w:t>
      </w:r>
      <w:r w:rsidR="00905A21" w:rsidRPr="003D1FBA">
        <w:rPr>
          <w:rFonts w:ascii="Arial" w:hAnsi="Arial" w:cs="Arial"/>
          <w:sz w:val="24"/>
        </w:rPr>
        <w:t xml:space="preserve"> </w:t>
      </w:r>
      <w:r w:rsidR="0090596B" w:rsidRPr="003D1FBA">
        <w:rPr>
          <w:rFonts w:ascii="Arial" w:hAnsi="Arial" w:cs="Arial"/>
          <w:sz w:val="24"/>
        </w:rPr>
        <w:t>0</w:t>
      </w:r>
      <w:r w:rsidR="0090596B" w:rsidRPr="003D1FBA">
        <w:rPr>
          <w:rFonts w:ascii="Arial" w:eastAsiaTheme="majorEastAsia" w:hAnsi="Arial" w:cstheme="majorBidi"/>
          <w:sz w:val="24"/>
          <w:szCs w:val="24"/>
        </w:rPr>
        <w:t>.35)</w:t>
      </w:r>
      <w:r w:rsidR="00C0788F" w:rsidRPr="003D1FBA">
        <w:rPr>
          <w:rFonts w:ascii="Arial" w:eastAsiaTheme="majorEastAsia" w:hAnsi="Arial" w:cstheme="majorBidi"/>
          <w:sz w:val="24"/>
          <w:szCs w:val="24"/>
        </w:rPr>
        <w:t xml:space="preserve">. </w:t>
      </w:r>
      <w:r>
        <w:rPr>
          <w:rFonts w:ascii="Arial" w:eastAsiaTheme="majorEastAsia" w:hAnsi="Arial" w:cstheme="majorBidi"/>
          <w:sz w:val="24"/>
          <w:szCs w:val="24"/>
        </w:rPr>
        <w:t>De todos modos</w:t>
      </w:r>
      <w:r w:rsidR="0090596B" w:rsidRPr="003D1FBA">
        <w:rPr>
          <w:rFonts w:ascii="Arial" w:eastAsiaTheme="majorEastAsia" w:hAnsi="Arial" w:cstheme="majorBidi"/>
          <w:sz w:val="24"/>
          <w:szCs w:val="24"/>
        </w:rPr>
        <w:t>,</w:t>
      </w:r>
      <w:r w:rsidR="00C0788F" w:rsidRPr="003D1FBA">
        <w:rPr>
          <w:rFonts w:ascii="Arial" w:eastAsiaTheme="majorEastAsia" w:hAnsi="Arial" w:cstheme="majorBidi"/>
          <w:sz w:val="24"/>
          <w:szCs w:val="24"/>
        </w:rPr>
        <w:t xml:space="preserve"> ha</w:t>
      </w:r>
      <w:r>
        <w:rPr>
          <w:rFonts w:ascii="Arial" w:eastAsiaTheme="majorEastAsia" w:hAnsi="Arial" w:cstheme="majorBidi"/>
          <w:sz w:val="24"/>
          <w:szCs w:val="24"/>
        </w:rPr>
        <w:t>y</w:t>
      </w:r>
      <w:r w:rsidR="00C0788F" w:rsidRPr="003D1FBA">
        <w:rPr>
          <w:rFonts w:ascii="Arial" w:eastAsiaTheme="majorEastAsia" w:hAnsi="Arial" w:cstheme="majorBidi"/>
          <w:sz w:val="24"/>
          <w:szCs w:val="24"/>
        </w:rPr>
        <w:t xml:space="preserve"> una tend</w:t>
      </w:r>
      <w:r>
        <w:rPr>
          <w:rFonts w:ascii="Arial" w:eastAsiaTheme="majorEastAsia" w:hAnsi="Arial" w:cstheme="majorBidi"/>
          <w:sz w:val="24"/>
          <w:szCs w:val="24"/>
        </w:rPr>
        <w:t>e</w:t>
      </w:r>
      <w:r w:rsidR="00C0788F" w:rsidRPr="003D1FBA">
        <w:rPr>
          <w:rFonts w:ascii="Arial" w:eastAsiaTheme="majorEastAsia" w:hAnsi="Arial" w:cstheme="majorBidi"/>
          <w:sz w:val="24"/>
          <w:szCs w:val="24"/>
        </w:rPr>
        <w:t xml:space="preserve">ncia a </w:t>
      </w:r>
      <w:r w:rsidR="00C0788F" w:rsidRPr="003D1FBA">
        <w:rPr>
          <w:rFonts w:ascii="Arial" w:eastAsiaTheme="majorEastAsia" w:hAnsi="Arial" w:cstheme="majorBidi"/>
          <w:sz w:val="24"/>
          <w:szCs w:val="24"/>
        </w:rPr>
        <w:lastRenderedPageBreak/>
        <w:t>que la R</w:t>
      </w:r>
      <w:r>
        <w:rPr>
          <w:rFonts w:ascii="Arial" w:eastAsiaTheme="majorEastAsia" w:hAnsi="Arial" w:cstheme="majorBidi"/>
          <w:sz w:val="24"/>
          <w:szCs w:val="24"/>
        </w:rPr>
        <w:t>a</w:t>
      </w:r>
      <w:r w:rsidR="00C0788F" w:rsidRPr="003D1FBA">
        <w:rPr>
          <w:rFonts w:ascii="Arial" w:eastAsiaTheme="majorEastAsia" w:hAnsi="Arial" w:cstheme="majorBidi"/>
          <w:sz w:val="24"/>
          <w:szCs w:val="24"/>
        </w:rPr>
        <w:t>tio I/Q disminu</w:t>
      </w:r>
      <w:r>
        <w:rPr>
          <w:rFonts w:ascii="Arial" w:eastAsiaTheme="majorEastAsia" w:hAnsi="Arial" w:cstheme="majorBidi"/>
          <w:sz w:val="24"/>
          <w:szCs w:val="24"/>
        </w:rPr>
        <w:t>ya</w:t>
      </w:r>
      <w:r w:rsidR="00C0788F" w:rsidRPr="003D1FBA">
        <w:rPr>
          <w:rFonts w:ascii="Arial" w:eastAsiaTheme="majorEastAsia" w:hAnsi="Arial" w:cstheme="majorBidi"/>
          <w:sz w:val="24"/>
          <w:szCs w:val="24"/>
        </w:rPr>
        <w:t xml:space="preserve"> en pres</w:t>
      </w:r>
      <w:r>
        <w:rPr>
          <w:rFonts w:ascii="Arial" w:eastAsiaTheme="majorEastAsia" w:hAnsi="Arial" w:cstheme="majorBidi"/>
          <w:sz w:val="24"/>
          <w:szCs w:val="24"/>
        </w:rPr>
        <w:t>e</w:t>
      </w:r>
      <w:r w:rsidR="00C0788F" w:rsidRPr="003D1FBA">
        <w:rPr>
          <w:rFonts w:ascii="Arial" w:eastAsiaTheme="majorEastAsia" w:hAnsi="Arial" w:cstheme="majorBidi"/>
          <w:sz w:val="24"/>
          <w:szCs w:val="24"/>
        </w:rPr>
        <w:t xml:space="preserve">ncia de fatiga </w:t>
      </w:r>
      <w:r>
        <w:rPr>
          <w:rFonts w:ascii="Arial" w:eastAsiaTheme="majorEastAsia" w:hAnsi="Arial" w:cstheme="majorBidi"/>
          <w:sz w:val="24"/>
          <w:szCs w:val="24"/>
        </w:rPr>
        <w:t>y</w:t>
      </w:r>
      <w:r w:rsidR="00C0788F" w:rsidRPr="003D1FBA">
        <w:rPr>
          <w:rFonts w:ascii="Arial" w:eastAsiaTheme="majorEastAsia" w:hAnsi="Arial" w:cstheme="majorBidi"/>
          <w:sz w:val="24"/>
          <w:szCs w:val="24"/>
        </w:rPr>
        <w:t xml:space="preserve"> </w:t>
      </w:r>
      <w:r>
        <w:rPr>
          <w:rFonts w:ascii="Arial" w:eastAsiaTheme="majorEastAsia" w:hAnsi="Arial" w:cstheme="majorBidi"/>
          <w:sz w:val="24"/>
          <w:szCs w:val="24"/>
        </w:rPr>
        <w:t>aun</w:t>
      </w:r>
      <w:r w:rsidRPr="003D1FBA">
        <w:rPr>
          <w:rFonts w:ascii="Arial" w:eastAsiaTheme="majorEastAsia" w:hAnsi="Arial" w:cstheme="majorBidi"/>
          <w:sz w:val="24"/>
          <w:szCs w:val="24"/>
        </w:rPr>
        <w:t>que</w:t>
      </w:r>
      <w:r w:rsidR="004E2583" w:rsidRPr="003D1FBA">
        <w:rPr>
          <w:rFonts w:ascii="Arial" w:eastAsiaTheme="majorEastAsia" w:hAnsi="Arial" w:cstheme="majorBidi"/>
          <w:sz w:val="24"/>
          <w:szCs w:val="24"/>
        </w:rPr>
        <w:t xml:space="preserve"> </w:t>
      </w:r>
      <w:r w:rsidR="00C0788F" w:rsidRPr="003D1FBA">
        <w:rPr>
          <w:rFonts w:ascii="Arial" w:eastAsiaTheme="majorEastAsia" w:hAnsi="Arial" w:cstheme="majorBidi"/>
          <w:sz w:val="24"/>
          <w:szCs w:val="24"/>
        </w:rPr>
        <w:t>no s</w:t>
      </w:r>
      <w:r>
        <w:rPr>
          <w:rFonts w:ascii="Arial" w:eastAsiaTheme="majorEastAsia" w:hAnsi="Arial" w:cstheme="majorBidi"/>
          <w:sz w:val="24"/>
          <w:szCs w:val="24"/>
        </w:rPr>
        <w:t>ea</w:t>
      </w:r>
      <w:r w:rsidR="00C0788F" w:rsidRPr="003D1FBA">
        <w:rPr>
          <w:rFonts w:ascii="Arial" w:eastAsiaTheme="majorEastAsia" w:hAnsi="Arial" w:cstheme="majorBidi"/>
          <w:sz w:val="24"/>
          <w:szCs w:val="24"/>
        </w:rPr>
        <w:t xml:space="preserve"> </w:t>
      </w:r>
      <w:r w:rsidR="00454DD8" w:rsidRPr="003D1FBA">
        <w:rPr>
          <w:rFonts w:ascii="Arial" w:eastAsiaTheme="majorEastAsia" w:hAnsi="Arial" w:cstheme="majorBidi"/>
          <w:sz w:val="24"/>
          <w:szCs w:val="24"/>
        </w:rPr>
        <w:t>significati</w:t>
      </w:r>
      <w:r>
        <w:rPr>
          <w:rFonts w:ascii="Arial" w:eastAsiaTheme="majorEastAsia" w:hAnsi="Arial" w:cstheme="majorBidi"/>
          <w:sz w:val="24"/>
          <w:szCs w:val="24"/>
        </w:rPr>
        <w:t>vo</w:t>
      </w:r>
      <w:r w:rsidR="006021C5" w:rsidRPr="003D1FBA">
        <w:rPr>
          <w:rFonts w:ascii="Arial" w:eastAsiaTheme="majorEastAsia" w:hAnsi="Arial" w:cstheme="majorBidi"/>
          <w:sz w:val="24"/>
          <w:szCs w:val="24"/>
        </w:rPr>
        <w:t xml:space="preserve"> estadísticament</w:t>
      </w:r>
      <w:r>
        <w:rPr>
          <w:rFonts w:ascii="Arial" w:eastAsiaTheme="majorEastAsia" w:hAnsi="Arial" w:cstheme="majorBidi"/>
          <w:sz w:val="24"/>
          <w:szCs w:val="24"/>
        </w:rPr>
        <w:t>e</w:t>
      </w:r>
      <w:r w:rsidR="00C0788F" w:rsidRPr="003D1FBA">
        <w:rPr>
          <w:rFonts w:ascii="Arial" w:eastAsiaTheme="majorEastAsia" w:hAnsi="Arial" w:cstheme="majorBidi"/>
          <w:sz w:val="24"/>
          <w:szCs w:val="24"/>
        </w:rPr>
        <w:t xml:space="preserve">, </w:t>
      </w:r>
      <w:r w:rsidR="0090596B" w:rsidRPr="003D1FBA">
        <w:rPr>
          <w:rFonts w:ascii="Arial" w:eastAsiaTheme="majorEastAsia" w:hAnsi="Arial" w:cstheme="majorBidi"/>
          <w:sz w:val="24"/>
          <w:szCs w:val="24"/>
        </w:rPr>
        <w:t>est</w:t>
      </w:r>
      <w:r>
        <w:rPr>
          <w:rFonts w:ascii="Arial" w:eastAsiaTheme="majorEastAsia" w:hAnsi="Arial" w:cstheme="majorBidi"/>
          <w:sz w:val="24"/>
          <w:szCs w:val="24"/>
        </w:rPr>
        <w:t>o</w:t>
      </w:r>
      <w:r w:rsidR="0090596B" w:rsidRPr="003D1FBA">
        <w:rPr>
          <w:rFonts w:ascii="Arial" w:eastAsiaTheme="majorEastAsia" w:hAnsi="Arial" w:cstheme="majorBidi"/>
          <w:sz w:val="24"/>
          <w:szCs w:val="24"/>
        </w:rPr>
        <w:t>s resulta</w:t>
      </w:r>
      <w:r>
        <w:rPr>
          <w:rFonts w:ascii="Arial" w:eastAsiaTheme="majorEastAsia" w:hAnsi="Arial" w:cstheme="majorBidi"/>
          <w:sz w:val="24"/>
          <w:szCs w:val="24"/>
        </w:rPr>
        <w:t>do</w:t>
      </w:r>
      <w:r w:rsidR="0090596B" w:rsidRPr="003D1FBA">
        <w:rPr>
          <w:rFonts w:ascii="Arial" w:eastAsiaTheme="majorEastAsia" w:hAnsi="Arial" w:cstheme="majorBidi"/>
          <w:sz w:val="24"/>
          <w:szCs w:val="24"/>
        </w:rPr>
        <w:t xml:space="preserve">s </w:t>
      </w:r>
      <w:r w:rsidR="004E2583" w:rsidRPr="003D1FBA">
        <w:rPr>
          <w:rFonts w:ascii="Arial" w:eastAsiaTheme="majorEastAsia" w:hAnsi="Arial" w:cstheme="majorBidi"/>
          <w:sz w:val="24"/>
          <w:szCs w:val="24"/>
        </w:rPr>
        <w:t>p</w:t>
      </w:r>
      <w:r>
        <w:rPr>
          <w:rFonts w:ascii="Arial" w:eastAsiaTheme="majorEastAsia" w:hAnsi="Arial" w:cstheme="majorBidi"/>
          <w:sz w:val="24"/>
          <w:szCs w:val="24"/>
        </w:rPr>
        <w:t>ue</w:t>
      </w:r>
      <w:r w:rsidR="004E2583" w:rsidRPr="003D1FBA">
        <w:rPr>
          <w:rFonts w:ascii="Arial" w:eastAsiaTheme="majorEastAsia" w:hAnsi="Arial" w:cstheme="majorBidi"/>
          <w:sz w:val="24"/>
          <w:szCs w:val="24"/>
        </w:rPr>
        <w:t>den ser significati</w:t>
      </w:r>
      <w:r>
        <w:rPr>
          <w:rFonts w:ascii="Arial" w:eastAsiaTheme="majorEastAsia" w:hAnsi="Arial" w:cstheme="majorBidi"/>
          <w:sz w:val="24"/>
          <w:szCs w:val="24"/>
        </w:rPr>
        <w:t>vo</w:t>
      </w:r>
      <w:r w:rsidR="004E2583" w:rsidRPr="003D1FBA">
        <w:rPr>
          <w:rFonts w:ascii="Arial" w:eastAsiaTheme="majorEastAsia" w:hAnsi="Arial" w:cstheme="majorBidi"/>
          <w:sz w:val="24"/>
          <w:szCs w:val="24"/>
        </w:rPr>
        <w:t>s clínicament</w:t>
      </w:r>
      <w:r>
        <w:rPr>
          <w:rFonts w:ascii="Arial" w:eastAsiaTheme="majorEastAsia" w:hAnsi="Arial" w:cstheme="majorBidi"/>
          <w:sz w:val="24"/>
          <w:szCs w:val="24"/>
        </w:rPr>
        <w:t>e</w:t>
      </w:r>
      <w:r w:rsidR="003726B9" w:rsidRPr="003D1FBA">
        <w:rPr>
          <w:rFonts w:ascii="Arial" w:eastAsiaTheme="majorEastAsia" w:hAnsi="Arial" w:cstheme="majorBidi"/>
          <w:sz w:val="24"/>
          <w:szCs w:val="24"/>
        </w:rPr>
        <w:t>.</w:t>
      </w:r>
      <w:r w:rsidR="00B36AAE" w:rsidRPr="003D1FBA">
        <w:rPr>
          <w:rFonts w:ascii="Arial" w:eastAsiaTheme="majorEastAsia" w:hAnsi="Arial" w:cstheme="majorBidi"/>
          <w:sz w:val="24"/>
          <w:szCs w:val="24"/>
          <w:vertAlign w:val="superscript"/>
        </w:rPr>
        <w:fldChar w:fldCharType="begin" w:fldLock="1"/>
      </w:r>
      <w:r w:rsidR="00EE7DE8" w:rsidRPr="003D1FBA">
        <w:rPr>
          <w:rFonts w:ascii="Arial" w:eastAsiaTheme="majorEastAsia" w:hAnsi="Arial" w:cstheme="majorBidi"/>
          <w:sz w:val="24"/>
          <w:szCs w:val="24"/>
          <w:vertAlign w:val="superscript"/>
        </w:rPr>
        <w:instrText>ADDIN CSL_CITATION {"citationItems":[{"id":"ITEM-1","itemData":{"DOI":"10.1016/j.ramd.2015.05.002","author":[{"dropping-particle":"","family":"Pallicer-Chenoll","given":"M","non-dropping-particle":"","parse-names":false,"suffix":""},{"dropping-particle":"","family":"Serra-Añó","given":"P","non-dropping-particle":"","parse-names":false,"suffix":""},{"dropping-particle":"","family":"Cabeza-Ruiz","given":"R","non-dropping-particle":"","parse-names":false,"suffix":""},{"dropping-particle":"","family":"Pardo","given":"A","non-dropping-particle":"","parse-names":false,"suffix":""},{"dropping-particle":"","family":"Aranda","given":"R","non-dropping-particle":"","parse-names":false,"suffix":""},{"dropping-particle":"","family":"González","given":"LM","non-dropping-particle":"","parse-names":false,"suffix":""}],"container-title":"Rev Andl Med Deporte","id":"ITEM-1","issue":"1","issued":{"date-parts":[["2017"]]},"page":"14-8","title":"Comparison of conventional hamstring/quadriceps ratio between genders in level-matched soccer players","type":"article-journal","volume":"10"},"uris":["http://www.mendeley.com/documents/?uuid=c596e1f2-33a6-47ae-a8bf-b010d771d8b7"]}],"mendeley":{"formattedCitation":"(28)","manualFormatting":"28","plainTextFormattedCitation":"(28)","previouslyFormattedCitation":"(28)"},"properties":{"noteIndex":0},"schema":"https://github.com/citation-style-language/schema/raw/master/csl-citation.json"}</w:instrText>
      </w:r>
      <w:r w:rsidR="00B36AAE" w:rsidRPr="003D1FBA">
        <w:rPr>
          <w:rFonts w:ascii="Arial" w:eastAsiaTheme="majorEastAsia" w:hAnsi="Arial" w:cstheme="majorBidi"/>
          <w:sz w:val="24"/>
          <w:szCs w:val="24"/>
          <w:vertAlign w:val="superscript"/>
        </w:rPr>
        <w:fldChar w:fldCharType="separate"/>
      </w:r>
      <w:r w:rsidR="007E2E79" w:rsidRPr="003D1FBA">
        <w:rPr>
          <w:rFonts w:ascii="Arial" w:eastAsiaTheme="majorEastAsia" w:hAnsi="Arial" w:cstheme="majorBidi"/>
          <w:noProof/>
          <w:sz w:val="24"/>
          <w:szCs w:val="24"/>
          <w:vertAlign w:val="superscript"/>
        </w:rPr>
        <w:t>28</w:t>
      </w:r>
      <w:r w:rsidR="00B36AAE" w:rsidRPr="003D1FBA">
        <w:rPr>
          <w:rFonts w:ascii="Arial" w:eastAsiaTheme="majorEastAsia" w:hAnsi="Arial" w:cstheme="majorBidi"/>
          <w:sz w:val="24"/>
          <w:szCs w:val="24"/>
          <w:vertAlign w:val="superscript"/>
        </w:rPr>
        <w:fldChar w:fldCharType="end"/>
      </w:r>
    </w:p>
    <w:p w:rsidR="0090596B" w:rsidRPr="003D1FBA" w:rsidRDefault="00EE1A46" w:rsidP="00FC4616">
      <w:pPr>
        <w:spacing w:line="360" w:lineRule="auto"/>
        <w:jc w:val="both"/>
        <w:rPr>
          <w:rFonts w:ascii="Arial" w:eastAsiaTheme="majorEastAsia" w:hAnsi="Arial" w:cstheme="majorBidi"/>
          <w:sz w:val="24"/>
          <w:szCs w:val="24"/>
        </w:rPr>
      </w:pPr>
      <w:r>
        <w:rPr>
          <w:rFonts w:ascii="Arial" w:eastAsiaTheme="majorEastAsia" w:hAnsi="Arial" w:cstheme="majorBidi"/>
          <w:sz w:val="24"/>
          <w:szCs w:val="24"/>
        </w:rPr>
        <w:t>Si</w:t>
      </w:r>
      <w:r w:rsidR="007156A7" w:rsidRPr="003D1FBA">
        <w:rPr>
          <w:rFonts w:ascii="Arial" w:eastAsiaTheme="majorEastAsia" w:hAnsi="Arial" w:cstheme="majorBidi"/>
          <w:sz w:val="24"/>
          <w:szCs w:val="24"/>
        </w:rPr>
        <w:t xml:space="preserve"> compara</w:t>
      </w:r>
      <w:r>
        <w:rPr>
          <w:rFonts w:ascii="Arial" w:eastAsiaTheme="majorEastAsia" w:hAnsi="Arial" w:cstheme="majorBidi"/>
          <w:sz w:val="24"/>
          <w:szCs w:val="24"/>
        </w:rPr>
        <w:t>mos</w:t>
      </w:r>
      <w:r w:rsidR="007156A7" w:rsidRPr="003D1FBA">
        <w:rPr>
          <w:rFonts w:ascii="Arial" w:eastAsiaTheme="majorEastAsia" w:hAnsi="Arial" w:cstheme="majorBidi"/>
          <w:sz w:val="24"/>
          <w:szCs w:val="24"/>
        </w:rPr>
        <w:t xml:space="preserve"> les R</w:t>
      </w:r>
      <w:r w:rsidR="00D926B0">
        <w:rPr>
          <w:rFonts w:ascii="Arial" w:eastAsiaTheme="majorEastAsia" w:hAnsi="Arial" w:cstheme="majorBidi"/>
          <w:sz w:val="24"/>
          <w:szCs w:val="24"/>
        </w:rPr>
        <w:t>a</w:t>
      </w:r>
      <w:r w:rsidR="007156A7" w:rsidRPr="003D1FBA">
        <w:rPr>
          <w:rFonts w:ascii="Arial" w:eastAsiaTheme="majorEastAsia" w:hAnsi="Arial" w:cstheme="majorBidi"/>
          <w:sz w:val="24"/>
          <w:szCs w:val="24"/>
        </w:rPr>
        <w:t xml:space="preserve">tios I/Q </w:t>
      </w:r>
      <w:r w:rsidR="00A93A6C" w:rsidRPr="003D1FBA">
        <w:rPr>
          <w:rFonts w:ascii="Arial" w:eastAsiaTheme="majorEastAsia" w:hAnsi="Arial" w:cstheme="majorBidi"/>
          <w:sz w:val="24"/>
          <w:szCs w:val="24"/>
        </w:rPr>
        <w:t>basal</w:t>
      </w:r>
      <w:r w:rsidR="00D926B0">
        <w:rPr>
          <w:rFonts w:ascii="Arial" w:eastAsiaTheme="majorEastAsia" w:hAnsi="Arial" w:cstheme="majorBidi"/>
          <w:sz w:val="24"/>
          <w:szCs w:val="24"/>
        </w:rPr>
        <w:t>e</w:t>
      </w:r>
      <w:r w:rsidR="00A93A6C" w:rsidRPr="003D1FBA">
        <w:rPr>
          <w:rFonts w:ascii="Arial" w:eastAsiaTheme="majorEastAsia" w:hAnsi="Arial" w:cstheme="majorBidi"/>
          <w:sz w:val="24"/>
          <w:szCs w:val="24"/>
        </w:rPr>
        <w:t xml:space="preserve">s </w:t>
      </w:r>
      <w:r w:rsidR="00D926B0">
        <w:rPr>
          <w:rFonts w:ascii="Arial" w:eastAsiaTheme="majorEastAsia" w:hAnsi="Arial" w:cstheme="majorBidi"/>
          <w:sz w:val="24"/>
          <w:szCs w:val="24"/>
        </w:rPr>
        <w:t>con</w:t>
      </w:r>
      <w:r w:rsidR="00A93A6C" w:rsidRPr="003D1FBA">
        <w:rPr>
          <w:rFonts w:ascii="Arial" w:eastAsiaTheme="majorEastAsia" w:hAnsi="Arial" w:cstheme="majorBidi"/>
          <w:sz w:val="24"/>
          <w:szCs w:val="24"/>
        </w:rPr>
        <w:t xml:space="preserve"> </w:t>
      </w:r>
      <w:r w:rsidR="00D926B0">
        <w:rPr>
          <w:rFonts w:ascii="Arial" w:eastAsiaTheme="majorEastAsia" w:hAnsi="Arial" w:cstheme="majorBidi"/>
          <w:sz w:val="24"/>
          <w:szCs w:val="24"/>
        </w:rPr>
        <w:t>otro</w:t>
      </w:r>
      <w:r w:rsidR="00A93A6C" w:rsidRPr="003D1FBA">
        <w:rPr>
          <w:rFonts w:ascii="Arial" w:eastAsiaTheme="majorEastAsia" w:hAnsi="Arial" w:cstheme="majorBidi"/>
          <w:sz w:val="24"/>
          <w:szCs w:val="24"/>
        </w:rPr>
        <w:t>s estudi</w:t>
      </w:r>
      <w:r w:rsidR="00D926B0">
        <w:rPr>
          <w:rFonts w:ascii="Arial" w:eastAsiaTheme="majorEastAsia" w:hAnsi="Arial" w:cstheme="majorBidi"/>
          <w:sz w:val="24"/>
          <w:szCs w:val="24"/>
        </w:rPr>
        <w:t>o</w:t>
      </w:r>
      <w:r w:rsidR="00A93A6C" w:rsidRPr="003D1FBA">
        <w:rPr>
          <w:rFonts w:ascii="Arial" w:eastAsiaTheme="majorEastAsia" w:hAnsi="Arial" w:cstheme="majorBidi"/>
          <w:sz w:val="24"/>
          <w:szCs w:val="24"/>
        </w:rPr>
        <w:t>s</w:t>
      </w:r>
      <w:r w:rsidR="007156A7" w:rsidRPr="003D1FBA">
        <w:rPr>
          <w:rFonts w:ascii="Arial" w:eastAsiaTheme="majorEastAsia" w:hAnsi="Arial" w:cstheme="majorBidi"/>
          <w:sz w:val="24"/>
          <w:szCs w:val="24"/>
        </w:rPr>
        <w:t xml:space="preserve">, </w:t>
      </w:r>
      <w:r w:rsidR="00355C6E" w:rsidRPr="003D1FBA">
        <w:rPr>
          <w:rFonts w:ascii="Arial" w:eastAsiaTheme="majorEastAsia" w:hAnsi="Arial" w:cstheme="majorBidi"/>
          <w:sz w:val="24"/>
          <w:szCs w:val="24"/>
        </w:rPr>
        <w:t xml:space="preserve">Kabacinski et al. </w:t>
      </w:r>
      <w:r w:rsidR="00D926B0">
        <w:rPr>
          <w:rFonts w:ascii="Arial" w:eastAsiaTheme="majorEastAsia" w:hAnsi="Arial" w:cstheme="majorBidi"/>
          <w:sz w:val="24"/>
          <w:szCs w:val="24"/>
        </w:rPr>
        <w:t>en</w:t>
      </w:r>
      <w:r w:rsidR="00355C6E" w:rsidRPr="003D1FBA">
        <w:rPr>
          <w:rFonts w:ascii="Arial" w:eastAsiaTheme="majorEastAsia" w:hAnsi="Arial" w:cstheme="majorBidi"/>
          <w:sz w:val="24"/>
          <w:szCs w:val="24"/>
        </w:rPr>
        <w:t xml:space="preserve"> 20</w:t>
      </w:r>
      <w:r w:rsidR="00E205A3" w:rsidRPr="003D1FBA">
        <w:rPr>
          <w:rFonts w:ascii="Arial" w:eastAsiaTheme="majorEastAsia" w:hAnsi="Arial" w:cstheme="majorBidi"/>
          <w:sz w:val="24"/>
          <w:szCs w:val="24"/>
        </w:rPr>
        <w:t>0</w:t>
      </w:r>
      <w:r w:rsidR="00355C6E" w:rsidRPr="003D1FBA">
        <w:rPr>
          <w:rFonts w:ascii="Arial" w:eastAsiaTheme="majorEastAsia" w:hAnsi="Arial" w:cstheme="majorBidi"/>
          <w:sz w:val="24"/>
          <w:szCs w:val="24"/>
        </w:rPr>
        <w:t xml:space="preserve">8 </w:t>
      </w:r>
      <w:r w:rsidR="00D926B0">
        <w:rPr>
          <w:rFonts w:ascii="Arial" w:eastAsiaTheme="majorEastAsia" w:hAnsi="Arial" w:cstheme="majorBidi"/>
          <w:sz w:val="24"/>
          <w:szCs w:val="24"/>
        </w:rPr>
        <w:t>hicieron</w:t>
      </w:r>
      <w:r w:rsidR="00355C6E" w:rsidRPr="003D1FBA">
        <w:rPr>
          <w:rFonts w:ascii="Arial" w:eastAsiaTheme="majorEastAsia" w:hAnsi="Arial" w:cstheme="majorBidi"/>
          <w:sz w:val="24"/>
          <w:szCs w:val="24"/>
        </w:rPr>
        <w:t xml:space="preserve"> un test de f</w:t>
      </w:r>
      <w:r>
        <w:rPr>
          <w:rFonts w:ascii="Arial" w:eastAsiaTheme="majorEastAsia" w:hAnsi="Arial" w:cstheme="majorBidi"/>
          <w:sz w:val="24"/>
          <w:szCs w:val="24"/>
        </w:rPr>
        <w:t>uerz</w:t>
      </w:r>
      <w:r w:rsidR="00355C6E" w:rsidRPr="003D1FBA">
        <w:rPr>
          <w:rFonts w:ascii="Arial" w:eastAsiaTheme="majorEastAsia" w:hAnsi="Arial" w:cstheme="majorBidi"/>
          <w:sz w:val="24"/>
          <w:szCs w:val="24"/>
        </w:rPr>
        <w:t>a isocin</w:t>
      </w:r>
      <w:r>
        <w:rPr>
          <w:rFonts w:ascii="Arial" w:eastAsiaTheme="majorEastAsia" w:hAnsi="Arial" w:cstheme="majorBidi"/>
          <w:sz w:val="24"/>
          <w:szCs w:val="24"/>
        </w:rPr>
        <w:t>é</w:t>
      </w:r>
      <w:r w:rsidR="00355C6E" w:rsidRPr="003D1FBA">
        <w:rPr>
          <w:rFonts w:ascii="Arial" w:eastAsiaTheme="majorEastAsia" w:hAnsi="Arial" w:cstheme="majorBidi"/>
          <w:sz w:val="24"/>
          <w:szCs w:val="24"/>
        </w:rPr>
        <w:t>tic</w:t>
      </w:r>
      <w:r>
        <w:rPr>
          <w:rFonts w:ascii="Arial" w:eastAsiaTheme="majorEastAsia" w:hAnsi="Arial" w:cstheme="majorBidi"/>
          <w:sz w:val="24"/>
          <w:szCs w:val="24"/>
        </w:rPr>
        <w:t>o</w:t>
      </w:r>
      <w:r w:rsidR="00355C6E" w:rsidRPr="003D1FBA">
        <w:rPr>
          <w:rFonts w:ascii="Arial" w:eastAsiaTheme="majorEastAsia" w:hAnsi="Arial" w:cstheme="majorBidi"/>
          <w:sz w:val="24"/>
          <w:szCs w:val="24"/>
        </w:rPr>
        <w:t xml:space="preserve"> </w:t>
      </w:r>
      <w:r>
        <w:rPr>
          <w:rFonts w:ascii="Arial" w:eastAsiaTheme="majorEastAsia" w:hAnsi="Arial" w:cstheme="majorBidi"/>
          <w:sz w:val="24"/>
          <w:szCs w:val="24"/>
        </w:rPr>
        <w:t>con</w:t>
      </w:r>
      <w:r w:rsidR="00355C6E" w:rsidRPr="003D1FBA">
        <w:rPr>
          <w:rFonts w:ascii="Arial" w:eastAsiaTheme="majorEastAsia" w:hAnsi="Arial" w:cstheme="majorBidi"/>
          <w:sz w:val="24"/>
          <w:szCs w:val="24"/>
        </w:rPr>
        <w:t xml:space="preserve"> 14 jugador</w:t>
      </w:r>
      <w:r w:rsidR="007466DC">
        <w:rPr>
          <w:rFonts w:ascii="Arial" w:eastAsiaTheme="majorEastAsia" w:hAnsi="Arial" w:cstheme="majorBidi"/>
          <w:sz w:val="24"/>
          <w:szCs w:val="24"/>
        </w:rPr>
        <w:t>a</w:t>
      </w:r>
      <w:r w:rsidR="00355C6E" w:rsidRPr="003D1FBA">
        <w:rPr>
          <w:rFonts w:ascii="Arial" w:eastAsiaTheme="majorEastAsia" w:hAnsi="Arial" w:cstheme="majorBidi"/>
          <w:sz w:val="24"/>
          <w:szCs w:val="24"/>
        </w:rPr>
        <w:t>s de b</w:t>
      </w:r>
      <w:r w:rsidR="00B121EE" w:rsidRPr="003D1FBA">
        <w:rPr>
          <w:rFonts w:ascii="Arial" w:eastAsiaTheme="majorEastAsia" w:hAnsi="Arial" w:cstheme="majorBidi"/>
          <w:sz w:val="24"/>
          <w:szCs w:val="24"/>
        </w:rPr>
        <w:t>al</w:t>
      </w:r>
      <w:r>
        <w:rPr>
          <w:rFonts w:ascii="Arial" w:eastAsiaTheme="majorEastAsia" w:hAnsi="Arial" w:cstheme="majorBidi"/>
          <w:sz w:val="24"/>
          <w:szCs w:val="24"/>
        </w:rPr>
        <w:t>oncesto</w:t>
      </w:r>
      <w:r w:rsidR="00355C6E" w:rsidRPr="003D1FBA">
        <w:rPr>
          <w:rFonts w:ascii="Arial" w:eastAsiaTheme="majorEastAsia" w:hAnsi="Arial" w:cstheme="majorBidi"/>
          <w:sz w:val="24"/>
          <w:szCs w:val="24"/>
        </w:rPr>
        <w:t xml:space="preserve"> </w:t>
      </w:r>
      <w:r w:rsidR="008B6C02" w:rsidRPr="003D1FBA">
        <w:rPr>
          <w:rFonts w:ascii="Arial" w:eastAsiaTheme="majorEastAsia" w:hAnsi="Arial" w:cstheme="majorBidi"/>
          <w:sz w:val="24"/>
          <w:szCs w:val="24"/>
        </w:rPr>
        <w:t xml:space="preserve">de </w:t>
      </w:r>
      <w:r w:rsidR="00355C6E" w:rsidRPr="003D1FBA">
        <w:rPr>
          <w:rFonts w:ascii="Arial" w:eastAsiaTheme="majorEastAsia" w:hAnsi="Arial" w:cstheme="majorBidi"/>
          <w:sz w:val="24"/>
          <w:szCs w:val="24"/>
        </w:rPr>
        <w:t>19.8</w:t>
      </w:r>
      <w:r w:rsidR="008B6C02" w:rsidRPr="003D1FBA">
        <w:rPr>
          <w:rFonts w:ascii="Arial" w:eastAsiaTheme="majorEastAsia" w:hAnsi="Arial" w:cstheme="majorBidi"/>
          <w:sz w:val="24"/>
          <w:szCs w:val="24"/>
        </w:rPr>
        <w:t xml:space="preserve"> </w:t>
      </w:r>
      <w:r w:rsidR="008B6C02" w:rsidRPr="003D1FBA">
        <w:rPr>
          <w:rFonts w:ascii="Arial" w:eastAsiaTheme="majorEastAsia" w:hAnsi="Arial" w:cs="Arial"/>
          <w:bCs/>
          <w:sz w:val="24"/>
          <w:szCs w:val="24"/>
        </w:rPr>
        <w:t>± 1.4</w:t>
      </w:r>
      <w:r w:rsidR="00355C6E" w:rsidRPr="003D1FBA">
        <w:rPr>
          <w:rFonts w:ascii="Arial" w:eastAsiaTheme="majorEastAsia" w:hAnsi="Arial" w:cstheme="majorBidi"/>
          <w:sz w:val="24"/>
          <w:szCs w:val="24"/>
        </w:rPr>
        <w:t xml:space="preserve"> a</w:t>
      </w:r>
      <w:r>
        <w:rPr>
          <w:rFonts w:ascii="Arial" w:eastAsiaTheme="majorEastAsia" w:hAnsi="Arial" w:cstheme="majorBidi"/>
          <w:sz w:val="24"/>
          <w:szCs w:val="24"/>
        </w:rPr>
        <w:t>ño</w:t>
      </w:r>
      <w:r w:rsidR="00355C6E" w:rsidRPr="003D1FBA">
        <w:rPr>
          <w:rFonts w:ascii="Arial" w:eastAsiaTheme="majorEastAsia" w:hAnsi="Arial" w:cstheme="majorBidi"/>
          <w:sz w:val="24"/>
          <w:szCs w:val="24"/>
        </w:rPr>
        <w:t xml:space="preserve">s </w:t>
      </w:r>
      <w:r>
        <w:rPr>
          <w:rFonts w:ascii="Arial" w:eastAsiaTheme="majorEastAsia" w:hAnsi="Arial" w:cstheme="majorBidi"/>
          <w:sz w:val="24"/>
          <w:szCs w:val="24"/>
        </w:rPr>
        <w:t>y</w:t>
      </w:r>
      <w:r w:rsidR="00B121EE" w:rsidRPr="003D1FBA">
        <w:rPr>
          <w:rFonts w:ascii="Arial" w:eastAsiaTheme="majorEastAsia" w:hAnsi="Arial" w:cstheme="majorBidi"/>
          <w:sz w:val="24"/>
          <w:szCs w:val="24"/>
        </w:rPr>
        <w:t xml:space="preserve"> registrar</w:t>
      </w:r>
      <w:r>
        <w:rPr>
          <w:rFonts w:ascii="Arial" w:eastAsiaTheme="majorEastAsia" w:hAnsi="Arial" w:cstheme="majorBidi"/>
          <w:sz w:val="24"/>
          <w:szCs w:val="24"/>
        </w:rPr>
        <w:t>on</w:t>
      </w:r>
      <w:r w:rsidR="00B121EE" w:rsidRPr="003D1FBA">
        <w:rPr>
          <w:rFonts w:ascii="Arial" w:eastAsiaTheme="majorEastAsia" w:hAnsi="Arial" w:cstheme="majorBidi"/>
          <w:sz w:val="24"/>
          <w:szCs w:val="24"/>
        </w:rPr>
        <w:t xml:space="preserve"> R</w:t>
      </w:r>
      <w:r>
        <w:rPr>
          <w:rFonts w:ascii="Arial" w:eastAsiaTheme="majorEastAsia" w:hAnsi="Arial" w:cstheme="majorBidi"/>
          <w:sz w:val="24"/>
          <w:szCs w:val="24"/>
        </w:rPr>
        <w:t>a</w:t>
      </w:r>
      <w:r w:rsidR="00B121EE" w:rsidRPr="003D1FBA">
        <w:rPr>
          <w:rFonts w:ascii="Arial" w:eastAsiaTheme="majorEastAsia" w:hAnsi="Arial" w:cstheme="majorBidi"/>
          <w:sz w:val="24"/>
          <w:szCs w:val="24"/>
        </w:rPr>
        <w:t xml:space="preserve">tios I/Q de 0.48-0.55 a 60º/seg </w:t>
      </w:r>
      <w:r>
        <w:rPr>
          <w:rFonts w:ascii="Arial" w:eastAsiaTheme="majorEastAsia" w:hAnsi="Arial" w:cstheme="majorBidi"/>
          <w:sz w:val="24"/>
          <w:szCs w:val="24"/>
        </w:rPr>
        <w:t>y</w:t>
      </w:r>
      <w:r w:rsidR="00B121EE" w:rsidRPr="003D1FBA">
        <w:rPr>
          <w:rFonts w:ascii="Arial" w:eastAsiaTheme="majorEastAsia" w:hAnsi="Arial" w:cstheme="majorBidi"/>
          <w:sz w:val="24"/>
          <w:szCs w:val="24"/>
        </w:rPr>
        <w:t xml:space="preserve"> 180º/seg respectivament</w:t>
      </w:r>
      <w:r>
        <w:rPr>
          <w:rFonts w:ascii="Arial" w:eastAsiaTheme="majorEastAsia" w:hAnsi="Arial" w:cstheme="majorBidi"/>
          <w:sz w:val="24"/>
          <w:szCs w:val="24"/>
        </w:rPr>
        <w:t>e</w:t>
      </w:r>
      <w:r w:rsidR="00B121EE" w:rsidRPr="003D1FBA">
        <w:rPr>
          <w:rFonts w:ascii="Arial" w:eastAsiaTheme="majorEastAsia" w:hAnsi="Arial" w:cstheme="majorBidi"/>
          <w:sz w:val="24"/>
          <w:szCs w:val="24"/>
        </w:rPr>
        <w:t xml:space="preserve"> </w:t>
      </w:r>
      <w:r>
        <w:rPr>
          <w:rFonts w:ascii="Arial" w:eastAsiaTheme="majorEastAsia" w:hAnsi="Arial" w:cstheme="majorBidi"/>
          <w:sz w:val="24"/>
          <w:szCs w:val="24"/>
        </w:rPr>
        <w:t>y</w:t>
      </w:r>
      <w:r w:rsidR="00B121EE" w:rsidRPr="003D1FBA">
        <w:rPr>
          <w:rFonts w:ascii="Arial" w:eastAsiaTheme="majorEastAsia" w:hAnsi="Arial" w:cstheme="majorBidi"/>
          <w:sz w:val="24"/>
          <w:szCs w:val="24"/>
        </w:rPr>
        <w:t xml:space="preserve"> Rosene et al</w:t>
      </w:r>
      <w:r w:rsidR="00E205A3" w:rsidRPr="003D1FBA">
        <w:rPr>
          <w:rFonts w:ascii="Arial" w:eastAsiaTheme="majorEastAsia" w:hAnsi="Arial" w:cstheme="majorBidi"/>
          <w:sz w:val="24"/>
          <w:szCs w:val="24"/>
        </w:rPr>
        <w:t>.</w:t>
      </w:r>
      <w:r w:rsidR="00B121EE" w:rsidRPr="003D1FBA">
        <w:rPr>
          <w:rFonts w:ascii="Arial" w:eastAsiaTheme="majorEastAsia" w:hAnsi="Arial" w:cstheme="majorBidi"/>
          <w:sz w:val="24"/>
          <w:szCs w:val="24"/>
        </w:rPr>
        <w:t xml:space="preserve"> </w:t>
      </w:r>
      <w:r>
        <w:rPr>
          <w:rFonts w:ascii="Arial" w:eastAsiaTheme="majorEastAsia" w:hAnsi="Arial" w:cstheme="majorBidi"/>
          <w:sz w:val="24"/>
          <w:szCs w:val="24"/>
        </w:rPr>
        <w:t>en</w:t>
      </w:r>
      <w:r w:rsidR="00B121EE" w:rsidRPr="003D1FBA">
        <w:rPr>
          <w:rFonts w:ascii="Arial" w:eastAsiaTheme="majorEastAsia" w:hAnsi="Arial" w:cstheme="majorBidi"/>
          <w:sz w:val="24"/>
          <w:szCs w:val="24"/>
        </w:rPr>
        <w:t xml:space="preserve"> 2001 </w:t>
      </w:r>
      <w:r>
        <w:rPr>
          <w:rFonts w:ascii="Arial" w:eastAsiaTheme="majorEastAsia" w:hAnsi="Arial" w:cstheme="majorBidi"/>
          <w:sz w:val="24"/>
          <w:szCs w:val="24"/>
        </w:rPr>
        <w:t>con</w:t>
      </w:r>
      <w:r w:rsidR="00B121EE" w:rsidRPr="003D1FBA">
        <w:rPr>
          <w:rFonts w:ascii="Arial" w:eastAsiaTheme="majorEastAsia" w:hAnsi="Arial" w:cstheme="majorBidi"/>
          <w:sz w:val="24"/>
          <w:szCs w:val="24"/>
        </w:rPr>
        <w:t xml:space="preserve"> una m</w:t>
      </w:r>
      <w:r>
        <w:rPr>
          <w:rFonts w:ascii="Arial" w:eastAsiaTheme="majorEastAsia" w:hAnsi="Arial" w:cstheme="majorBidi"/>
          <w:sz w:val="24"/>
          <w:szCs w:val="24"/>
        </w:rPr>
        <w:t>ue</w:t>
      </w:r>
      <w:r w:rsidR="00B121EE" w:rsidRPr="003D1FBA">
        <w:rPr>
          <w:rFonts w:ascii="Arial" w:eastAsiaTheme="majorEastAsia" w:hAnsi="Arial" w:cstheme="majorBidi"/>
          <w:sz w:val="24"/>
          <w:szCs w:val="24"/>
        </w:rPr>
        <w:t>stra de 10 jugador</w:t>
      </w:r>
      <w:r w:rsidR="007466DC">
        <w:rPr>
          <w:rFonts w:ascii="Arial" w:eastAsiaTheme="majorEastAsia" w:hAnsi="Arial" w:cstheme="majorBidi"/>
          <w:sz w:val="24"/>
          <w:szCs w:val="24"/>
        </w:rPr>
        <w:t>a</w:t>
      </w:r>
      <w:r w:rsidR="00B121EE" w:rsidRPr="003D1FBA">
        <w:rPr>
          <w:rFonts w:ascii="Arial" w:eastAsiaTheme="majorEastAsia" w:hAnsi="Arial" w:cstheme="majorBidi"/>
          <w:sz w:val="24"/>
          <w:szCs w:val="24"/>
        </w:rPr>
        <w:t>s de bal</w:t>
      </w:r>
      <w:r>
        <w:rPr>
          <w:rFonts w:ascii="Arial" w:eastAsiaTheme="majorEastAsia" w:hAnsi="Arial" w:cstheme="majorBidi"/>
          <w:sz w:val="24"/>
          <w:szCs w:val="24"/>
        </w:rPr>
        <w:t>oncesto</w:t>
      </w:r>
      <w:r w:rsidR="008B6C02" w:rsidRPr="003D1FBA">
        <w:rPr>
          <w:rFonts w:ascii="Arial" w:eastAsiaTheme="majorEastAsia" w:hAnsi="Arial" w:cstheme="majorBidi"/>
          <w:sz w:val="24"/>
          <w:szCs w:val="24"/>
        </w:rPr>
        <w:t xml:space="preserve"> de 19.3 </w:t>
      </w:r>
      <w:r w:rsidR="008B6C02" w:rsidRPr="003D1FBA">
        <w:rPr>
          <w:rFonts w:ascii="Arial" w:eastAsiaTheme="majorEastAsia" w:hAnsi="Arial" w:cs="Arial"/>
          <w:bCs/>
          <w:sz w:val="24"/>
          <w:szCs w:val="24"/>
        </w:rPr>
        <w:t>± 1.32 a</w:t>
      </w:r>
      <w:r>
        <w:rPr>
          <w:rFonts w:ascii="Arial" w:eastAsiaTheme="majorEastAsia" w:hAnsi="Arial" w:cs="Arial"/>
          <w:bCs/>
          <w:sz w:val="24"/>
          <w:szCs w:val="24"/>
        </w:rPr>
        <w:t>ño</w:t>
      </w:r>
      <w:r w:rsidR="008B6C02" w:rsidRPr="003D1FBA">
        <w:rPr>
          <w:rFonts w:ascii="Arial" w:eastAsiaTheme="majorEastAsia" w:hAnsi="Arial" w:cs="Arial"/>
          <w:bCs/>
          <w:sz w:val="24"/>
          <w:szCs w:val="24"/>
        </w:rPr>
        <w:t>s</w:t>
      </w:r>
      <w:r w:rsidR="00B121EE" w:rsidRPr="003D1FBA">
        <w:rPr>
          <w:rFonts w:ascii="Arial" w:eastAsiaTheme="majorEastAsia" w:hAnsi="Arial" w:cstheme="majorBidi"/>
          <w:sz w:val="24"/>
          <w:szCs w:val="24"/>
        </w:rPr>
        <w:t>, registrar</w:t>
      </w:r>
      <w:r>
        <w:rPr>
          <w:rFonts w:ascii="Arial" w:eastAsiaTheme="majorEastAsia" w:hAnsi="Arial" w:cstheme="majorBidi"/>
          <w:sz w:val="24"/>
          <w:szCs w:val="24"/>
        </w:rPr>
        <w:t>on</w:t>
      </w:r>
      <w:r w:rsidR="00B121EE" w:rsidRPr="003D1FBA">
        <w:rPr>
          <w:rFonts w:ascii="Arial" w:eastAsiaTheme="majorEastAsia" w:hAnsi="Arial" w:cstheme="majorBidi"/>
          <w:sz w:val="24"/>
          <w:szCs w:val="24"/>
        </w:rPr>
        <w:t xml:space="preserve"> R</w:t>
      </w:r>
      <w:r>
        <w:rPr>
          <w:rFonts w:ascii="Arial" w:eastAsiaTheme="majorEastAsia" w:hAnsi="Arial" w:cstheme="majorBidi"/>
          <w:sz w:val="24"/>
          <w:szCs w:val="24"/>
        </w:rPr>
        <w:t>a</w:t>
      </w:r>
      <w:r w:rsidR="00B121EE" w:rsidRPr="003D1FBA">
        <w:rPr>
          <w:rFonts w:ascii="Arial" w:eastAsiaTheme="majorEastAsia" w:hAnsi="Arial" w:cstheme="majorBidi"/>
          <w:sz w:val="24"/>
          <w:szCs w:val="24"/>
        </w:rPr>
        <w:t>tios I/Q de 0.55 (60º/seg). P</w:t>
      </w:r>
      <w:r>
        <w:rPr>
          <w:rFonts w:ascii="Arial" w:eastAsiaTheme="majorEastAsia" w:hAnsi="Arial" w:cstheme="majorBidi"/>
          <w:sz w:val="24"/>
          <w:szCs w:val="24"/>
        </w:rPr>
        <w:t>or otro lado</w:t>
      </w:r>
      <w:r w:rsidR="00B121EE" w:rsidRPr="003D1FBA">
        <w:rPr>
          <w:rFonts w:ascii="Arial" w:eastAsiaTheme="majorEastAsia" w:hAnsi="Arial" w:cstheme="majorBidi"/>
          <w:sz w:val="24"/>
          <w:szCs w:val="24"/>
        </w:rPr>
        <w:t xml:space="preserve">, </w:t>
      </w:r>
      <w:r w:rsidR="007156A7" w:rsidRPr="003D1FBA">
        <w:rPr>
          <w:rFonts w:ascii="Arial" w:eastAsiaTheme="majorEastAsia" w:hAnsi="Arial" w:cstheme="majorBidi"/>
          <w:sz w:val="24"/>
          <w:szCs w:val="24"/>
        </w:rPr>
        <w:t xml:space="preserve">Pallicer-Chenoll et al. </w:t>
      </w:r>
      <w:r>
        <w:rPr>
          <w:rFonts w:ascii="Arial" w:eastAsiaTheme="majorEastAsia" w:hAnsi="Arial" w:cstheme="majorBidi"/>
          <w:sz w:val="24"/>
          <w:szCs w:val="24"/>
        </w:rPr>
        <w:t>en</w:t>
      </w:r>
      <w:r w:rsidR="007156A7" w:rsidRPr="003D1FBA">
        <w:rPr>
          <w:rFonts w:ascii="Arial" w:eastAsiaTheme="majorEastAsia" w:hAnsi="Arial" w:cstheme="majorBidi"/>
          <w:sz w:val="24"/>
          <w:szCs w:val="24"/>
        </w:rPr>
        <w:t xml:space="preserve"> 2017 </w:t>
      </w:r>
      <w:r>
        <w:rPr>
          <w:rFonts w:ascii="Arial" w:eastAsiaTheme="majorEastAsia" w:hAnsi="Arial" w:cstheme="majorBidi"/>
          <w:sz w:val="24"/>
          <w:szCs w:val="24"/>
        </w:rPr>
        <w:t>hicieron</w:t>
      </w:r>
      <w:r w:rsidR="007156A7" w:rsidRPr="003D1FBA">
        <w:rPr>
          <w:rFonts w:ascii="Arial" w:eastAsiaTheme="majorEastAsia" w:hAnsi="Arial" w:cstheme="majorBidi"/>
          <w:sz w:val="24"/>
          <w:szCs w:val="24"/>
        </w:rPr>
        <w:t xml:space="preserve"> un test de f</w:t>
      </w:r>
      <w:r>
        <w:rPr>
          <w:rFonts w:ascii="Arial" w:eastAsiaTheme="majorEastAsia" w:hAnsi="Arial" w:cstheme="majorBidi"/>
          <w:sz w:val="24"/>
          <w:szCs w:val="24"/>
        </w:rPr>
        <w:t>uerz</w:t>
      </w:r>
      <w:r w:rsidR="007156A7" w:rsidRPr="003D1FBA">
        <w:rPr>
          <w:rFonts w:ascii="Arial" w:eastAsiaTheme="majorEastAsia" w:hAnsi="Arial" w:cstheme="majorBidi"/>
          <w:sz w:val="24"/>
          <w:szCs w:val="24"/>
        </w:rPr>
        <w:t>a isocin</w:t>
      </w:r>
      <w:r>
        <w:rPr>
          <w:rFonts w:ascii="Arial" w:eastAsiaTheme="majorEastAsia" w:hAnsi="Arial" w:cstheme="majorBidi"/>
          <w:sz w:val="24"/>
          <w:szCs w:val="24"/>
        </w:rPr>
        <w:t>é</w:t>
      </w:r>
      <w:r w:rsidR="007156A7" w:rsidRPr="003D1FBA">
        <w:rPr>
          <w:rFonts w:ascii="Arial" w:eastAsiaTheme="majorEastAsia" w:hAnsi="Arial" w:cstheme="majorBidi"/>
          <w:sz w:val="24"/>
          <w:szCs w:val="24"/>
        </w:rPr>
        <w:t>tic</w:t>
      </w:r>
      <w:r>
        <w:rPr>
          <w:rFonts w:ascii="Arial" w:eastAsiaTheme="majorEastAsia" w:hAnsi="Arial" w:cstheme="majorBidi"/>
          <w:sz w:val="24"/>
          <w:szCs w:val="24"/>
        </w:rPr>
        <w:t>o</w:t>
      </w:r>
      <w:r w:rsidR="007156A7" w:rsidRPr="003D1FBA">
        <w:rPr>
          <w:rFonts w:ascii="Arial" w:eastAsiaTheme="majorEastAsia" w:hAnsi="Arial" w:cstheme="majorBidi"/>
          <w:sz w:val="24"/>
          <w:szCs w:val="24"/>
        </w:rPr>
        <w:t xml:space="preserve"> a jugador</w:t>
      </w:r>
      <w:r w:rsidR="007466DC">
        <w:rPr>
          <w:rFonts w:ascii="Arial" w:eastAsiaTheme="majorEastAsia" w:hAnsi="Arial" w:cstheme="majorBidi"/>
          <w:sz w:val="24"/>
          <w:szCs w:val="24"/>
        </w:rPr>
        <w:t>a</w:t>
      </w:r>
      <w:r w:rsidR="007156A7" w:rsidRPr="003D1FBA">
        <w:rPr>
          <w:rFonts w:ascii="Arial" w:eastAsiaTheme="majorEastAsia" w:hAnsi="Arial" w:cstheme="majorBidi"/>
          <w:sz w:val="24"/>
          <w:szCs w:val="24"/>
        </w:rPr>
        <w:t>s de futbol</w:t>
      </w:r>
      <w:r w:rsidR="008B6C02" w:rsidRPr="003D1FBA">
        <w:rPr>
          <w:rFonts w:ascii="Arial" w:eastAsiaTheme="majorEastAsia" w:hAnsi="Arial" w:cstheme="majorBidi"/>
          <w:sz w:val="24"/>
          <w:szCs w:val="24"/>
        </w:rPr>
        <w:t xml:space="preserve"> de 22.62 </w:t>
      </w:r>
      <w:r w:rsidR="008B6C02" w:rsidRPr="003D1FBA">
        <w:rPr>
          <w:rFonts w:ascii="Arial" w:eastAsiaTheme="majorEastAsia" w:hAnsi="Arial" w:cs="Arial"/>
          <w:bCs/>
          <w:sz w:val="24"/>
          <w:szCs w:val="24"/>
        </w:rPr>
        <w:t>± 4.69 a</w:t>
      </w:r>
      <w:r>
        <w:rPr>
          <w:rFonts w:ascii="Arial" w:eastAsiaTheme="majorEastAsia" w:hAnsi="Arial" w:cs="Arial"/>
          <w:bCs/>
          <w:sz w:val="24"/>
          <w:szCs w:val="24"/>
        </w:rPr>
        <w:t>ño</w:t>
      </w:r>
      <w:r w:rsidR="008B6C02" w:rsidRPr="003D1FBA">
        <w:rPr>
          <w:rFonts w:ascii="Arial" w:eastAsiaTheme="majorEastAsia" w:hAnsi="Arial" w:cs="Arial"/>
          <w:bCs/>
          <w:sz w:val="24"/>
          <w:szCs w:val="24"/>
        </w:rPr>
        <w:t>s</w:t>
      </w:r>
      <w:r w:rsidR="007156A7" w:rsidRPr="003D1FBA">
        <w:rPr>
          <w:rFonts w:ascii="Arial" w:eastAsiaTheme="majorEastAsia" w:hAnsi="Arial" w:cstheme="majorBidi"/>
          <w:sz w:val="24"/>
          <w:szCs w:val="24"/>
        </w:rPr>
        <w:t xml:space="preserve"> </w:t>
      </w:r>
      <w:r>
        <w:rPr>
          <w:rFonts w:ascii="Arial" w:eastAsiaTheme="majorEastAsia" w:hAnsi="Arial" w:cstheme="majorBidi"/>
          <w:sz w:val="24"/>
          <w:szCs w:val="24"/>
        </w:rPr>
        <w:t>donde obtuvieron</w:t>
      </w:r>
      <w:r w:rsidR="007156A7" w:rsidRPr="003D1FBA">
        <w:rPr>
          <w:rFonts w:ascii="Arial" w:eastAsiaTheme="majorEastAsia" w:hAnsi="Arial" w:cstheme="majorBidi"/>
          <w:sz w:val="24"/>
          <w:szCs w:val="24"/>
        </w:rPr>
        <w:t xml:space="preserve"> valor</w:t>
      </w:r>
      <w:r>
        <w:rPr>
          <w:rFonts w:ascii="Arial" w:eastAsiaTheme="majorEastAsia" w:hAnsi="Arial" w:cstheme="majorBidi"/>
          <w:sz w:val="24"/>
          <w:szCs w:val="24"/>
        </w:rPr>
        <w:t>e</w:t>
      </w:r>
      <w:r w:rsidR="007156A7" w:rsidRPr="003D1FBA">
        <w:rPr>
          <w:rFonts w:ascii="Arial" w:eastAsiaTheme="majorEastAsia" w:hAnsi="Arial" w:cstheme="majorBidi"/>
          <w:sz w:val="24"/>
          <w:szCs w:val="24"/>
        </w:rPr>
        <w:t>s de R</w:t>
      </w:r>
      <w:r>
        <w:rPr>
          <w:rFonts w:ascii="Arial" w:eastAsiaTheme="majorEastAsia" w:hAnsi="Arial" w:cstheme="majorBidi"/>
          <w:sz w:val="24"/>
          <w:szCs w:val="24"/>
        </w:rPr>
        <w:t>a</w:t>
      </w:r>
      <w:r w:rsidR="007156A7" w:rsidRPr="003D1FBA">
        <w:rPr>
          <w:rFonts w:ascii="Arial" w:eastAsiaTheme="majorEastAsia" w:hAnsi="Arial" w:cstheme="majorBidi"/>
          <w:sz w:val="24"/>
          <w:szCs w:val="24"/>
        </w:rPr>
        <w:t>tio I/Q de 0.48,</w:t>
      </w:r>
      <w:r w:rsidR="00E205A3" w:rsidRPr="003D1FBA">
        <w:rPr>
          <w:rFonts w:ascii="Arial" w:eastAsiaTheme="majorEastAsia" w:hAnsi="Arial" w:cstheme="majorBidi"/>
          <w:sz w:val="24"/>
          <w:szCs w:val="24"/>
        </w:rPr>
        <w:t xml:space="preserve"> m</w:t>
      </w:r>
      <w:r>
        <w:rPr>
          <w:rFonts w:ascii="Arial" w:eastAsiaTheme="majorEastAsia" w:hAnsi="Arial" w:cstheme="majorBidi"/>
          <w:sz w:val="24"/>
          <w:szCs w:val="24"/>
        </w:rPr>
        <w:t>i</w:t>
      </w:r>
      <w:r w:rsidR="00E205A3" w:rsidRPr="003D1FBA">
        <w:rPr>
          <w:rFonts w:ascii="Arial" w:eastAsiaTheme="majorEastAsia" w:hAnsi="Arial" w:cstheme="majorBidi"/>
          <w:sz w:val="24"/>
          <w:szCs w:val="24"/>
        </w:rPr>
        <w:t>entr</w:t>
      </w:r>
      <w:r>
        <w:rPr>
          <w:rFonts w:ascii="Arial" w:eastAsiaTheme="majorEastAsia" w:hAnsi="Arial" w:cstheme="majorBidi"/>
          <w:sz w:val="24"/>
          <w:szCs w:val="24"/>
        </w:rPr>
        <w:t>as</w:t>
      </w:r>
      <w:r w:rsidR="00E205A3" w:rsidRPr="003D1FBA">
        <w:rPr>
          <w:rFonts w:ascii="Arial" w:eastAsiaTheme="majorEastAsia" w:hAnsi="Arial" w:cstheme="majorBidi"/>
          <w:sz w:val="24"/>
          <w:szCs w:val="24"/>
        </w:rPr>
        <w:t xml:space="preserve"> que</w:t>
      </w:r>
      <w:r w:rsidR="007156A7" w:rsidRPr="003D1FBA">
        <w:rPr>
          <w:rFonts w:ascii="Arial" w:eastAsiaTheme="majorEastAsia" w:hAnsi="Arial" w:cstheme="majorBidi"/>
          <w:sz w:val="24"/>
          <w:szCs w:val="24"/>
        </w:rPr>
        <w:t xml:space="preserve"> en el present</w:t>
      </w:r>
      <w:r>
        <w:rPr>
          <w:rFonts w:ascii="Arial" w:eastAsiaTheme="majorEastAsia" w:hAnsi="Arial" w:cstheme="majorBidi"/>
          <w:sz w:val="24"/>
          <w:szCs w:val="24"/>
        </w:rPr>
        <w:t>e</w:t>
      </w:r>
      <w:r w:rsidR="007156A7" w:rsidRPr="003D1FBA">
        <w:rPr>
          <w:rFonts w:ascii="Arial" w:eastAsiaTheme="majorEastAsia" w:hAnsi="Arial" w:cstheme="majorBidi"/>
          <w:sz w:val="24"/>
          <w:szCs w:val="24"/>
        </w:rPr>
        <w:t xml:space="preserve"> estudi</w:t>
      </w:r>
      <w:r>
        <w:rPr>
          <w:rFonts w:ascii="Arial" w:eastAsiaTheme="majorEastAsia" w:hAnsi="Arial" w:cstheme="majorBidi"/>
          <w:sz w:val="24"/>
          <w:szCs w:val="24"/>
        </w:rPr>
        <w:t>o</w:t>
      </w:r>
      <w:r w:rsidR="007156A7" w:rsidRPr="003D1FBA">
        <w:rPr>
          <w:rFonts w:ascii="Arial" w:eastAsiaTheme="majorEastAsia" w:hAnsi="Arial" w:cstheme="majorBidi"/>
          <w:sz w:val="24"/>
          <w:szCs w:val="24"/>
        </w:rPr>
        <w:t xml:space="preserve"> l</w:t>
      </w:r>
      <w:r>
        <w:rPr>
          <w:rFonts w:ascii="Arial" w:eastAsiaTheme="majorEastAsia" w:hAnsi="Arial" w:cstheme="majorBidi"/>
          <w:sz w:val="24"/>
          <w:szCs w:val="24"/>
        </w:rPr>
        <w:t>a</w:t>
      </w:r>
      <w:r w:rsidR="007156A7" w:rsidRPr="003D1FBA">
        <w:rPr>
          <w:rFonts w:ascii="Arial" w:eastAsiaTheme="majorEastAsia" w:hAnsi="Arial" w:cstheme="majorBidi"/>
          <w:sz w:val="24"/>
          <w:szCs w:val="24"/>
        </w:rPr>
        <w:t>s jugador</w:t>
      </w:r>
      <w:r>
        <w:rPr>
          <w:rFonts w:ascii="Arial" w:eastAsiaTheme="majorEastAsia" w:hAnsi="Arial" w:cstheme="majorBidi"/>
          <w:sz w:val="24"/>
          <w:szCs w:val="24"/>
        </w:rPr>
        <w:t>a</w:t>
      </w:r>
      <w:r w:rsidR="007156A7" w:rsidRPr="003D1FBA">
        <w:rPr>
          <w:rFonts w:ascii="Arial" w:eastAsiaTheme="majorEastAsia" w:hAnsi="Arial" w:cstheme="majorBidi"/>
          <w:sz w:val="24"/>
          <w:szCs w:val="24"/>
        </w:rPr>
        <w:t>s presentar</w:t>
      </w:r>
      <w:r>
        <w:rPr>
          <w:rFonts w:ascii="Arial" w:eastAsiaTheme="majorEastAsia" w:hAnsi="Arial" w:cstheme="majorBidi"/>
          <w:sz w:val="24"/>
          <w:szCs w:val="24"/>
        </w:rPr>
        <w:t>on</w:t>
      </w:r>
      <w:r w:rsidR="007156A7" w:rsidRPr="003D1FBA">
        <w:rPr>
          <w:rFonts w:ascii="Arial" w:eastAsiaTheme="majorEastAsia" w:hAnsi="Arial" w:cstheme="majorBidi"/>
          <w:sz w:val="24"/>
          <w:szCs w:val="24"/>
        </w:rPr>
        <w:t xml:space="preserve"> una m</w:t>
      </w:r>
      <w:r>
        <w:rPr>
          <w:rFonts w:ascii="Arial" w:eastAsiaTheme="majorEastAsia" w:hAnsi="Arial" w:cstheme="majorBidi"/>
          <w:sz w:val="24"/>
          <w:szCs w:val="24"/>
        </w:rPr>
        <w:t>edi</w:t>
      </w:r>
      <w:r w:rsidR="007156A7" w:rsidRPr="003D1FBA">
        <w:rPr>
          <w:rFonts w:ascii="Arial" w:eastAsiaTheme="majorEastAsia" w:hAnsi="Arial" w:cstheme="majorBidi"/>
          <w:sz w:val="24"/>
          <w:szCs w:val="24"/>
        </w:rPr>
        <w:t>a de R</w:t>
      </w:r>
      <w:r>
        <w:rPr>
          <w:rFonts w:ascii="Arial" w:eastAsiaTheme="majorEastAsia" w:hAnsi="Arial" w:cstheme="majorBidi"/>
          <w:sz w:val="24"/>
          <w:szCs w:val="24"/>
        </w:rPr>
        <w:t>a</w:t>
      </w:r>
      <w:r w:rsidR="007156A7" w:rsidRPr="003D1FBA">
        <w:rPr>
          <w:rFonts w:ascii="Arial" w:eastAsiaTheme="majorEastAsia" w:hAnsi="Arial" w:cstheme="majorBidi"/>
          <w:sz w:val="24"/>
          <w:szCs w:val="24"/>
        </w:rPr>
        <w:t>tio I/Q de 0.52.</w:t>
      </w:r>
      <w:r w:rsidR="00845EB8" w:rsidRPr="003D1FBA">
        <w:rPr>
          <w:rFonts w:ascii="Arial" w:eastAsiaTheme="majorEastAsia" w:hAnsi="Arial" w:cstheme="majorBidi"/>
          <w:sz w:val="24"/>
          <w:szCs w:val="24"/>
        </w:rPr>
        <w:t xml:space="preserve"> </w:t>
      </w:r>
      <w:r>
        <w:rPr>
          <w:rFonts w:ascii="Arial" w:eastAsiaTheme="majorEastAsia" w:hAnsi="Arial" w:cstheme="majorBidi"/>
          <w:sz w:val="24"/>
          <w:szCs w:val="24"/>
        </w:rPr>
        <w:t>Lo</w:t>
      </w:r>
      <w:r w:rsidR="00845EB8" w:rsidRPr="003D1FBA">
        <w:rPr>
          <w:rFonts w:ascii="Arial" w:eastAsiaTheme="majorEastAsia" w:hAnsi="Arial" w:cstheme="majorBidi"/>
          <w:sz w:val="24"/>
          <w:szCs w:val="24"/>
        </w:rPr>
        <w:t>s estudi</w:t>
      </w:r>
      <w:r>
        <w:rPr>
          <w:rFonts w:ascii="Arial" w:eastAsiaTheme="majorEastAsia" w:hAnsi="Arial" w:cstheme="majorBidi"/>
          <w:sz w:val="24"/>
          <w:szCs w:val="24"/>
        </w:rPr>
        <w:t>o</w:t>
      </w:r>
      <w:r w:rsidR="00845EB8" w:rsidRPr="003D1FBA">
        <w:rPr>
          <w:rFonts w:ascii="Arial" w:eastAsiaTheme="majorEastAsia" w:hAnsi="Arial" w:cstheme="majorBidi"/>
          <w:sz w:val="24"/>
          <w:szCs w:val="24"/>
        </w:rPr>
        <w:t>s que han testa</w:t>
      </w:r>
      <w:r>
        <w:rPr>
          <w:rFonts w:ascii="Arial" w:eastAsiaTheme="majorEastAsia" w:hAnsi="Arial" w:cstheme="majorBidi"/>
          <w:sz w:val="24"/>
          <w:szCs w:val="24"/>
        </w:rPr>
        <w:t>do</w:t>
      </w:r>
      <w:r w:rsidR="00845EB8" w:rsidRPr="003D1FBA">
        <w:rPr>
          <w:rFonts w:ascii="Arial" w:eastAsiaTheme="majorEastAsia" w:hAnsi="Arial" w:cstheme="majorBidi"/>
          <w:sz w:val="24"/>
          <w:szCs w:val="24"/>
        </w:rPr>
        <w:t xml:space="preserve"> la R</w:t>
      </w:r>
      <w:r>
        <w:rPr>
          <w:rFonts w:ascii="Arial" w:eastAsiaTheme="majorEastAsia" w:hAnsi="Arial" w:cstheme="majorBidi"/>
          <w:sz w:val="24"/>
          <w:szCs w:val="24"/>
        </w:rPr>
        <w:t>a</w:t>
      </w:r>
      <w:r w:rsidR="00845EB8" w:rsidRPr="003D1FBA">
        <w:rPr>
          <w:rFonts w:ascii="Arial" w:eastAsiaTheme="majorEastAsia" w:hAnsi="Arial" w:cstheme="majorBidi"/>
          <w:sz w:val="24"/>
          <w:szCs w:val="24"/>
        </w:rPr>
        <w:t>tio I/Q en jugador</w:t>
      </w:r>
      <w:r>
        <w:rPr>
          <w:rFonts w:ascii="Arial" w:eastAsiaTheme="majorEastAsia" w:hAnsi="Arial" w:cstheme="majorBidi"/>
          <w:sz w:val="24"/>
          <w:szCs w:val="24"/>
        </w:rPr>
        <w:t>e</w:t>
      </w:r>
      <w:r w:rsidR="00845EB8" w:rsidRPr="003D1FBA">
        <w:rPr>
          <w:rFonts w:ascii="Arial" w:eastAsiaTheme="majorEastAsia" w:hAnsi="Arial" w:cstheme="majorBidi"/>
          <w:sz w:val="24"/>
          <w:szCs w:val="24"/>
        </w:rPr>
        <w:t>s de g</w:t>
      </w:r>
      <w:r>
        <w:rPr>
          <w:rFonts w:ascii="Arial" w:eastAsiaTheme="majorEastAsia" w:hAnsi="Arial" w:cstheme="majorBidi"/>
          <w:sz w:val="24"/>
          <w:szCs w:val="24"/>
        </w:rPr>
        <w:t>é</w:t>
      </w:r>
      <w:r w:rsidR="00845EB8" w:rsidRPr="003D1FBA">
        <w:rPr>
          <w:rFonts w:ascii="Arial" w:eastAsiaTheme="majorEastAsia" w:hAnsi="Arial" w:cstheme="majorBidi"/>
          <w:sz w:val="24"/>
          <w:szCs w:val="24"/>
        </w:rPr>
        <w:t>ner</w:t>
      </w:r>
      <w:r>
        <w:rPr>
          <w:rFonts w:ascii="Arial" w:eastAsiaTheme="majorEastAsia" w:hAnsi="Arial" w:cstheme="majorBidi"/>
          <w:sz w:val="24"/>
          <w:szCs w:val="24"/>
        </w:rPr>
        <w:t>o</w:t>
      </w:r>
      <w:r w:rsidR="00845EB8" w:rsidRPr="003D1FBA">
        <w:rPr>
          <w:rFonts w:ascii="Arial" w:eastAsiaTheme="majorEastAsia" w:hAnsi="Arial" w:cstheme="majorBidi"/>
          <w:sz w:val="24"/>
          <w:szCs w:val="24"/>
        </w:rPr>
        <w:t xml:space="preserve"> mascul</w:t>
      </w:r>
      <w:r>
        <w:rPr>
          <w:rFonts w:ascii="Arial" w:eastAsiaTheme="majorEastAsia" w:hAnsi="Arial" w:cstheme="majorBidi"/>
          <w:sz w:val="24"/>
          <w:szCs w:val="24"/>
        </w:rPr>
        <w:t>ino</w:t>
      </w:r>
      <w:r w:rsidR="00845EB8" w:rsidRPr="003D1FBA">
        <w:rPr>
          <w:rFonts w:ascii="Arial" w:eastAsiaTheme="majorEastAsia" w:hAnsi="Arial" w:cstheme="majorBidi"/>
          <w:sz w:val="24"/>
          <w:szCs w:val="24"/>
        </w:rPr>
        <w:t xml:space="preserve">, han </w:t>
      </w:r>
      <w:r>
        <w:rPr>
          <w:rFonts w:ascii="Arial" w:eastAsiaTheme="majorEastAsia" w:hAnsi="Arial" w:cstheme="majorBidi"/>
          <w:sz w:val="24"/>
          <w:szCs w:val="24"/>
        </w:rPr>
        <w:t>obtenido</w:t>
      </w:r>
      <w:r w:rsidR="00845EB8" w:rsidRPr="003D1FBA">
        <w:rPr>
          <w:rFonts w:ascii="Arial" w:eastAsiaTheme="majorEastAsia" w:hAnsi="Arial" w:cstheme="majorBidi"/>
          <w:sz w:val="24"/>
          <w:szCs w:val="24"/>
        </w:rPr>
        <w:t xml:space="preserve"> R</w:t>
      </w:r>
      <w:r>
        <w:rPr>
          <w:rFonts w:ascii="Arial" w:eastAsiaTheme="majorEastAsia" w:hAnsi="Arial" w:cstheme="majorBidi"/>
          <w:sz w:val="24"/>
          <w:szCs w:val="24"/>
        </w:rPr>
        <w:t>at</w:t>
      </w:r>
      <w:r w:rsidR="00845EB8" w:rsidRPr="003D1FBA">
        <w:rPr>
          <w:rFonts w:ascii="Arial" w:eastAsiaTheme="majorEastAsia" w:hAnsi="Arial" w:cstheme="majorBidi"/>
          <w:sz w:val="24"/>
          <w:szCs w:val="24"/>
        </w:rPr>
        <w:t>ios I/Q en test isocin</w:t>
      </w:r>
      <w:r>
        <w:rPr>
          <w:rFonts w:ascii="Arial" w:eastAsiaTheme="majorEastAsia" w:hAnsi="Arial" w:cstheme="majorBidi"/>
          <w:sz w:val="24"/>
          <w:szCs w:val="24"/>
        </w:rPr>
        <w:t>é</w:t>
      </w:r>
      <w:r w:rsidR="00845EB8" w:rsidRPr="003D1FBA">
        <w:rPr>
          <w:rFonts w:ascii="Arial" w:eastAsiaTheme="majorEastAsia" w:hAnsi="Arial" w:cstheme="majorBidi"/>
          <w:sz w:val="24"/>
          <w:szCs w:val="24"/>
        </w:rPr>
        <w:t>tic</w:t>
      </w:r>
      <w:r>
        <w:rPr>
          <w:rFonts w:ascii="Arial" w:eastAsiaTheme="majorEastAsia" w:hAnsi="Arial" w:cstheme="majorBidi"/>
          <w:sz w:val="24"/>
          <w:szCs w:val="24"/>
        </w:rPr>
        <w:t>o</w:t>
      </w:r>
      <w:r w:rsidR="00845EB8" w:rsidRPr="003D1FBA">
        <w:rPr>
          <w:rFonts w:ascii="Arial" w:eastAsiaTheme="majorEastAsia" w:hAnsi="Arial" w:cstheme="majorBidi"/>
          <w:sz w:val="24"/>
          <w:szCs w:val="24"/>
        </w:rPr>
        <w:t xml:space="preserve">s </w:t>
      </w:r>
      <w:r w:rsidR="00B121EE" w:rsidRPr="003D1FBA">
        <w:rPr>
          <w:rFonts w:ascii="Arial" w:eastAsiaTheme="majorEastAsia" w:hAnsi="Arial" w:cstheme="majorBidi"/>
          <w:sz w:val="24"/>
          <w:szCs w:val="24"/>
        </w:rPr>
        <w:t>d</w:t>
      </w:r>
      <w:r>
        <w:rPr>
          <w:rFonts w:ascii="Arial" w:eastAsiaTheme="majorEastAsia" w:hAnsi="Arial" w:cstheme="majorBidi"/>
          <w:sz w:val="24"/>
          <w:szCs w:val="24"/>
        </w:rPr>
        <w:t xml:space="preserve">e </w:t>
      </w:r>
      <w:r w:rsidR="00B121EE" w:rsidRPr="003D1FBA">
        <w:rPr>
          <w:rFonts w:ascii="Arial" w:eastAsiaTheme="majorEastAsia" w:hAnsi="Arial" w:cstheme="majorBidi"/>
          <w:sz w:val="24"/>
          <w:szCs w:val="24"/>
        </w:rPr>
        <w:t xml:space="preserve">entre 0.49 (60º/seg) - </w:t>
      </w:r>
      <w:r w:rsidR="00355C6E" w:rsidRPr="003D1FBA">
        <w:rPr>
          <w:rFonts w:ascii="Arial" w:eastAsiaTheme="majorEastAsia" w:hAnsi="Arial" w:cstheme="majorBidi"/>
          <w:sz w:val="24"/>
          <w:szCs w:val="24"/>
        </w:rPr>
        <w:t>0.</w:t>
      </w:r>
      <w:r w:rsidR="00B121EE" w:rsidRPr="003D1FBA">
        <w:rPr>
          <w:rFonts w:ascii="Arial" w:eastAsiaTheme="majorEastAsia" w:hAnsi="Arial" w:cstheme="majorBidi"/>
          <w:sz w:val="24"/>
          <w:szCs w:val="24"/>
        </w:rPr>
        <w:t>8 (240º/seg)</w:t>
      </w:r>
      <w:r w:rsidR="009B6CDB" w:rsidRPr="003D1FBA">
        <w:rPr>
          <w:rFonts w:ascii="Arial" w:eastAsiaTheme="majorEastAsia" w:hAnsi="Arial" w:cstheme="majorBidi"/>
          <w:sz w:val="24"/>
          <w:szCs w:val="24"/>
        </w:rPr>
        <w:t>.</w:t>
      </w:r>
      <w:r w:rsidR="009A7CCC" w:rsidRPr="003D1FBA">
        <w:rPr>
          <w:rFonts w:ascii="Arial" w:eastAsiaTheme="majorEastAsia" w:hAnsi="Arial" w:cstheme="majorBidi"/>
          <w:sz w:val="24"/>
          <w:szCs w:val="24"/>
          <w:vertAlign w:val="superscript"/>
        </w:rPr>
        <w:fldChar w:fldCharType="begin" w:fldLock="1"/>
      </w:r>
      <w:r w:rsidR="00EE7DE8" w:rsidRPr="003D1FBA">
        <w:rPr>
          <w:rFonts w:ascii="Arial" w:eastAsiaTheme="majorEastAsia" w:hAnsi="Arial" w:cstheme="majorBidi"/>
          <w:sz w:val="24"/>
          <w:szCs w:val="24"/>
          <w:vertAlign w:val="superscript"/>
        </w:rPr>
        <w:instrText>ADDIN CSL_CITATION {"citationItems":[{"id":"ITEM-1","itemData":{"DOI":"10.1055/s-0029-1243642","ISBN":"1439-3964 (Electronic)\\r0172-4622 (Linking)","ISSN":"01724622","PMID":"20157872","abstract":"The aim of this study was to investigate the effects of fatigue induced by a field test representative of soccer specific movements on different hamstrings:quadriceps ratios in the dominant and non-dominant legs at two different velocities. Eight male football players (age: 21.3+/-2.3 years; height: 178+/-8 cm; body mass: 78+/-9 kg; playing level: British University Southern conference-3B) performed a pre-test to assess the concentric and eccentric strength of the hamstrings and the quadriceps at 60 degrees x s(-1) and 180 degrees x s(-1), The Loughborough Intermittent Shuttle Test (LIST) to simulate soccer, and a post-test similar to the pre-test. The main findings demonstrated significant decreases in the H(con):Q(con) ratio (calculated as the maximal concentric hamstrings strength divided by the maximal concentric quadriceps strength) in the dominant leg at 180 degrees x s(-1) and in the functional ratio H(ecc):Q(con) (calculated as the maximal eccentric hamstrings strength divided by the maximal concentric quadriceps strength) in the dominant leg at 60 degrees x s(-1) and 180 degrees x s(-1). In addition, significant correlations were observed between physiological parameters measured during the soccer-specific exercise and H(ecc):Q(con) only. These results suggested that the functional H(ecc):Q(con) ratio is more representative of fatigue induced by soccer than the conventional H(con):Q(con) ratio. Eccentric strength training at high velocities may be necessary to reduce injury risk in soccer players.","author":[{"dropping-particle":"","family":"Delextrat","given":"A.","non-dropping-particle":"","parse-names":false,"suffix":""},{"dropping-particle":"","family":"Gregory","given":"J.","non-dropping-particle":"","parse-names":false,"suffix":""},{"dropping-particle":"","family":"Cohen","given":"D.","non-dropping-particle":"","parse-names":false,"suffix":""}],"container-title":"Int J Sports Med","id":"ITEM-1","issue":"3","issued":{"date-parts":[["2010"]]},"page":"192-7","title":"The use of the functional H:Q ratio to assess fatigue in soccer","type":"article-journal","volume":"31"},"uris":["http://www.mendeley.com/documents/?uuid=45695159-8432-46ab-a610-3e945a001d0e"]},{"id":"ITEM-2","itemData":{"DOI":"10.1016/j.ramd.2015.05.002","author":[{"dropping-particle":"","family":"Pallicer-Chenoll","given":"M","non-dropping-particle":"","parse-names":false,"suffix":""},{"dropping-particle":"","family":"Serra-Añó","given":"P","non-dropping-particle":"","parse-names":false,"suffix":""},{"dropping-particle":"","family":"Cabeza-Ruiz","given":"R","non-dropping-particle":"","parse-names":false,"suffix":""},{"dropping-particle":"","family":"Pardo","given":"A","non-dropping-particle":"","parse-names":false,"suffix":""},{"dropping-particle":"","family":"Aranda","given":"R","non-dropping-particle":"","parse-names":false,"suffix":""},{"dropping-particle":"","family":"González","given":"LM","non-dropping-particle":"","parse-names":false,"suffix":""}],"container-title":"Rev Andl Med Deporte","id":"ITEM-2","issue":"1","issued":{"date-parts":[["2017"]]},"page":"14-8","title":"Comparison of conventional hamstring/quadriceps ratio between genders in level-matched soccer players","type":"article-journal","volume":"10"},"uris":["http://www.mendeley.com/documents/?uuid=c596e1f2-33a6-47ae-a8bf-b010d771d8b7"]}],"mendeley":{"formattedCitation":"(28,29)","manualFormatting":"28,29","plainTextFormattedCitation":"(28,29)","previouslyFormattedCitation":"(28,29)"},"properties":{"noteIndex":0},"schema":"https://github.com/citation-style-language/schema/raw/master/csl-citation.json"}</w:instrText>
      </w:r>
      <w:r w:rsidR="009A7CCC" w:rsidRPr="003D1FBA">
        <w:rPr>
          <w:rFonts w:ascii="Arial" w:eastAsiaTheme="majorEastAsia" w:hAnsi="Arial" w:cstheme="majorBidi"/>
          <w:sz w:val="24"/>
          <w:szCs w:val="24"/>
          <w:vertAlign w:val="superscript"/>
        </w:rPr>
        <w:fldChar w:fldCharType="separate"/>
      </w:r>
      <w:r w:rsidR="007E2E79" w:rsidRPr="003D1FBA">
        <w:rPr>
          <w:rFonts w:ascii="Arial" w:eastAsiaTheme="majorEastAsia" w:hAnsi="Arial" w:cstheme="majorBidi"/>
          <w:noProof/>
          <w:sz w:val="24"/>
          <w:szCs w:val="24"/>
          <w:vertAlign w:val="superscript"/>
        </w:rPr>
        <w:t>28,29</w:t>
      </w:r>
      <w:r w:rsidR="009A7CCC" w:rsidRPr="003D1FBA">
        <w:rPr>
          <w:rFonts w:ascii="Arial" w:eastAsiaTheme="majorEastAsia" w:hAnsi="Arial" w:cstheme="majorBidi"/>
          <w:sz w:val="24"/>
          <w:szCs w:val="24"/>
          <w:vertAlign w:val="superscript"/>
        </w:rPr>
        <w:fldChar w:fldCharType="end"/>
      </w:r>
      <w:r w:rsidR="00147D40" w:rsidRPr="003D1FBA">
        <w:rPr>
          <w:rFonts w:ascii="Arial" w:eastAsiaTheme="majorEastAsia" w:hAnsi="Arial" w:cstheme="majorBidi"/>
          <w:sz w:val="24"/>
          <w:szCs w:val="24"/>
        </w:rPr>
        <w:t xml:space="preserve"> </w:t>
      </w:r>
      <w:r>
        <w:rPr>
          <w:rFonts w:ascii="Arial" w:eastAsiaTheme="majorEastAsia" w:hAnsi="Arial" w:cstheme="majorBidi"/>
          <w:sz w:val="24"/>
          <w:szCs w:val="24"/>
        </w:rPr>
        <w:t>Lo</w:t>
      </w:r>
      <w:r w:rsidR="00FC07DE" w:rsidRPr="003D1FBA">
        <w:rPr>
          <w:rFonts w:ascii="Arial" w:eastAsiaTheme="majorEastAsia" w:hAnsi="Arial" w:cstheme="majorBidi"/>
          <w:sz w:val="24"/>
          <w:szCs w:val="24"/>
        </w:rPr>
        <w:t>s estudi</w:t>
      </w:r>
      <w:r>
        <w:rPr>
          <w:rFonts w:ascii="Arial" w:eastAsiaTheme="majorEastAsia" w:hAnsi="Arial" w:cstheme="majorBidi"/>
          <w:sz w:val="24"/>
          <w:szCs w:val="24"/>
        </w:rPr>
        <w:t>o</w:t>
      </w:r>
      <w:r w:rsidR="00FC07DE" w:rsidRPr="003D1FBA">
        <w:rPr>
          <w:rFonts w:ascii="Arial" w:eastAsiaTheme="majorEastAsia" w:hAnsi="Arial" w:cstheme="majorBidi"/>
          <w:sz w:val="24"/>
          <w:szCs w:val="24"/>
        </w:rPr>
        <w:t>s, tant</w:t>
      </w:r>
      <w:r>
        <w:rPr>
          <w:rFonts w:ascii="Arial" w:eastAsiaTheme="majorEastAsia" w:hAnsi="Arial" w:cstheme="majorBidi"/>
          <w:sz w:val="24"/>
          <w:szCs w:val="24"/>
        </w:rPr>
        <w:t>o</w:t>
      </w:r>
      <w:r w:rsidR="00FC07DE" w:rsidRPr="003D1FBA">
        <w:rPr>
          <w:rFonts w:ascii="Arial" w:eastAsiaTheme="majorEastAsia" w:hAnsi="Arial" w:cstheme="majorBidi"/>
          <w:sz w:val="24"/>
          <w:szCs w:val="24"/>
        </w:rPr>
        <w:t xml:space="preserve"> de g</w:t>
      </w:r>
      <w:r>
        <w:rPr>
          <w:rFonts w:ascii="Arial" w:eastAsiaTheme="majorEastAsia" w:hAnsi="Arial" w:cstheme="majorBidi"/>
          <w:sz w:val="24"/>
          <w:szCs w:val="24"/>
        </w:rPr>
        <w:t>é</w:t>
      </w:r>
      <w:r w:rsidR="00FC07DE" w:rsidRPr="003D1FBA">
        <w:rPr>
          <w:rFonts w:ascii="Arial" w:eastAsiaTheme="majorEastAsia" w:hAnsi="Arial" w:cstheme="majorBidi"/>
          <w:sz w:val="24"/>
          <w:szCs w:val="24"/>
        </w:rPr>
        <w:t>ner</w:t>
      </w:r>
      <w:r>
        <w:rPr>
          <w:rFonts w:ascii="Arial" w:eastAsiaTheme="majorEastAsia" w:hAnsi="Arial" w:cstheme="majorBidi"/>
          <w:sz w:val="24"/>
          <w:szCs w:val="24"/>
        </w:rPr>
        <w:t>o</w:t>
      </w:r>
      <w:r w:rsidR="00FC07DE" w:rsidRPr="003D1FBA">
        <w:rPr>
          <w:rFonts w:ascii="Arial" w:eastAsiaTheme="majorEastAsia" w:hAnsi="Arial" w:cstheme="majorBidi"/>
          <w:sz w:val="24"/>
          <w:szCs w:val="24"/>
        </w:rPr>
        <w:t xml:space="preserve"> femen</w:t>
      </w:r>
      <w:r>
        <w:rPr>
          <w:rFonts w:ascii="Arial" w:eastAsiaTheme="majorEastAsia" w:hAnsi="Arial" w:cstheme="majorBidi"/>
          <w:sz w:val="24"/>
          <w:szCs w:val="24"/>
        </w:rPr>
        <w:t>ino</w:t>
      </w:r>
      <w:r w:rsidR="00FC07DE" w:rsidRPr="003D1FBA">
        <w:rPr>
          <w:rFonts w:ascii="Arial" w:eastAsiaTheme="majorEastAsia" w:hAnsi="Arial" w:cstheme="majorBidi"/>
          <w:sz w:val="24"/>
          <w:szCs w:val="24"/>
        </w:rPr>
        <w:t xml:space="preserve"> com</w:t>
      </w:r>
      <w:r>
        <w:rPr>
          <w:rFonts w:ascii="Arial" w:eastAsiaTheme="majorEastAsia" w:hAnsi="Arial" w:cstheme="majorBidi"/>
          <w:sz w:val="24"/>
          <w:szCs w:val="24"/>
        </w:rPr>
        <w:t>o</w:t>
      </w:r>
      <w:r w:rsidR="00FC07DE" w:rsidRPr="003D1FBA">
        <w:rPr>
          <w:rFonts w:ascii="Arial" w:eastAsiaTheme="majorEastAsia" w:hAnsi="Arial" w:cstheme="majorBidi"/>
          <w:sz w:val="24"/>
          <w:szCs w:val="24"/>
        </w:rPr>
        <w:t xml:space="preserve"> mascul</w:t>
      </w:r>
      <w:r>
        <w:rPr>
          <w:rFonts w:ascii="Arial" w:eastAsiaTheme="majorEastAsia" w:hAnsi="Arial" w:cstheme="majorBidi"/>
          <w:sz w:val="24"/>
          <w:szCs w:val="24"/>
        </w:rPr>
        <w:t>ino</w:t>
      </w:r>
      <w:r w:rsidR="00FC07DE" w:rsidRPr="003D1FBA">
        <w:rPr>
          <w:rFonts w:ascii="Arial" w:eastAsiaTheme="majorEastAsia" w:hAnsi="Arial" w:cstheme="majorBidi"/>
          <w:sz w:val="24"/>
          <w:szCs w:val="24"/>
        </w:rPr>
        <w:t>,</w:t>
      </w:r>
      <w:r w:rsidR="0090596B" w:rsidRPr="003D1FBA">
        <w:rPr>
          <w:rFonts w:ascii="Arial" w:eastAsiaTheme="majorEastAsia" w:hAnsi="Arial" w:cstheme="majorBidi"/>
          <w:sz w:val="24"/>
          <w:szCs w:val="24"/>
        </w:rPr>
        <w:t xml:space="preserve"> </w:t>
      </w:r>
      <w:r w:rsidR="006021C5" w:rsidRPr="003D1FBA">
        <w:rPr>
          <w:rFonts w:ascii="Arial" w:eastAsiaTheme="majorEastAsia" w:hAnsi="Arial" w:cstheme="majorBidi"/>
          <w:sz w:val="24"/>
          <w:szCs w:val="24"/>
        </w:rPr>
        <w:t>han estable</w:t>
      </w:r>
      <w:r>
        <w:rPr>
          <w:rFonts w:ascii="Arial" w:eastAsiaTheme="majorEastAsia" w:hAnsi="Arial" w:cstheme="majorBidi"/>
          <w:sz w:val="24"/>
          <w:szCs w:val="24"/>
        </w:rPr>
        <w:t>cido</w:t>
      </w:r>
      <w:r w:rsidR="0090596B" w:rsidRPr="003D1FBA">
        <w:rPr>
          <w:rFonts w:ascii="Arial" w:eastAsiaTheme="majorEastAsia" w:hAnsi="Arial" w:cstheme="majorBidi"/>
          <w:sz w:val="24"/>
          <w:szCs w:val="24"/>
        </w:rPr>
        <w:t xml:space="preserve"> que </w:t>
      </w:r>
      <w:r w:rsidR="00454DD8" w:rsidRPr="003D1FBA">
        <w:rPr>
          <w:rFonts w:ascii="Arial" w:eastAsiaTheme="majorEastAsia" w:hAnsi="Arial" w:cstheme="majorBidi"/>
          <w:sz w:val="24"/>
          <w:szCs w:val="24"/>
        </w:rPr>
        <w:t>t</w:t>
      </w:r>
      <w:r>
        <w:rPr>
          <w:rFonts w:ascii="Arial" w:eastAsiaTheme="majorEastAsia" w:hAnsi="Arial" w:cstheme="majorBidi"/>
          <w:sz w:val="24"/>
          <w:szCs w:val="24"/>
        </w:rPr>
        <w:t>e</w:t>
      </w:r>
      <w:r w:rsidR="00454DD8" w:rsidRPr="003D1FBA">
        <w:rPr>
          <w:rFonts w:ascii="Arial" w:eastAsiaTheme="majorEastAsia" w:hAnsi="Arial" w:cstheme="majorBidi"/>
          <w:sz w:val="24"/>
          <w:szCs w:val="24"/>
        </w:rPr>
        <w:t>n</w:t>
      </w:r>
      <w:r>
        <w:rPr>
          <w:rFonts w:ascii="Arial" w:eastAsiaTheme="majorEastAsia" w:hAnsi="Arial" w:cstheme="majorBidi"/>
          <w:sz w:val="24"/>
          <w:szCs w:val="24"/>
        </w:rPr>
        <w:t>e</w:t>
      </w:r>
      <w:r w:rsidR="00454DD8" w:rsidRPr="003D1FBA">
        <w:rPr>
          <w:rFonts w:ascii="Arial" w:eastAsiaTheme="majorEastAsia" w:hAnsi="Arial" w:cstheme="majorBidi"/>
          <w:sz w:val="24"/>
          <w:szCs w:val="24"/>
        </w:rPr>
        <w:t>r</w:t>
      </w:r>
      <w:r w:rsidR="0090596B" w:rsidRPr="003D1FBA">
        <w:rPr>
          <w:rFonts w:ascii="Arial" w:eastAsiaTheme="majorEastAsia" w:hAnsi="Arial" w:cstheme="majorBidi"/>
          <w:sz w:val="24"/>
          <w:szCs w:val="24"/>
        </w:rPr>
        <w:t xml:space="preserve"> una R</w:t>
      </w:r>
      <w:r>
        <w:rPr>
          <w:rFonts w:ascii="Arial" w:eastAsiaTheme="majorEastAsia" w:hAnsi="Arial" w:cstheme="majorBidi"/>
          <w:sz w:val="24"/>
          <w:szCs w:val="24"/>
        </w:rPr>
        <w:t>a</w:t>
      </w:r>
      <w:r w:rsidR="004537EC">
        <w:rPr>
          <w:rFonts w:ascii="Arial" w:eastAsiaTheme="majorEastAsia" w:hAnsi="Arial" w:cstheme="majorBidi"/>
          <w:sz w:val="24"/>
          <w:szCs w:val="24"/>
        </w:rPr>
        <w:t>tio I/Q inferior a 0.4-0.</w:t>
      </w:r>
      <w:r w:rsidR="0090596B" w:rsidRPr="003D1FBA">
        <w:rPr>
          <w:rFonts w:ascii="Arial" w:eastAsiaTheme="majorEastAsia" w:hAnsi="Arial" w:cstheme="majorBidi"/>
          <w:sz w:val="24"/>
          <w:szCs w:val="24"/>
        </w:rPr>
        <w:t xml:space="preserve">5 </w:t>
      </w:r>
      <w:r>
        <w:rPr>
          <w:rFonts w:ascii="Arial" w:eastAsiaTheme="majorEastAsia" w:hAnsi="Arial" w:cstheme="majorBidi"/>
          <w:sz w:val="24"/>
          <w:szCs w:val="24"/>
        </w:rPr>
        <w:t>e</w:t>
      </w:r>
      <w:r w:rsidR="0090596B" w:rsidRPr="003D1FBA">
        <w:rPr>
          <w:rFonts w:ascii="Arial" w:eastAsiaTheme="majorEastAsia" w:hAnsi="Arial" w:cstheme="majorBidi"/>
          <w:sz w:val="24"/>
          <w:szCs w:val="24"/>
        </w:rPr>
        <w:t>s un factor de ri</w:t>
      </w:r>
      <w:r>
        <w:rPr>
          <w:rFonts w:ascii="Arial" w:eastAsiaTheme="majorEastAsia" w:hAnsi="Arial" w:cstheme="majorBidi"/>
          <w:sz w:val="24"/>
          <w:szCs w:val="24"/>
        </w:rPr>
        <w:t>esgo</w:t>
      </w:r>
      <w:r w:rsidR="0090596B" w:rsidRPr="003D1FBA">
        <w:rPr>
          <w:rFonts w:ascii="Arial" w:eastAsiaTheme="majorEastAsia" w:hAnsi="Arial" w:cstheme="majorBidi"/>
          <w:sz w:val="24"/>
          <w:szCs w:val="24"/>
        </w:rPr>
        <w:t xml:space="preserve"> de </w:t>
      </w:r>
      <w:r>
        <w:rPr>
          <w:rFonts w:ascii="Arial" w:eastAsiaTheme="majorEastAsia" w:hAnsi="Arial" w:cstheme="majorBidi"/>
          <w:sz w:val="24"/>
          <w:szCs w:val="24"/>
        </w:rPr>
        <w:t>sufr</w:t>
      </w:r>
      <w:r w:rsidR="0090596B" w:rsidRPr="003D1FBA">
        <w:rPr>
          <w:rFonts w:ascii="Arial" w:eastAsiaTheme="majorEastAsia" w:hAnsi="Arial" w:cstheme="majorBidi"/>
          <w:sz w:val="24"/>
          <w:szCs w:val="24"/>
        </w:rPr>
        <w:t>ir lesion</w:t>
      </w:r>
      <w:r>
        <w:rPr>
          <w:rFonts w:ascii="Arial" w:eastAsiaTheme="majorEastAsia" w:hAnsi="Arial" w:cstheme="majorBidi"/>
          <w:sz w:val="24"/>
          <w:szCs w:val="24"/>
        </w:rPr>
        <w:t>es</w:t>
      </w:r>
      <w:r w:rsidR="0090596B" w:rsidRPr="003D1FBA">
        <w:rPr>
          <w:rFonts w:ascii="Arial" w:eastAsiaTheme="majorEastAsia" w:hAnsi="Arial" w:cstheme="majorBidi"/>
          <w:sz w:val="24"/>
          <w:szCs w:val="24"/>
        </w:rPr>
        <w:t xml:space="preserve"> de</w:t>
      </w:r>
      <w:r>
        <w:rPr>
          <w:rFonts w:ascii="Arial" w:eastAsiaTheme="majorEastAsia" w:hAnsi="Arial" w:cstheme="majorBidi"/>
          <w:sz w:val="24"/>
          <w:szCs w:val="24"/>
        </w:rPr>
        <w:t>l</w:t>
      </w:r>
      <w:r w:rsidR="0090596B" w:rsidRPr="003D1FBA">
        <w:rPr>
          <w:rFonts w:ascii="Arial" w:eastAsiaTheme="majorEastAsia" w:hAnsi="Arial" w:cstheme="majorBidi"/>
          <w:sz w:val="24"/>
          <w:szCs w:val="24"/>
        </w:rPr>
        <w:t xml:space="preserve"> L</w:t>
      </w:r>
      <w:r>
        <w:rPr>
          <w:rFonts w:ascii="Arial" w:eastAsiaTheme="majorEastAsia" w:hAnsi="Arial" w:cstheme="majorBidi"/>
          <w:sz w:val="24"/>
          <w:szCs w:val="24"/>
        </w:rPr>
        <w:t>C</w:t>
      </w:r>
      <w:r w:rsidR="0090596B" w:rsidRPr="003D1FBA">
        <w:rPr>
          <w:rFonts w:ascii="Arial" w:eastAsiaTheme="majorEastAsia" w:hAnsi="Arial" w:cstheme="majorBidi"/>
          <w:sz w:val="24"/>
          <w:szCs w:val="24"/>
        </w:rPr>
        <w:t>A</w:t>
      </w:r>
      <w:r w:rsidR="00454DD8" w:rsidRPr="003D1FBA">
        <w:rPr>
          <w:rFonts w:ascii="Arial" w:eastAsiaTheme="majorEastAsia" w:hAnsi="Arial" w:cstheme="majorBidi"/>
          <w:sz w:val="24"/>
          <w:szCs w:val="24"/>
        </w:rPr>
        <w:t xml:space="preserve">. </w:t>
      </w:r>
      <w:r w:rsidR="007466DC">
        <w:rPr>
          <w:rFonts w:ascii="Arial" w:eastAsiaTheme="majorEastAsia" w:hAnsi="Arial" w:cstheme="majorBidi"/>
          <w:sz w:val="24"/>
          <w:szCs w:val="24"/>
        </w:rPr>
        <w:t>E</w:t>
      </w:r>
      <w:r w:rsidR="00454DD8" w:rsidRPr="003D1FBA">
        <w:rPr>
          <w:rFonts w:ascii="Arial" w:eastAsiaTheme="majorEastAsia" w:hAnsi="Arial" w:cstheme="majorBidi"/>
          <w:sz w:val="24"/>
          <w:szCs w:val="24"/>
        </w:rPr>
        <w:t>sta relació</w:t>
      </w:r>
      <w:r w:rsidR="007466DC">
        <w:rPr>
          <w:rFonts w:ascii="Arial" w:eastAsiaTheme="majorEastAsia" w:hAnsi="Arial" w:cstheme="majorBidi"/>
          <w:sz w:val="24"/>
          <w:szCs w:val="24"/>
        </w:rPr>
        <w:t>n</w:t>
      </w:r>
      <w:r w:rsidR="00454DD8" w:rsidRPr="003D1FBA">
        <w:rPr>
          <w:rFonts w:ascii="Arial" w:eastAsiaTheme="majorEastAsia" w:hAnsi="Arial" w:cstheme="majorBidi"/>
          <w:sz w:val="24"/>
          <w:szCs w:val="24"/>
        </w:rPr>
        <w:t xml:space="preserve">, en </w:t>
      </w:r>
      <w:r w:rsidR="00E205A3" w:rsidRPr="003D1FBA">
        <w:rPr>
          <w:rFonts w:ascii="Arial" w:eastAsiaTheme="majorEastAsia" w:hAnsi="Arial" w:cstheme="majorBidi"/>
          <w:sz w:val="24"/>
          <w:szCs w:val="24"/>
        </w:rPr>
        <w:t>el present</w:t>
      </w:r>
      <w:r w:rsidR="007466DC">
        <w:rPr>
          <w:rFonts w:ascii="Arial" w:eastAsiaTheme="majorEastAsia" w:hAnsi="Arial" w:cstheme="majorBidi"/>
          <w:sz w:val="24"/>
          <w:szCs w:val="24"/>
        </w:rPr>
        <w:t>e</w:t>
      </w:r>
      <w:r w:rsidR="00454DD8" w:rsidRPr="003D1FBA">
        <w:rPr>
          <w:rFonts w:ascii="Arial" w:eastAsiaTheme="majorEastAsia" w:hAnsi="Arial" w:cstheme="majorBidi"/>
          <w:sz w:val="24"/>
          <w:szCs w:val="24"/>
        </w:rPr>
        <w:t xml:space="preserve"> estudi</w:t>
      </w:r>
      <w:r w:rsidR="007466DC">
        <w:rPr>
          <w:rFonts w:ascii="Arial" w:eastAsiaTheme="majorEastAsia" w:hAnsi="Arial" w:cstheme="majorBidi"/>
          <w:sz w:val="24"/>
          <w:szCs w:val="24"/>
        </w:rPr>
        <w:t>o</w:t>
      </w:r>
      <w:r w:rsidR="00454DD8" w:rsidRPr="003D1FBA">
        <w:rPr>
          <w:rFonts w:ascii="Arial" w:eastAsiaTheme="majorEastAsia" w:hAnsi="Arial" w:cstheme="majorBidi"/>
          <w:sz w:val="24"/>
          <w:szCs w:val="24"/>
        </w:rPr>
        <w:t xml:space="preserve">, no </w:t>
      </w:r>
      <w:r w:rsidR="007466DC">
        <w:rPr>
          <w:rFonts w:ascii="Arial" w:eastAsiaTheme="majorEastAsia" w:hAnsi="Arial" w:cstheme="majorBidi"/>
          <w:sz w:val="24"/>
          <w:szCs w:val="24"/>
        </w:rPr>
        <w:t>se puede</w:t>
      </w:r>
      <w:r w:rsidR="00454DD8" w:rsidRPr="003D1FBA">
        <w:rPr>
          <w:rFonts w:ascii="Arial" w:eastAsiaTheme="majorEastAsia" w:hAnsi="Arial" w:cstheme="majorBidi"/>
          <w:sz w:val="24"/>
          <w:szCs w:val="24"/>
        </w:rPr>
        <w:t xml:space="preserve"> establ</w:t>
      </w:r>
      <w:r w:rsidR="007466DC">
        <w:rPr>
          <w:rFonts w:ascii="Arial" w:eastAsiaTheme="majorEastAsia" w:hAnsi="Arial" w:cstheme="majorBidi"/>
          <w:sz w:val="24"/>
          <w:szCs w:val="24"/>
        </w:rPr>
        <w:t>ecer y</w:t>
      </w:r>
      <w:r w:rsidR="00454DD8" w:rsidRPr="003D1FBA">
        <w:rPr>
          <w:rFonts w:ascii="Arial" w:eastAsiaTheme="majorEastAsia" w:hAnsi="Arial" w:cstheme="majorBidi"/>
          <w:sz w:val="24"/>
          <w:szCs w:val="24"/>
        </w:rPr>
        <w:t>a que no s</w:t>
      </w:r>
      <w:r w:rsidR="007466DC">
        <w:rPr>
          <w:rFonts w:ascii="Arial" w:eastAsiaTheme="majorEastAsia" w:hAnsi="Arial" w:cstheme="majorBidi"/>
          <w:sz w:val="24"/>
          <w:szCs w:val="24"/>
        </w:rPr>
        <w:t xml:space="preserve">e </w:t>
      </w:r>
      <w:r w:rsidR="00454DD8" w:rsidRPr="003D1FBA">
        <w:rPr>
          <w:rFonts w:ascii="Arial" w:eastAsiaTheme="majorEastAsia" w:hAnsi="Arial" w:cstheme="majorBidi"/>
          <w:sz w:val="24"/>
          <w:szCs w:val="24"/>
        </w:rPr>
        <w:t xml:space="preserve">ha </w:t>
      </w:r>
      <w:r w:rsidR="007466DC">
        <w:rPr>
          <w:rFonts w:ascii="Arial" w:eastAsiaTheme="majorEastAsia" w:hAnsi="Arial" w:cstheme="majorBidi"/>
          <w:sz w:val="24"/>
          <w:szCs w:val="24"/>
        </w:rPr>
        <w:t>hecho</w:t>
      </w:r>
      <w:r w:rsidR="00454DD8" w:rsidRPr="003D1FBA">
        <w:rPr>
          <w:rFonts w:ascii="Arial" w:eastAsiaTheme="majorEastAsia" w:hAnsi="Arial" w:cstheme="majorBidi"/>
          <w:sz w:val="24"/>
          <w:szCs w:val="24"/>
        </w:rPr>
        <w:t xml:space="preserve"> un seguim</w:t>
      </w:r>
      <w:r w:rsidR="007466DC">
        <w:rPr>
          <w:rFonts w:ascii="Arial" w:eastAsiaTheme="majorEastAsia" w:hAnsi="Arial" w:cstheme="majorBidi"/>
          <w:sz w:val="24"/>
          <w:szCs w:val="24"/>
        </w:rPr>
        <w:t>i</w:t>
      </w:r>
      <w:r w:rsidR="00454DD8" w:rsidRPr="003D1FBA">
        <w:rPr>
          <w:rFonts w:ascii="Arial" w:eastAsiaTheme="majorEastAsia" w:hAnsi="Arial" w:cstheme="majorBidi"/>
          <w:sz w:val="24"/>
          <w:szCs w:val="24"/>
        </w:rPr>
        <w:t>ent</w:t>
      </w:r>
      <w:r w:rsidR="007466DC">
        <w:rPr>
          <w:rFonts w:ascii="Arial" w:eastAsiaTheme="majorEastAsia" w:hAnsi="Arial" w:cstheme="majorBidi"/>
          <w:sz w:val="24"/>
          <w:szCs w:val="24"/>
        </w:rPr>
        <w:t>o</w:t>
      </w:r>
      <w:r w:rsidR="00454DD8" w:rsidRPr="003D1FBA">
        <w:rPr>
          <w:rFonts w:ascii="Arial" w:eastAsiaTheme="majorEastAsia" w:hAnsi="Arial" w:cstheme="majorBidi"/>
          <w:sz w:val="24"/>
          <w:szCs w:val="24"/>
        </w:rPr>
        <w:t xml:space="preserve"> a larg</w:t>
      </w:r>
      <w:r w:rsidR="007466DC">
        <w:rPr>
          <w:rFonts w:ascii="Arial" w:eastAsiaTheme="majorEastAsia" w:hAnsi="Arial" w:cstheme="majorBidi"/>
          <w:sz w:val="24"/>
          <w:szCs w:val="24"/>
        </w:rPr>
        <w:t>o</w:t>
      </w:r>
      <w:r w:rsidR="00454DD8" w:rsidRPr="003D1FBA">
        <w:rPr>
          <w:rFonts w:ascii="Arial" w:eastAsiaTheme="majorEastAsia" w:hAnsi="Arial" w:cstheme="majorBidi"/>
          <w:sz w:val="24"/>
          <w:szCs w:val="24"/>
        </w:rPr>
        <w:t xml:space="preserve"> </w:t>
      </w:r>
      <w:r w:rsidR="007466DC">
        <w:rPr>
          <w:rFonts w:ascii="Arial" w:eastAsiaTheme="majorEastAsia" w:hAnsi="Arial" w:cstheme="majorBidi"/>
          <w:sz w:val="24"/>
          <w:szCs w:val="24"/>
        </w:rPr>
        <w:t>plazo</w:t>
      </w:r>
      <w:r w:rsidR="006021C5" w:rsidRPr="003D1FBA">
        <w:rPr>
          <w:rFonts w:ascii="Arial" w:eastAsiaTheme="majorEastAsia" w:hAnsi="Arial" w:cstheme="majorBidi"/>
          <w:sz w:val="24"/>
          <w:szCs w:val="24"/>
        </w:rPr>
        <w:t>,</w:t>
      </w:r>
      <w:r w:rsidR="00454DD8" w:rsidRPr="003D1FBA">
        <w:rPr>
          <w:rFonts w:ascii="Arial" w:eastAsiaTheme="majorEastAsia" w:hAnsi="Arial" w:cstheme="majorBidi"/>
          <w:sz w:val="24"/>
          <w:szCs w:val="24"/>
        </w:rPr>
        <w:t xml:space="preserve"> </w:t>
      </w:r>
      <w:r w:rsidR="007466DC">
        <w:rPr>
          <w:rFonts w:ascii="Arial" w:eastAsiaTheme="majorEastAsia" w:hAnsi="Arial" w:cstheme="majorBidi"/>
          <w:sz w:val="24"/>
          <w:szCs w:val="24"/>
        </w:rPr>
        <w:t>aún así</w:t>
      </w:r>
      <w:r w:rsidR="00454DD8" w:rsidRPr="003D1FBA">
        <w:rPr>
          <w:rFonts w:ascii="Arial" w:eastAsiaTheme="majorEastAsia" w:hAnsi="Arial" w:cstheme="majorBidi"/>
          <w:sz w:val="24"/>
          <w:szCs w:val="24"/>
        </w:rPr>
        <w:t>, l</w:t>
      </w:r>
      <w:r w:rsidR="007466DC">
        <w:rPr>
          <w:rFonts w:ascii="Arial" w:eastAsiaTheme="majorEastAsia" w:hAnsi="Arial" w:cstheme="majorBidi"/>
          <w:sz w:val="24"/>
          <w:szCs w:val="24"/>
        </w:rPr>
        <w:t>a</w:t>
      </w:r>
      <w:r w:rsidR="00454DD8" w:rsidRPr="003D1FBA">
        <w:rPr>
          <w:rFonts w:ascii="Arial" w:eastAsiaTheme="majorEastAsia" w:hAnsi="Arial" w:cstheme="majorBidi"/>
          <w:sz w:val="24"/>
          <w:szCs w:val="24"/>
        </w:rPr>
        <w:t>s jugador</w:t>
      </w:r>
      <w:r w:rsidR="007466DC">
        <w:rPr>
          <w:rFonts w:ascii="Arial" w:eastAsiaTheme="majorEastAsia" w:hAnsi="Arial" w:cstheme="majorBidi"/>
          <w:sz w:val="24"/>
          <w:szCs w:val="24"/>
        </w:rPr>
        <w:t>a</w:t>
      </w:r>
      <w:r w:rsidR="00454DD8" w:rsidRPr="003D1FBA">
        <w:rPr>
          <w:rFonts w:ascii="Arial" w:eastAsiaTheme="majorEastAsia" w:hAnsi="Arial" w:cstheme="majorBidi"/>
          <w:sz w:val="24"/>
          <w:szCs w:val="24"/>
        </w:rPr>
        <w:t>s m</w:t>
      </w:r>
      <w:r w:rsidR="007466DC">
        <w:rPr>
          <w:rFonts w:ascii="Arial" w:eastAsiaTheme="majorEastAsia" w:hAnsi="Arial" w:cstheme="majorBidi"/>
          <w:sz w:val="24"/>
          <w:szCs w:val="24"/>
        </w:rPr>
        <w:t>ue</w:t>
      </w:r>
      <w:r w:rsidR="00454DD8" w:rsidRPr="003D1FBA">
        <w:rPr>
          <w:rFonts w:ascii="Arial" w:eastAsiaTheme="majorEastAsia" w:hAnsi="Arial" w:cstheme="majorBidi"/>
          <w:sz w:val="24"/>
          <w:szCs w:val="24"/>
        </w:rPr>
        <w:t>str</w:t>
      </w:r>
      <w:r w:rsidR="007466DC">
        <w:rPr>
          <w:rFonts w:ascii="Arial" w:eastAsiaTheme="majorEastAsia" w:hAnsi="Arial" w:cstheme="majorBidi"/>
          <w:sz w:val="24"/>
          <w:szCs w:val="24"/>
        </w:rPr>
        <w:t>a</w:t>
      </w:r>
      <w:r w:rsidR="00454DD8" w:rsidRPr="003D1FBA">
        <w:rPr>
          <w:rFonts w:ascii="Arial" w:eastAsiaTheme="majorEastAsia" w:hAnsi="Arial" w:cstheme="majorBidi"/>
          <w:sz w:val="24"/>
          <w:szCs w:val="24"/>
        </w:rPr>
        <w:t>n un valor en la R</w:t>
      </w:r>
      <w:r w:rsidR="007466DC">
        <w:rPr>
          <w:rFonts w:ascii="Arial" w:eastAsiaTheme="majorEastAsia" w:hAnsi="Arial" w:cstheme="majorBidi"/>
          <w:sz w:val="24"/>
          <w:szCs w:val="24"/>
        </w:rPr>
        <w:t>a</w:t>
      </w:r>
      <w:r w:rsidR="00454DD8" w:rsidRPr="003D1FBA">
        <w:rPr>
          <w:rFonts w:ascii="Arial" w:eastAsiaTheme="majorEastAsia" w:hAnsi="Arial" w:cstheme="majorBidi"/>
          <w:sz w:val="24"/>
          <w:szCs w:val="24"/>
        </w:rPr>
        <w:t>tio &gt; 0.5.</w:t>
      </w:r>
    </w:p>
    <w:p w:rsidR="009B6CDB" w:rsidRPr="003D1FBA" w:rsidRDefault="007466DC" w:rsidP="00FC4616">
      <w:pPr>
        <w:spacing w:line="360" w:lineRule="auto"/>
        <w:jc w:val="both"/>
        <w:rPr>
          <w:rFonts w:ascii="Arial" w:eastAsiaTheme="majorEastAsia" w:hAnsi="Arial" w:cstheme="majorBidi"/>
          <w:sz w:val="24"/>
          <w:szCs w:val="24"/>
        </w:rPr>
      </w:pPr>
      <w:r>
        <w:rPr>
          <w:rFonts w:ascii="Arial" w:eastAsiaTheme="majorEastAsia" w:hAnsi="Arial" w:cstheme="majorBidi"/>
          <w:sz w:val="24"/>
          <w:szCs w:val="24"/>
        </w:rPr>
        <w:t xml:space="preserve">Actualmente la </w:t>
      </w:r>
      <w:r w:rsidR="00976819" w:rsidRPr="003D1FBA">
        <w:rPr>
          <w:rFonts w:ascii="Arial" w:eastAsiaTheme="majorEastAsia" w:hAnsi="Arial" w:cstheme="majorBidi"/>
          <w:sz w:val="24"/>
          <w:szCs w:val="24"/>
        </w:rPr>
        <w:t>evid</w:t>
      </w:r>
      <w:r>
        <w:rPr>
          <w:rFonts w:ascii="Arial" w:eastAsiaTheme="majorEastAsia" w:hAnsi="Arial" w:cstheme="majorBidi"/>
          <w:sz w:val="24"/>
          <w:szCs w:val="24"/>
        </w:rPr>
        <w:t>e</w:t>
      </w:r>
      <w:r w:rsidR="00976819" w:rsidRPr="003D1FBA">
        <w:rPr>
          <w:rFonts w:ascii="Arial" w:eastAsiaTheme="majorEastAsia" w:hAnsi="Arial" w:cstheme="majorBidi"/>
          <w:sz w:val="24"/>
          <w:szCs w:val="24"/>
        </w:rPr>
        <w:t xml:space="preserve">ncia científica </w:t>
      </w:r>
      <w:r>
        <w:rPr>
          <w:rFonts w:ascii="Arial" w:eastAsiaTheme="majorEastAsia" w:hAnsi="Arial" w:cstheme="majorBidi"/>
          <w:sz w:val="24"/>
          <w:szCs w:val="24"/>
        </w:rPr>
        <w:t>e</w:t>
      </w:r>
      <w:r w:rsidR="00976819" w:rsidRPr="003D1FBA">
        <w:rPr>
          <w:rFonts w:ascii="Arial" w:eastAsiaTheme="majorEastAsia" w:hAnsi="Arial" w:cstheme="majorBidi"/>
          <w:sz w:val="24"/>
          <w:szCs w:val="24"/>
        </w:rPr>
        <w:t>s escasa,</w:t>
      </w:r>
      <w:r>
        <w:rPr>
          <w:rFonts w:ascii="Arial" w:eastAsiaTheme="majorEastAsia" w:hAnsi="Arial" w:cstheme="majorBidi"/>
          <w:sz w:val="24"/>
          <w:szCs w:val="24"/>
        </w:rPr>
        <w:t xml:space="preserve"> de todos modos,</w:t>
      </w:r>
      <w:r w:rsidR="00976819" w:rsidRPr="003D1FBA">
        <w:rPr>
          <w:rFonts w:ascii="Arial" w:eastAsiaTheme="majorEastAsia" w:hAnsi="Arial" w:cstheme="majorBidi"/>
          <w:sz w:val="24"/>
          <w:szCs w:val="24"/>
        </w:rPr>
        <w:t xml:space="preserve"> </w:t>
      </w:r>
      <w:r>
        <w:rPr>
          <w:rFonts w:ascii="Arial" w:eastAsiaTheme="majorEastAsia" w:hAnsi="Arial" w:cstheme="majorBidi"/>
          <w:sz w:val="24"/>
          <w:szCs w:val="24"/>
        </w:rPr>
        <w:t>y</w:t>
      </w:r>
      <w:r w:rsidR="00976819" w:rsidRPr="003D1FBA">
        <w:rPr>
          <w:rFonts w:ascii="Arial" w:eastAsiaTheme="majorEastAsia" w:hAnsi="Arial" w:cstheme="majorBidi"/>
          <w:sz w:val="24"/>
          <w:szCs w:val="24"/>
        </w:rPr>
        <w:t xml:space="preserve">a </w:t>
      </w:r>
      <w:r>
        <w:rPr>
          <w:rFonts w:ascii="Arial" w:eastAsiaTheme="majorEastAsia" w:hAnsi="Arial" w:cstheme="majorBidi"/>
          <w:sz w:val="24"/>
          <w:szCs w:val="24"/>
        </w:rPr>
        <w:t>empieza</w:t>
      </w:r>
      <w:r w:rsidR="00976819" w:rsidRPr="003D1FBA">
        <w:rPr>
          <w:rFonts w:ascii="Arial" w:eastAsiaTheme="majorEastAsia" w:hAnsi="Arial" w:cstheme="majorBidi"/>
          <w:sz w:val="24"/>
          <w:szCs w:val="24"/>
        </w:rPr>
        <w:t xml:space="preserve"> a ha</w:t>
      </w:r>
      <w:r>
        <w:rPr>
          <w:rFonts w:ascii="Arial" w:eastAsiaTheme="majorEastAsia" w:hAnsi="Arial" w:cstheme="majorBidi"/>
          <w:sz w:val="24"/>
          <w:szCs w:val="24"/>
        </w:rPr>
        <w:t>b</w:t>
      </w:r>
      <w:r w:rsidR="00976819" w:rsidRPr="003D1FBA">
        <w:rPr>
          <w:rFonts w:ascii="Arial" w:eastAsiaTheme="majorEastAsia" w:hAnsi="Arial" w:cstheme="majorBidi"/>
          <w:sz w:val="24"/>
          <w:szCs w:val="24"/>
        </w:rPr>
        <w:t>er estudi</w:t>
      </w:r>
      <w:r>
        <w:rPr>
          <w:rFonts w:ascii="Arial" w:eastAsiaTheme="majorEastAsia" w:hAnsi="Arial" w:cstheme="majorBidi"/>
          <w:sz w:val="24"/>
          <w:szCs w:val="24"/>
        </w:rPr>
        <w:t>o</w:t>
      </w:r>
      <w:r w:rsidR="00976819" w:rsidRPr="003D1FBA">
        <w:rPr>
          <w:rFonts w:ascii="Arial" w:eastAsiaTheme="majorEastAsia" w:hAnsi="Arial" w:cstheme="majorBidi"/>
          <w:sz w:val="24"/>
          <w:szCs w:val="24"/>
        </w:rPr>
        <w:t>s que analiz</w:t>
      </w:r>
      <w:r>
        <w:rPr>
          <w:rFonts w:ascii="Arial" w:eastAsiaTheme="majorEastAsia" w:hAnsi="Arial" w:cstheme="majorBidi"/>
          <w:sz w:val="24"/>
          <w:szCs w:val="24"/>
        </w:rPr>
        <w:t>a</w:t>
      </w:r>
      <w:r w:rsidR="00976819" w:rsidRPr="003D1FBA">
        <w:rPr>
          <w:rFonts w:ascii="Arial" w:eastAsiaTheme="majorEastAsia" w:hAnsi="Arial" w:cstheme="majorBidi"/>
          <w:sz w:val="24"/>
          <w:szCs w:val="24"/>
        </w:rPr>
        <w:t>n el comportam</w:t>
      </w:r>
      <w:r>
        <w:rPr>
          <w:rFonts w:ascii="Arial" w:eastAsiaTheme="majorEastAsia" w:hAnsi="Arial" w:cstheme="majorBidi"/>
          <w:sz w:val="24"/>
          <w:szCs w:val="24"/>
        </w:rPr>
        <w:t>i</w:t>
      </w:r>
      <w:r w:rsidR="00976819" w:rsidRPr="003D1FBA">
        <w:rPr>
          <w:rFonts w:ascii="Arial" w:eastAsiaTheme="majorEastAsia" w:hAnsi="Arial" w:cstheme="majorBidi"/>
          <w:sz w:val="24"/>
          <w:szCs w:val="24"/>
        </w:rPr>
        <w:t>ent</w:t>
      </w:r>
      <w:r>
        <w:rPr>
          <w:rFonts w:ascii="Arial" w:eastAsiaTheme="majorEastAsia" w:hAnsi="Arial" w:cstheme="majorBidi"/>
          <w:sz w:val="24"/>
          <w:szCs w:val="24"/>
        </w:rPr>
        <w:t>o</w:t>
      </w:r>
      <w:r w:rsidR="00976819" w:rsidRPr="003D1FBA">
        <w:rPr>
          <w:rFonts w:ascii="Arial" w:eastAsiaTheme="majorEastAsia" w:hAnsi="Arial" w:cstheme="majorBidi"/>
          <w:sz w:val="24"/>
          <w:szCs w:val="24"/>
        </w:rPr>
        <w:t xml:space="preserve"> de la R</w:t>
      </w:r>
      <w:r>
        <w:rPr>
          <w:rFonts w:ascii="Arial" w:eastAsiaTheme="majorEastAsia" w:hAnsi="Arial" w:cstheme="majorBidi"/>
          <w:sz w:val="24"/>
          <w:szCs w:val="24"/>
        </w:rPr>
        <w:t>a</w:t>
      </w:r>
      <w:r w:rsidR="00976819" w:rsidRPr="003D1FBA">
        <w:rPr>
          <w:rFonts w:ascii="Arial" w:eastAsiaTheme="majorEastAsia" w:hAnsi="Arial" w:cstheme="majorBidi"/>
          <w:sz w:val="24"/>
          <w:szCs w:val="24"/>
        </w:rPr>
        <w:t xml:space="preserve">tio I/Q en presencia de fatiga. </w:t>
      </w:r>
      <w:r>
        <w:rPr>
          <w:rFonts w:ascii="Arial" w:eastAsiaTheme="majorEastAsia" w:hAnsi="Arial" w:cstheme="majorBidi"/>
          <w:sz w:val="24"/>
          <w:szCs w:val="24"/>
        </w:rPr>
        <w:t>Lo</w:t>
      </w:r>
      <w:r w:rsidR="009B6CDB" w:rsidRPr="003D1FBA">
        <w:rPr>
          <w:rFonts w:ascii="Arial" w:eastAsiaTheme="majorEastAsia" w:hAnsi="Arial" w:cstheme="majorBidi"/>
          <w:sz w:val="24"/>
          <w:szCs w:val="24"/>
        </w:rPr>
        <w:t xml:space="preserve">s </w:t>
      </w:r>
      <w:r>
        <w:rPr>
          <w:rFonts w:ascii="Arial" w:eastAsiaTheme="majorEastAsia" w:hAnsi="Arial" w:cstheme="majorBidi"/>
          <w:sz w:val="24"/>
          <w:szCs w:val="24"/>
        </w:rPr>
        <w:t>c</w:t>
      </w:r>
      <w:r w:rsidR="00E205A3" w:rsidRPr="003D1FBA">
        <w:rPr>
          <w:rFonts w:ascii="Arial" w:eastAsiaTheme="majorEastAsia" w:hAnsi="Arial" w:cstheme="majorBidi"/>
          <w:sz w:val="24"/>
          <w:szCs w:val="24"/>
        </w:rPr>
        <w:t>uatr</w:t>
      </w:r>
      <w:r>
        <w:rPr>
          <w:rFonts w:ascii="Arial" w:eastAsiaTheme="majorEastAsia" w:hAnsi="Arial" w:cstheme="majorBidi"/>
          <w:sz w:val="24"/>
          <w:szCs w:val="24"/>
        </w:rPr>
        <w:t>o</w:t>
      </w:r>
      <w:r w:rsidR="009B6CDB" w:rsidRPr="003D1FBA">
        <w:rPr>
          <w:rFonts w:ascii="Arial" w:eastAsiaTheme="majorEastAsia" w:hAnsi="Arial" w:cstheme="majorBidi"/>
          <w:sz w:val="24"/>
          <w:szCs w:val="24"/>
        </w:rPr>
        <w:t xml:space="preserve"> estudi</w:t>
      </w:r>
      <w:r>
        <w:rPr>
          <w:rFonts w:ascii="Arial" w:eastAsiaTheme="majorEastAsia" w:hAnsi="Arial" w:cstheme="majorBidi"/>
          <w:sz w:val="24"/>
          <w:szCs w:val="24"/>
        </w:rPr>
        <w:t>o</w:t>
      </w:r>
      <w:r w:rsidR="009B6CDB" w:rsidRPr="003D1FBA">
        <w:rPr>
          <w:rFonts w:ascii="Arial" w:eastAsiaTheme="majorEastAsia" w:hAnsi="Arial" w:cstheme="majorBidi"/>
          <w:sz w:val="24"/>
          <w:szCs w:val="24"/>
        </w:rPr>
        <w:t>s que observ</w:t>
      </w:r>
      <w:r>
        <w:rPr>
          <w:rFonts w:ascii="Arial" w:eastAsiaTheme="majorEastAsia" w:hAnsi="Arial" w:cstheme="majorBidi"/>
          <w:sz w:val="24"/>
          <w:szCs w:val="24"/>
        </w:rPr>
        <w:t>a</w:t>
      </w:r>
      <w:r w:rsidR="009B6CDB" w:rsidRPr="003D1FBA">
        <w:rPr>
          <w:rFonts w:ascii="Arial" w:eastAsiaTheme="majorEastAsia" w:hAnsi="Arial" w:cstheme="majorBidi"/>
          <w:sz w:val="24"/>
          <w:szCs w:val="24"/>
        </w:rPr>
        <w:t>n com</w:t>
      </w:r>
      <w:r>
        <w:rPr>
          <w:rFonts w:ascii="Arial" w:eastAsiaTheme="majorEastAsia" w:hAnsi="Arial" w:cstheme="majorBidi"/>
          <w:sz w:val="24"/>
          <w:szCs w:val="24"/>
        </w:rPr>
        <w:t>o</w:t>
      </w:r>
      <w:r w:rsidR="009B6CDB" w:rsidRPr="003D1FBA">
        <w:rPr>
          <w:rFonts w:ascii="Arial" w:eastAsiaTheme="majorEastAsia" w:hAnsi="Arial" w:cstheme="majorBidi"/>
          <w:sz w:val="24"/>
          <w:szCs w:val="24"/>
        </w:rPr>
        <w:t xml:space="preserve"> </w:t>
      </w:r>
      <w:r>
        <w:rPr>
          <w:rFonts w:ascii="Arial" w:eastAsiaTheme="majorEastAsia" w:hAnsi="Arial" w:cstheme="majorBidi"/>
          <w:sz w:val="24"/>
          <w:szCs w:val="24"/>
        </w:rPr>
        <w:t>se</w:t>
      </w:r>
      <w:r w:rsidR="009B6CDB" w:rsidRPr="003D1FBA">
        <w:rPr>
          <w:rFonts w:ascii="Arial" w:eastAsiaTheme="majorEastAsia" w:hAnsi="Arial" w:cstheme="majorBidi"/>
          <w:sz w:val="24"/>
          <w:szCs w:val="24"/>
        </w:rPr>
        <w:t xml:space="preserve"> comporta la R</w:t>
      </w:r>
      <w:r>
        <w:rPr>
          <w:rFonts w:ascii="Arial" w:eastAsiaTheme="majorEastAsia" w:hAnsi="Arial" w:cstheme="majorBidi"/>
          <w:sz w:val="24"/>
          <w:szCs w:val="24"/>
        </w:rPr>
        <w:t>a</w:t>
      </w:r>
      <w:r w:rsidR="009B6CDB" w:rsidRPr="003D1FBA">
        <w:rPr>
          <w:rFonts w:ascii="Arial" w:eastAsiaTheme="majorEastAsia" w:hAnsi="Arial" w:cstheme="majorBidi"/>
          <w:sz w:val="24"/>
          <w:szCs w:val="24"/>
        </w:rPr>
        <w:t>tio I/Q en pres</w:t>
      </w:r>
      <w:r>
        <w:rPr>
          <w:rFonts w:ascii="Arial" w:eastAsiaTheme="majorEastAsia" w:hAnsi="Arial" w:cstheme="majorBidi"/>
          <w:sz w:val="24"/>
          <w:szCs w:val="24"/>
        </w:rPr>
        <w:t>e</w:t>
      </w:r>
      <w:r w:rsidR="009B6CDB" w:rsidRPr="003D1FBA">
        <w:rPr>
          <w:rFonts w:ascii="Arial" w:eastAsiaTheme="majorEastAsia" w:hAnsi="Arial" w:cstheme="majorBidi"/>
          <w:sz w:val="24"/>
          <w:szCs w:val="24"/>
        </w:rPr>
        <w:t>ncia de fatiga han esta</w:t>
      </w:r>
      <w:r w:rsidR="001A097F">
        <w:rPr>
          <w:rFonts w:ascii="Arial" w:eastAsiaTheme="majorEastAsia" w:hAnsi="Arial" w:cstheme="majorBidi"/>
          <w:sz w:val="24"/>
          <w:szCs w:val="24"/>
        </w:rPr>
        <w:t>do</w:t>
      </w:r>
      <w:r w:rsidR="009B6CDB" w:rsidRPr="003D1FBA">
        <w:rPr>
          <w:rFonts w:ascii="Arial" w:eastAsiaTheme="majorEastAsia" w:hAnsi="Arial" w:cstheme="majorBidi"/>
          <w:sz w:val="24"/>
          <w:szCs w:val="24"/>
        </w:rPr>
        <w:t xml:space="preserve"> realiza</w:t>
      </w:r>
      <w:r w:rsidR="001A097F">
        <w:rPr>
          <w:rFonts w:ascii="Arial" w:eastAsiaTheme="majorEastAsia" w:hAnsi="Arial" w:cstheme="majorBidi"/>
          <w:sz w:val="24"/>
          <w:szCs w:val="24"/>
        </w:rPr>
        <w:t>do</w:t>
      </w:r>
      <w:r w:rsidR="009B6CDB" w:rsidRPr="003D1FBA">
        <w:rPr>
          <w:rFonts w:ascii="Arial" w:eastAsiaTheme="majorEastAsia" w:hAnsi="Arial" w:cstheme="majorBidi"/>
          <w:sz w:val="24"/>
          <w:szCs w:val="24"/>
        </w:rPr>
        <w:t xml:space="preserve">s </w:t>
      </w:r>
      <w:r w:rsidR="001A097F">
        <w:rPr>
          <w:rFonts w:ascii="Arial" w:eastAsiaTheme="majorEastAsia" w:hAnsi="Arial" w:cstheme="majorBidi"/>
          <w:sz w:val="24"/>
          <w:szCs w:val="24"/>
        </w:rPr>
        <w:t>con</w:t>
      </w:r>
      <w:r w:rsidR="009B6CDB"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de</w:t>
      </w:r>
      <w:r w:rsidR="009B6CDB" w:rsidRPr="003D1FBA">
        <w:rPr>
          <w:rFonts w:ascii="Arial" w:eastAsiaTheme="majorEastAsia" w:hAnsi="Arial" w:cstheme="majorBidi"/>
          <w:sz w:val="24"/>
          <w:szCs w:val="24"/>
        </w:rPr>
        <w:t>portist</w:t>
      </w:r>
      <w:r w:rsidR="001A097F">
        <w:rPr>
          <w:rFonts w:ascii="Arial" w:eastAsiaTheme="majorEastAsia" w:hAnsi="Arial" w:cstheme="majorBidi"/>
          <w:sz w:val="24"/>
          <w:szCs w:val="24"/>
        </w:rPr>
        <w:t>a</w:t>
      </w:r>
      <w:r w:rsidR="009B6CDB" w:rsidRPr="003D1FBA">
        <w:rPr>
          <w:rFonts w:ascii="Arial" w:eastAsiaTheme="majorEastAsia" w:hAnsi="Arial" w:cstheme="majorBidi"/>
          <w:sz w:val="24"/>
          <w:szCs w:val="24"/>
        </w:rPr>
        <w:t xml:space="preserve">s </w:t>
      </w:r>
      <w:r w:rsidR="00BB6AAA" w:rsidRPr="003D1FBA">
        <w:rPr>
          <w:rFonts w:ascii="Arial" w:eastAsiaTheme="majorEastAsia" w:hAnsi="Arial" w:cstheme="majorBidi"/>
          <w:sz w:val="24"/>
          <w:szCs w:val="24"/>
        </w:rPr>
        <w:t>de g</w:t>
      </w:r>
      <w:r w:rsidR="001A097F">
        <w:rPr>
          <w:rFonts w:ascii="Arial" w:eastAsiaTheme="majorEastAsia" w:hAnsi="Arial" w:cstheme="majorBidi"/>
          <w:sz w:val="24"/>
          <w:szCs w:val="24"/>
        </w:rPr>
        <w:t>é</w:t>
      </w:r>
      <w:r w:rsidR="00BB6AAA" w:rsidRPr="003D1FBA">
        <w:rPr>
          <w:rFonts w:ascii="Arial" w:eastAsiaTheme="majorEastAsia" w:hAnsi="Arial" w:cstheme="majorBidi"/>
          <w:sz w:val="24"/>
          <w:szCs w:val="24"/>
        </w:rPr>
        <w:t>ner</w:t>
      </w:r>
      <w:r w:rsidR="001A097F">
        <w:rPr>
          <w:rFonts w:ascii="Arial" w:eastAsiaTheme="majorEastAsia" w:hAnsi="Arial" w:cstheme="majorBidi"/>
          <w:sz w:val="24"/>
          <w:szCs w:val="24"/>
        </w:rPr>
        <w:t>o</w:t>
      </w:r>
      <w:r w:rsidR="00BB6AAA" w:rsidRPr="003D1FBA">
        <w:rPr>
          <w:rFonts w:ascii="Arial" w:eastAsiaTheme="majorEastAsia" w:hAnsi="Arial" w:cstheme="majorBidi"/>
          <w:sz w:val="24"/>
          <w:szCs w:val="24"/>
        </w:rPr>
        <w:t xml:space="preserve"> mascul</w:t>
      </w:r>
      <w:r w:rsidR="001A097F">
        <w:rPr>
          <w:rFonts w:ascii="Arial" w:eastAsiaTheme="majorEastAsia" w:hAnsi="Arial" w:cstheme="majorBidi"/>
          <w:sz w:val="24"/>
          <w:szCs w:val="24"/>
        </w:rPr>
        <w:t>ino</w:t>
      </w:r>
      <w:r w:rsidR="009B6CDB" w:rsidRPr="003D1FBA">
        <w:rPr>
          <w:rFonts w:ascii="Arial" w:eastAsiaTheme="majorEastAsia" w:hAnsi="Arial" w:cstheme="majorBidi"/>
          <w:sz w:val="24"/>
          <w:szCs w:val="24"/>
        </w:rPr>
        <w:t>, tres relaciona</w:t>
      </w:r>
      <w:r w:rsidR="001A097F">
        <w:rPr>
          <w:rFonts w:ascii="Arial" w:eastAsiaTheme="majorEastAsia" w:hAnsi="Arial" w:cstheme="majorBidi"/>
          <w:sz w:val="24"/>
          <w:szCs w:val="24"/>
        </w:rPr>
        <w:t>do</w:t>
      </w:r>
      <w:r w:rsidR="009B6CDB" w:rsidRPr="003D1FBA">
        <w:rPr>
          <w:rFonts w:ascii="Arial" w:eastAsiaTheme="majorEastAsia" w:hAnsi="Arial" w:cstheme="majorBidi"/>
          <w:sz w:val="24"/>
          <w:szCs w:val="24"/>
        </w:rPr>
        <w:t xml:space="preserve">s </w:t>
      </w:r>
      <w:r w:rsidR="001A097F">
        <w:rPr>
          <w:rFonts w:ascii="Arial" w:eastAsiaTheme="majorEastAsia" w:hAnsi="Arial" w:cstheme="majorBidi"/>
          <w:sz w:val="24"/>
          <w:szCs w:val="24"/>
        </w:rPr>
        <w:t>con</w:t>
      </w:r>
      <w:r w:rsidR="009B6CDB" w:rsidRPr="003D1FBA">
        <w:rPr>
          <w:rFonts w:ascii="Arial" w:eastAsiaTheme="majorEastAsia" w:hAnsi="Arial" w:cstheme="majorBidi"/>
          <w:sz w:val="24"/>
          <w:szCs w:val="24"/>
        </w:rPr>
        <w:t xml:space="preserve"> futbol </w:t>
      </w:r>
      <w:r w:rsidR="009A7CCC" w:rsidRPr="003D1FBA">
        <w:rPr>
          <w:rFonts w:ascii="Arial" w:eastAsiaTheme="majorEastAsia" w:hAnsi="Arial" w:cstheme="majorBidi"/>
          <w:sz w:val="24"/>
          <w:szCs w:val="24"/>
        </w:rPr>
        <w:fldChar w:fldCharType="begin" w:fldLock="1"/>
      </w:r>
      <w:r w:rsidR="00EE7DE8" w:rsidRPr="003D1FBA">
        <w:rPr>
          <w:rFonts w:ascii="Arial" w:eastAsiaTheme="majorEastAsia" w:hAnsi="Arial" w:cstheme="majorBidi"/>
          <w:sz w:val="24"/>
          <w:szCs w:val="24"/>
        </w:rPr>
        <w:instrText>ADDIN CSL_CITATION {"citationItems":[{"id":"ITEM-1","itemData":{"DOI":"10.1111/ijlh.12426","ISBN":"0000000154871","ISSN":"18196608","PMID":"27935037","author":[{"dropping-particle":"","family":"Pinto","given":"MD","non-dropping-particle":"","parse-names":false,"suffix":""},{"dropping-particle":"","family":"Blazevich","given":"AJ","non-dropping-particle":"","parse-names":false,"suffix":""},{"dropping-particle":"","family":"Andersen","given":"LL","non-dropping-particle":"","parse-names":false,"suffix":""},{"dropping-particle":"","family":"Mil-Homens","given":"P","non-dropping-particle":"","parse-names":false,"suffix":""},{"dropping-particle":"","family":"Pinto","given":"RS","non-dropping-particle":"","parse-names":false,"suffix":""}],"container-title":"Scand J Med Sci Sports","id":"ITEM-1","issue":"1","issued":{"date-parts":[["2017"]]},"page":"282-93","title":"Hamstring-to-quadriceps fatigue ratio offers new and different muscle function information than the conventional non-fatigued ratio.","type":"article-journal","volume":"28"},"uris":["http://www.mendeley.com/documents/?uuid=a608714a-9cb8-4efa-b84a-84d04532d17a"]},{"id":"ITEM-2","itemData":{"DOI":"10.1055/s-0029-1243642","ISBN":"1439-3964 (Electronic)\\r0172-4622 (Linking)","ISSN":"01724622","PMID":"20157872","abstract":"The aim of this study was to investigate the effects of fatigue induced by a field test representative of soccer specific movements on different hamstrings:quadriceps ratios in the dominant and non-dominant legs at two different velocities. Eight male football players (age: 21.3+/-2.3 years; height: 178+/-8 cm; body mass: 78+/-9 kg; playing level: British University Southern conference-3B) performed a pre-test to assess the concentric and eccentric strength of the hamstrings and the quadriceps at 60 degrees x s(-1) and 180 degrees x s(-1), The Loughborough Intermittent Shuttle Test (LIST) to simulate soccer, and a post-test similar to the pre-test. The main findings demonstrated significant decreases in the H(con):Q(con) ratio (calculated as the maximal concentric hamstrings strength divided by the maximal concentric quadriceps strength) in the dominant leg at 180 degrees x s(-1) and in the functional ratio H(ecc):Q(con) (calculated as the maximal eccentric hamstrings strength divided by the maximal concentric quadriceps strength) in the dominant leg at 60 degrees x s(-1) and 180 degrees x s(-1). In addition, significant correlations were observed between physiological parameters measured during the soccer-specific exercise and H(ecc):Q(con) only. These results suggested that the functional H(ecc):Q(con) ratio is more representative of fatigue induced by soccer than the conventional H(con):Q(con) ratio. Eccentric strength training at high velocities may be necessary to reduce injury risk in soccer players.","author":[{"dropping-particle":"","family":"Delextrat","given":"A.","non-dropping-particle":"","parse-names":false,"suffix":""},{"dropping-particle":"","family":"Gregory","given":"J.","non-dropping-particle":"","parse-names":false,"suffix":""},{"dropping-particle":"","family":"Cohen","given":"D.","non-dropping-particle":"","parse-names":false,"suffix":""}],"container-title":"Int J Sports Med","id":"ITEM-2","issue":"3","issued":{"date-parts":[["2010"]]},"page":"192-7","title":"The use of the functional H:Q ratio to assess fatigue in soccer","type":"article-journal","volume":"31"},"uris":["http://www.mendeley.com/documents/?uuid=45695159-8432-46ab-a610-3e945a001d0e"]},{"id":"ITEM-3","itemData":{"DOI":"10.1080/0264041031000140428","ISBN":"0264-0414 (Print)\\r0264-0414 (Linking)","ISSN":"02640414","PMID":"14626373","abstract":"Fatigue represents a reduction in the capability of muscle to generate force. The aim of the present study was to establish the effects of exercise that simulates the work rate of competitive soccer players on the strength of the knee extensors and knee flexors. Thirteen amateur soccer players (age 23.3+/-3.9 years, height 1.78+/-0.05 m, body mass 74.8+/-3.6 kg; mean+/-s) were tested during the 2000-2001 soccer season. Muscle strength of the quadriceps and hamstrings was measured on an isokinetic dynamometer. A 90 min soccer-specific intermittent exercise protocol, incorporating a 15 min half-time intermission, was developed to provide fatiguing exercise corresponding in work rate to a game of soccer. The exercise protocol, performed on a programmable motorized treadmill, consisted of the different intensities observed during soccer match-play (e.g. walking, jogging, running, sprinting). Muscle strength was assessed before exercise, at half-time and immediately after exercise. A repeated-measures analysis of variance showed significant reductions (P &lt; 0.001) in peak torque for both the quadriceps and hamstrings at all angular velocities (concentric: 1.05, 2.09, 5.23 rad x s(-1); eccentric: 2.09 rad x s(-1)). The peak torque of the knee extensors (KE) and knee flexors (KF) was greater before exercise [KE: 232+/-37, 182+/-34, 129+/-27, 219+/-41 N x m at 1.05, 2.09 and 5.23 rad x s(-1) (concentric) and 2.09 rad x s(-1) (eccentric), respectively; KF: 126+/-20, 112+/-19, 101+/-16, 137+/-23 N x m] than at half-time (KE: 209+/-45, 177+/-35, 125+/-36, 214+/-43 N x m; KF: 114+/-31, 102+/-20, 92+/-15, 125+/-25 N x m) and greater at half-time than after exercise (KE: 196+/-43, 167+/-35, 118+/-24, 204+/-43 N x m; KF: 104+/-25, 95+/-21, 87+/-13, 114+/-27 N x m). For the hamstrings:quadriceps ratio, significant changes were found (P &lt; 0.05) for both legs, the ratio being greater before than after exercise. For fast:slow speed and left:right ratios, no significant changes were found. We conclude that there is a progressive reduction in muscle strength that applies across a range of functional characteristics during exercise that mimics the work rate in soccer.","author":[{"dropping-particle":"","family":"Rahnama","given":"Nader","non-dropping-particle":"","parse-names":false,"suffix":""},{"dropping-particle":"","family":"Reilly","given":"T.","non-dropping-particle":"","parse-names":false,"suffix":""},{"dropping-particle":"","family":"Lees","given":"A.","non-dropping-particle":"","parse-names":false,"suffix":""},{"dropping-particle":"","family":"Graham-Smith","given":"P.","non-dropping-particle":"","parse-names":false,"suffix":""}],"container-title":"J Sports Sci","id":"ITEM-3","issue":"11","issued":{"date-parts":[["2003"]]},"page":"933-42","title":"Muscle fatigue induced by exercise simulating the work rate of competitive soccer","type":"article-journal","volume":"21"},"uris":["http://www.mendeley.com/documents/?uuid=90482cd4-c6c5-43ff-aeb7-45af4e0e6ff3"]}],"mendeley":{"formattedCitation":"(15,24,29)","manualFormatting":"15,24,29","plainTextFormattedCitation":"(15,24,29)","previouslyFormattedCitation":"(15,24,29)"},"properties":{"noteIndex":0},"schema":"https://github.com/citation-style-language/schema/raw/master/csl-citation.json"}</w:instrText>
      </w:r>
      <w:r w:rsidR="009A7CCC" w:rsidRPr="003D1FBA">
        <w:rPr>
          <w:rFonts w:ascii="Arial" w:eastAsiaTheme="majorEastAsia" w:hAnsi="Arial" w:cstheme="majorBidi"/>
          <w:sz w:val="24"/>
          <w:szCs w:val="24"/>
        </w:rPr>
        <w:fldChar w:fldCharType="separate"/>
      </w:r>
      <w:r w:rsidR="007E2E79" w:rsidRPr="003D1FBA">
        <w:rPr>
          <w:rFonts w:ascii="Arial" w:eastAsiaTheme="majorEastAsia" w:hAnsi="Arial" w:cstheme="majorBidi"/>
          <w:noProof/>
          <w:sz w:val="24"/>
          <w:szCs w:val="24"/>
          <w:vertAlign w:val="superscript"/>
        </w:rPr>
        <w:t>15,24,29</w:t>
      </w:r>
      <w:r w:rsidR="009A7CCC" w:rsidRPr="003D1FBA">
        <w:rPr>
          <w:rFonts w:ascii="Arial" w:eastAsiaTheme="majorEastAsia" w:hAnsi="Arial" w:cstheme="majorBidi"/>
          <w:sz w:val="24"/>
          <w:szCs w:val="24"/>
        </w:rPr>
        <w:fldChar w:fldCharType="end"/>
      </w:r>
      <w:r w:rsidR="009B6CDB"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y</w:t>
      </w:r>
      <w:r w:rsidR="009B6CDB" w:rsidRPr="003D1FBA">
        <w:rPr>
          <w:rFonts w:ascii="Arial" w:eastAsiaTheme="majorEastAsia" w:hAnsi="Arial" w:cstheme="majorBidi"/>
          <w:sz w:val="24"/>
          <w:szCs w:val="24"/>
        </w:rPr>
        <w:t xml:space="preserve"> un</w:t>
      </w:r>
      <w:r w:rsidR="001A097F">
        <w:rPr>
          <w:rFonts w:ascii="Arial" w:eastAsiaTheme="majorEastAsia" w:hAnsi="Arial" w:cstheme="majorBidi"/>
          <w:sz w:val="24"/>
          <w:szCs w:val="24"/>
        </w:rPr>
        <w:t>o</w:t>
      </w:r>
      <w:r w:rsidR="009B6CDB"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 xml:space="preserve">con </w:t>
      </w:r>
      <w:r w:rsidR="001A097F" w:rsidRPr="003D1FBA">
        <w:rPr>
          <w:rFonts w:ascii="Arial" w:eastAsiaTheme="majorEastAsia" w:hAnsi="Arial" w:cstheme="majorBidi"/>
          <w:sz w:val="24"/>
          <w:szCs w:val="24"/>
        </w:rPr>
        <w:t>jóve</w:t>
      </w:r>
      <w:r w:rsidR="001A097F">
        <w:rPr>
          <w:rFonts w:ascii="Arial" w:eastAsiaTheme="majorEastAsia" w:hAnsi="Arial" w:cstheme="majorBidi"/>
          <w:sz w:val="24"/>
          <w:szCs w:val="24"/>
        </w:rPr>
        <w:t>ne</w:t>
      </w:r>
      <w:r w:rsidR="001A097F" w:rsidRPr="003D1FBA">
        <w:rPr>
          <w:rFonts w:ascii="Arial" w:eastAsiaTheme="majorEastAsia" w:hAnsi="Arial" w:cstheme="majorBidi"/>
          <w:sz w:val="24"/>
          <w:szCs w:val="24"/>
        </w:rPr>
        <w:t>s</w:t>
      </w:r>
      <w:r w:rsidR="009B6CDB" w:rsidRPr="003D1FBA">
        <w:rPr>
          <w:rFonts w:ascii="Arial" w:eastAsiaTheme="majorEastAsia" w:hAnsi="Arial" w:cstheme="majorBidi"/>
          <w:sz w:val="24"/>
          <w:szCs w:val="24"/>
        </w:rPr>
        <w:t xml:space="preserve"> acti</w:t>
      </w:r>
      <w:r w:rsidR="001A097F">
        <w:rPr>
          <w:rFonts w:ascii="Arial" w:eastAsiaTheme="majorEastAsia" w:hAnsi="Arial" w:cstheme="majorBidi"/>
          <w:sz w:val="24"/>
          <w:szCs w:val="24"/>
        </w:rPr>
        <w:t>vo</w:t>
      </w:r>
      <w:r w:rsidR="009B6CDB" w:rsidRPr="003D1FBA">
        <w:rPr>
          <w:rFonts w:ascii="Arial" w:eastAsiaTheme="majorEastAsia" w:hAnsi="Arial" w:cstheme="majorBidi"/>
          <w:sz w:val="24"/>
          <w:szCs w:val="24"/>
        </w:rPr>
        <w:t>s</w:t>
      </w:r>
      <w:r w:rsidR="00EE7DE8" w:rsidRPr="003D1FBA">
        <w:rPr>
          <w:rFonts w:ascii="Arial" w:eastAsiaTheme="majorEastAsia" w:hAnsi="Arial" w:cstheme="majorBidi"/>
          <w:sz w:val="24"/>
          <w:szCs w:val="24"/>
        </w:rPr>
        <w:t>.</w:t>
      </w:r>
      <w:r w:rsidR="009A7CCC" w:rsidRPr="003D1FBA">
        <w:rPr>
          <w:rFonts w:ascii="Arial" w:eastAsiaTheme="majorEastAsia" w:hAnsi="Arial" w:cstheme="majorBidi"/>
          <w:sz w:val="24"/>
          <w:szCs w:val="24"/>
          <w:vertAlign w:val="superscript"/>
        </w:rPr>
        <w:fldChar w:fldCharType="begin" w:fldLock="1"/>
      </w:r>
      <w:r w:rsidR="00EE7DE8" w:rsidRPr="003D1FBA">
        <w:rPr>
          <w:rFonts w:ascii="Arial" w:eastAsiaTheme="majorEastAsia" w:hAnsi="Arial" w:cstheme="majorBidi"/>
          <w:sz w:val="24"/>
          <w:szCs w:val="24"/>
          <w:vertAlign w:val="superscript"/>
        </w:rPr>
        <w:instrText>ADDIN CSL_CITATION {"citationItems":[{"id":"ITEM-1","itemData":{"DOI":"10.1111/sms.13261","ISSN":"16000838","PMID":"29981192","abstract":"The effect of football-specific fatigue on explosive neuromuscular performance and dynamic balance has received little attention in the literature despite the potential consequences for injury risk. This study aimed to investigate the effect of fatigue induced by simulated football match play on maximal and explosive knee flexor (KF) and knee extensor (KE) torque, and thus the maximal and explosive KF/KE ratio, as well as the effect of fatigue induced by simulated football match play on whole-body response to disturbances in balance. Fifteen male team sports players (mean +/- SD: age 24.2 +/- 4.2 years; stature 1.79 +/- 0.09 m; body mass, 77.3 +/- 10.7 kg) underwent ~90 minutes of the modified Loughborough Intermittent Shuttle Test (LIST; fatiguing exercise condition) or seated rest (control condition) on separate days. Maximal and explosive isometric KF and KE voluntary torque (MVT/EVT) were assessed pre- and post-condition. Maximal and explosive KF/KE ratios were calculated. Center of mass (COM) response (displacement) to unexpected anterior and posterior platform perturbations were also assessed pre- and post-condition. Football simulated fatigue resulted in reduced KF (15%) and KE (12%) MVT (P &lt;/= 0.002) but was not found to reduce EVT of either muscle group, or explosive KF/KE ratio. Football simulated fatigue resulted in impaired balance response (11% increase in COM displacement) to unexpected perturbation in the posterior (P = 0.002) but not the anterior direction. Impaired response to dynamic disturbances in balance, rather than explosive torque or changes in muscle balance (H/Q ratios), may be a contributory factor toward increased injury risk in the latter portion of football games, and likely highlights the influence of fatigue on sensory/proprioceptive processes.","author":[{"dropping-particle":"","family":"Behan","given":"Fearghal P.","non-dropping-particle":"","parse-names":false,"suffix":""},{"dropping-particle":"","family":"Willis","given":"Scott","non-dropping-particle":"","parse-names":false,"suffix":""},{"dropping-particle":"","family":"Pain","given":"Matt T.G.","non-dropping-particle":"","parse-names":false,"suffix":""},{"dropping-particle":"","family":"Folland","given":"Jonathan P.","non-dropping-particle":"","parse-names":false,"suffix":""}],"container-title":"Scand J Med Sci Sports","id":"ITEM-1","issue":"12","issued":{"date-parts":[["2018"]]},"page":"2547-57","title":"Effects of football simulated fatigue on neuromuscular function and whole-body response to disturbances in balance","type":"article-journal","volume":"28"},"uris":["http://www.mendeley.com/documents/?uuid=84dbcb29-0f43-45ea-a567-d6ec073cb5f5"]}],"mendeley":{"formattedCitation":"(23)","manualFormatting":"23","plainTextFormattedCitation":"(23)","previouslyFormattedCitation":"(23)"},"properties":{"noteIndex":0},"schema":"https://github.com/citation-style-language/schema/raw/master/csl-citation.json"}</w:instrText>
      </w:r>
      <w:r w:rsidR="009A7CCC" w:rsidRPr="003D1FBA">
        <w:rPr>
          <w:rFonts w:ascii="Arial" w:eastAsiaTheme="majorEastAsia" w:hAnsi="Arial" w:cstheme="majorBidi"/>
          <w:sz w:val="24"/>
          <w:szCs w:val="24"/>
          <w:vertAlign w:val="superscript"/>
        </w:rPr>
        <w:fldChar w:fldCharType="separate"/>
      </w:r>
      <w:r w:rsidR="009A7CCC" w:rsidRPr="003D1FBA">
        <w:rPr>
          <w:rFonts w:ascii="Arial" w:eastAsiaTheme="majorEastAsia" w:hAnsi="Arial" w:cstheme="majorBidi"/>
          <w:noProof/>
          <w:sz w:val="24"/>
          <w:szCs w:val="24"/>
          <w:vertAlign w:val="superscript"/>
        </w:rPr>
        <w:t>23</w:t>
      </w:r>
      <w:r w:rsidR="009A7CCC" w:rsidRPr="003D1FBA">
        <w:rPr>
          <w:rFonts w:ascii="Arial" w:eastAsiaTheme="majorEastAsia" w:hAnsi="Arial" w:cstheme="majorBidi"/>
          <w:sz w:val="24"/>
          <w:szCs w:val="24"/>
          <w:vertAlign w:val="superscript"/>
        </w:rPr>
        <w:fldChar w:fldCharType="end"/>
      </w:r>
      <w:r w:rsidR="00B01AAC"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Lo</w:t>
      </w:r>
      <w:r w:rsidR="00B01AAC" w:rsidRPr="003D1FBA">
        <w:rPr>
          <w:rFonts w:ascii="Arial" w:eastAsiaTheme="majorEastAsia" w:hAnsi="Arial" w:cstheme="majorBidi"/>
          <w:sz w:val="24"/>
          <w:szCs w:val="24"/>
        </w:rPr>
        <w:t>s auto</w:t>
      </w:r>
      <w:r w:rsidR="00E205A3" w:rsidRPr="003D1FBA">
        <w:rPr>
          <w:rFonts w:ascii="Arial" w:eastAsiaTheme="majorEastAsia" w:hAnsi="Arial" w:cstheme="majorBidi"/>
          <w:sz w:val="24"/>
          <w:szCs w:val="24"/>
        </w:rPr>
        <w:t>r</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s Pinto et al</w:t>
      </w:r>
      <w:r w:rsidR="00E205A3" w:rsidRPr="003D1FBA">
        <w:rPr>
          <w:rFonts w:ascii="Arial" w:eastAsiaTheme="majorEastAsia" w:hAnsi="Arial" w:cstheme="majorBidi"/>
          <w:sz w:val="24"/>
          <w:szCs w:val="24"/>
        </w:rPr>
        <w:t>.</w:t>
      </w:r>
      <w:r w:rsidR="00B01AAC" w:rsidRPr="003D1FBA">
        <w:rPr>
          <w:rFonts w:ascii="Arial" w:eastAsiaTheme="majorEastAsia" w:hAnsi="Arial" w:cstheme="majorBidi"/>
          <w:sz w:val="24"/>
          <w:szCs w:val="24"/>
        </w:rPr>
        <w:t xml:space="preserve"> 2017 </w:t>
      </w:r>
      <w:r w:rsidR="001A097F">
        <w:rPr>
          <w:rFonts w:ascii="Arial" w:eastAsiaTheme="majorEastAsia" w:hAnsi="Arial" w:cstheme="majorBidi"/>
          <w:sz w:val="24"/>
          <w:szCs w:val="24"/>
        </w:rPr>
        <w:t>y</w:t>
      </w:r>
      <w:r w:rsidR="00B01AAC" w:rsidRPr="003D1FBA">
        <w:rPr>
          <w:rFonts w:ascii="Arial" w:eastAsiaTheme="majorEastAsia" w:hAnsi="Arial" w:cstheme="majorBidi"/>
          <w:sz w:val="24"/>
          <w:szCs w:val="24"/>
        </w:rPr>
        <w:t xml:space="preserve"> Rahnama et al</w:t>
      </w:r>
      <w:r w:rsidR="00E205A3" w:rsidRPr="003D1FBA">
        <w:rPr>
          <w:rFonts w:ascii="Arial" w:eastAsiaTheme="majorEastAsia" w:hAnsi="Arial" w:cstheme="majorBidi"/>
          <w:sz w:val="24"/>
          <w:szCs w:val="24"/>
        </w:rPr>
        <w:t>.</w:t>
      </w:r>
      <w:r w:rsidR="00B01AAC" w:rsidRPr="003D1FBA">
        <w:rPr>
          <w:rFonts w:ascii="Arial" w:eastAsiaTheme="majorEastAsia" w:hAnsi="Arial" w:cstheme="majorBidi"/>
          <w:sz w:val="24"/>
          <w:szCs w:val="24"/>
        </w:rPr>
        <w:t xml:space="preserve"> 2003, </w:t>
      </w:r>
      <w:r w:rsidR="001A097F">
        <w:rPr>
          <w:rFonts w:ascii="Arial" w:eastAsiaTheme="majorEastAsia" w:hAnsi="Arial" w:cstheme="majorBidi"/>
          <w:sz w:val="24"/>
          <w:szCs w:val="24"/>
        </w:rPr>
        <w:t>encontraron</w:t>
      </w:r>
      <w:r w:rsidR="00B01AAC" w:rsidRPr="003D1FBA">
        <w:rPr>
          <w:rFonts w:ascii="Arial" w:eastAsiaTheme="majorEastAsia" w:hAnsi="Arial" w:cstheme="majorBidi"/>
          <w:sz w:val="24"/>
          <w:szCs w:val="24"/>
        </w:rPr>
        <w:t xml:space="preserve"> difer</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nci</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s en la R</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tio I/Q en pres</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ncia de fatiga. El primer grup</w:t>
      </w:r>
      <w:r w:rsidR="001A097F">
        <w:rPr>
          <w:rFonts w:ascii="Arial" w:eastAsiaTheme="majorEastAsia" w:hAnsi="Arial" w:cstheme="majorBidi"/>
          <w:sz w:val="24"/>
          <w:szCs w:val="24"/>
        </w:rPr>
        <w:t>o</w:t>
      </w:r>
      <w:r w:rsidR="00B01AAC" w:rsidRPr="003D1FBA">
        <w:rPr>
          <w:rFonts w:ascii="Arial" w:eastAsiaTheme="majorEastAsia" w:hAnsi="Arial" w:cstheme="majorBidi"/>
          <w:sz w:val="24"/>
          <w:szCs w:val="24"/>
        </w:rPr>
        <w:t xml:space="preserve"> d</w:t>
      </w:r>
      <w:r w:rsidR="001A097F">
        <w:rPr>
          <w:rFonts w:ascii="Arial" w:eastAsiaTheme="majorEastAsia" w:hAnsi="Arial" w:cstheme="majorBidi"/>
          <w:sz w:val="24"/>
          <w:szCs w:val="24"/>
        </w:rPr>
        <w:t xml:space="preserve">e </w:t>
      </w:r>
      <w:r w:rsidR="00B01AAC" w:rsidRPr="003D1FBA">
        <w:rPr>
          <w:rFonts w:ascii="Arial" w:eastAsiaTheme="majorEastAsia" w:hAnsi="Arial" w:cstheme="majorBidi"/>
          <w:sz w:val="24"/>
          <w:szCs w:val="24"/>
        </w:rPr>
        <w:t>autor</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 xml:space="preserve">s </w:t>
      </w:r>
      <w:r w:rsidR="001A097F">
        <w:rPr>
          <w:rFonts w:ascii="Arial" w:eastAsiaTheme="majorEastAsia" w:hAnsi="Arial" w:cstheme="majorBidi"/>
          <w:sz w:val="24"/>
          <w:szCs w:val="24"/>
        </w:rPr>
        <w:t>hicieron</w:t>
      </w:r>
      <w:r w:rsidR="00B01AAC" w:rsidRPr="003D1FBA">
        <w:rPr>
          <w:rFonts w:ascii="Arial" w:eastAsiaTheme="majorEastAsia" w:hAnsi="Arial" w:cstheme="majorBidi"/>
          <w:sz w:val="24"/>
          <w:szCs w:val="24"/>
        </w:rPr>
        <w:t xml:space="preserve"> un test de 30 repeticion</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s m</w:t>
      </w:r>
      <w:r w:rsidR="001A097F">
        <w:rPr>
          <w:rFonts w:ascii="Arial" w:eastAsiaTheme="majorEastAsia" w:hAnsi="Arial" w:cstheme="majorBidi"/>
          <w:sz w:val="24"/>
          <w:szCs w:val="24"/>
        </w:rPr>
        <w:t>á</w:t>
      </w:r>
      <w:r w:rsidR="00B01AAC" w:rsidRPr="003D1FBA">
        <w:rPr>
          <w:rFonts w:ascii="Arial" w:eastAsiaTheme="majorEastAsia" w:hAnsi="Arial" w:cstheme="majorBidi"/>
          <w:sz w:val="24"/>
          <w:szCs w:val="24"/>
        </w:rPr>
        <w:t>xim</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s</w:t>
      </w:r>
      <w:r w:rsidR="00AA3A67" w:rsidRPr="003D1FBA">
        <w:rPr>
          <w:rFonts w:ascii="Arial" w:eastAsiaTheme="majorEastAsia" w:hAnsi="Arial" w:cstheme="majorBidi"/>
          <w:sz w:val="24"/>
          <w:szCs w:val="24"/>
        </w:rPr>
        <w:t xml:space="preserve"> d</w:t>
      </w:r>
      <w:r w:rsidR="001A097F">
        <w:rPr>
          <w:rFonts w:ascii="Arial" w:eastAsiaTheme="majorEastAsia" w:hAnsi="Arial" w:cstheme="majorBidi"/>
          <w:sz w:val="24"/>
          <w:szCs w:val="24"/>
        </w:rPr>
        <w:t xml:space="preserve">e </w:t>
      </w:r>
      <w:r w:rsidR="00AA3A67" w:rsidRPr="003D1FBA">
        <w:rPr>
          <w:rFonts w:ascii="Arial" w:eastAsiaTheme="majorEastAsia" w:hAnsi="Arial" w:cstheme="majorBidi"/>
          <w:sz w:val="24"/>
          <w:szCs w:val="24"/>
        </w:rPr>
        <w:t>extensió</w:t>
      </w:r>
      <w:r w:rsidR="001A097F">
        <w:rPr>
          <w:rFonts w:ascii="Arial" w:eastAsiaTheme="majorEastAsia" w:hAnsi="Arial" w:cstheme="majorBidi"/>
          <w:sz w:val="24"/>
          <w:szCs w:val="24"/>
        </w:rPr>
        <w:t>n</w:t>
      </w:r>
      <w:r w:rsidR="00AA3A67"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y</w:t>
      </w:r>
      <w:r w:rsidR="00AA3A67" w:rsidRPr="003D1FBA">
        <w:rPr>
          <w:rFonts w:ascii="Arial" w:eastAsiaTheme="majorEastAsia" w:hAnsi="Arial" w:cstheme="majorBidi"/>
          <w:sz w:val="24"/>
          <w:szCs w:val="24"/>
        </w:rPr>
        <w:t xml:space="preserve"> flexió</w:t>
      </w:r>
      <w:r w:rsidR="001A097F">
        <w:rPr>
          <w:rFonts w:ascii="Arial" w:eastAsiaTheme="majorEastAsia" w:hAnsi="Arial" w:cstheme="majorBidi"/>
          <w:sz w:val="24"/>
          <w:szCs w:val="24"/>
        </w:rPr>
        <w:t>n</w:t>
      </w:r>
      <w:r w:rsidR="00AA3A67" w:rsidRPr="003D1FBA">
        <w:rPr>
          <w:rFonts w:ascii="Arial" w:eastAsiaTheme="majorEastAsia" w:hAnsi="Arial" w:cstheme="majorBidi"/>
          <w:sz w:val="24"/>
          <w:szCs w:val="24"/>
        </w:rPr>
        <w:t xml:space="preserve"> de </w:t>
      </w:r>
      <w:r w:rsidR="001A097F">
        <w:rPr>
          <w:rFonts w:ascii="Arial" w:eastAsiaTheme="majorEastAsia" w:hAnsi="Arial" w:cstheme="majorBidi"/>
          <w:sz w:val="24"/>
          <w:szCs w:val="24"/>
        </w:rPr>
        <w:t>rodilla</w:t>
      </w:r>
      <w:r w:rsidR="00B01AAC"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 xml:space="preserve">con </w:t>
      </w:r>
      <w:r w:rsidR="00B01AAC" w:rsidRPr="003D1FBA">
        <w:rPr>
          <w:rFonts w:ascii="Arial" w:eastAsiaTheme="majorEastAsia" w:hAnsi="Arial" w:cstheme="majorBidi"/>
          <w:sz w:val="24"/>
          <w:szCs w:val="24"/>
        </w:rPr>
        <w:t>una m</w:t>
      </w:r>
      <w:r w:rsidR="001A097F">
        <w:rPr>
          <w:rFonts w:ascii="Arial" w:eastAsiaTheme="majorEastAsia" w:hAnsi="Arial" w:cstheme="majorBidi"/>
          <w:sz w:val="24"/>
          <w:szCs w:val="24"/>
        </w:rPr>
        <w:t>á</w:t>
      </w:r>
      <w:r w:rsidR="00B01AAC" w:rsidRPr="003D1FBA">
        <w:rPr>
          <w:rFonts w:ascii="Arial" w:eastAsiaTheme="majorEastAsia" w:hAnsi="Arial" w:cstheme="majorBidi"/>
          <w:sz w:val="24"/>
          <w:szCs w:val="24"/>
        </w:rPr>
        <w:t>quina isocin</w:t>
      </w:r>
      <w:r w:rsidR="001A097F">
        <w:rPr>
          <w:rFonts w:ascii="Arial" w:eastAsiaTheme="majorEastAsia" w:hAnsi="Arial" w:cstheme="majorBidi"/>
          <w:sz w:val="24"/>
          <w:szCs w:val="24"/>
        </w:rPr>
        <w:t>é</w:t>
      </w:r>
      <w:r w:rsidR="00B01AAC" w:rsidRPr="003D1FBA">
        <w:rPr>
          <w:rFonts w:ascii="Arial" w:eastAsiaTheme="majorEastAsia" w:hAnsi="Arial" w:cstheme="majorBidi"/>
          <w:sz w:val="24"/>
          <w:szCs w:val="24"/>
        </w:rPr>
        <w:t xml:space="preserve">tica </w:t>
      </w:r>
      <w:r w:rsidR="001A097F">
        <w:rPr>
          <w:rFonts w:ascii="Arial" w:eastAsiaTheme="majorEastAsia" w:hAnsi="Arial" w:cstheme="majorBidi"/>
          <w:sz w:val="24"/>
          <w:szCs w:val="24"/>
        </w:rPr>
        <w:t>y</w:t>
      </w:r>
      <w:r w:rsidR="00B01AAC" w:rsidRPr="003D1FBA">
        <w:rPr>
          <w:rFonts w:ascii="Arial" w:eastAsiaTheme="majorEastAsia" w:hAnsi="Arial" w:cstheme="majorBidi"/>
          <w:sz w:val="24"/>
          <w:szCs w:val="24"/>
        </w:rPr>
        <w:t xml:space="preserve"> observar</w:t>
      </w:r>
      <w:r w:rsidR="001A097F">
        <w:rPr>
          <w:rFonts w:ascii="Arial" w:eastAsiaTheme="majorEastAsia" w:hAnsi="Arial" w:cstheme="majorBidi"/>
          <w:sz w:val="24"/>
          <w:szCs w:val="24"/>
        </w:rPr>
        <w:t>on</w:t>
      </w:r>
      <w:r w:rsidR="00B01AAC" w:rsidRPr="003D1FBA">
        <w:rPr>
          <w:rFonts w:ascii="Arial" w:eastAsiaTheme="majorEastAsia" w:hAnsi="Arial" w:cstheme="majorBidi"/>
          <w:sz w:val="24"/>
          <w:szCs w:val="24"/>
        </w:rPr>
        <w:t xml:space="preserve"> com</w:t>
      </w:r>
      <w:r w:rsidR="001A097F">
        <w:rPr>
          <w:rFonts w:ascii="Arial" w:eastAsiaTheme="majorEastAsia" w:hAnsi="Arial" w:cstheme="majorBidi"/>
          <w:sz w:val="24"/>
          <w:szCs w:val="24"/>
        </w:rPr>
        <w:t>o</w:t>
      </w:r>
      <w:r w:rsidR="00B01AAC" w:rsidRPr="003D1FBA">
        <w:rPr>
          <w:rFonts w:ascii="Arial" w:eastAsiaTheme="majorEastAsia" w:hAnsi="Arial" w:cstheme="majorBidi"/>
          <w:sz w:val="24"/>
          <w:szCs w:val="24"/>
        </w:rPr>
        <w:t xml:space="preserve"> la R</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tio I/Q disminu</w:t>
      </w:r>
      <w:r w:rsidR="001A097F">
        <w:rPr>
          <w:rFonts w:ascii="Arial" w:eastAsiaTheme="majorEastAsia" w:hAnsi="Arial" w:cstheme="majorBidi"/>
          <w:sz w:val="24"/>
          <w:szCs w:val="24"/>
        </w:rPr>
        <w:t>ía</w:t>
      </w:r>
      <w:r w:rsidR="00B01AAC" w:rsidRPr="003D1FBA">
        <w:rPr>
          <w:rFonts w:ascii="Arial" w:eastAsiaTheme="majorEastAsia" w:hAnsi="Arial" w:cstheme="majorBidi"/>
          <w:sz w:val="24"/>
          <w:szCs w:val="24"/>
        </w:rPr>
        <w:t xml:space="preserve"> a me</w:t>
      </w:r>
      <w:r w:rsidR="001A097F">
        <w:rPr>
          <w:rFonts w:ascii="Arial" w:eastAsiaTheme="majorEastAsia" w:hAnsi="Arial" w:cstheme="majorBidi"/>
          <w:sz w:val="24"/>
          <w:szCs w:val="24"/>
        </w:rPr>
        <w:t>did</w:t>
      </w:r>
      <w:r w:rsidR="00B01AAC" w:rsidRPr="003D1FBA">
        <w:rPr>
          <w:rFonts w:ascii="Arial" w:eastAsiaTheme="majorEastAsia" w:hAnsi="Arial" w:cstheme="majorBidi"/>
          <w:sz w:val="24"/>
          <w:szCs w:val="24"/>
        </w:rPr>
        <w:t xml:space="preserve">a que </w:t>
      </w:r>
      <w:r w:rsidR="001A097F" w:rsidRPr="003D1FBA">
        <w:rPr>
          <w:rFonts w:ascii="Arial" w:eastAsiaTheme="majorEastAsia" w:hAnsi="Arial" w:cstheme="majorBidi"/>
          <w:sz w:val="24"/>
          <w:szCs w:val="24"/>
        </w:rPr>
        <w:t>realizab</w:t>
      </w:r>
      <w:r w:rsidR="001A097F">
        <w:rPr>
          <w:rFonts w:ascii="Arial" w:eastAsiaTheme="majorEastAsia" w:hAnsi="Arial" w:cstheme="majorBidi"/>
          <w:sz w:val="24"/>
          <w:szCs w:val="24"/>
        </w:rPr>
        <w:t>a</w:t>
      </w:r>
      <w:r w:rsidR="001A097F" w:rsidRPr="003D1FBA">
        <w:rPr>
          <w:rFonts w:ascii="Arial" w:eastAsiaTheme="majorEastAsia" w:hAnsi="Arial" w:cstheme="majorBidi"/>
          <w:sz w:val="24"/>
          <w:szCs w:val="24"/>
        </w:rPr>
        <w:t>n</w:t>
      </w:r>
      <w:r w:rsidR="00B01AAC" w:rsidRPr="003D1FBA">
        <w:rPr>
          <w:rFonts w:ascii="Arial" w:eastAsiaTheme="majorEastAsia" w:hAnsi="Arial" w:cstheme="majorBidi"/>
          <w:sz w:val="24"/>
          <w:szCs w:val="24"/>
        </w:rPr>
        <w:t xml:space="preserve"> l</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s repeticion</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s. P</w:t>
      </w:r>
      <w:r w:rsidR="001A097F">
        <w:rPr>
          <w:rFonts w:ascii="Arial" w:eastAsiaTheme="majorEastAsia" w:hAnsi="Arial" w:cstheme="majorBidi"/>
          <w:sz w:val="24"/>
          <w:szCs w:val="24"/>
        </w:rPr>
        <w:t>or su parte</w:t>
      </w:r>
      <w:r w:rsidR="00B01AAC" w:rsidRPr="003D1FBA">
        <w:rPr>
          <w:rFonts w:ascii="Arial" w:eastAsiaTheme="majorEastAsia" w:hAnsi="Arial" w:cstheme="majorBidi"/>
          <w:sz w:val="24"/>
          <w:szCs w:val="24"/>
        </w:rPr>
        <w:t>, Rahnama et al</w:t>
      </w:r>
      <w:r w:rsidR="00AA3A67" w:rsidRPr="003D1FBA">
        <w:rPr>
          <w:rFonts w:ascii="Arial" w:eastAsiaTheme="majorEastAsia" w:hAnsi="Arial" w:cstheme="majorBidi"/>
          <w:sz w:val="24"/>
          <w:szCs w:val="24"/>
        </w:rPr>
        <w:t>.</w:t>
      </w:r>
      <w:r w:rsidR="001A097F">
        <w:rPr>
          <w:rFonts w:ascii="Arial" w:eastAsiaTheme="majorEastAsia" w:hAnsi="Arial" w:cstheme="majorBidi"/>
          <w:sz w:val="24"/>
          <w:szCs w:val="24"/>
        </w:rPr>
        <w:t>,</w:t>
      </w:r>
      <w:r w:rsidR="00B01AAC" w:rsidRPr="003D1FBA">
        <w:rPr>
          <w:rFonts w:ascii="Arial" w:eastAsiaTheme="majorEastAsia" w:hAnsi="Arial" w:cstheme="majorBidi"/>
          <w:sz w:val="24"/>
          <w:szCs w:val="24"/>
        </w:rPr>
        <w:t xml:space="preserve"> registra</w:t>
      </w:r>
      <w:r w:rsidR="00A93A6C" w:rsidRPr="003D1FBA">
        <w:rPr>
          <w:rFonts w:ascii="Arial" w:eastAsiaTheme="majorEastAsia" w:hAnsi="Arial" w:cstheme="majorBidi"/>
          <w:sz w:val="24"/>
          <w:szCs w:val="24"/>
        </w:rPr>
        <w:t>r</w:t>
      </w:r>
      <w:r w:rsidR="001A097F">
        <w:rPr>
          <w:rFonts w:ascii="Arial" w:eastAsiaTheme="majorEastAsia" w:hAnsi="Arial" w:cstheme="majorBidi"/>
          <w:sz w:val="24"/>
          <w:szCs w:val="24"/>
        </w:rPr>
        <w:t>on</w:t>
      </w:r>
      <w:r w:rsidR="00B01AAC" w:rsidRPr="003D1FBA">
        <w:rPr>
          <w:rFonts w:ascii="Arial" w:eastAsiaTheme="majorEastAsia" w:hAnsi="Arial" w:cstheme="majorBidi"/>
          <w:sz w:val="24"/>
          <w:szCs w:val="24"/>
        </w:rPr>
        <w:t xml:space="preserve"> la R</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tio I/Q pr</w:t>
      </w:r>
      <w:r w:rsidR="001A097F">
        <w:rPr>
          <w:rFonts w:ascii="Arial" w:eastAsiaTheme="majorEastAsia" w:hAnsi="Arial" w:cstheme="majorBidi"/>
          <w:sz w:val="24"/>
          <w:szCs w:val="24"/>
        </w:rPr>
        <w:t>e</w:t>
      </w:r>
      <w:r w:rsidR="00AA3A67" w:rsidRPr="003D1FBA">
        <w:rPr>
          <w:rFonts w:ascii="Arial" w:eastAsiaTheme="majorEastAsia" w:hAnsi="Arial" w:cstheme="majorBidi"/>
          <w:sz w:val="24"/>
          <w:szCs w:val="24"/>
        </w:rPr>
        <w:t>via</w:t>
      </w:r>
      <w:r w:rsidR="00B01AAC"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y</w:t>
      </w:r>
      <w:r w:rsidR="00B01AAC" w:rsidRPr="003D1FBA">
        <w:rPr>
          <w:rFonts w:ascii="Arial" w:eastAsiaTheme="majorEastAsia" w:hAnsi="Arial" w:cstheme="majorBidi"/>
          <w:sz w:val="24"/>
          <w:szCs w:val="24"/>
        </w:rPr>
        <w:t xml:space="preserve"> post</w:t>
      </w:r>
      <w:r w:rsidR="00AA3A67" w:rsidRPr="003D1FBA">
        <w:rPr>
          <w:rFonts w:ascii="Arial" w:eastAsiaTheme="majorEastAsia" w:hAnsi="Arial" w:cstheme="majorBidi"/>
          <w:sz w:val="24"/>
          <w:szCs w:val="24"/>
        </w:rPr>
        <w:t>erior a un</w:t>
      </w:r>
      <w:r w:rsidR="00B01AAC" w:rsidRPr="003D1FBA">
        <w:rPr>
          <w:rFonts w:ascii="Arial" w:eastAsiaTheme="majorEastAsia" w:hAnsi="Arial" w:cstheme="majorBidi"/>
          <w:sz w:val="24"/>
          <w:szCs w:val="24"/>
        </w:rPr>
        <w:t xml:space="preserve"> test fatigant</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 xml:space="preserve"> (“Loughbrough Intermittent Shuttle Test</w:t>
      </w:r>
      <w:r w:rsidR="006E5743" w:rsidRPr="003D1FBA">
        <w:rPr>
          <w:rFonts w:ascii="Arial" w:eastAsiaTheme="majorEastAsia" w:hAnsi="Arial" w:cstheme="majorBidi"/>
          <w:sz w:val="24"/>
          <w:szCs w:val="24"/>
        </w:rPr>
        <w:t>”</w:t>
      </w:r>
      <w:r w:rsidR="00B01AAC"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y</w:t>
      </w:r>
      <w:r w:rsidR="00B01AAC" w:rsidRPr="003D1FBA">
        <w:rPr>
          <w:rFonts w:ascii="Arial" w:eastAsiaTheme="majorEastAsia" w:hAnsi="Arial" w:cstheme="majorBidi"/>
          <w:sz w:val="24"/>
          <w:szCs w:val="24"/>
        </w:rPr>
        <w:t xml:space="preserve"> tamb</w:t>
      </w:r>
      <w:r w:rsidR="001A097F">
        <w:rPr>
          <w:rFonts w:ascii="Arial" w:eastAsiaTheme="majorEastAsia" w:hAnsi="Arial" w:cstheme="majorBidi"/>
          <w:sz w:val="24"/>
          <w:szCs w:val="24"/>
        </w:rPr>
        <w:t>i</w:t>
      </w:r>
      <w:r w:rsidR="00B01AAC" w:rsidRPr="003D1FBA">
        <w:rPr>
          <w:rFonts w:ascii="Arial" w:eastAsiaTheme="majorEastAsia" w:hAnsi="Arial" w:cstheme="majorBidi"/>
          <w:sz w:val="24"/>
          <w:szCs w:val="24"/>
        </w:rPr>
        <w:t>é</w:t>
      </w:r>
      <w:r w:rsidR="001A097F">
        <w:rPr>
          <w:rFonts w:ascii="Arial" w:eastAsiaTheme="majorEastAsia" w:hAnsi="Arial" w:cstheme="majorBidi"/>
          <w:sz w:val="24"/>
          <w:szCs w:val="24"/>
        </w:rPr>
        <w:t>n</w:t>
      </w:r>
      <w:r w:rsidR="00B01AAC" w:rsidRPr="003D1FBA">
        <w:rPr>
          <w:rFonts w:ascii="Arial" w:eastAsiaTheme="majorEastAsia" w:hAnsi="Arial" w:cstheme="majorBidi"/>
          <w:sz w:val="24"/>
          <w:szCs w:val="24"/>
        </w:rPr>
        <w:t xml:space="preserve"> observar</w:t>
      </w:r>
      <w:r w:rsidR="001A097F">
        <w:rPr>
          <w:rFonts w:ascii="Arial" w:eastAsiaTheme="majorEastAsia" w:hAnsi="Arial" w:cstheme="majorBidi"/>
          <w:sz w:val="24"/>
          <w:szCs w:val="24"/>
        </w:rPr>
        <w:t>on</w:t>
      </w:r>
      <w:r w:rsidR="00B01AAC" w:rsidRPr="003D1FBA">
        <w:rPr>
          <w:rFonts w:ascii="Arial" w:eastAsiaTheme="majorEastAsia" w:hAnsi="Arial" w:cstheme="majorBidi"/>
          <w:sz w:val="24"/>
          <w:szCs w:val="24"/>
        </w:rPr>
        <w:t xml:space="preserve"> R</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tios I/Q m</w:t>
      </w:r>
      <w:r w:rsidR="001A097F">
        <w:rPr>
          <w:rFonts w:ascii="Arial" w:eastAsiaTheme="majorEastAsia" w:hAnsi="Arial" w:cstheme="majorBidi"/>
          <w:sz w:val="24"/>
          <w:szCs w:val="24"/>
        </w:rPr>
        <w:t>á</w:t>
      </w:r>
      <w:r w:rsidR="00B01AAC" w:rsidRPr="003D1FBA">
        <w:rPr>
          <w:rFonts w:ascii="Arial" w:eastAsiaTheme="majorEastAsia" w:hAnsi="Arial" w:cstheme="majorBidi"/>
          <w:sz w:val="24"/>
          <w:szCs w:val="24"/>
        </w:rPr>
        <w:t>s ba</w:t>
      </w:r>
      <w:r w:rsidR="001A097F">
        <w:rPr>
          <w:rFonts w:ascii="Arial" w:eastAsiaTheme="majorEastAsia" w:hAnsi="Arial" w:cstheme="majorBidi"/>
          <w:sz w:val="24"/>
          <w:szCs w:val="24"/>
        </w:rPr>
        <w:t>ja</w:t>
      </w:r>
      <w:r w:rsidR="00B01AAC" w:rsidRPr="003D1FBA">
        <w:rPr>
          <w:rFonts w:ascii="Arial" w:eastAsiaTheme="majorEastAsia" w:hAnsi="Arial" w:cstheme="majorBidi"/>
          <w:sz w:val="24"/>
          <w:szCs w:val="24"/>
        </w:rPr>
        <w:t>s en fatiga. Delextrat et al</w:t>
      </w:r>
      <w:r w:rsidR="00AA3A67" w:rsidRPr="003D1FBA">
        <w:rPr>
          <w:rFonts w:ascii="Arial" w:eastAsiaTheme="majorEastAsia" w:hAnsi="Arial" w:cstheme="majorBidi"/>
          <w:sz w:val="24"/>
          <w:szCs w:val="24"/>
        </w:rPr>
        <w:t>.</w:t>
      </w:r>
      <w:r w:rsidR="00B01AAC" w:rsidRPr="003D1FBA">
        <w:rPr>
          <w:rFonts w:ascii="Arial" w:eastAsiaTheme="majorEastAsia" w:hAnsi="Arial" w:cstheme="majorBidi"/>
          <w:sz w:val="24"/>
          <w:szCs w:val="24"/>
        </w:rPr>
        <w:t xml:space="preserve"> 2010 </w:t>
      </w:r>
      <w:r w:rsidR="001A097F">
        <w:rPr>
          <w:rFonts w:ascii="Arial" w:eastAsiaTheme="majorEastAsia" w:hAnsi="Arial" w:cstheme="majorBidi"/>
          <w:sz w:val="24"/>
          <w:szCs w:val="24"/>
        </w:rPr>
        <w:t>hicieron</w:t>
      </w:r>
      <w:r w:rsidR="00B01AAC" w:rsidRPr="003D1FBA">
        <w:rPr>
          <w:rFonts w:ascii="Arial" w:eastAsiaTheme="majorEastAsia" w:hAnsi="Arial" w:cstheme="majorBidi"/>
          <w:sz w:val="24"/>
          <w:szCs w:val="24"/>
        </w:rPr>
        <w:t xml:space="preserve"> un estudi</w:t>
      </w:r>
      <w:r w:rsidR="001A097F">
        <w:rPr>
          <w:rFonts w:ascii="Arial" w:eastAsiaTheme="majorEastAsia" w:hAnsi="Arial" w:cstheme="majorBidi"/>
          <w:sz w:val="24"/>
          <w:szCs w:val="24"/>
        </w:rPr>
        <w:t>o</w:t>
      </w:r>
      <w:r w:rsidR="00B01AAC"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parecido</w:t>
      </w:r>
      <w:r w:rsidR="00B01AAC" w:rsidRPr="003D1FBA">
        <w:rPr>
          <w:rFonts w:ascii="Arial" w:eastAsiaTheme="majorEastAsia" w:hAnsi="Arial" w:cstheme="majorBidi"/>
          <w:sz w:val="24"/>
          <w:szCs w:val="24"/>
        </w:rPr>
        <w:t xml:space="preserve"> al</w:t>
      </w:r>
      <w:r w:rsidR="001A097F">
        <w:rPr>
          <w:rFonts w:ascii="Arial" w:eastAsiaTheme="majorEastAsia" w:hAnsi="Arial" w:cstheme="majorBidi"/>
          <w:sz w:val="24"/>
          <w:szCs w:val="24"/>
        </w:rPr>
        <w:t xml:space="preserve"> </w:t>
      </w:r>
      <w:r w:rsidR="00B01AAC" w:rsidRPr="003D1FBA">
        <w:rPr>
          <w:rFonts w:ascii="Arial" w:eastAsiaTheme="majorEastAsia" w:hAnsi="Arial" w:cstheme="majorBidi"/>
          <w:sz w:val="24"/>
          <w:szCs w:val="24"/>
        </w:rPr>
        <w:t xml:space="preserve">anterior </w:t>
      </w:r>
      <w:r w:rsidR="001A097F">
        <w:rPr>
          <w:rFonts w:ascii="Arial" w:eastAsiaTheme="majorEastAsia" w:hAnsi="Arial" w:cstheme="majorBidi"/>
          <w:sz w:val="24"/>
          <w:szCs w:val="24"/>
        </w:rPr>
        <w:t>donde</w:t>
      </w:r>
      <w:r w:rsidR="00B01AAC"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encontraron</w:t>
      </w:r>
      <w:r w:rsidR="00B01AAC" w:rsidRPr="003D1FBA">
        <w:rPr>
          <w:rFonts w:ascii="Arial" w:eastAsiaTheme="majorEastAsia" w:hAnsi="Arial" w:cstheme="majorBidi"/>
          <w:sz w:val="24"/>
          <w:szCs w:val="24"/>
        </w:rPr>
        <w:t xml:space="preserve"> que desp</w:t>
      </w:r>
      <w:r w:rsidR="001A097F">
        <w:rPr>
          <w:rFonts w:ascii="Arial" w:eastAsiaTheme="majorEastAsia" w:hAnsi="Arial" w:cstheme="majorBidi"/>
          <w:sz w:val="24"/>
          <w:szCs w:val="24"/>
        </w:rPr>
        <w:t>u</w:t>
      </w:r>
      <w:r w:rsidR="00B01AAC" w:rsidRPr="003D1FBA">
        <w:rPr>
          <w:rFonts w:ascii="Arial" w:eastAsiaTheme="majorEastAsia" w:hAnsi="Arial" w:cstheme="majorBidi"/>
          <w:sz w:val="24"/>
          <w:szCs w:val="24"/>
        </w:rPr>
        <w:t>és d</w:t>
      </w:r>
      <w:r w:rsidR="001A097F">
        <w:rPr>
          <w:rFonts w:ascii="Arial" w:eastAsiaTheme="majorEastAsia" w:hAnsi="Arial" w:cstheme="majorBidi"/>
          <w:sz w:val="24"/>
          <w:szCs w:val="24"/>
        </w:rPr>
        <w:t xml:space="preserve">e </w:t>
      </w:r>
      <w:r w:rsidR="00B01AAC" w:rsidRPr="003D1FBA">
        <w:rPr>
          <w:rFonts w:ascii="Arial" w:eastAsiaTheme="majorEastAsia" w:hAnsi="Arial" w:cstheme="majorBidi"/>
          <w:sz w:val="24"/>
          <w:szCs w:val="24"/>
        </w:rPr>
        <w:t>un test fatigant</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 xml:space="preserve"> la R</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 xml:space="preserve">tio I/Q </w:t>
      </w:r>
      <w:r w:rsidR="001A097F" w:rsidRPr="003D1FBA">
        <w:rPr>
          <w:rFonts w:ascii="Arial" w:eastAsiaTheme="majorEastAsia" w:hAnsi="Arial" w:cstheme="majorBidi"/>
          <w:sz w:val="24"/>
          <w:szCs w:val="24"/>
        </w:rPr>
        <w:t>disminu</w:t>
      </w:r>
      <w:r w:rsidR="001A097F">
        <w:rPr>
          <w:rFonts w:ascii="Arial" w:eastAsiaTheme="majorEastAsia" w:hAnsi="Arial" w:cstheme="majorBidi"/>
          <w:sz w:val="24"/>
          <w:szCs w:val="24"/>
        </w:rPr>
        <w:t>í</w:t>
      </w:r>
      <w:r w:rsidR="001A097F" w:rsidRPr="003D1FBA">
        <w:rPr>
          <w:rFonts w:ascii="Arial" w:eastAsiaTheme="majorEastAsia" w:hAnsi="Arial" w:cstheme="majorBidi"/>
          <w:sz w:val="24"/>
          <w:szCs w:val="24"/>
        </w:rPr>
        <w:t>a,</w:t>
      </w:r>
      <w:r w:rsidR="00B01AAC" w:rsidRPr="003D1FBA">
        <w:rPr>
          <w:rFonts w:ascii="Arial" w:eastAsiaTheme="majorEastAsia" w:hAnsi="Arial" w:cstheme="majorBidi"/>
          <w:sz w:val="24"/>
          <w:szCs w:val="24"/>
        </w:rPr>
        <w:t xml:space="preserve"> per</w:t>
      </w:r>
      <w:r w:rsidR="001A097F">
        <w:rPr>
          <w:rFonts w:ascii="Arial" w:eastAsiaTheme="majorEastAsia" w:hAnsi="Arial" w:cstheme="majorBidi"/>
          <w:sz w:val="24"/>
          <w:szCs w:val="24"/>
        </w:rPr>
        <w:t>o</w:t>
      </w:r>
      <w:r w:rsidR="00B01AAC" w:rsidRPr="003D1FBA">
        <w:rPr>
          <w:rFonts w:ascii="Arial" w:eastAsiaTheme="majorEastAsia" w:hAnsi="Arial" w:cstheme="majorBidi"/>
          <w:sz w:val="24"/>
          <w:szCs w:val="24"/>
        </w:rPr>
        <w:t xml:space="preserve"> no significativament</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 P</w:t>
      </w:r>
      <w:r w:rsidR="001A097F">
        <w:rPr>
          <w:rFonts w:ascii="Arial" w:eastAsiaTheme="majorEastAsia" w:hAnsi="Arial" w:cstheme="majorBidi"/>
          <w:sz w:val="24"/>
          <w:szCs w:val="24"/>
        </w:rPr>
        <w:t>o</w:t>
      </w:r>
      <w:r w:rsidR="00B01AAC" w:rsidRPr="003D1FBA">
        <w:rPr>
          <w:rFonts w:ascii="Arial" w:eastAsiaTheme="majorEastAsia" w:hAnsi="Arial" w:cstheme="majorBidi"/>
          <w:sz w:val="24"/>
          <w:szCs w:val="24"/>
        </w:rPr>
        <w:t xml:space="preserve">r </w:t>
      </w:r>
      <w:r w:rsidR="001A097F">
        <w:rPr>
          <w:rFonts w:ascii="Arial" w:eastAsiaTheme="majorEastAsia" w:hAnsi="Arial" w:cstheme="majorBidi"/>
          <w:sz w:val="24"/>
          <w:szCs w:val="24"/>
        </w:rPr>
        <w:t xml:space="preserve">otro </w:t>
      </w:r>
      <w:r w:rsidR="005356C7">
        <w:rPr>
          <w:rFonts w:ascii="Arial" w:eastAsiaTheme="majorEastAsia" w:hAnsi="Arial" w:cstheme="majorBidi"/>
          <w:sz w:val="24"/>
          <w:szCs w:val="24"/>
        </w:rPr>
        <w:t>lado,</w:t>
      </w:r>
      <w:r w:rsidR="00B01AAC" w:rsidRPr="003D1FBA">
        <w:rPr>
          <w:rFonts w:ascii="Arial" w:eastAsiaTheme="majorEastAsia" w:hAnsi="Arial" w:cstheme="majorBidi"/>
          <w:sz w:val="24"/>
          <w:szCs w:val="24"/>
        </w:rPr>
        <w:t xml:space="preserve"> Behan et al</w:t>
      </w:r>
      <w:r w:rsidR="00AA3A67" w:rsidRPr="003D1FBA">
        <w:rPr>
          <w:rFonts w:ascii="Arial" w:eastAsiaTheme="majorEastAsia" w:hAnsi="Arial" w:cstheme="majorBidi"/>
          <w:sz w:val="24"/>
          <w:szCs w:val="24"/>
        </w:rPr>
        <w:t>.</w:t>
      </w:r>
      <w:r w:rsidR="00B01AAC" w:rsidRPr="003D1FBA">
        <w:rPr>
          <w:rFonts w:ascii="Arial" w:eastAsiaTheme="majorEastAsia" w:hAnsi="Arial" w:cstheme="majorBidi"/>
          <w:sz w:val="24"/>
          <w:szCs w:val="24"/>
        </w:rPr>
        <w:t xml:space="preserve"> 2018 </w:t>
      </w:r>
      <w:r w:rsidR="001A097F">
        <w:rPr>
          <w:rFonts w:ascii="Arial" w:eastAsiaTheme="majorEastAsia" w:hAnsi="Arial" w:cstheme="majorBidi"/>
          <w:sz w:val="24"/>
          <w:szCs w:val="24"/>
        </w:rPr>
        <w:t>analizaron</w:t>
      </w:r>
      <w:r w:rsidR="00B01AAC" w:rsidRPr="003D1FBA">
        <w:rPr>
          <w:rFonts w:ascii="Arial" w:eastAsiaTheme="majorEastAsia" w:hAnsi="Arial" w:cstheme="majorBidi"/>
          <w:sz w:val="24"/>
          <w:szCs w:val="24"/>
        </w:rPr>
        <w:t xml:space="preserve"> la R</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 xml:space="preserve">tio I/Q explosiva </w:t>
      </w:r>
      <w:r w:rsidR="001A097F">
        <w:rPr>
          <w:rFonts w:ascii="Arial" w:eastAsiaTheme="majorEastAsia" w:hAnsi="Arial" w:cstheme="majorBidi"/>
          <w:sz w:val="24"/>
          <w:szCs w:val="24"/>
        </w:rPr>
        <w:t>con</w:t>
      </w:r>
      <w:r w:rsidR="00B01AAC" w:rsidRPr="003D1FBA">
        <w:rPr>
          <w:rFonts w:ascii="Arial" w:eastAsiaTheme="majorEastAsia" w:hAnsi="Arial" w:cstheme="majorBidi"/>
          <w:sz w:val="24"/>
          <w:szCs w:val="24"/>
        </w:rPr>
        <w:t xml:space="preserve"> un test isocin</w:t>
      </w:r>
      <w:r w:rsidR="001A097F">
        <w:rPr>
          <w:rFonts w:ascii="Arial" w:eastAsiaTheme="majorEastAsia" w:hAnsi="Arial" w:cstheme="majorBidi"/>
          <w:sz w:val="24"/>
          <w:szCs w:val="24"/>
        </w:rPr>
        <w:t>é</w:t>
      </w:r>
      <w:r w:rsidR="00B01AAC" w:rsidRPr="003D1FBA">
        <w:rPr>
          <w:rFonts w:ascii="Arial" w:eastAsiaTheme="majorEastAsia" w:hAnsi="Arial" w:cstheme="majorBidi"/>
          <w:sz w:val="24"/>
          <w:szCs w:val="24"/>
        </w:rPr>
        <w:t>tic</w:t>
      </w:r>
      <w:r w:rsidR="001A097F">
        <w:rPr>
          <w:rFonts w:ascii="Arial" w:eastAsiaTheme="majorEastAsia" w:hAnsi="Arial" w:cstheme="majorBidi"/>
          <w:sz w:val="24"/>
          <w:szCs w:val="24"/>
        </w:rPr>
        <w:t>o</w:t>
      </w:r>
      <w:r w:rsidR="00B01AAC"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y</w:t>
      </w:r>
      <w:r w:rsidR="00B01AAC" w:rsidRPr="003D1FBA">
        <w:rPr>
          <w:rFonts w:ascii="Arial" w:eastAsiaTheme="majorEastAsia" w:hAnsi="Arial" w:cstheme="majorBidi"/>
          <w:sz w:val="24"/>
          <w:szCs w:val="24"/>
        </w:rPr>
        <w:t xml:space="preserve"> no </w:t>
      </w:r>
      <w:r w:rsidR="001A097F">
        <w:rPr>
          <w:rFonts w:ascii="Arial" w:eastAsiaTheme="majorEastAsia" w:hAnsi="Arial" w:cstheme="majorBidi"/>
          <w:sz w:val="24"/>
          <w:szCs w:val="24"/>
        </w:rPr>
        <w:t>encontraron</w:t>
      </w:r>
      <w:r w:rsidR="00B01AAC" w:rsidRPr="003D1FBA">
        <w:rPr>
          <w:rFonts w:ascii="Arial" w:eastAsiaTheme="majorEastAsia" w:hAnsi="Arial" w:cstheme="majorBidi"/>
          <w:sz w:val="24"/>
          <w:szCs w:val="24"/>
        </w:rPr>
        <w:t xml:space="preserve"> difer</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nci</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s en pres</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ncia de fatiga.</w:t>
      </w:r>
    </w:p>
    <w:p w:rsidR="00905A21" w:rsidRPr="003D1FBA" w:rsidRDefault="00905A21" w:rsidP="00FC4616">
      <w:pPr>
        <w:spacing w:line="360" w:lineRule="auto"/>
        <w:jc w:val="both"/>
        <w:rPr>
          <w:rFonts w:ascii="Arial" w:eastAsiaTheme="majorEastAsia" w:hAnsi="Arial" w:cstheme="majorBidi"/>
          <w:sz w:val="24"/>
          <w:szCs w:val="24"/>
        </w:rPr>
      </w:pPr>
      <w:r w:rsidRPr="003D1FBA">
        <w:rPr>
          <w:rFonts w:ascii="Arial" w:eastAsiaTheme="majorEastAsia" w:hAnsi="Arial" w:cstheme="majorBidi"/>
          <w:sz w:val="24"/>
          <w:szCs w:val="24"/>
        </w:rPr>
        <w:lastRenderedPageBreak/>
        <w:t xml:space="preserve">En el </w:t>
      </w:r>
      <w:r w:rsidR="009F5247" w:rsidRPr="003D1FBA">
        <w:rPr>
          <w:rFonts w:ascii="Arial" w:eastAsiaTheme="majorEastAsia" w:hAnsi="Arial" w:cstheme="majorBidi"/>
          <w:sz w:val="24"/>
          <w:szCs w:val="24"/>
        </w:rPr>
        <w:t>present</w:t>
      </w:r>
      <w:r w:rsidR="001A097F">
        <w:rPr>
          <w:rFonts w:ascii="Arial" w:eastAsiaTheme="majorEastAsia" w:hAnsi="Arial" w:cstheme="majorBidi"/>
          <w:sz w:val="24"/>
          <w:szCs w:val="24"/>
        </w:rPr>
        <w:t>e</w:t>
      </w:r>
      <w:r w:rsidRPr="003D1FBA">
        <w:rPr>
          <w:rFonts w:ascii="Arial" w:eastAsiaTheme="majorEastAsia" w:hAnsi="Arial" w:cstheme="majorBidi"/>
          <w:sz w:val="24"/>
          <w:szCs w:val="24"/>
        </w:rPr>
        <w:t xml:space="preserve"> estudi</w:t>
      </w:r>
      <w:r w:rsidR="001A097F">
        <w:rPr>
          <w:rFonts w:ascii="Arial" w:eastAsiaTheme="majorEastAsia" w:hAnsi="Arial" w:cstheme="majorBidi"/>
          <w:sz w:val="24"/>
          <w:szCs w:val="24"/>
        </w:rPr>
        <w:t>o</w:t>
      </w:r>
      <w:r w:rsidRPr="003D1FBA">
        <w:rPr>
          <w:rFonts w:ascii="Arial" w:eastAsiaTheme="majorEastAsia" w:hAnsi="Arial" w:cstheme="majorBidi"/>
          <w:sz w:val="24"/>
          <w:szCs w:val="24"/>
        </w:rPr>
        <w:t xml:space="preserve"> desp</w:t>
      </w:r>
      <w:r w:rsidR="001A097F">
        <w:rPr>
          <w:rFonts w:ascii="Arial" w:eastAsiaTheme="majorEastAsia" w:hAnsi="Arial" w:cstheme="majorBidi"/>
          <w:sz w:val="24"/>
          <w:szCs w:val="24"/>
        </w:rPr>
        <w:t>u</w:t>
      </w:r>
      <w:r w:rsidRPr="003D1FBA">
        <w:rPr>
          <w:rFonts w:ascii="Arial" w:eastAsiaTheme="majorEastAsia" w:hAnsi="Arial" w:cstheme="majorBidi"/>
          <w:sz w:val="24"/>
          <w:szCs w:val="24"/>
        </w:rPr>
        <w:t>és del test fatigant</w:t>
      </w:r>
      <w:r w:rsidR="001A097F">
        <w:rPr>
          <w:rFonts w:ascii="Arial" w:eastAsiaTheme="majorEastAsia" w:hAnsi="Arial" w:cstheme="majorBidi"/>
          <w:sz w:val="24"/>
          <w:szCs w:val="24"/>
        </w:rPr>
        <w:t>e</w:t>
      </w:r>
      <w:r w:rsidRPr="003D1FBA">
        <w:rPr>
          <w:rFonts w:ascii="Arial" w:eastAsiaTheme="majorEastAsia" w:hAnsi="Arial" w:cstheme="majorBidi"/>
          <w:sz w:val="24"/>
          <w:szCs w:val="24"/>
        </w:rPr>
        <w:t xml:space="preserve"> la R</w:t>
      </w:r>
      <w:r w:rsidR="001A097F">
        <w:rPr>
          <w:rFonts w:ascii="Arial" w:eastAsiaTheme="majorEastAsia" w:hAnsi="Arial" w:cstheme="majorBidi"/>
          <w:sz w:val="24"/>
          <w:szCs w:val="24"/>
        </w:rPr>
        <w:t>a</w:t>
      </w:r>
      <w:r w:rsidRPr="003D1FBA">
        <w:rPr>
          <w:rFonts w:ascii="Arial" w:eastAsiaTheme="majorEastAsia" w:hAnsi="Arial" w:cstheme="majorBidi"/>
          <w:sz w:val="24"/>
          <w:szCs w:val="24"/>
        </w:rPr>
        <w:t>tio I/Q no disminu</w:t>
      </w:r>
      <w:r w:rsidR="001A097F">
        <w:rPr>
          <w:rFonts w:ascii="Arial" w:eastAsiaTheme="majorEastAsia" w:hAnsi="Arial" w:cstheme="majorBidi"/>
          <w:sz w:val="24"/>
          <w:szCs w:val="24"/>
        </w:rPr>
        <w:t>y</w:t>
      </w:r>
      <w:r w:rsidRPr="003D1FBA">
        <w:rPr>
          <w:rFonts w:ascii="Arial" w:eastAsiaTheme="majorEastAsia" w:hAnsi="Arial" w:cstheme="majorBidi"/>
          <w:sz w:val="24"/>
          <w:szCs w:val="24"/>
        </w:rPr>
        <w:t xml:space="preserve">e de manera </w:t>
      </w:r>
      <w:r w:rsidR="00454DD8" w:rsidRPr="003D1FBA">
        <w:rPr>
          <w:rFonts w:ascii="Arial" w:eastAsiaTheme="majorEastAsia" w:hAnsi="Arial" w:cstheme="majorBidi"/>
          <w:sz w:val="24"/>
          <w:szCs w:val="24"/>
        </w:rPr>
        <w:t>significativa</w:t>
      </w:r>
      <w:r w:rsidRPr="003D1FBA">
        <w:rPr>
          <w:rFonts w:ascii="Arial" w:eastAsiaTheme="majorEastAsia" w:hAnsi="Arial" w:cstheme="majorBidi"/>
          <w:sz w:val="24"/>
          <w:szCs w:val="24"/>
        </w:rPr>
        <w:t>, per</w:t>
      </w:r>
      <w:r w:rsidR="001A097F">
        <w:rPr>
          <w:rFonts w:ascii="Arial" w:eastAsiaTheme="majorEastAsia" w:hAnsi="Arial" w:cstheme="majorBidi"/>
          <w:sz w:val="24"/>
          <w:szCs w:val="24"/>
        </w:rPr>
        <w:t>o</w:t>
      </w:r>
      <w:r w:rsidRPr="003D1FBA">
        <w:rPr>
          <w:rFonts w:ascii="Arial" w:eastAsiaTheme="majorEastAsia" w:hAnsi="Arial" w:cstheme="majorBidi"/>
          <w:sz w:val="24"/>
          <w:szCs w:val="24"/>
        </w:rPr>
        <w:t xml:space="preserve"> </w:t>
      </w:r>
      <w:r w:rsidR="00454DD8" w:rsidRPr="003D1FBA">
        <w:rPr>
          <w:rFonts w:ascii="Arial" w:eastAsiaTheme="majorEastAsia" w:hAnsi="Arial" w:cstheme="majorBidi"/>
          <w:sz w:val="24"/>
          <w:szCs w:val="24"/>
        </w:rPr>
        <w:t>m</w:t>
      </w:r>
      <w:r w:rsidR="001A097F">
        <w:rPr>
          <w:rFonts w:ascii="Arial" w:eastAsiaTheme="majorEastAsia" w:hAnsi="Arial" w:cstheme="majorBidi"/>
          <w:sz w:val="24"/>
          <w:szCs w:val="24"/>
        </w:rPr>
        <w:t>ue</w:t>
      </w:r>
      <w:r w:rsidR="00454DD8" w:rsidRPr="003D1FBA">
        <w:rPr>
          <w:rFonts w:ascii="Arial" w:eastAsiaTheme="majorEastAsia" w:hAnsi="Arial" w:cstheme="majorBidi"/>
          <w:sz w:val="24"/>
          <w:szCs w:val="24"/>
        </w:rPr>
        <w:t>stra una tend</w:t>
      </w:r>
      <w:r w:rsidR="001A097F">
        <w:rPr>
          <w:rFonts w:ascii="Arial" w:eastAsiaTheme="majorEastAsia" w:hAnsi="Arial" w:cstheme="majorBidi"/>
          <w:sz w:val="24"/>
          <w:szCs w:val="24"/>
        </w:rPr>
        <w:t>e</w:t>
      </w:r>
      <w:r w:rsidR="00454DD8" w:rsidRPr="003D1FBA">
        <w:rPr>
          <w:rFonts w:ascii="Arial" w:eastAsiaTheme="majorEastAsia" w:hAnsi="Arial" w:cstheme="majorBidi"/>
          <w:sz w:val="24"/>
          <w:szCs w:val="24"/>
        </w:rPr>
        <w:t>ncia</w:t>
      </w:r>
      <w:r w:rsidRPr="003D1FBA">
        <w:rPr>
          <w:rFonts w:ascii="Arial" w:eastAsiaTheme="majorEastAsia" w:hAnsi="Arial" w:cstheme="majorBidi"/>
          <w:sz w:val="24"/>
          <w:szCs w:val="24"/>
        </w:rPr>
        <w:t xml:space="preserve"> a disminuir.</w:t>
      </w:r>
      <w:r w:rsidR="00B01AAC"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 xml:space="preserve">Esto </w:t>
      </w:r>
      <w:r w:rsidR="00B01AAC" w:rsidRPr="003D1FBA">
        <w:rPr>
          <w:rFonts w:ascii="Arial" w:eastAsiaTheme="majorEastAsia" w:hAnsi="Arial" w:cstheme="majorBidi"/>
          <w:sz w:val="24"/>
          <w:szCs w:val="24"/>
        </w:rPr>
        <w:t>podr</w:t>
      </w:r>
      <w:r w:rsidR="001A097F">
        <w:rPr>
          <w:rFonts w:ascii="Arial" w:eastAsiaTheme="majorEastAsia" w:hAnsi="Arial" w:cstheme="majorBidi"/>
          <w:sz w:val="24"/>
          <w:szCs w:val="24"/>
        </w:rPr>
        <w:t>í</w:t>
      </w:r>
      <w:r w:rsidR="00B01AAC" w:rsidRPr="003D1FBA">
        <w:rPr>
          <w:rFonts w:ascii="Arial" w:eastAsiaTheme="majorEastAsia" w:hAnsi="Arial" w:cstheme="majorBidi"/>
          <w:sz w:val="24"/>
          <w:szCs w:val="24"/>
        </w:rPr>
        <w:t>a se</w:t>
      </w:r>
      <w:r w:rsidR="00AA3A67" w:rsidRPr="003D1FBA">
        <w:rPr>
          <w:rFonts w:ascii="Arial" w:eastAsiaTheme="majorEastAsia" w:hAnsi="Arial" w:cstheme="majorBidi"/>
          <w:sz w:val="24"/>
          <w:szCs w:val="24"/>
        </w:rPr>
        <w:t>r</w:t>
      </w:r>
      <w:r w:rsidR="00B01AAC" w:rsidRPr="003D1FBA">
        <w:rPr>
          <w:rFonts w:ascii="Arial" w:eastAsiaTheme="majorEastAsia" w:hAnsi="Arial" w:cstheme="majorBidi"/>
          <w:sz w:val="24"/>
          <w:szCs w:val="24"/>
        </w:rPr>
        <w:t xml:space="preserve"> de</w:t>
      </w:r>
      <w:r w:rsidR="001A097F">
        <w:rPr>
          <w:rFonts w:ascii="Arial" w:eastAsiaTheme="majorEastAsia" w:hAnsi="Arial" w:cstheme="majorBidi"/>
          <w:sz w:val="24"/>
          <w:szCs w:val="24"/>
        </w:rPr>
        <w:t>bido</w:t>
      </w:r>
      <w:r w:rsidR="00B01AAC" w:rsidRPr="003D1FBA">
        <w:rPr>
          <w:rFonts w:ascii="Arial" w:eastAsiaTheme="majorEastAsia" w:hAnsi="Arial" w:cstheme="majorBidi"/>
          <w:sz w:val="24"/>
          <w:szCs w:val="24"/>
        </w:rPr>
        <w:t xml:space="preserve"> a que l</w:t>
      </w:r>
      <w:r w:rsidR="001A097F">
        <w:rPr>
          <w:rFonts w:ascii="Arial" w:eastAsiaTheme="majorEastAsia" w:hAnsi="Arial" w:cstheme="majorBidi"/>
          <w:sz w:val="24"/>
          <w:szCs w:val="24"/>
        </w:rPr>
        <w:t>o</w:t>
      </w:r>
      <w:r w:rsidR="00B01AAC" w:rsidRPr="003D1FBA">
        <w:rPr>
          <w:rFonts w:ascii="Arial" w:eastAsiaTheme="majorEastAsia" w:hAnsi="Arial" w:cstheme="majorBidi"/>
          <w:sz w:val="24"/>
          <w:szCs w:val="24"/>
        </w:rPr>
        <w:t>s flexor</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 xml:space="preserve">s de </w:t>
      </w:r>
      <w:r w:rsidR="001A097F">
        <w:rPr>
          <w:rFonts w:ascii="Arial" w:eastAsiaTheme="majorEastAsia" w:hAnsi="Arial" w:cstheme="majorBidi"/>
          <w:sz w:val="24"/>
          <w:szCs w:val="24"/>
        </w:rPr>
        <w:t>rodi</w:t>
      </w:r>
      <w:r w:rsidR="00B01AAC" w:rsidRPr="003D1FBA">
        <w:rPr>
          <w:rFonts w:ascii="Arial" w:eastAsiaTheme="majorEastAsia" w:hAnsi="Arial" w:cstheme="majorBidi"/>
          <w:sz w:val="24"/>
          <w:szCs w:val="24"/>
        </w:rPr>
        <w:t>ll</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 xml:space="preserve">se </w:t>
      </w:r>
      <w:r w:rsidR="00B01AAC" w:rsidRPr="003D1FBA">
        <w:rPr>
          <w:rFonts w:ascii="Arial" w:eastAsiaTheme="majorEastAsia" w:hAnsi="Arial" w:cstheme="majorBidi"/>
          <w:sz w:val="24"/>
          <w:szCs w:val="24"/>
        </w:rPr>
        <w:t>fatig</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n m</w:t>
      </w:r>
      <w:r w:rsidR="001A097F">
        <w:rPr>
          <w:rFonts w:ascii="Arial" w:eastAsiaTheme="majorEastAsia" w:hAnsi="Arial" w:cstheme="majorBidi"/>
          <w:sz w:val="24"/>
          <w:szCs w:val="24"/>
        </w:rPr>
        <w:t>á</w:t>
      </w:r>
      <w:r w:rsidR="00B01AAC" w:rsidRPr="003D1FBA">
        <w:rPr>
          <w:rFonts w:ascii="Arial" w:eastAsiaTheme="majorEastAsia" w:hAnsi="Arial" w:cstheme="majorBidi"/>
          <w:sz w:val="24"/>
          <w:szCs w:val="24"/>
        </w:rPr>
        <w:t xml:space="preserve">s que </w:t>
      </w:r>
      <w:r w:rsidR="001A097F">
        <w:rPr>
          <w:rFonts w:ascii="Arial" w:eastAsiaTheme="majorEastAsia" w:hAnsi="Arial" w:cstheme="majorBidi"/>
          <w:sz w:val="24"/>
          <w:szCs w:val="24"/>
        </w:rPr>
        <w:t>lo</w:t>
      </w:r>
      <w:r w:rsidR="00B01AAC" w:rsidRPr="003D1FBA">
        <w:rPr>
          <w:rFonts w:ascii="Arial" w:eastAsiaTheme="majorEastAsia" w:hAnsi="Arial" w:cstheme="majorBidi"/>
          <w:sz w:val="24"/>
          <w:szCs w:val="24"/>
        </w:rPr>
        <w:t>s extensor</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 xml:space="preserve">s </w:t>
      </w:r>
      <w:r w:rsidR="001A097F">
        <w:rPr>
          <w:rFonts w:ascii="Arial" w:eastAsiaTheme="majorEastAsia" w:hAnsi="Arial" w:cstheme="majorBidi"/>
          <w:sz w:val="24"/>
          <w:szCs w:val="24"/>
        </w:rPr>
        <w:t>y</w:t>
      </w:r>
      <w:r w:rsidR="00B01AAC" w:rsidRPr="003D1FBA">
        <w:rPr>
          <w:rFonts w:ascii="Arial" w:eastAsiaTheme="majorEastAsia" w:hAnsi="Arial" w:cstheme="majorBidi"/>
          <w:sz w:val="24"/>
          <w:szCs w:val="24"/>
        </w:rPr>
        <w:t xml:space="preserve"> al te</w:t>
      </w:r>
      <w:r w:rsidR="001A097F">
        <w:rPr>
          <w:rFonts w:ascii="Arial" w:eastAsiaTheme="majorEastAsia" w:hAnsi="Arial" w:cstheme="majorBidi"/>
          <w:sz w:val="24"/>
          <w:szCs w:val="24"/>
        </w:rPr>
        <w:t>ner</w:t>
      </w:r>
      <w:r w:rsidR="00B01AAC" w:rsidRPr="003D1FBA">
        <w:rPr>
          <w:rFonts w:ascii="Arial" w:eastAsiaTheme="majorEastAsia" w:hAnsi="Arial" w:cstheme="majorBidi"/>
          <w:sz w:val="24"/>
          <w:szCs w:val="24"/>
        </w:rPr>
        <w:t xml:space="preserve"> ma</w:t>
      </w:r>
      <w:r w:rsidR="001A097F">
        <w:rPr>
          <w:rFonts w:ascii="Arial" w:eastAsiaTheme="majorEastAsia" w:hAnsi="Arial" w:cstheme="majorBidi"/>
          <w:sz w:val="24"/>
          <w:szCs w:val="24"/>
        </w:rPr>
        <w:t>y</w:t>
      </w:r>
      <w:r w:rsidR="00B01AAC" w:rsidRPr="003D1FBA">
        <w:rPr>
          <w:rFonts w:ascii="Arial" w:eastAsiaTheme="majorEastAsia" w:hAnsi="Arial" w:cstheme="majorBidi"/>
          <w:sz w:val="24"/>
          <w:szCs w:val="24"/>
        </w:rPr>
        <w:t>or p</w:t>
      </w:r>
      <w:r w:rsidR="001A097F">
        <w:rPr>
          <w:rFonts w:ascii="Arial" w:eastAsiaTheme="majorEastAsia" w:hAnsi="Arial" w:cstheme="majorBidi"/>
          <w:sz w:val="24"/>
          <w:szCs w:val="24"/>
        </w:rPr>
        <w:t>é</w:t>
      </w:r>
      <w:r w:rsidR="00B01AAC" w:rsidRPr="003D1FBA">
        <w:rPr>
          <w:rFonts w:ascii="Arial" w:eastAsiaTheme="majorEastAsia" w:hAnsi="Arial" w:cstheme="majorBidi"/>
          <w:sz w:val="24"/>
          <w:szCs w:val="24"/>
        </w:rPr>
        <w:t>rd</w:t>
      </w:r>
      <w:r w:rsidR="001A097F">
        <w:rPr>
          <w:rFonts w:ascii="Arial" w:eastAsiaTheme="majorEastAsia" w:hAnsi="Arial" w:cstheme="majorBidi"/>
          <w:sz w:val="24"/>
          <w:szCs w:val="24"/>
        </w:rPr>
        <w:t>id</w:t>
      </w:r>
      <w:r w:rsidR="00B01AAC" w:rsidRPr="003D1FBA">
        <w:rPr>
          <w:rFonts w:ascii="Arial" w:eastAsiaTheme="majorEastAsia" w:hAnsi="Arial" w:cstheme="majorBidi"/>
          <w:sz w:val="24"/>
          <w:szCs w:val="24"/>
        </w:rPr>
        <w:t>a de f</w:t>
      </w:r>
      <w:r w:rsidR="001A097F">
        <w:rPr>
          <w:rFonts w:ascii="Arial" w:eastAsiaTheme="majorEastAsia" w:hAnsi="Arial" w:cstheme="majorBidi"/>
          <w:sz w:val="24"/>
          <w:szCs w:val="24"/>
        </w:rPr>
        <w:t>uerza</w:t>
      </w:r>
      <w:r w:rsidR="00B01AAC" w:rsidRPr="003D1FBA">
        <w:rPr>
          <w:rFonts w:ascii="Arial" w:eastAsiaTheme="majorEastAsia" w:hAnsi="Arial" w:cstheme="majorBidi"/>
          <w:sz w:val="24"/>
          <w:szCs w:val="24"/>
        </w:rPr>
        <w:t xml:space="preserve"> </w:t>
      </w:r>
      <w:r w:rsidR="001A097F">
        <w:rPr>
          <w:rFonts w:ascii="Arial" w:eastAsiaTheme="majorEastAsia" w:hAnsi="Arial" w:cstheme="majorBidi"/>
          <w:sz w:val="24"/>
          <w:szCs w:val="24"/>
        </w:rPr>
        <w:t>lo</w:t>
      </w:r>
      <w:r w:rsidR="00B01AAC" w:rsidRPr="003D1FBA">
        <w:rPr>
          <w:rFonts w:ascii="Arial" w:eastAsiaTheme="majorEastAsia" w:hAnsi="Arial" w:cstheme="majorBidi"/>
          <w:sz w:val="24"/>
          <w:szCs w:val="24"/>
        </w:rPr>
        <w:t>s isquiosural</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s, el valor de R</w:t>
      </w:r>
      <w:r w:rsidR="001A097F">
        <w:rPr>
          <w:rFonts w:ascii="Arial" w:eastAsiaTheme="majorEastAsia" w:hAnsi="Arial" w:cstheme="majorBidi"/>
          <w:sz w:val="24"/>
          <w:szCs w:val="24"/>
        </w:rPr>
        <w:t>a</w:t>
      </w:r>
      <w:r w:rsidR="00B01AAC" w:rsidRPr="003D1FBA">
        <w:rPr>
          <w:rFonts w:ascii="Arial" w:eastAsiaTheme="majorEastAsia" w:hAnsi="Arial" w:cstheme="majorBidi"/>
          <w:sz w:val="24"/>
          <w:szCs w:val="24"/>
        </w:rPr>
        <w:t>tio I/Q disminu</w:t>
      </w:r>
      <w:r w:rsidR="001A097F">
        <w:rPr>
          <w:rFonts w:ascii="Arial" w:eastAsiaTheme="majorEastAsia" w:hAnsi="Arial" w:cstheme="majorBidi"/>
          <w:sz w:val="24"/>
          <w:szCs w:val="24"/>
        </w:rPr>
        <w:t>ye</w:t>
      </w:r>
      <w:r w:rsidR="00B01AAC" w:rsidRPr="003D1FBA">
        <w:rPr>
          <w:rFonts w:ascii="Arial" w:eastAsiaTheme="majorEastAsia" w:hAnsi="Arial" w:cstheme="majorBidi"/>
          <w:sz w:val="24"/>
          <w:szCs w:val="24"/>
        </w:rPr>
        <w:t xml:space="preserve"> aumentan</w:t>
      </w:r>
      <w:r w:rsidR="001A097F">
        <w:rPr>
          <w:rFonts w:ascii="Arial" w:eastAsiaTheme="majorEastAsia" w:hAnsi="Arial" w:cstheme="majorBidi"/>
          <w:sz w:val="24"/>
          <w:szCs w:val="24"/>
        </w:rPr>
        <w:t>do</w:t>
      </w:r>
      <w:r w:rsidR="00B01AAC" w:rsidRPr="003D1FBA">
        <w:rPr>
          <w:rFonts w:ascii="Arial" w:eastAsiaTheme="majorEastAsia" w:hAnsi="Arial" w:cstheme="majorBidi"/>
          <w:sz w:val="24"/>
          <w:szCs w:val="24"/>
        </w:rPr>
        <w:t xml:space="preserve"> la difer</w:t>
      </w:r>
      <w:r w:rsidR="001A097F">
        <w:rPr>
          <w:rFonts w:ascii="Arial" w:eastAsiaTheme="majorEastAsia" w:hAnsi="Arial" w:cstheme="majorBidi"/>
          <w:sz w:val="24"/>
          <w:szCs w:val="24"/>
        </w:rPr>
        <w:t>e</w:t>
      </w:r>
      <w:r w:rsidR="00B01AAC" w:rsidRPr="003D1FBA">
        <w:rPr>
          <w:rFonts w:ascii="Arial" w:eastAsiaTheme="majorEastAsia" w:hAnsi="Arial" w:cstheme="majorBidi"/>
          <w:sz w:val="24"/>
          <w:szCs w:val="24"/>
        </w:rPr>
        <w:t>ncia entre a</w:t>
      </w:r>
      <w:r w:rsidR="001A097F">
        <w:rPr>
          <w:rFonts w:ascii="Arial" w:eastAsiaTheme="majorEastAsia" w:hAnsi="Arial" w:cstheme="majorBidi"/>
          <w:sz w:val="24"/>
          <w:szCs w:val="24"/>
        </w:rPr>
        <w:t>mbos</w:t>
      </w:r>
      <w:r w:rsidR="00B01AAC" w:rsidRPr="003D1FBA">
        <w:rPr>
          <w:rFonts w:ascii="Arial" w:eastAsiaTheme="majorEastAsia" w:hAnsi="Arial" w:cstheme="majorBidi"/>
          <w:sz w:val="24"/>
          <w:szCs w:val="24"/>
        </w:rPr>
        <w:t xml:space="preserve"> grup</w:t>
      </w:r>
      <w:r w:rsidR="001A097F">
        <w:rPr>
          <w:rFonts w:ascii="Arial" w:eastAsiaTheme="majorEastAsia" w:hAnsi="Arial" w:cstheme="majorBidi"/>
          <w:sz w:val="24"/>
          <w:szCs w:val="24"/>
        </w:rPr>
        <w:t>o</w:t>
      </w:r>
      <w:r w:rsidR="00B01AAC" w:rsidRPr="003D1FBA">
        <w:rPr>
          <w:rFonts w:ascii="Arial" w:eastAsiaTheme="majorEastAsia" w:hAnsi="Arial" w:cstheme="majorBidi"/>
          <w:sz w:val="24"/>
          <w:szCs w:val="24"/>
        </w:rPr>
        <w:t>s musculars.</w:t>
      </w:r>
      <w:r w:rsidR="009A7CCC" w:rsidRPr="003D1FBA">
        <w:rPr>
          <w:rFonts w:ascii="Arial" w:eastAsiaTheme="majorEastAsia" w:hAnsi="Arial" w:cstheme="majorBidi"/>
          <w:sz w:val="24"/>
          <w:szCs w:val="24"/>
          <w:vertAlign w:val="superscript"/>
        </w:rPr>
        <w:fldChar w:fldCharType="begin" w:fldLock="1"/>
      </w:r>
      <w:r w:rsidR="00EE7DE8" w:rsidRPr="003D1FBA">
        <w:rPr>
          <w:rFonts w:ascii="Arial" w:eastAsiaTheme="majorEastAsia" w:hAnsi="Arial" w:cstheme="majorBidi"/>
          <w:sz w:val="24"/>
          <w:szCs w:val="24"/>
          <w:vertAlign w:val="superscript"/>
        </w:rPr>
        <w:instrText>ADDIN CSL_CITATION {"citationItems":[{"id":"ITEM-1","itemData":{"DOI":"10.1111/sms.13261","ISSN":"16000838","PMID":"29981192","abstract":"The effect of football-specific fatigue on explosive neuromuscular performance and dynamic balance has received little attention in the literature despite the potential consequences for injury risk. This study aimed to investigate the effect of fatigue induced by simulated football match play on maximal and explosive knee flexor (KF) and knee extensor (KE) torque, and thus the maximal and explosive KF/KE ratio, as well as the effect of fatigue induced by simulated football match play on whole-body response to disturbances in balance. Fifteen male team sports players (mean +/- SD: age 24.2 +/- 4.2 years; stature 1.79 +/- 0.09 m; body mass, 77.3 +/- 10.7 kg) underwent ~90 minutes of the modified Loughborough Intermittent Shuttle Test (LIST; fatiguing exercise condition) or seated rest (control condition) on separate days. Maximal and explosive isometric KF and KE voluntary torque (MVT/EVT) were assessed pre- and post-condition. Maximal and explosive KF/KE ratios were calculated. Center of mass (COM) response (displacement) to unexpected anterior and posterior platform perturbations were also assessed pre- and post-condition. Football simulated fatigue resulted in reduced KF (15%) and KE (12%) MVT (P &lt;/= 0.002) but was not found to reduce EVT of either muscle group, or explosive KF/KE ratio. Football simulated fatigue resulted in impaired balance response (11% increase in COM displacement) to unexpected perturbation in the posterior (P = 0.002) but not the anterior direction. Impaired response to dynamic disturbances in balance, rather than explosive torque or changes in muscle balance (H/Q ratios), may be a contributory factor toward increased injury risk in the latter portion of football games, and likely highlights the influence of fatigue on sensory/proprioceptive processes.","author":[{"dropping-particle":"","family":"Behan","given":"Fearghal P.","non-dropping-particle":"","parse-names":false,"suffix":""},{"dropping-particle":"","family":"Willis","given":"Scott","non-dropping-particle":"","parse-names":false,"suffix":""},{"dropping-particle":"","family":"Pain","given":"Matt T.G.","non-dropping-particle":"","parse-names":false,"suffix":""},{"dropping-particle":"","family":"Folland","given":"Jonathan P.","non-dropping-particle":"","parse-names":false,"suffix":""}],"container-title":"Scand J Med Sci Sports","id":"ITEM-1","issue":"12","issued":{"date-parts":[["2018"]]},"page":"2547-57","title":"Effects of football simulated fatigue on neuromuscular function and whole-body response to disturbances in balance","type":"article-journal","volume":"28"},"uris":["http://www.mendeley.com/documents/?uuid=84dbcb29-0f43-45ea-a567-d6ec073cb5f5"]}],"mendeley":{"formattedCitation":"(23)","manualFormatting":"23","plainTextFormattedCitation":"(23)","previouslyFormattedCitation":"(23)"},"properties":{"noteIndex":0},"schema":"https://github.com/citation-style-language/schema/raw/master/csl-citation.json"}</w:instrText>
      </w:r>
      <w:r w:rsidR="009A7CCC" w:rsidRPr="003D1FBA">
        <w:rPr>
          <w:rFonts w:ascii="Arial" w:eastAsiaTheme="majorEastAsia" w:hAnsi="Arial" w:cstheme="majorBidi"/>
          <w:sz w:val="24"/>
          <w:szCs w:val="24"/>
          <w:vertAlign w:val="superscript"/>
        </w:rPr>
        <w:fldChar w:fldCharType="separate"/>
      </w:r>
      <w:r w:rsidR="009A7CCC" w:rsidRPr="003D1FBA">
        <w:rPr>
          <w:rFonts w:ascii="Arial" w:eastAsiaTheme="majorEastAsia" w:hAnsi="Arial" w:cstheme="majorBidi"/>
          <w:noProof/>
          <w:sz w:val="24"/>
          <w:szCs w:val="24"/>
          <w:vertAlign w:val="superscript"/>
        </w:rPr>
        <w:t>23</w:t>
      </w:r>
      <w:r w:rsidR="009A7CCC" w:rsidRPr="003D1FBA">
        <w:rPr>
          <w:rFonts w:ascii="Arial" w:eastAsiaTheme="majorEastAsia" w:hAnsi="Arial" w:cstheme="majorBidi"/>
          <w:sz w:val="24"/>
          <w:szCs w:val="24"/>
          <w:vertAlign w:val="superscript"/>
        </w:rPr>
        <w:fldChar w:fldCharType="end"/>
      </w:r>
    </w:p>
    <w:p w:rsidR="006E5743" w:rsidRPr="003D1FBA" w:rsidRDefault="00DC7E5E" w:rsidP="00652C28">
      <w:pPr>
        <w:spacing w:line="360" w:lineRule="auto"/>
        <w:jc w:val="both"/>
        <w:rPr>
          <w:rFonts w:ascii="Arial" w:eastAsiaTheme="majorEastAsia" w:hAnsi="Arial" w:cstheme="majorBidi"/>
          <w:sz w:val="24"/>
          <w:szCs w:val="24"/>
        </w:rPr>
      </w:pPr>
      <w:r>
        <w:rPr>
          <w:rFonts w:ascii="Arial" w:eastAsiaTheme="majorEastAsia" w:hAnsi="Arial" w:cstheme="majorBidi"/>
          <w:sz w:val="24"/>
          <w:szCs w:val="24"/>
        </w:rPr>
        <w:t>En referencia</w:t>
      </w:r>
      <w:r w:rsidR="006E735E" w:rsidRPr="003D1FBA">
        <w:rPr>
          <w:rFonts w:ascii="Arial" w:eastAsiaTheme="majorEastAsia" w:hAnsi="Arial" w:cstheme="majorBidi"/>
          <w:sz w:val="24"/>
          <w:szCs w:val="24"/>
        </w:rPr>
        <w:t xml:space="preserve"> a</w:t>
      </w:r>
      <w:r>
        <w:rPr>
          <w:rFonts w:ascii="Arial" w:eastAsiaTheme="majorEastAsia" w:hAnsi="Arial" w:cstheme="majorBidi"/>
          <w:sz w:val="24"/>
          <w:szCs w:val="24"/>
        </w:rPr>
        <w:t>l</w:t>
      </w:r>
      <w:r w:rsidR="0032759D" w:rsidRPr="003D1FBA">
        <w:rPr>
          <w:rFonts w:ascii="Arial" w:eastAsiaTheme="majorEastAsia" w:hAnsi="Arial" w:cstheme="majorBidi"/>
          <w:sz w:val="24"/>
          <w:szCs w:val="24"/>
        </w:rPr>
        <w:t xml:space="preserve"> obje</w:t>
      </w:r>
      <w:r>
        <w:rPr>
          <w:rFonts w:ascii="Arial" w:eastAsiaTheme="majorEastAsia" w:hAnsi="Arial" w:cstheme="majorBidi"/>
          <w:sz w:val="24"/>
          <w:szCs w:val="24"/>
        </w:rPr>
        <w:t>t</w:t>
      </w:r>
      <w:r w:rsidR="0032759D" w:rsidRPr="003D1FBA">
        <w:rPr>
          <w:rFonts w:ascii="Arial" w:eastAsiaTheme="majorEastAsia" w:hAnsi="Arial" w:cstheme="majorBidi"/>
          <w:sz w:val="24"/>
          <w:szCs w:val="24"/>
        </w:rPr>
        <w:t>i</w:t>
      </w:r>
      <w:r>
        <w:rPr>
          <w:rFonts w:ascii="Arial" w:eastAsiaTheme="majorEastAsia" w:hAnsi="Arial" w:cstheme="majorBidi"/>
          <w:sz w:val="24"/>
          <w:szCs w:val="24"/>
        </w:rPr>
        <w:t>vo</w:t>
      </w:r>
      <w:r w:rsidR="0032759D" w:rsidRPr="003D1FBA">
        <w:rPr>
          <w:rFonts w:ascii="Arial" w:eastAsiaTheme="majorEastAsia" w:hAnsi="Arial" w:cstheme="majorBidi"/>
          <w:sz w:val="24"/>
          <w:szCs w:val="24"/>
        </w:rPr>
        <w:t xml:space="preserve"> secund</w:t>
      </w:r>
      <w:r>
        <w:rPr>
          <w:rFonts w:ascii="Arial" w:eastAsiaTheme="majorEastAsia" w:hAnsi="Arial" w:cstheme="majorBidi"/>
          <w:sz w:val="24"/>
          <w:szCs w:val="24"/>
        </w:rPr>
        <w:t>a</w:t>
      </w:r>
      <w:r w:rsidR="0032759D" w:rsidRPr="003D1FBA">
        <w:rPr>
          <w:rFonts w:ascii="Arial" w:eastAsiaTheme="majorEastAsia" w:hAnsi="Arial" w:cstheme="majorBidi"/>
          <w:sz w:val="24"/>
          <w:szCs w:val="24"/>
        </w:rPr>
        <w:t>ri</w:t>
      </w:r>
      <w:r>
        <w:rPr>
          <w:rFonts w:ascii="Arial" w:eastAsiaTheme="majorEastAsia" w:hAnsi="Arial" w:cstheme="majorBidi"/>
          <w:sz w:val="24"/>
          <w:szCs w:val="24"/>
        </w:rPr>
        <w:t>o</w:t>
      </w:r>
      <w:r w:rsidR="006E735E" w:rsidRPr="003D1FBA">
        <w:rPr>
          <w:rFonts w:ascii="Arial" w:eastAsiaTheme="majorEastAsia" w:hAnsi="Arial" w:cstheme="majorBidi"/>
          <w:sz w:val="24"/>
          <w:szCs w:val="24"/>
        </w:rPr>
        <w:t>, que</w:t>
      </w:r>
      <w:r w:rsidR="0032759D" w:rsidRPr="003D1FBA">
        <w:rPr>
          <w:rFonts w:ascii="Arial" w:eastAsiaTheme="majorEastAsia" w:hAnsi="Arial" w:cstheme="majorBidi"/>
          <w:sz w:val="24"/>
          <w:szCs w:val="24"/>
        </w:rPr>
        <w:t xml:space="preserve"> </w:t>
      </w:r>
      <w:r>
        <w:rPr>
          <w:rFonts w:ascii="Arial" w:eastAsiaTheme="majorEastAsia" w:hAnsi="Arial" w:cstheme="majorBidi"/>
          <w:sz w:val="24"/>
          <w:szCs w:val="24"/>
        </w:rPr>
        <w:t>fue</w:t>
      </w:r>
      <w:r w:rsidR="0032759D" w:rsidRPr="003D1FBA">
        <w:rPr>
          <w:rFonts w:ascii="Arial" w:eastAsiaTheme="majorEastAsia" w:hAnsi="Arial" w:cstheme="majorBidi"/>
          <w:sz w:val="24"/>
          <w:szCs w:val="24"/>
        </w:rPr>
        <w:t xml:space="preserve"> investigar c</w:t>
      </w:r>
      <w:r>
        <w:rPr>
          <w:rFonts w:ascii="Arial" w:eastAsiaTheme="majorEastAsia" w:hAnsi="Arial" w:cstheme="majorBidi"/>
          <w:sz w:val="24"/>
          <w:szCs w:val="24"/>
        </w:rPr>
        <w:t>ó</w:t>
      </w:r>
      <w:r w:rsidR="0032759D" w:rsidRPr="003D1FBA">
        <w:rPr>
          <w:rFonts w:ascii="Arial" w:eastAsiaTheme="majorEastAsia" w:hAnsi="Arial" w:cstheme="majorBidi"/>
          <w:sz w:val="24"/>
          <w:szCs w:val="24"/>
        </w:rPr>
        <w:t>m</w:t>
      </w:r>
      <w:r>
        <w:rPr>
          <w:rFonts w:ascii="Arial" w:eastAsiaTheme="majorEastAsia" w:hAnsi="Arial" w:cstheme="majorBidi"/>
          <w:sz w:val="24"/>
          <w:szCs w:val="24"/>
        </w:rPr>
        <w:t>o</w:t>
      </w:r>
      <w:r w:rsidR="0032759D" w:rsidRPr="003D1FBA">
        <w:rPr>
          <w:rFonts w:ascii="Arial" w:eastAsiaTheme="majorEastAsia" w:hAnsi="Arial" w:cstheme="majorBidi"/>
          <w:sz w:val="24"/>
          <w:szCs w:val="24"/>
        </w:rPr>
        <w:t xml:space="preserve"> afecta la fatiga neuromuscular en la f</w:t>
      </w:r>
      <w:r>
        <w:rPr>
          <w:rFonts w:ascii="Arial" w:eastAsiaTheme="majorEastAsia" w:hAnsi="Arial" w:cstheme="majorBidi"/>
          <w:sz w:val="24"/>
          <w:szCs w:val="24"/>
        </w:rPr>
        <w:t>uerz</w:t>
      </w:r>
      <w:r w:rsidR="0032759D" w:rsidRPr="003D1FBA">
        <w:rPr>
          <w:rFonts w:ascii="Arial" w:eastAsiaTheme="majorEastAsia" w:hAnsi="Arial" w:cstheme="majorBidi"/>
          <w:sz w:val="24"/>
          <w:szCs w:val="24"/>
        </w:rPr>
        <w:t>a m</w:t>
      </w:r>
      <w:r>
        <w:rPr>
          <w:rFonts w:ascii="Arial" w:eastAsiaTheme="majorEastAsia" w:hAnsi="Arial" w:cstheme="majorBidi"/>
          <w:sz w:val="24"/>
          <w:szCs w:val="24"/>
        </w:rPr>
        <w:t>á</w:t>
      </w:r>
      <w:r w:rsidR="0032759D" w:rsidRPr="003D1FBA">
        <w:rPr>
          <w:rFonts w:ascii="Arial" w:eastAsiaTheme="majorEastAsia" w:hAnsi="Arial" w:cstheme="majorBidi"/>
          <w:sz w:val="24"/>
          <w:szCs w:val="24"/>
        </w:rPr>
        <w:t>xima isom</w:t>
      </w:r>
      <w:r>
        <w:rPr>
          <w:rFonts w:ascii="Arial" w:eastAsiaTheme="majorEastAsia" w:hAnsi="Arial" w:cstheme="majorBidi"/>
          <w:sz w:val="24"/>
          <w:szCs w:val="24"/>
        </w:rPr>
        <w:t>é</w:t>
      </w:r>
      <w:r w:rsidR="0032759D" w:rsidRPr="003D1FBA">
        <w:rPr>
          <w:rFonts w:ascii="Arial" w:eastAsiaTheme="majorEastAsia" w:hAnsi="Arial" w:cstheme="majorBidi"/>
          <w:sz w:val="24"/>
          <w:szCs w:val="24"/>
        </w:rPr>
        <w:t xml:space="preserve">trica de </w:t>
      </w:r>
      <w:r>
        <w:rPr>
          <w:rFonts w:ascii="Arial" w:eastAsiaTheme="majorEastAsia" w:hAnsi="Arial" w:cstheme="majorBidi"/>
          <w:sz w:val="24"/>
          <w:szCs w:val="24"/>
        </w:rPr>
        <w:t>c</w:t>
      </w:r>
      <w:r w:rsidR="0032759D" w:rsidRPr="003D1FBA">
        <w:rPr>
          <w:rFonts w:ascii="Arial" w:eastAsiaTheme="majorEastAsia" w:hAnsi="Arial" w:cstheme="majorBidi"/>
          <w:sz w:val="24"/>
          <w:szCs w:val="24"/>
        </w:rPr>
        <w:t>u</w:t>
      </w:r>
      <w:r>
        <w:rPr>
          <w:rFonts w:ascii="Arial" w:eastAsiaTheme="majorEastAsia" w:hAnsi="Arial" w:cstheme="majorBidi"/>
          <w:sz w:val="24"/>
          <w:szCs w:val="24"/>
        </w:rPr>
        <w:t>á</w:t>
      </w:r>
      <w:r w:rsidR="0032759D" w:rsidRPr="003D1FBA">
        <w:rPr>
          <w:rFonts w:ascii="Arial" w:eastAsiaTheme="majorEastAsia" w:hAnsi="Arial" w:cstheme="majorBidi"/>
          <w:sz w:val="24"/>
          <w:szCs w:val="24"/>
        </w:rPr>
        <w:t xml:space="preserve">driceps </w:t>
      </w:r>
      <w:r>
        <w:rPr>
          <w:rFonts w:ascii="Arial" w:eastAsiaTheme="majorEastAsia" w:hAnsi="Arial" w:cstheme="majorBidi"/>
          <w:sz w:val="24"/>
          <w:szCs w:val="24"/>
        </w:rPr>
        <w:t>e</w:t>
      </w:r>
      <w:r w:rsidR="0032759D" w:rsidRPr="003D1FBA">
        <w:rPr>
          <w:rFonts w:ascii="Arial" w:eastAsiaTheme="majorEastAsia" w:hAnsi="Arial" w:cstheme="majorBidi"/>
          <w:sz w:val="24"/>
          <w:szCs w:val="24"/>
        </w:rPr>
        <w:t xml:space="preserve"> isquiosural</w:t>
      </w:r>
      <w:r>
        <w:rPr>
          <w:rFonts w:ascii="Arial" w:eastAsiaTheme="majorEastAsia" w:hAnsi="Arial" w:cstheme="majorBidi"/>
          <w:sz w:val="24"/>
          <w:szCs w:val="24"/>
        </w:rPr>
        <w:t>e</w:t>
      </w:r>
      <w:r w:rsidR="0032759D" w:rsidRPr="003D1FBA">
        <w:rPr>
          <w:rFonts w:ascii="Arial" w:eastAsiaTheme="majorEastAsia" w:hAnsi="Arial" w:cstheme="majorBidi"/>
          <w:sz w:val="24"/>
          <w:szCs w:val="24"/>
        </w:rPr>
        <w:t>s</w:t>
      </w:r>
      <w:r w:rsidR="006E735E" w:rsidRPr="003D1FBA">
        <w:rPr>
          <w:rFonts w:ascii="Arial" w:eastAsiaTheme="majorEastAsia" w:hAnsi="Arial" w:cstheme="majorBidi"/>
          <w:sz w:val="24"/>
          <w:szCs w:val="24"/>
        </w:rPr>
        <w:t>,</w:t>
      </w:r>
      <w:r w:rsidR="0032759D" w:rsidRPr="003D1FBA">
        <w:rPr>
          <w:rFonts w:ascii="Arial" w:eastAsiaTheme="majorEastAsia" w:hAnsi="Arial" w:cstheme="majorBidi"/>
          <w:sz w:val="24"/>
          <w:szCs w:val="24"/>
        </w:rPr>
        <w:t xml:space="preserve"> </w:t>
      </w:r>
      <w:r w:rsidR="00FC07DE" w:rsidRPr="003D1FBA">
        <w:rPr>
          <w:rFonts w:ascii="Arial" w:eastAsiaTheme="majorEastAsia" w:hAnsi="Arial" w:cstheme="majorBidi"/>
          <w:sz w:val="24"/>
          <w:szCs w:val="24"/>
        </w:rPr>
        <w:t>en</w:t>
      </w:r>
      <w:r w:rsidR="006E735E" w:rsidRPr="003D1FBA">
        <w:rPr>
          <w:rFonts w:ascii="Arial" w:eastAsiaTheme="majorEastAsia" w:hAnsi="Arial" w:cstheme="majorBidi"/>
          <w:sz w:val="24"/>
          <w:szCs w:val="24"/>
        </w:rPr>
        <w:t xml:space="preserve"> </w:t>
      </w:r>
      <w:r>
        <w:rPr>
          <w:rFonts w:ascii="Arial" w:eastAsiaTheme="majorEastAsia" w:hAnsi="Arial" w:cstheme="majorBidi"/>
          <w:sz w:val="24"/>
          <w:szCs w:val="24"/>
        </w:rPr>
        <w:t>este</w:t>
      </w:r>
      <w:r w:rsidR="006021C5" w:rsidRPr="003D1FBA">
        <w:rPr>
          <w:rFonts w:ascii="Arial" w:eastAsiaTheme="majorEastAsia" w:hAnsi="Arial" w:cstheme="majorBidi"/>
          <w:sz w:val="24"/>
          <w:szCs w:val="24"/>
        </w:rPr>
        <w:t xml:space="preserve"> </w:t>
      </w:r>
      <w:r w:rsidR="0032759D" w:rsidRPr="003D1FBA">
        <w:rPr>
          <w:rFonts w:ascii="Arial" w:eastAsiaTheme="majorEastAsia" w:hAnsi="Arial" w:cstheme="majorBidi"/>
          <w:sz w:val="24"/>
          <w:szCs w:val="24"/>
        </w:rPr>
        <w:t>estudi</w:t>
      </w:r>
      <w:r>
        <w:rPr>
          <w:rFonts w:ascii="Arial" w:eastAsiaTheme="majorEastAsia" w:hAnsi="Arial" w:cstheme="majorBidi"/>
          <w:sz w:val="24"/>
          <w:szCs w:val="24"/>
        </w:rPr>
        <w:t>o</w:t>
      </w:r>
      <w:r w:rsidR="0032759D" w:rsidRPr="003D1FBA">
        <w:rPr>
          <w:rFonts w:ascii="Arial" w:eastAsiaTheme="majorEastAsia" w:hAnsi="Arial" w:cstheme="majorBidi"/>
          <w:sz w:val="24"/>
          <w:szCs w:val="24"/>
        </w:rPr>
        <w:t xml:space="preserve"> s</w:t>
      </w:r>
      <w:r>
        <w:rPr>
          <w:rFonts w:ascii="Arial" w:eastAsiaTheme="majorEastAsia" w:hAnsi="Arial" w:cstheme="majorBidi"/>
          <w:sz w:val="24"/>
          <w:szCs w:val="24"/>
        </w:rPr>
        <w:t xml:space="preserve">e </w:t>
      </w:r>
      <w:r w:rsidR="0032759D" w:rsidRPr="003D1FBA">
        <w:rPr>
          <w:rFonts w:ascii="Arial" w:eastAsiaTheme="majorEastAsia" w:hAnsi="Arial" w:cstheme="majorBidi"/>
          <w:sz w:val="24"/>
          <w:szCs w:val="24"/>
        </w:rPr>
        <w:t>ha po</w:t>
      </w:r>
      <w:r>
        <w:rPr>
          <w:rFonts w:ascii="Arial" w:eastAsiaTheme="majorEastAsia" w:hAnsi="Arial" w:cstheme="majorBidi"/>
          <w:sz w:val="24"/>
          <w:szCs w:val="24"/>
        </w:rPr>
        <w:t>dido</w:t>
      </w:r>
      <w:r w:rsidR="0032759D" w:rsidRPr="003D1FBA">
        <w:rPr>
          <w:rFonts w:ascii="Arial" w:eastAsiaTheme="majorEastAsia" w:hAnsi="Arial" w:cstheme="majorBidi"/>
          <w:sz w:val="24"/>
          <w:szCs w:val="24"/>
        </w:rPr>
        <w:t xml:space="preserve"> </w:t>
      </w:r>
      <w:r>
        <w:rPr>
          <w:rFonts w:ascii="Arial" w:eastAsiaTheme="majorEastAsia" w:hAnsi="Arial" w:cstheme="majorBidi"/>
          <w:sz w:val="24"/>
          <w:szCs w:val="24"/>
        </w:rPr>
        <w:t>observar</w:t>
      </w:r>
      <w:r w:rsidR="0032759D" w:rsidRPr="003D1FBA">
        <w:rPr>
          <w:rFonts w:ascii="Arial" w:eastAsiaTheme="majorEastAsia" w:hAnsi="Arial" w:cstheme="majorBidi"/>
          <w:sz w:val="24"/>
          <w:szCs w:val="24"/>
        </w:rPr>
        <w:t xml:space="preserve"> que la f</w:t>
      </w:r>
      <w:r w:rsidR="003F480C">
        <w:rPr>
          <w:rFonts w:ascii="Arial" w:eastAsiaTheme="majorEastAsia" w:hAnsi="Arial" w:cstheme="majorBidi"/>
          <w:sz w:val="24"/>
          <w:szCs w:val="24"/>
        </w:rPr>
        <w:t>uerz</w:t>
      </w:r>
      <w:r w:rsidR="0032759D" w:rsidRPr="003D1FBA">
        <w:rPr>
          <w:rFonts w:ascii="Arial" w:eastAsiaTheme="majorEastAsia" w:hAnsi="Arial" w:cstheme="majorBidi"/>
          <w:sz w:val="24"/>
          <w:szCs w:val="24"/>
        </w:rPr>
        <w:t xml:space="preserve">a muscular de </w:t>
      </w:r>
      <w:r w:rsidR="003F480C">
        <w:rPr>
          <w:rFonts w:ascii="Arial" w:eastAsiaTheme="majorEastAsia" w:hAnsi="Arial" w:cstheme="majorBidi"/>
          <w:sz w:val="24"/>
          <w:szCs w:val="24"/>
        </w:rPr>
        <w:t>c</w:t>
      </w:r>
      <w:r w:rsidR="0032759D" w:rsidRPr="003D1FBA">
        <w:rPr>
          <w:rFonts w:ascii="Arial" w:eastAsiaTheme="majorEastAsia" w:hAnsi="Arial" w:cstheme="majorBidi"/>
          <w:sz w:val="24"/>
          <w:szCs w:val="24"/>
        </w:rPr>
        <w:t>u</w:t>
      </w:r>
      <w:r w:rsidR="003F480C">
        <w:rPr>
          <w:rFonts w:ascii="Arial" w:eastAsiaTheme="majorEastAsia" w:hAnsi="Arial" w:cstheme="majorBidi"/>
          <w:sz w:val="24"/>
          <w:szCs w:val="24"/>
        </w:rPr>
        <w:t>á</w:t>
      </w:r>
      <w:r w:rsidR="0032759D" w:rsidRPr="003D1FBA">
        <w:rPr>
          <w:rFonts w:ascii="Arial" w:eastAsiaTheme="majorEastAsia" w:hAnsi="Arial" w:cstheme="majorBidi"/>
          <w:sz w:val="24"/>
          <w:szCs w:val="24"/>
        </w:rPr>
        <w:t xml:space="preserve">driceps </w:t>
      </w:r>
      <w:r w:rsidR="003F480C">
        <w:rPr>
          <w:rFonts w:ascii="Arial" w:eastAsiaTheme="majorEastAsia" w:hAnsi="Arial" w:cstheme="majorBidi"/>
          <w:sz w:val="24"/>
          <w:szCs w:val="24"/>
        </w:rPr>
        <w:t>e</w:t>
      </w:r>
      <w:r w:rsidR="0032759D" w:rsidRPr="003D1FBA">
        <w:rPr>
          <w:rFonts w:ascii="Arial" w:eastAsiaTheme="majorEastAsia" w:hAnsi="Arial" w:cstheme="majorBidi"/>
          <w:sz w:val="24"/>
          <w:szCs w:val="24"/>
        </w:rPr>
        <w:t xml:space="preserve"> isquiosural</w:t>
      </w:r>
      <w:r w:rsidR="003F480C">
        <w:rPr>
          <w:rFonts w:ascii="Arial" w:eastAsiaTheme="majorEastAsia" w:hAnsi="Arial" w:cstheme="majorBidi"/>
          <w:sz w:val="24"/>
          <w:szCs w:val="24"/>
        </w:rPr>
        <w:t>e</w:t>
      </w:r>
      <w:r w:rsidR="0032759D" w:rsidRPr="003D1FBA">
        <w:rPr>
          <w:rFonts w:ascii="Arial" w:eastAsiaTheme="majorEastAsia" w:hAnsi="Arial" w:cstheme="majorBidi"/>
          <w:sz w:val="24"/>
          <w:szCs w:val="24"/>
        </w:rPr>
        <w:t>s disminu</w:t>
      </w:r>
      <w:r w:rsidR="003F480C">
        <w:rPr>
          <w:rFonts w:ascii="Arial" w:eastAsiaTheme="majorEastAsia" w:hAnsi="Arial" w:cstheme="majorBidi"/>
          <w:sz w:val="24"/>
          <w:szCs w:val="24"/>
        </w:rPr>
        <w:t>ye</w:t>
      </w:r>
      <w:r w:rsidR="0032759D" w:rsidRPr="003D1FBA">
        <w:rPr>
          <w:rFonts w:ascii="Arial" w:eastAsiaTheme="majorEastAsia" w:hAnsi="Arial" w:cstheme="majorBidi"/>
          <w:sz w:val="24"/>
          <w:szCs w:val="24"/>
        </w:rPr>
        <w:t xml:space="preserve"> en pres</w:t>
      </w:r>
      <w:r w:rsidR="003F480C">
        <w:rPr>
          <w:rFonts w:ascii="Arial" w:eastAsiaTheme="majorEastAsia" w:hAnsi="Arial" w:cstheme="majorBidi"/>
          <w:sz w:val="24"/>
          <w:szCs w:val="24"/>
        </w:rPr>
        <w:t>e</w:t>
      </w:r>
      <w:r w:rsidR="0032759D" w:rsidRPr="003D1FBA">
        <w:rPr>
          <w:rFonts w:ascii="Arial" w:eastAsiaTheme="majorEastAsia" w:hAnsi="Arial" w:cstheme="majorBidi"/>
          <w:sz w:val="24"/>
          <w:szCs w:val="24"/>
        </w:rPr>
        <w:t>ncia de fatiga de manera significativa</w:t>
      </w:r>
      <w:r w:rsidR="00AE1450" w:rsidRPr="003D1FBA">
        <w:rPr>
          <w:rFonts w:ascii="Arial" w:eastAsiaTheme="majorEastAsia" w:hAnsi="Arial" w:cstheme="majorBidi"/>
          <w:sz w:val="24"/>
          <w:szCs w:val="24"/>
        </w:rPr>
        <w:t xml:space="preserve"> (p </w:t>
      </w:r>
      <w:r w:rsidR="00AE1450" w:rsidRPr="003D1FBA">
        <w:rPr>
          <w:rFonts w:ascii="Arial" w:hAnsi="Arial" w:cs="Arial"/>
          <w:sz w:val="24"/>
        </w:rPr>
        <w:t>≤ 0.01).</w:t>
      </w:r>
      <w:bookmarkStart w:id="15" w:name="_Hlk18582531"/>
      <w:r w:rsidR="00FC07DE" w:rsidRPr="003D1FBA">
        <w:rPr>
          <w:rFonts w:ascii="Arial" w:eastAsiaTheme="majorEastAsia" w:hAnsi="Arial" w:cstheme="majorBidi"/>
          <w:sz w:val="24"/>
          <w:szCs w:val="24"/>
        </w:rPr>
        <w:t xml:space="preserve"> </w:t>
      </w:r>
      <w:r w:rsidR="003F480C">
        <w:rPr>
          <w:rFonts w:ascii="Arial" w:eastAsiaTheme="majorEastAsia" w:hAnsi="Arial" w:cstheme="majorBidi"/>
          <w:sz w:val="24"/>
          <w:szCs w:val="24"/>
        </w:rPr>
        <w:t>Asimismo</w:t>
      </w:r>
      <w:r w:rsidR="006E5743" w:rsidRPr="003D1FBA">
        <w:rPr>
          <w:rFonts w:ascii="Arial" w:eastAsiaTheme="majorEastAsia" w:hAnsi="Arial" w:cstheme="majorBidi"/>
          <w:sz w:val="24"/>
          <w:szCs w:val="24"/>
        </w:rPr>
        <w:t>, algun</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s autor</w:t>
      </w:r>
      <w:r w:rsidR="003F480C">
        <w:rPr>
          <w:rFonts w:ascii="Arial" w:eastAsiaTheme="majorEastAsia" w:hAnsi="Arial" w:cstheme="majorBidi"/>
          <w:sz w:val="24"/>
          <w:szCs w:val="24"/>
        </w:rPr>
        <w:t>e</w:t>
      </w:r>
      <w:r w:rsidR="006E5743" w:rsidRPr="003D1FBA">
        <w:rPr>
          <w:rFonts w:ascii="Arial" w:eastAsiaTheme="majorEastAsia" w:hAnsi="Arial" w:cstheme="majorBidi"/>
          <w:sz w:val="24"/>
          <w:szCs w:val="24"/>
        </w:rPr>
        <w:t xml:space="preserve">s </w:t>
      </w:r>
      <w:r w:rsidR="003F480C">
        <w:rPr>
          <w:rFonts w:ascii="Arial" w:eastAsiaTheme="majorEastAsia" w:hAnsi="Arial" w:cstheme="majorBidi"/>
          <w:sz w:val="24"/>
          <w:szCs w:val="24"/>
        </w:rPr>
        <w:t>y</w:t>
      </w:r>
      <w:r w:rsidR="006E5743" w:rsidRPr="003D1FBA">
        <w:rPr>
          <w:rFonts w:ascii="Arial" w:eastAsiaTheme="majorEastAsia" w:hAnsi="Arial" w:cstheme="majorBidi"/>
          <w:sz w:val="24"/>
          <w:szCs w:val="24"/>
        </w:rPr>
        <w:t>a han registra</w:t>
      </w:r>
      <w:r w:rsidR="003F480C">
        <w:rPr>
          <w:rFonts w:ascii="Arial" w:eastAsiaTheme="majorEastAsia" w:hAnsi="Arial" w:cstheme="majorBidi"/>
          <w:sz w:val="24"/>
          <w:szCs w:val="24"/>
        </w:rPr>
        <w:t>do</w:t>
      </w:r>
      <w:r w:rsidR="006E5743" w:rsidRPr="003D1FBA">
        <w:rPr>
          <w:rFonts w:ascii="Arial" w:eastAsiaTheme="majorEastAsia" w:hAnsi="Arial" w:cstheme="majorBidi"/>
          <w:sz w:val="24"/>
          <w:szCs w:val="24"/>
        </w:rPr>
        <w:t xml:space="preserve"> p</w:t>
      </w:r>
      <w:r w:rsidR="003F480C">
        <w:rPr>
          <w:rFonts w:ascii="Arial" w:eastAsiaTheme="majorEastAsia" w:hAnsi="Arial" w:cstheme="majorBidi"/>
          <w:sz w:val="24"/>
          <w:szCs w:val="24"/>
        </w:rPr>
        <w:t>é</w:t>
      </w:r>
      <w:r w:rsidR="006E5743" w:rsidRPr="003D1FBA">
        <w:rPr>
          <w:rFonts w:ascii="Arial" w:eastAsiaTheme="majorEastAsia" w:hAnsi="Arial" w:cstheme="majorBidi"/>
          <w:sz w:val="24"/>
          <w:szCs w:val="24"/>
        </w:rPr>
        <w:t>rd</w:t>
      </w:r>
      <w:r w:rsidR="003F480C">
        <w:rPr>
          <w:rFonts w:ascii="Arial" w:eastAsiaTheme="majorEastAsia" w:hAnsi="Arial" w:cstheme="majorBidi"/>
          <w:sz w:val="24"/>
          <w:szCs w:val="24"/>
        </w:rPr>
        <w:t>ida</w:t>
      </w:r>
      <w:r w:rsidR="006E5743" w:rsidRPr="003D1FBA">
        <w:rPr>
          <w:rFonts w:ascii="Arial" w:eastAsiaTheme="majorEastAsia" w:hAnsi="Arial" w:cstheme="majorBidi"/>
          <w:sz w:val="24"/>
          <w:szCs w:val="24"/>
        </w:rPr>
        <w:t>s de f</w:t>
      </w:r>
      <w:r w:rsidR="003F480C">
        <w:rPr>
          <w:rFonts w:ascii="Arial" w:eastAsiaTheme="majorEastAsia" w:hAnsi="Arial" w:cstheme="majorBidi"/>
          <w:sz w:val="24"/>
          <w:szCs w:val="24"/>
        </w:rPr>
        <w:t>uerza</w:t>
      </w:r>
      <w:r w:rsidR="006E5743" w:rsidRPr="003D1FBA">
        <w:rPr>
          <w:rFonts w:ascii="Arial" w:eastAsiaTheme="majorEastAsia" w:hAnsi="Arial" w:cstheme="majorBidi"/>
          <w:sz w:val="24"/>
          <w:szCs w:val="24"/>
        </w:rPr>
        <w:t xml:space="preserve"> del </w:t>
      </w:r>
      <w:r w:rsidR="003F480C">
        <w:rPr>
          <w:rFonts w:ascii="Arial" w:eastAsiaTheme="majorEastAsia" w:hAnsi="Arial" w:cstheme="majorBidi"/>
          <w:sz w:val="24"/>
          <w:szCs w:val="24"/>
        </w:rPr>
        <w:t>c</w:t>
      </w:r>
      <w:r w:rsidR="006E5743" w:rsidRPr="003D1FBA">
        <w:rPr>
          <w:rFonts w:ascii="Arial" w:eastAsiaTheme="majorEastAsia" w:hAnsi="Arial" w:cstheme="majorBidi"/>
          <w:sz w:val="24"/>
          <w:szCs w:val="24"/>
        </w:rPr>
        <w:t>u</w:t>
      </w:r>
      <w:r w:rsidR="003F480C">
        <w:rPr>
          <w:rFonts w:ascii="Arial" w:eastAsiaTheme="majorEastAsia" w:hAnsi="Arial" w:cstheme="majorBidi"/>
          <w:sz w:val="24"/>
          <w:szCs w:val="24"/>
        </w:rPr>
        <w:t>á</w:t>
      </w:r>
      <w:r w:rsidR="006E5743" w:rsidRPr="003D1FBA">
        <w:rPr>
          <w:rFonts w:ascii="Arial" w:eastAsiaTheme="majorEastAsia" w:hAnsi="Arial" w:cstheme="majorBidi"/>
          <w:sz w:val="24"/>
          <w:szCs w:val="24"/>
        </w:rPr>
        <w:t xml:space="preserve">driceps </w:t>
      </w:r>
      <w:r w:rsidR="003F480C">
        <w:rPr>
          <w:rFonts w:ascii="Arial" w:eastAsiaTheme="majorEastAsia" w:hAnsi="Arial" w:cstheme="majorBidi"/>
          <w:sz w:val="24"/>
          <w:szCs w:val="24"/>
        </w:rPr>
        <w:t>y</w:t>
      </w:r>
      <w:r w:rsidR="006E5743" w:rsidRPr="003D1FBA">
        <w:rPr>
          <w:rFonts w:ascii="Arial" w:eastAsiaTheme="majorEastAsia" w:hAnsi="Arial" w:cstheme="majorBidi"/>
          <w:sz w:val="24"/>
          <w:szCs w:val="24"/>
        </w:rPr>
        <w:t xml:space="preserve"> </w:t>
      </w:r>
      <w:r w:rsidR="003F480C">
        <w:rPr>
          <w:rFonts w:ascii="Arial" w:eastAsiaTheme="majorEastAsia" w:hAnsi="Arial" w:cstheme="majorBidi"/>
          <w:sz w:val="24"/>
          <w:szCs w:val="24"/>
        </w:rPr>
        <w:t>lo</w:t>
      </w:r>
      <w:r w:rsidR="006E5743" w:rsidRPr="003D1FBA">
        <w:rPr>
          <w:rFonts w:ascii="Arial" w:eastAsiaTheme="majorEastAsia" w:hAnsi="Arial" w:cstheme="majorBidi"/>
          <w:sz w:val="24"/>
          <w:szCs w:val="24"/>
        </w:rPr>
        <w:t>s isquiosural</w:t>
      </w:r>
      <w:r w:rsidR="003F480C">
        <w:rPr>
          <w:rFonts w:ascii="Arial" w:eastAsiaTheme="majorEastAsia" w:hAnsi="Arial" w:cstheme="majorBidi"/>
          <w:sz w:val="24"/>
          <w:szCs w:val="24"/>
        </w:rPr>
        <w:t>e</w:t>
      </w:r>
      <w:r w:rsidR="006E5743" w:rsidRPr="003D1FBA">
        <w:rPr>
          <w:rFonts w:ascii="Arial" w:eastAsiaTheme="majorEastAsia" w:hAnsi="Arial" w:cstheme="majorBidi"/>
          <w:sz w:val="24"/>
          <w:szCs w:val="24"/>
        </w:rPr>
        <w:t>s en pres</w:t>
      </w:r>
      <w:r w:rsidR="003F480C">
        <w:rPr>
          <w:rFonts w:ascii="Arial" w:eastAsiaTheme="majorEastAsia" w:hAnsi="Arial" w:cstheme="majorBidi"/>
          <w:sz w:val="24"/>
          <w:szCs w:val="24"/>
        </w:rPr>
        <w:t>e</w:t>
      </w:r>
      <w:r w:rsidR="006E5743" w:rsidRPr="003D1FBA">
        <w:rPr>
          <w:rFonts w:ascii="Arial" w:eastAsiaTheme="majorEastAsia" w:hAnsi="Arial" w:cstheme="majorBidi"/>
          <w:sz w:val="24"/>
          <w:szCs w:val="24"/>
        </w:rPr>
        <w:t>ncia de fatiga</w:t>
      </w:r>
      <w:r w:rsidR="005356C7">
        <w:rPr>
          <w:rFonts w:ascii="Arial" w:eastAsiaTheme="majorEastAsia" w:hAnsi="Arial" w:cstheme="majorBidi"/>
          <w:sz w:val="24"/>
          <w:szCs w:val="24"/>
        </w:rPr>
        <w:t>.</w:t>
      </w:r>
      <w:r w:rsidR="007E2E79" w:rsidRPr="003D1FBA">
        <w:rPr>
          <w:rFonts w:ascii="Arial" w:eastAsiaTheme="majorEastAsia" w:hAnsi="Arial" w:cstheme="majorBidi"/>
          <w:sz w:val="24"/>
          <w:szCs w:val="24"/>
          <w:vertAlign w:val="superscript"/>
        </w:rPr>
        <w:fldChar w:fldCharType="begin" w:fldLock="1"/>
      </w:r>
      <w:r w:rsidR="00EE7DE8" w:rsidRPr="003D1FBA">
        <w:rPr>
          <w:rFonts w:ascii="Arial" w:eastAsiaTheme="majorEastAsia" w:hAnsi="Arial" w:cstheme="majorBidi"/>
          <w:sz w:val="24"/>
          <w:szCs w:val="24"/>
          <w:vertAlign w:val="superscript"/>
        </w:rPr>
        <w:instrText>ADDIN CSL_CITATION {"citationItems":[{"id":"ITEM-1","itemData":{"DOI":"10.1080/0264041031000140428","ISBN":"0264-0414 (Print)\\r0264-0414 (Linking)","ISSN":"02640414","PMID":"14626373","abstract":"Fatigue represents a reduction in the capability of muscle to generate force. The aim of the present study was to establish the effects of exercise that simulates the work rate of competitive soccer players on the strength of the knee extensors and knee flexors. Thirteen amateur soccer players (age 23.3+/-3.9 years, height 1.78+/-0.05 m, body mass 74.8+/-3.6 kg; mean+/-s) were tested during the 2000-2001 soccer season. Muscle strength of the quadriceps and hamstrings was measured on an isokinetic dynamometer. A 90 min soccer-specific intermittent exercise protocol, incorporating a 15 min half-time intermission, was developed to provide fatiguing exercise corresponding in work rate to a game of soccer. The exercise protocol, performed on a programmable motorized treadmill, consisted of the different intensities observed during soccer match-play (e.g. walking, jogging, running, sprinting). Muscle strength was assessed before exercise, at half-time and immediately after exercise. A repeated-measures analysis of variance showed significant reductions (P &lt; 0.001) in peak torque for both the quadriceps and hamstrings at all angular velocities (concentric: 1.05, 2.09, 5.23 rad x s(-1); eccentric: 2.09 rad x s(-1)). The peak torque of the knee extensors (KE) and knee flexors (KF) was greater before exercise [KE: 232+/-37, 182+/-34, 129+/-27, 219+/-41 N x m at 1.05, 2.09 and 5.23 rad x s(-1) (concentric) and 2.09 rad x s(-1) (eccentric), respectively; KF: 126+/-20, 112+/-19, 101+/-16, 137+/-23 N x m] than at half-time (KE: 209+/-45, 177+/-35, 125+/-36, 214+/-43 N x m; KF: 114+/-31, 102+/-20, 92+/-15, 125+/-25 N x m) and greater at half-time than after exercise (KE: 196+/-43, 167+/-35, 118+/-24, 204+/-43 N x m; KF: 104+/-25, 95+/-21, 87+/-13, 114+/-27 N x m). For the hamstrings:quadriceps ratio, significant changes were found (P &lt; 0.05) for both legs, the ratio being greater before than after exercise. For fast:slow speed and left:right ratios, no significant changes were found. We conclude that there is a progressive reduction in muscle strength that applies across a range of functional characteristics during exercise that mimics the work rate in soccer.","author":[{"dropping-particle":"","family":"Rahnama","given":"Nader","non-dropping-particle":"","parse-names":false,"suffix":""},{"dropping-particle":"","family":"Reilly","given":"T.","non-dropping-particle":"","parse-names":false,"suffix":""},{"dropping-particle":"","family":"Lees","given":"A.","non-dropping-particle":"","parse-names":false,"suffix":""},{"dropping-particle":"","family":"Graham-Smith","given":"P.","non-dropping-particle":"","parse-names":false,"suffix":""}],"container-title":"J Sports Sci","id":"ITEM-1","issue":"11","issued":{"date-parts":[["2003"]]},"page":"933-42","title":"Muscle fatigue induced by exercise simulating the work rate of competitive soccer","type":"article-journal","volume":"21"},"uris":["http://www.mendeley.com/documents/?uuid=90482cd4-c6c5-43ff-aeb7-45af4e0e6ff3"]},{"id":"ITEM-2","itemData":{"DOI":"10.1111/ijlh.12426","ISBN":"0000000154871","ISSN":"18196608","PMID":"27935037","author":[{"dropping-particle":"","family":"Pinto","given":"MD","non-dropping-particle":"","parse-names":false,"suffix":""},{"dropping-particle":"","family":"Blazevich","given":"AJ","non-dropping-particle":"","parse-names":false,"suffix":""},{"dropping-particle":"","family":"Andersen","given":"LL","non-dropping-particle":"","parse-names":false,"suffix":""},{"dropping-particle":"","family":"Mil-Homens","given":"P","non-dropping-particle":"","parse-names":false,"suffix":""},{"dropping-particle":"","family":"Pinto","given":"RS","non-dropping-particle":"","parse-names":false,"suffix":""}],"container-title":"Scand J Med Sci Sports","id":"ITEM-2","issue":"1","issued":{"date-parts":[["2017"]]},"page":"282-93","title":"Hamstring-to-quadriceps fatigue ratio offers new and different muscle function information than the conventional non-fatigued ratio.","type":"article-journal","volume":"28"},"uris":["http://www.mendeley.com/documents/?uuid=a608714a-9cb8-4efa-b84a-84d04532d17a"]},{"id":"ITEM-3","itemData":{"DOI":"10.1055/s-0029-1243642","ISBN":"1439-3964 (Electronic)\\r0172-4622 (Linking)","ISSN":"01724622","PMID":"20157872","abstract":"The aim of this study was to investigate the effects of fatigue induced by a field test representative of soccer specific movements on different hamstrings:quadriceps ratios in the dominant and non-dominant legs at two different velocities. Eight male football players (age: 21.3+/-2.3 years; height: 178+/-8 cm; body mass: 78+/-9 kg; playing level: British University Southern conference-3B) performed a pre-test to assess the concentric and eccentric strength of the hamstrings and the quadriceps at 60 degrees x s(-1) and 180 degrees x s(-1), The Loughborough Intermittent Shuttle Test (LIST) to simulate soccer, and a post-test similar to the pre-test. The main findings demonstrated significant decreases in the H(con):Q(con) ratio (calculated as the maximal concentric hamstrings strength divided by the maximal concentric quadriceps strength) in the dominant leg at 180 degrees x s(-1) and in the functional ratio H(ecc):Q(con) (calculated as the maximal eccentric hamstrings strength divided by the maximal concentric quadriceps strength) in the dominant leg at 60 degrees x s(-1) and 180 degrees x s(-1). In addition, significant correlations were observed between physiological parameters measured during the soccer-specific exercise and H(ecc):Q(con) only. These results suggested that the functional H(ecc):Q(con) ratio is more representative of fatigue induced by soccer than the conventional H(con):Q(con) ratio. Eccentric strength training at high velocities may be necessary to reduce injury risk in soccer players.","author":[{"dropping-particle":"","family":"Delextrat","given":"A.","non-dropping-particle":"","parse-names":false,"suffix":""},{"dropping-particle":"","family":"Gregory","given":"J.","non-dropping-particle":"","parse-names":false,"suffix":""},{"dropping-particle":"","family":"Cohen","given":"D.","non-dropping-particle":"","parse-names":false,"suffix":""}],"container-title":"Int J Sports Med","id":"ITEM-3","issue":"3","issued":{"date-parts":[["2010"]]},"page":"192-7","title":"The use of the functional H:Q ratio to assess fatigue in soccer","type":"article-journal","volume":"31"},"uris":["http://www.mendeley.com/documents/?uuid=45695159-8432-46ab-a610-3e945a001d0e"]}],"mendeley":{"formattedCitation":"(15,24,29)","manualFormatting":"15,24,29","plainTextFormattedCitation":"(15,24,29)","previouslyFormattedCitation":"(15,24,29)"},"properties":{"noteIndex":0},"schema":"https://github.com/citation-style-language/schema/raw/master/csl-citation.json"}</w:instrText>
      </w:r>
      <w:r w:rsidR="007E2E79" w:rsidRPr="003D1FBA">
        <w:rPr>
          <w:rFonts w:ascii="Arial" w:eastAsiaTheme="majorEastAsia" w:hAnsi="Arial" w:cstheme="majorBidi"/>
          <w:sz w:val="24"/>
          <w:szCs w:val="24"/>
          <w:vertAlign w:val="superscript"/>
        </w:rPr>
        <w:fldChar w:fldCharType="separate"/>
      </w:r>
      <w:r w:rsidR="007E2E79" w:rsidRPr="003D1FBA">
        <w:rPr>
          <w:rFonts w:ascii="Arial" w:eastAsiaTheme="majorEastAsia" w:hAnsi="Arial" w:cstheme="majorBidi"/>
          <w:noProof/>
          <w:sz w:val="24"/>
          <w:szCs w:val="24"/>
          <w:vertAlign w:val="superscript"/>
        </w:rPr>
        <w:t>15,24,29</w:t>
      </w:r>
      <w:r w:rsidR="007E2E79" w:rsidRPr="003D1FBA">
        <w:rPr>
          <w:rFonts w:ascii="Arial" w:eastAsiaTheme="majorEastAsia" w:hAnsi="Arial" w:cstheme="majorBidi"/>
          <w:sz w:val="24"/>
          <w:szCs w:val="24"/>
          <w:vertAlign w:val="superscript"/>
        </w:rPr>
        <w:fldChar w:fldCharType="end"/>
      </w:r>
      <w:r w:rsidR="006E5743" w:rsidRPr="003D1FBA">
        <w:rPr>
          <w:rFonts w:ascii="Arial" w:eastAsiaTheme="majorEastAsia" w:hAnsi="Arial" w:cstheme="majorBidi"/>
          <w:sz w:val="24"/>
          <w:szCs w:val="24"/>
        </w:rPr>
        <w:t xml:space="preserve"> En concret</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w:t>
      </w:r>
      <w:r w:rsidR="00E56E91" w:rsidRPr="003D1FBA">
        <w:rPr>
          <w:rFonts w:ascii="Arial" w:eastAsiaTheme="majorEastAsia" w:hAnsi="Arial" w:cstheme="majorBidi"/>
          <w:sz w:val="24"/>
          <w:szCs w:val="24"/>
        </w:rPr>
        <w:t xml:space="preserve"> </w:t>
      </w:r>
      <w:r w:rsidR="006E5743" w:rsidRPr="003D1FBA">
        <w:rPr>
          <w:rFonts w:ascii="Arial" w:eastAsiaTheme="majorEastAsia" w:hAnsi="Arial" w:cstheme="majorBidi"/>
          <w:sz w:val="24"/>
          <w:szCs w:val="24"/>
        </w:rPr>
        <w:t>Behan et al</w:t>
      </w:r>
      <w:r w:rsidR="00AA3A67" w:rsidRPr="003D1FBA">
        <w:rPr>
          <w:rFonts w:ascii="Arial" w:eastAsiaTheme="majorEastAsia" w:hAnsi="Arial" w:cstheme="majorBidi"/>
          <w:sz w:val="24"/>
          <w:szCs w:val="24"/>
        </w:rPr>
        <w:t>.</w:t>
      </w:r>
      <w:r w:rsidR="006E5743" w:rsidRPr="003D1FBA">
        <w:rPr>
          <w:rFonts w:ascii="Arial" w:eastAsiaTheme="majorEastAsia" w:hAnsi="Arial" w:cstheme="majorBidi"/>
          <w:sz w:val="24"/>
          <w:szCs w:val="24"/>
        </w:rPr>
        <w:t xml:space="preserve"> 2018 </w:t>
      </w:r>
      <w:r w:rsidR="003F480C">
        <w:rPr>
          <w:rFonts w:ascii="Arial" w:eastAsiaTheme="majorEastAsia" w:hAnsi="Arial" w:cstheme="majorBidi"/>
          <w:sz w:val="24"/>
          <w:szCs w:val="24"/>
        </w:rPr>
        <w:t>hicieron</w:t>
      </w:r>
      <w:r w:rsidR="006E5743" w:rsidRPr="003D1FBA">
        <w:rPr>
          <w:rFonts w:ascii="Arial" w:eastAsiaTheme="majorEastAsia" w:hAnsi="Arial" w:cstheme="majorBidi"/>
          <w:sz w:val="24"/>
          <w:szCs w:val="24"/>
        </w:rPr>
        <w:t xml:space="preserve"> un estudi</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 xml:space="preserve"> </w:t>
      </w:r>
      <w:r w:rsidR="003F480C">
        <w:rPr>
          <w:rFonts w:ascii="Arial" w:eastAsiaTheme="majorEastAsia" w:hAnsi="Arial" w:cstheme="majorBidi"/>
          <w:sz w:val="24"/>
          <w:szCs w:val="24"/>
        </w:rPr>
        <w:t>donde</w:t>
      </w:r>
      <w:r w:rsidR="008E3102" w:rsidRPr="003D1FBA">
        <w:rPr>
          <w:rFonts w:ascii="Arial" w:eastAsiaTheme="majorEastAsia" w:hAnsi="Arial" w:cstheme="majorBidi"/>
          <w:sz w:val="24"/>
          <w:szCs w:val="24"/>
        </w:rPr>
        <w:t xml:space="preserve"> realiza</w:t>
      </w:r>
      <w:r w:rsidR="003F480C">
        <w:rPr>
          <w:rFonts w:ascii="Arial" w:eastAsiaTheme="majorEastAsia" w:hAnsi="Arial" w:cstheme="majorBidi"/>
          <w:sz w:val="24"/>
          <w:szCs w:val="24"/>
        </w:rPr>
        <w:t>ba</w:t>
      </w:r>
      <w:r w:rsidR="008E3102" w:rsidRPr="003D1FBA">
        <w:rPr>
          <w:rFonts w:ascii="Arial" w:eastAsiaTheme="majorEastAsia" w:hAnsi="Arial" w:cstheme="majorBidi"/>
          <w:sz w:val="24"/>
          <w:szCs w:val="24"/>
        </w:rPr>
        <w:t>n</w:t>
      </w:r>
      <w:r w:rsidR="006E5743" w:rsidRPr="003D1FBA">
        <w:rPr>
          <w:rFonts w:ascii="Arial" w:eastAsiaTheme="majorEastAsia" w:hAnsi="Arial" w:cstheme="majorBidi"/>
          <w:sz w:val="24"/>
          <w:szCs w:val="24"/>
        </w:rPr>
        <w:t xml:space="preserve"> un test fatigant</w:t>
      </w:r>
      <w:r w:rsidR="003F480C">
        <w:rPr>
          <w:rFonts w:ascii="Arial" w:eastAsiaTheme="majorEastAsia" w:hAnsi="Arial" w:cstheme="majorBidi"/>
          <w:sz w:val="24"/>
          <w:szCs w:val="24"/>
        </w:rPr>
        <w:t>e</w:t>
      </w:r>
      <w:r w:rsidR="006E5743" w:rsidRPr="003D1FBA">
        <w:rPr>
          <w:rFonts w:ascii="Arial" w:eastAsiaTheme="majorEastAsia" w:hAnsi="Arial" w:cstheme="majorBidi"/>
          <w:sz w:val="24"/>
          <w:szCs w:val="24"/>
        </w:rPr>
        <w:t xml:space="preserve"> (“Loughbrough Intermittent Shuttle Test”) </w:t>
      </w:r>
      <w:r w:rsidR="003F480C">
        <w:rPr>
          <w:rFonts w:ascii="Arial" w:eastAsiaTheme="majorEastAsia" w:hAnsi="Arial" w:cstheme="majorBidi"/>
          <w:sz w:val="24"/>
          <w:szCs w:val="24"/>
        </w:rPr>
        <w:t>y</w:t>
      </w:r>
      <w:r w:rsidR="006E5743" w:rsidRPr="003D1FBA">
        <w:rPr>
          <w:rFonts w:ascii="Arial" w:eastAsiaTheme="majorEastAsia" w:hAnsi="Arial" w:cstheme="majorBidi"/>
          <w:sz w:val="24"/>
          <w:szCs w:val="24"/>
        </w:rPr>
        <w:t xml:space="preserve"> </w:t>
      </w:r>
      <w:r w:rsidR="003F480C">
        <w:rPr>
          <w:rFonts w:ascii="Arial" w:eastAsiaTheme="majorEastAsia" w:hAnsi="Arial" w:cstheme="majorBidi"/>
          <w:sz w:val="24"/>
          <w:szCs w:val="24"/>
        </w:rPr>
        <w:t>detectaron</w:t>
      </w:r>
      <w:r w:rsidR="006E5743" w:rsidRPr="003D1FBA">
        <w:rPr>
          <w:rFonts w:ascii="Arial" w:eastAsiaTheme="majorEastAsia" w:hAnsi="Arial" w:cstheme="majorBidi"/>
          <w:sz w:val="24"/>
          <w:szCs w:val="24"/>
        </w:rPr>
        <w:t xml:space="preserve"> una p</w:t>
      </w:r>
      <w:r w:rsidR="003F480C">
        <w:rPr>
          <w:rFonts w:ascii="Arial" w:eastAsiaTheme="majorEastAsia" w:hAnsi="Arial" w:cstheme="majorBidi"/>
          <w:sz w:val="24"/>
          <w:szCs w:val="24"/>
        </w:rPr>
        <w:t>é</w:t>
      </w:r>
      <w:r w:rsidR="006E5743" w:rsidRPr="003D1FBA">
        <w:rPr>
          <w:rFonts w:ascii="Arial" w:eastAsiaTheme="majorEastAsia" w:hAnsi="Arial" w:cstheme="majorBidi"/>
          <w:sz w:val="24"/>
          <w:szCs w:val="24"/>
        </w:rPr>
        <w:t>rd</w:t>
      </w:r>
      <w:r w:rsidR="003F480C">
        <w:rPr>
          <w:rFonts w:ascii="Arial" w:eastAsiaTheme="majorEastAsia" w:hAnsi="Arial" w:cstheme="majorBidi"/>
          <w:sz w:val="24"/>
          <w:szCs w:val="24"/>
        </w:rPr>
        <w:t>id</w:t>
      </w:r>
      <w:r w:rsidR="006E5743" w:rsidRPr="003D1FBA">
        <w:rPr>
          <w:rFonts w:ascii="Arial" w:eastAsiaTheme="majorEastAsia" w:hAnsi="Arial" w:cstheme="majorBidi"/>
          <w:sz w:val="24"/>
          <w:szCs w:val="24"/>
        </w:rPr>
        <w:t>a de f</w:t>
      </w:r>
      <w:r w:rsidR="003F480C">
        <w:rPr>
          <w:rFonts w:ascii="Arial" w:eastAsiaTheme="majorEastAsia" w:hAnsi="Arial" w:cstheme="majorBidi"/>
          <w:sz w:val="24"/>
          <w:szCs w:val="24"/>
        </w:rPr>
        <w:t>uerz</w:t>
      </w:r>
      <w:r w:rsidR="006E5743" w:rsidRPr="003D1FBA">
        <w:rPr>
          <w:rFonts w:ascii="Arial" w:eastAsiaTheme="majorEastAsia" w:hAnsi="Arial" w:cstheme="majorBidi"/>
          <w:sz w:val="24"/>
          <w:szCs w:val="24"/>
        </w:rPr>
        <w:t>a de</w:t>
      </w:r>
      <w:r w:rsidR="003F480C">
        <w:rPr>
          <w:rFonts w:ascii="Arial" w:eastAsiaTheme="majorEastAsia" w:hAnsi="Arial" w:cstheme="majorBidi"/>
          <w:sz w:val="24"/>
          <w:szCs w:val="24"/>
        </w:rPr>
        <w:t xml:space="preserve"> </w:t>
      </w:r>
      <w:r w:rsidR="006E5743" w:rsidRPr="003D1FBA">
        <w:rPr>
          <w:rFonts w:ascii="Arial" w:eastAsiaTheme="majorEastAsia" w:hAnsi="Arial" w:cstheme="majorBidi"/>
          <w:sz w:val="24"/>
          <w:szCs w:val="24"/>
        </w:rPr>
        <w:t>l</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 xml:space="preserve">s </w:t>
      </w:r>
      <w:r w:rsidR="003F480C">
        <w:rPr>
          <w:rFonts w:ascii="Arial" w:eastAsiaTheme="majorEastAsia" w:hAnsi="Arial" w:cstheme="majorBidi"/>
          <w:sz w:val="24"/>
          <w:szCs w:val="24"/>
        </w:rPr>
        <w:t>c</w:t>
      </w:r>
      <w:r w:rsidR="006E5743" w:rsidRPr="003D1FBA">
        <w:rPr>
          <w:rFonts w:ascii="Arial" w:eastAsiaTheme="majorEastAsia" w:hAnsi="Arial" w:cstheme="majorBidi"/>
          <w:sz w:val="24"/>
          <w:szCs w:val="24"/>
        </w:rPr>
        <w:t>u</w:t>
      </w:r>
      <w:r w:rsidR="003F480C">
        <w:rPr>
          <w:rFonts w:ascii="Arial" w:eastAsiaTheme="majorEastAsia" w:hAnsi="Arial" w:cstheme="majorBidi"/>
          <w:sz w:val="24"/>
          <w:szCs w:val="24"/>
        </w:rPr>
        <w:t>á</w:t>
      </w:r>
      <w:r w:rsidR="006E5743" w:rsidRPr="003D1FBA">
        <w:rPr>
          <w:rFonts w:ascii="Arial" w:eastAsiaTheme="majorEastAsia" w:hAnsi="Arial" w:cstheme="majorBidi"/>
          <w:sz w:val="24"/>
          <w:szCs w:val="24"/>
        </w:rPr>
        <w:t xml:space="preserve">driceps del 12% </w:t>
      </w:r>
      <w:r w:rsidR="003F480C">
        <w:rPr>
          <w:rFonts w:ascii="Arial" w:eastAsiaTheme="majorEastAsia" w:hAnsi="Arial" w:cstheme="majorBidi"/>
          <w:sz w:val="24"/>
          <w:szCs w:val="24"/>
        </w:rPr>
        <w:t>y</w:t>
      </w:r>
      <w:r w:rsidR="006E5743" w:rsidRPr="003D1FBA">
        <w:rPr>
          <w:rFonts w:ascii="Arial" w:eastAsiaTheme="majorEastAsia" w:hAnsi="Arial" w:cstheme="majorBidi"/>
          <w:sz w:val="24"/>
          <w:szCs w:val="24"/>
        </w:rPr>
        <w:t xml:space="preserve"> una p</w:t>
      </w:r>
      <w:r w:rsidR="003F480C">
        <w:rPr>
          <w:rFonts w:ascii="Arial" w:eastAsiaTheme="majorEastAsia" w:hAnsi="Arial" w:cstheme="majorBidi"/>
          <w:sz w:val="24"/>
          <w:szCs w:val="24"/>
        </w:rPr>
        <w:t>é</w:t>
      </w:r>
      <w:r w:rsidR="006E5743" w:rsidRPr="003D1FBA">
        <w:rPr>
          <w:rFonts w:ascii="Arial" w:eastAsiaTheme="majorEastAsia" w:hAnsi="Arial" w:cstheme="majorBidi"/>
          <w:sz w:val="24"/>
          <w:szCs w:val="24"/>
        </w:rPr>
        <w:t>rd</w:t>
      </w:r>
      <w:r w:rsidR="003F480C">
        <w:rPr>
          <w:rFonts w:ascii="Arial" w:eastAsiaTheme="majorEastAsia" w:hAnsi="Arial" w:cstheme="majorBidi"/>
          <w:sz w:val="24"/>
          <w:szCs w:val="24"/>
        </w:rPr>
        <w:t>id</w:t>
      </w:r>
      <w:r w:rsidR="006E5743" w:rsidRPr="003D1FBA">
        <w:rPr>
          <w:rFonts w:ascii="Arial" w:eastAsiaTheme="majorEastAsia" w:hAnsi="Arial" w:cstheme="majorBidi"/>
          <w:sz w:val="24"/>
          <w:szCs w:val="24"/>
        </w:rPr>
        <w:t>a de f</w:t>
      </w:r>
      <w:r w:rsidR="003F480C">
        <w:rPr>
          <w:rFonts w:ascii="Arial" w:eastAsiaTheme="majorEastAsia" w:hAnsi="Arial" w:cstheme="majorBidi"/>
          <w:sz w:val="24"/>
          <w:szCs w:val="24"/>
        </w:rPr>
        <w:t>uerz</w:t>
      </w:r>
      <w:r w:rsidR="006E5743" w:rsidRPr="003D1FBA">
        <w:rPr>
          <w:rFonts w:ascii="Arial" w:eastAsiaTheme="majorEastAsia" w:hAnsi="Arial" w:cstheme="majorBidi"/>
          <w:sz w:val="24"/>
          <w:szCs w:val="24"/>
        </w:rPr>
        <w:t>a de</w:t>
      </w:r>
      <w:r w:rsidR="003F480C">
        <w:rPr>
          <w:rFonts w:ascii="Arial" w:eastAsiaTheme="majorEastAsia" w:hAnsi="Arial" w:cstheme="majorBidi"/>
          <w:sz w:val="24"/>
          <w:szCs w:val="24"/>
        </w:rPr>
        <w:t xml:space="preserve"> </w:t>
      </w:r>
      <w:r w:rsidR="006E5743" w:rsidRPr="003D1FBA">
        <w:rPr>
          <w:rFonts w:ascii="Arial" w:eastAsiaTheme="majorEastAsia" w:hAnsi="Arial" w:cstheme="majorBidi"/>
          <w:sz w:val="24"/>
          <w:szCs w:val="24"/>
        </w:rPr>
        <w:t>l</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s Isquiosural</w:t>
      </w:r>
      <w:r w:rsidR="003F480C">
        <w:rPr>
          <w:rFonts w:ascii="Arial" w:eastAsiaTheme="majorEastAsia" w:hAnsi="Arial" w:cstheme="majorBidi"/>
          <w:sz w:val="24"/>
          <w:szCs w:val="24"/>
        </w:rPr>
        <w:t>e</w:t>
      </w:r>
      <w:r w:rsidR="006E5743" w:rsidRPr="003D1FBA">
        <w:rPr>
          <w:rFonts w:ascii="Arial" w:eastAsiaTheme="majorEastAsia" w:hAnsi="Arial" w:cstheme="majorBidi"/>
          <w:sz w:val="24"/>
          <w:szCs w:val="24"/>
        </w:rPr>
        <w:t>s del 15%, s</w:t>
      </w:r>
      <w:r w:rsidR="003F480C">
        <w:rPr>
          <w:rFonts w:ascii="Arial" w:eastAsiaTheme="majorEastAsia" w:hAnsi="Arial" w:cstheme="majorBidi"/>
          <w:sz w:val="24"/>
          <w:szCs w:val="24"/>
        </w:rPr>
        <w:t>ie</w:t>
      </w:r>
      <w:r w:rsidR="006E5743" w:rsidRPr="003D1FBA">
        <w:rPr>
          <w:rFonts w:ascii="Arial" w:eastAsiaTheme="majorEastAsia" w:hAnsi="Arial" w:cstheme="majorBidi"/>
          <w:sz w:val="24"/>
          <w:szCs w:val="24"/>
        </w:rPr>
        <w:t>n</w:t>
      </w:r>
      <w:r w:rsidR="003F480C">
        <w:rPr>
          <w:rFonts w:ascii="Arial" w:eastAsiaTheme="majorEastAsia" w:hAnsi="Arial" w:cstheme="majorBidi"/>
          <w:sz w:val="24"/>
          <w:szCs w:val="24"/>
        </w:rPr>
        <w:t>do</w:t>
      </w:r>
      <w:r w:rsidR="006E5743" w:rsidRPr="003D1FBA">
        <w:rPr>
          <w:rFonts w:ascii="Arial" w:eastAsiaTheme="majorEastAsia" w:hAnsi="Arial" w:cstheme="majorBidi"/>
          <w:sz w:val="24"/>
          <w:szCs w:val="24"/>
        </w:rPr>
        <w:t xml:space="preserve"> ma</w:t>
      </w:r>
      <w:r w:rsidR="003F480C">
        <w:rPr>
          <w:rFonts w:ascii="Arial" w:eastAsiaTheme="majorEastAsia" w:hAnsi="Arial" w:cstheme="majorBidi"/>
          <w:sz w:val="24"/>
          <w:szCs w:val="24"/>
        </w:rPr>
        <w:t>y</w:t>
      </w:r>
      <w:r w:rsidR="006E5743" w:rsidRPr="003D1FBA">
        <w:rPr>
          <w:rFonts w:ascii="Arial" w:eastAsiaTheme="majorEastAsia" w:hAnsi="Arial" w:cstheme="majorBidi"/>
          <w:sz w:val="24"/>
          <w:szCs w:val="24"/>
        </w:rPr>
        <w:t>or la p</w:t>
      </w:r>
      <w:r w:rsidR="003F480C">
        <w:rPr>
          <w:rFonts w:ascii="Arial" w:eastAsiaTheme="majorEastAsia" w:hAnsi="Arial" w:cstheme="majorBidi"/>
          <w:sz w:val="24"/>
          <w:szCs w:val="24"/>
        </w:rPr>
        <w:t>é</w:t>
      </w:r>
      <w:r w:rsidR="006E5743" w:rsidRPr="003D1FBA">
        <w:rPr>
          <w:rFonts w:ascii="Arial" w:eastAsiaTheme="majorEastAsia" w:hAnsi="Arial" w:cstheme="majorBidi"/>
          <w:sz w:val="24"/>
          <w:szCs w:val="24"/>
        </w:rPr>
        <w:t>rd</w:t>
      </w:r>
      <w:r w:rsidR="003F480C">
        <w:rPr>
          <w:rFonts w:ascii="Arial" w:eastAsiaTheme="majorEastAsia" w:hAnsi="Arial" w:cstheme="majorBidi"/>
          <w:sz w:val="24"/>
          <w:szCs w:val="24"/>
        </w:rPr>
        <w:t>id</w:t>
      </w:r>
      <w:r w:rsidR="006E5743" w:rsidRPr="003D1FBA">
        <w:rPr>
          <w:rFonts w:ascii="Arial" w:eastAsiaTheme="majorEastAsia" w:hAnsi="Arial" w:cstheme="majorBidi"/>
          <w:sz w:val="24"/>
          <w:szCs w:val="24"/>
        </w:rPr>
        <w:t>a de f</w:t>
      </w:r>
      <w:r w:rsidR="003F480C">
        <w:rPr>
          <w:rFonts w:ascii="Arial" w:eastAsiaTheme="majorEastAsia" w:hAnsi="Arial" w:cstheme="majorBidi"/>
          <w:sz w:val="24"/>
          <w:szCs w:val="24"/>
        </w:rPr>
        <w:t>uerz</w:t>
      </w:r>
      <w:r w:rsidR="006E5743" w:rsidRPr="003D1FBA">
        <w:rPr>
          <w:rFonts w:ascii="Arial" w:eastAsiaTheme="majorEastAsia" w:hAnsi="Arial" w:cstheme="majorBidi"/>
          <w:sz w:val="24"/>
          <w:szCs w:val="24"/>
        </w:rPr>
        <w:t>a de</w:t>
      </w:r>
      <w:r w:rsidR="003F480C">
        <w:rPr>
          <w:rFonts w:ascii="Arial" w:eastAsiaTheme="majorEastAsia" w:hAnsi="Arial" w:cstheme="majorBidi"/>
          <w:sz w:val="24"/>
          <w:szCs w:val="24"/>
        </w:rPr>
        <w:t xml:space="preserve"> </w:t>
      </w:r>
      <w:r w:rsidR="006E5743" w:rsidRPr="003D1FBA">
        <w:rPr>
          <w:rFonts w:ascii="Arial" w:eastAsiaTheme="majorEastAsia" w:hAnsi="Arial" w:cstheme="majorBidi"/>
          <w:sz w:val="24"/>
          <w:szCs w:val="24"/>
        </w:rPr>
        <w:t>l</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s flexor</w:t>
      </w:r>
      <w:r w:rsidR="003F480C">
        <w:rPr>
          <w:rFonts w:ascii="Arial" w:eastAsiaTheme="majorEastAsia" w:hAnsi="Arial" w:cstheme="majorBidi"/>
          <w:sz w:val="24"/>
          <w:szCs w:val="24"/>
        </w:rPr>
        <w:t>e</w:t>
      </w:r>
      <w:r w:rsidR="006E5743" w:rsidRPr="003D1FBA">
        <w:rPr>
          <w:rFonts w:ascii="Arial" w:eastAsiaTheme="majorEastAsia" w:hAnsi="Arial" w:cstheme="majorBidi"/>
          <w:sz w:val="24"/>
          <w:szCs w:val="24"/>
        </w:rPr>
        <w:t xml:space="preserve">s de </w:t>
      </w:r>
      <w:r w:rsidR="003F480C">
        <w:rPr>
          <w:rFonts w:ascii="Arial" w:eastAsiaTheme="majorEastAsia" w:hAnsi="Arial" w:cstheme="majorBidi"/>
          <w:sz w:val="24"/>
          <w:szCs w:val="24"/>
        </w:rPr>
        <w:t>rodi</w:t>
      </w:r>
      <w:r w:rsidR="006E5743" w:rsidRPr="003D1FBA">
        <w:rPr>
          <w:rFonts w:ascii="Arial" w:eastAsiaTheme="majorEastAsia" w:hAnsi="Arial" w:cstheme="majorBidi"/>
          <w:sz w:val="24"/>
          <w:szCs w:val="24"/>
        </w:rPr>
        <w:t>ll</w:t>
      </w:r>
      <w:r w:rsidR="003F480C">
        <w:rPr>
          <w:rFonts w:ascii="Arial" w:eastAsiaTheme="majorEastAsia" w:hAnsi="Arial" w:cstheme="majorBidi"/>
          <w:sz w:val="24"/>
          <w:szCs w:val="24"/>
        </w:rPr>
        <w:t>a</w:t>
      </w:r>
      <w:r w:rsidR="006E5743" w:rsidRPr="003D1FBA">
        <w:rPr>
          <w:rFonts w:ascii="Arial" w:eastAsiaTheme="majorEastAsia" w:hAnsi="Arial" w:cstheme="majorBidi"/>
          <w:sz w:val="24"/>
          <w:szCs w:val="24"/>
        </w:rPr>
        <w:t xml:space="preserve">. </w:t>
      </w:r>
      <w:r w:rsidR="003F480C">
        <w:rPr>
          <w:rFonts w:ascii="Arial" w:eastAsiaTheme="majorEastAsia" w:hAnsi="Arial" w:cstheme="majorBidi"/>
          <w:sz w:val="24"/>
          <w:szCs w:val="24"/>
        </w:rPr>
        <w:t>E</w:t>
      </w:r>
      <w:r w:rsidR="006E5743" w:rsidRPr="003D1FBA">
        <w:rPr>
          <w:rFonts w:ascii="Arial" w:eastAsiaTheme="majorEastAsia" w:hAnsi="Arial" w:cstheme="majorBidi"/>
          <w:sz w:val="24"/>
          <w:szCs w:val="24"/>
        </w:rPr>
        <w:t>st</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s resulta</w:t>
      </w:r>
      <w:r w:rsidR="003F480C">
        <w:rPr>
          <w:rFonts w:ascii="Arial" w:eastAsiaTheme="majorEastAsia" w:hAnsi="Arial" w:cstheme="majorBidi"/>
          <w:sz w:val="24"/>
          <w:szCs w:val="24"/>
        </w:rPr>
        <w:t>do</w:t>
      </w:r>
      <w:r w:rsidR="006E5743" w:rsidRPr="003D1FBA">
        <w:rPr>
          <w:rFonts w:ascii="Arial" w:eastAsiaTheme="majorEastAsia" w:hAnsi="Arial" w:cstheme="majorBidi"/>
          <w:sz w:val="24"/>
          <w:szCs w:val="24"/>
        </w:rPr>
        <w:t>s s</w:t>
      </w:r>
      <w:r w:rsidR="003F480C">
        <w:rPr>
          <w:rFonts w:ascii="Arial" w:eastAsiaTheme="majorEastAsia" w:hAnsi="Arial" w:cstheme="majorBidi"/>
          <w:sz w:val="24"/>
          <w:szCs w:val="24"/>
        </w:rPr>
        <w:t>e parece</w:t>
      </w:r>
      <w:r w:rsidR="006E5743" w:rsidRPr="003D1FBA">
        <w:rPr>
          <w:rFonts w:ascii="Arial" w:eastAsiaTheme="majorEastAsia" w:hAnsi="Arial" w:cstheme="majorBidi"/>
          <w:sz w:val="24"/>
          <w:szCs w:val="24"/>
        </w:rPr>
        <w:t>n a</w:t>
      </w:r>
      <w:r w:rsidR="003F480C">
        <w:rPr>
          <w:rFonts w:ascii="Arial" w:eastAsiaTheme="majorEastAsia" w:hAnsi="Arial" w:cstheme="majorBidi"/>
          <w:sz w:val="24"/>
          <w:szCs w:val="24"/>
        </w:rPr>
        <w:t xml:space="preserve"> </w:t>
      </w:r>
      <w:r w:rsidR="006E5743" w:rsidRPr="003D1FBA">
        <w:rPr>
          <w:rFonts w:ascii="Arial" w:eastAsiaTheme="majorEastAsia" w:hAnsi="Arial" w:cstheme="majorBidi"/>
          <w:sz w:val="24"/>
          <w:szCs w:val="24"/>
        </w:rPr>
        <w:t>l</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s del present</w:t>
      </w:r>
      <w:r w:rsidR="003F480C">
        <w:rPr>
          <w:rFonts w:ascii="Arial" w:eastAsiaTheme="majorEastAsia" w:hAnsi="Arial" w:cstheme="majorBidi"/>
          <w:sz w:val="24"/>
          <w:szCs w:val="24"/>
        </w:rPr>
        <w:t>e</w:t>
      </w:r>
      <w:r w:rsidR="006E5743" w:rsidRPr="003D1FBA">
        <w:rPr>
          <w:rFonts w:ascii="Arial" w:eastAsiaTheme="majorEastAsia" w:hAnsi="Arial" w:cstheme="majorBidi"/>
          <w:sz w:val="24"/>
          <w:szCs w:val="24"/>
        </w:rPr>
        <w:t xml:space="preserve"> estudi</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 xml:space="preserve"> </w:t>
      </w:r>
      <w:r w:rsidR="003F480C">
        <w:rPr>
          <w:rFonts w:ascii="Arial" w:eastAsiaTheme="majorEastAsia" w:hAnsi="Arial" w:cstheme="majorBidi"/>
          <w:sz w:val="24"/>
          <w:szCs w:val="24"/>
        </w:rPr>
        <w:t>donde</w:t>
      </w:r>
      <w:r w:rsidR="006E5743" w:rsidRPr="003D1FBA">
        <w:rPr>
          <w:rFonts w:ascii="Arial" w:eastAsiaTheme="majorEastAsia" w:hAnsi="Arial" w:cstheme="majorBidi"/>
          <w:sz w:val="24"/>
          <w:szCs w:val="24"/>
        </w:rPr>
        <w:t xml:space="preserve"> s</w:t>
      </w:r>
      <w:r w:rsidR="003F480C">
        <w:rPr>
          <w:rFonts w:ascii="Arial" w:eastAsiaTheme="majorEastAsia" w:hAnsi="Arial" w:cstheme="majorBidi"/>
          <w:sz w:val="24"/>
          <w:szCs w:val="24"/>
        </w:rPr>
        <w:t xml:space="preserve">e </w:t>
      </w:r>
      <w:r w:rsidR="006E5743" w:rsidRPr="003D1FBA">
        <w:rPr>
          <w:rFonts w:ascii="Arial" w:eastAsiaTheme="majorEastAsia" w:hAnsi="Arial" w:cstheme="majorBidi"/>
          <w:sz w:val="24"/>
          <w:szCs w:val="24"/>
        </w:rPr>
        <w:t>ha registra</w:t>
      </w:r>
      <w:r w:rsidR="003F480C">
        <w:rPr>
          <w:rFonts w:ascii="Arial" w:eastAsiaTheme="majorEastAsia" w:hAnsi="Arial" w:cstheme="majorBidi"/>
          <w:sz w:val="24"/>
          <w:szCs w:val="24"/>
        </w:rPr>
        <w:t>do</w:t>
      </w:r>
      <w:r w:rsidR="006E5743" w:rsidRPr="003D1FBA">
        <w:rPr>
          <w:rFonts w:ascii="Arial" w:eastAsiaTheme="majorEastAsia" w:hAnsi="Arial" w:cstheme="majorBidi"/>
          <w:sz w:val="24"/>
          <w:szCs w:val="24"/>
        </w:rPr>
        <w:t xml:space="preserve"> una p</w:t>
      </w:r>
      <w:r w:rsidR="003F480C">
        <w:rPr>
          <w:rFonts w:ascii="Arial" w:eastAsiaTheme="majorEastAsia" w:hAnsi="Arial" w:cstheme="majorBidi"/>
          <w:sz w:val="24"/>
          <w:szCs w:val="24"/>
        </w:rPr>
        <w:t>é</w:t>
      </w:r>
      <w:r w:rsidR="006E5743" w:rsidRPr="003D1FBA">
        <w:rPr>
          <w:rFonts w:ascii="Arial" w:eastAsiaTheme="majorEastAsia" w:hAnsi="Arial" w:cstheme="majorBidi"/>
          <w:sz w:val="24"/>
          <w:szCs w:val="24"/>
        </w:rPr>
        <w:t>rd</w:t>
      </w:r>
      <w:r w:rsidR="003F480C">
        <w:rPr>
          <w:rFonts w:ascii="Arial" w:eastAsiaTheme="majorEastAsia" w:hAnsi="Arial" w:cstheme="majorBidi"/>
          <w:sz w:val="24"/>
          <w:szCs w:val="24"/>
        </w:rPr>
        <w:t>id</w:t>
      </w:r>
      <w:r w:rsidR="006E5743" w:rsidRPr="003D1FBA">
        <w:rPr>
          <w:rFonts w:ascii="Arial" w:eastAsiaTheme="majorEastAsia" w:hAnsi="Arial" w:cstheme="majorBidi"/>
          <w:sz w:val="24"/>
          <w:szCs w:val="24"/>
        </w:rPr>
        <w:t>a de f</w:t>
      </w:r>
      <w:r w:rsidR="003F480C">
        <w:rPr>
          <w:rFonts w:ascii="Arial" w:eastAsiaTheme="majorEastAsia" w:hAnsi="Arial" w:cstheme="majorBidi"/>
          <w:sz w:val="24"/>
          <w:szCs w:val="24"/>
        </w:rPr>
        <w:t>uerz</w:t>
      </w:r>
      <w:r w:rsidR="006E5743" w:rsidRPr="003D1FBA">
        <w:rPr>
          <w:rFonts w:ascii="Arial" w:eastAsiaTheme="majorEastAsia" w:hAnsi="Arial" w:cstheme="majorBidi"/>
          <w:sz w:val="24"/>
          <w:szCs w:val="24"/>
        </w:rPr>
        <w:t xml:space="preserve">a </w:t>
      </w:r>
      <w:bookmarkEnd w:id="15"/>
      <w:r w:rsidR="006E5743" w:rsidRPr="003D1FBA">
        <w:rPr>
          <w:rFonts w:ascii="Arial" w:eastAsiaTheme="majorEastAsia" w:hAnsi="Arial" w:cstheme="majorBidi"/>
          <w:sz w:val="24"/>
          <w:szCs w:val="24"/>
        </w:rPr>
        <w:t xml:space="preserve">del 5% </w:t>
      </w:r>
      <w:r w:rsidR="003F480C">
        <w:rPr>
          <w:rFonts w:ascii="Arial" w:eastAsiaTheme="majorEastAsia" w:hAnsi="Arial" w:cstheme="majorBidi"/>
          <w:sz w:val="24"/>
          <w:szCs w:val="24"/>
        </w:rPr>
        <w:t xml:space="preserve">en </w:t>
      </w:r>
      <w:r w:rsidR="006E5743" w:rsidRPr="003D1FBA">
        <w:rPr>
          <w:rFonts w:ascii="Arial" w:eastAsiaTheme="majorEastAsia" w:hAnsi="Arial" w:cstheme="majorBidi"/>
          <w:sz w:val="24"/>
          <w:szCs w:val="24"/>
        </w:rPr>
        <w:t>l</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 xml:space="preserve">s </w:t>
      </w:r>
      <w:r w:rsidR="003F480C">
        <w:rPr>
          <w:rFonts w:ascii="Arial" w:eastAsiaTheme="majorEastAsia" w:hAnsi="Arial" w:cstheme="majorBidi"/>
          <w:sz w:val="24"/>
          <w:szCs w:val="24"/>
        </w:rPr>
        <w:t>c</w:t>
      </w:r>
      <w:r w:rsidR="006E5743" w:rsidRPr="003D1FBA">
        <w:rPr>
          <w:rFonts w:ascii="Arial" w:eastAsiaTheme="majorEastAsia" w:hAnsi="Arial" w:cstheme="majorBidi"/>
          <w:sz w:val="24"/>
          <w:szCs w:val="24"/>
        </w:rPr>
        <w:t>u</w:t>
      </w:r>
      <w:r w:rsidR="003F480C">
        <w:rPr>
          <w:rFonts w:ascii="Arial" w:eastAsiaTheme="majorEastAsia" w:hAnsi="Arial" w:cstheme="majorBidi"/>
          <w:sz w:val="24"/>
          <w:szCs w:val="24"/>
        </w:rPr>
        <w:t>á</w:t>
      </w:r>
      <w:r w:rsidR="006E5743" w:rsidRPr="003D1FBA">
        <w:rPr>
          <w:rFonts w:ascii="Arial" w:eastAsiaTheme="majorEastAsia" w:hAnsi="Arial" w:cstheme="majorBidi"/>
          <w:sz w:val="24"/>
          <w:szCs w:val="24"/>
        </w:rPr>
        <w:t xml:space="preserve">driceps </w:t>
      </w:r>
      <w:r w:rsidR="003F480C">
        <w:rPr>
          <w:rFonts w:ascii="Arial" w:eastAsiaTheme="majorEastAsia" w:hAnsi="Arial" w:cstheme="majorBidi"/>
          <w:sz w:val="24"/>
          <w:szCs w:val="24"/>
        </w:rPr>
        <w:t>y</w:t>
      </w:r>
      <w:r w:rsidR="006E5743" w:rsidRPr="003D1FBA">
        <w:rPr>
          <w:rFonts w:ascii="Arial" w:eastAsiaTheme="majorEastAsia" w:hAnsi="Arial" w:cstheme="majorBidi"/>
          <w:sz w:val="24"/>
          <w:szCs w:val="24"/>
        </w:rPr>
        <w:t xml:space="preserve"> del 7.4% </w:t>
      </w:r>
      <w:r w:rsidR="003F480C">
        <w:rPr>
          <w:rFonts w:ascii="Arial" w:eastAsiaTheme="majorEastAsia" w:hAnsi="Arial" w:cstheme="majorBidi"/>
          <w:sz w:val="24"/>
          <w:szCs w:val="24"/>
        </w:rPr>
        <w:t xml:space="preserve">en </w:t>
      </w:r>
      <w:r w:rsidR="006E5743" w:rsidRPr="003D1FBA">
        <w:rPr>
          <w:rFonts w:ascii="Arial" w:eastAsiaTheme="majorEastAsia" w:hAnsi="Arial" w:cstheme="majorBidi"/>
          <w:sz w:val="24"/>
          <w:szCs w:val="24"/>
        </w:rPr>
        <w:t>l</w:t>
      </w:r>
      <w:r w:rsidR="003F480C">
        <w:rPr>
          <w:rFonts w:ascii="Arial" w:eastAsiaTheme="majorEastAsia" w:hAnsi="Arial" w:cstheme="majorBidi"/>
          <w:sz w:val="24"/>
          <w:szCs w:val="24"/>
        </w:rPr>
        <w:t>o</w:t>
      </w:r>
      <w:r w:rsidR="006E5743" w:rsidRPr="003D1FBA">
        <w:rPr>
          <w:rFonts w:ascii="Arial" w:eastAsiaTheme="majorEastAsia" w:hAnsi="Arial" w:cstheme="majorBidi"/>
          <w:sz w:val="24"/>
          <w:szCs w:val="24"/>
        </w:rPr>
        <w:t>s isquiosural</w:t>
      </w:r>
      <w:r w:rsidR="003F480C">
        <w:rPr>
          <w:rFonts w:ascii="Arial" w:eastAsiaTheme="majorEastAsia" w:hAnsi="Arial" w:cstheme="majorBidi"/>
          <w:sz w:val="24"/>
          <w:szCs w:val="24"/>
        </w:rPr>
        <w:t>e</w:t>
      </w:r>
      <w:r w:rsidR="006E5743" w:rsidRPr="003D1FBA">
        <w:rPr>
          <w:rFonts w:ascii="Arial" w:eastAsiaTheme="majorEastAsia" w:hAnsi="Arial" w:cstheme="majorBidi"/>
          <w:sz w:val="24"/>
          <w:szCs w:val="24"/>
        </w:rPr>
        <w:t>s. La p</w:t>
      </w:r>
      <w:r w:rsidR="003F480C">
        <w:rPr>
          <w:rFonts w:ascii="Arial" w:eastAsiaTheme="majorEastAsia" w:hAnsi="Arial" w:cstheme="majorBidi"/>
          <w:sz w:val="24"/>
          <w:szCs w:val="24"/>
        </w:rPr>
        <w:t>é</w:t>
      </w:r>
      <w:r w:rsidR="006E5743" w:rsidRPr="003D1FBA">
        <w:rPr>
          <w:rFonts w:ascii="Arial" w:eastAsiaTheme="majorEastAsia" w:hAnsi="Arial" w:cstheme="majorBidi"/>
          <w:sz w:val="24"/>
          <w:szCs w:val="24"/>
        </w:rPr>
        <w:t>rd</w:t>
      </w:r>
      <w:r w:rsidR="003F480C">
        <w:rPr>
          <w:rFonts w:ascii="Arial" w:eastAsiaTheme="majorEastAsia" w:hAnsi="Arial" w:cstheme="majorBidi"/>
          <w:sz w:val="24"/>
          <w:szCs w:val="24"/>
        </w:rPr>
        <w:t>id</w:t>
      </w:r>
      <w:r w:rsidR="006E5743" w:rsidRPr="003D1FBA">
        <w:rPr>
          <w:rFonts w:ascii="Arial" w:eastAsiaTheme="majorEastAsia" w:hAnsi="Arial" w:cstheme="majorBidi"/>
          <w:sz w:val="24"/>
          <w:szCs w:val="24"/>
        </w:rPr>
        <w:t>a de f</w:t>
      </w:r>
      <w:r w:rsidR="003F480C">
        <w:rPr>
          <w:rFonts w:ascii="Arial" w:eastAsiaTheme="majorEastAsia" w:hAnsi="Arial" w:cstheme="majorBidi"/>
          <w:sz w:val="24"/>
          <w:szCs w:val="24"/>
        </w:rPr>
        <w:t>uerz</w:t>
      </w:r>
      <w:r w:rsidR="006E5743" w:rsidRPr="003D1FBA">
        <w:rPr>
          <w:rFonts w:ascii="Arial" w:eastAsiaTheme="majorEastAsia" w:hAnsi="Arial" w:cstheme="majorBidi"/>
          <w:sz w:val="24"/>
          <w:szCs w:val="24"/>
        </w:rPr>
        <w:t xml:space="preserve">a </w:t>
      </w:r>
      <w:r w:rsidR="00733ED3">
        <w:rPr>
          <w:rFonts w:ascii="Arial" w:eastAsiaTheme="majorEastAsia" w:hAnsi="Arial" w:cstheme="majorBidi"/>
          <w:sz w:val="24"/>
          <w:szCs w:val="24"/>
        </w:rPr>
        <w:t>en</w:t>
      </w:r>
      <w:r w:rsidR="006E5743" w:rsidRPr="003D1FBA">
        <w:rPr>
          <w:rFonts w:ascii="Arial" w:eastAsiaTheme="majorEastAsia" w:hAnsi="Arial" w:cstheme="majorBidi"/>
          <w:sz w:val="24"/>
          <w:szCs w:val="24"/>
        </w:rPr>
        <w:t xml:space="preserve"> la investigació</w:t>
      </w:r>
      <w:r w:rsidR="00733ED3">
        <w:rPr>
          <w:rFonts w:ascii="Arial" w:eastAsiaTheme="majorEastAsia" w:hAnsi="Arial" w:cstheme="majorBidi"/>
          <w:sz w:val="24"/>
          <w:szCs w:val="24"/>
        </w:rPr>
        <w:t>n</w:t>
      </w:r>
      <w:r w:rsidR="006E5743" w:rsidRPr="003D1FBA">
        <w:rPr>
          <w:rFonts w:ascii="Arial" w:eastAsiaTheme="majorEastAsia" w:hAnsi="Arial" w:cstheme="majorBidi"/>
          <w:sz w:val="24"/>
          <w:szCs w:val="24"/>
        </w:rPr>
        <w:t xml:space="preserve"> de</w:t>
      </w:r>
      <w:r w:rsidR="00BB6AAA" w:rsidRPr="003D1FBA">
        <w:rPr>
          <w:rFonts w:ascii="Arial" w:eastAsiaTheme="majorEastAsia" w:hAnsi="Arial" w:cstheme="majorBidi"/>
          <w:sz w:val="24"/>
          <w:szCs w:val="24"/>
        </w:rPr>
        <w:t>l grup</w:t>
      </w:r>
      <w:r w:rsidR="00733ED3">
        <w:rPr>
          <w:rFonts w:ascii="Arial" w:eastAsiaTheme="majorEastAsia" w:hAnsi="Arial" w:cstheme="majorBidi"/>
          <w:sz w:val="24"/>
          <w:szCs w:val="24"/>
        </w:rPr>
        <w:t>o</w:t>
      </w:r>
      <w:r w:rsidR="00BB6AAA" w:rsidRPr="003D1FBA">
        <w:rPr>
          <w:rFonts w:ascii="Arial" w:eastAsiaTheme="majorEastAsia" w:hAnsi="Arial" w:cstheme="majorBidi"/>
          <w:sz w:val="24"/>
          <w:szCs w:val="24"/>
        </w:rPr>
        <w:t xml:space="preserve"> de</w:t>
      </w:r>
      <w:r w:rsidR="006E5743" w:rsidRPr="003D1FBA">
        <w:rPr>
          <w:rFonts w:ascii="Arial" w:eastAsiaTheme="majorEastAsia" w:hAnsi="Arial" w:cstheme="majorBidi"/>
          <w:sz w:val="24"/>
          <w:szCs w:val="24"/>
        </w:rPr>
        <w:t xml:space="preserve"> Behan </w:t>
      </w:r>
      <w:r w:rsidR="00BB6AAA" w:rsidRPr="003D1FBA">
        <w:rPr>
          <w:rFonts w:ascii="Arial" w:eastAsiaTheme="majorEastAsia" w:hAnsi="Arial" w:cstheme="majorBidi"/>
          <w:sz w:val="24"/>
          <w:szCs w:val="24"/>
        </w:rPr>
        <w:t xml:space="preserve">et al. </w:t>
      </w:r>
      <w:r w:rsidR="00733ED3">
        <w:rPr>
          <w:rFonts w:ascii="Arial" w:eastAsiaTheme="majorEastAsia" w:hAnsi="Arial" w:cstheme="majorBidi"/>
          <w:sz w:val="24"/>
          <w:szCs w:val="24"/>
        </w:rPr>
        <w:t>fue</w:t>
      </w:r>
      <w:r w:rsidR="006E5743" w:rsidRPr="003D1FBA">
        <w:rPr>
          <w:rFonts w:ascii="Arial" w:eastAsiaTheme="majorEastAsia" w:hAnsi="Arial" w:cstheme="majorBidi"/>
          <w:sz w:val="24"/>
          <w:szCs w:val="24"/>
        </w:rPr>
        <w:t xml:space="preserve"> </w:t>
      </w:r>
      <w:r w:rsidR="00BB6AAA" w:rsidRPr="003D1FBA">
        <w:rPr>
          <w:rFonts w:ascii="Arial" w:eastAsiaTheme="majorEastAsia" w:hAnsi="Arial" w:cstheme="majorBidi"/>
          <w:sz w:val="24"/>
          <w:szCs w:val="24"/>
        </w:rPr>
        <w:t>ma</w:t>
      </w:r>
      <w:r w:rsidR="00733ED3">
        <w:rPr>
          <w:rFonts w:ascii="Arial" w:eastAsiaTheme="majorEastAsia" w:hAnsi="Arial" w:cstheme="majorBidi"/>
          <w:sz w:val="24"/>
          <w:szCs w:val="24"/>
        </w:rPr>
        <w:t>y</w:t>
      </w:r>
      <w:r w:rsidR="00BB6AAA" w:rsidRPr="003D1FBA">
        <w:rPr>
          <w:rFonts w:ascii="Arial" w:eastAsiaTheme="majorEastAsia" w:hAnsi="Arial" w:cstheme="majorBidi"/>
          <w:sz w:val="24"/>
          <w:szCs w:val="24"/>
        </w:rPr>
        <w:t>or</w:t>
      </w:r>
      <w:r w:rsidR="006E5743" w:rsidRPr="003D1FBA">
        <w:rPr>
          <w:rFonts w:ascii="Arial" w:eastAsiaTheme="majorEastAsia" w:hAnsi="Arial" w:cstheme="majorBidi"/>
          <w:sz w:val="24"/>
          <w:szCs w:val="24"/>
        </w:rPr>
        <w:t xml:space="preserve"> que la del present</w:t>
      </w:r>
      <w:r w:rsidR="00733ED3">
        <w:rPr>
          <w:rFonts w:ascii="Arial" w:eastAsiaTheme="majorEastAsia" w:hAnsi="Arial" w:cstheme="majorBidi"/>
          <w:sz w:val="24"/>
          <w:szCs w:val="24"/>
        </w:rPr>
        <w:t>e</w:t>
      </w:r>
      <w:r w:rsidR="006E5743" w:rsidRPr="003D1FBA">
        <w:rPr>
          <w:rFonts w:ascii="Arial" w:eastAsiaTheme="majorEastAsia" w:hAnsi="Arial" w:cstheme="majorBidi"/>
          <w:sz w:val="24"/>
          <w:szCs w:val="24"/>
        </w:rPr>
        <w:t xml:space="preserve"> estudi</w:t>
      </w:r>
      <w:r w:rsidR="00733ED3">
        <w:rPr>
          <w:rFonts w:ascii="Arial" w:eastAsiaTheme="majorEastAsia" w:hAnsi="Arial" w:cstheme="majorBidi"/>
          <w:sz w:val="24"/>
          <w:szCs w:val="24"/>
        </w:rPr>
        <w:t>o</w:t>
      </w:r>
      <w:r w:rsidR="006E5743" w:rsidRPr="003D1FBA">
        <w:rPr>
          <w:rFonts w:ascii="Arial" w:eastAsiaTheme="majorEastAsia" w:hAnsi="Arial" w:cstheme="majorBidi"/>
          <w:sz w:val="24"/>
          <w:szCs w:val="24"/>
        </w:rPr>
        <w:t xml:space="preserve">, </w:t>
      </w:r>
      <w:r w:rsidR="00733ED3">
        <w:rPr>
          <w:rFonts w:ascii="Arial" w:eastAsiaTheme="majorEastAsia" w:hAnsi="Arial" w:cstheme="majorBidi"/>
          <w:sz w:val="24"/>
          <w:szCs w:val="24"/>
        </w:rPr>
        <w:t>esto</w:t>
      </w:r>
      <w:r w:rsidR="006E5743" w:rsidRPr="003D1FBA">
        <w:rPr>
          <w:rFonts w:ascii="Arial" w:eastAsiaTheme="majorEastAsia" w:hAnsi="Arial" w:cstheme="majorBidi"/>
          <w:sz w:val="24"/>
          <w:szCs w:val="24"/>
        </w:rPr>
        <w:t xml:space="preserve"> p</w:t>
      </w:r>
      <w:r w:rsidR="00733ED3">
        <w:rPr>
          <w:rFonts w:ascii="Arial" w:eastAsiaTheme="majorEastAsia" w:hAnsi="Arial" w:cstheme="majorBidi"/>
          <w:sz w:val="24"/>
          <w:szCs w:val="24"/>
        </w:rPr>
        <w:t>uede</w:t>
      </w:r>
      <w:r w:rsidR="006E5743" w:rsidRPr="003D1FBA">
        <w:rPr>
          <w:rFonts w:ascii="Arial" w:eastAsiaTheme="majorEastAsia" w:hAnsi="Arial" w:cstheme="majorBidi"/>
          <w:sz w:val="24"/>
          <w:szCs w:val="24"/>
        </w:rPr>
        <w:t xml:space="preserve"> atribui</w:t>
      </w:r>
      <w:r w:rsidR="00733ED3">
        <w:rPr>
          <w:rFonts w:ascii="Arial" w:eastAsiaTheme="majorEastAsia" w:hAnsi="Arial" w:cstheme="majorBidi"/>
          <w:sz w:val="24"/>
          <w:szCs w:val="24"/>
        </w:rPr>
        <w:t>r</w:t>
      </w:r>
      <w:r w:rsidR="006E5743" w:rsidRPr="003D1FBA">
        <w:rPr>
          <w:rFonts w:ascii="Arial" w:eastAsiaTheme="majorEastAsia" w:hAnsi="Arial" w:cstheme="majorBidi"/>
          <w:sz w:val="24"/>
          <w:szCs w:val="24"/>
        </w:rPr>
        <w:t>se a</w:t>
      </w:r>
      <w:r w:rsidR="005B6698" w:rsidRPr="003D1FBA">
        <w:rPr>
          <w:rFonts w:ascii="Arial" w:eastAsiaTheme="majorEastAsia" w:hAnsi="Arial" w:cstheme="majorBidi"/>
          <w:sz w:val="24"/>
          <w:szCs w:val="24"/>
        </w:rPr>
        <w:t>l nivel d</w:t>
      </w:r>
      <w:r w:rsidR="00733ED3">
        <w:rPr>
          <w:rFonts w:ascii="Arial" w:eastAsiaTheme="majorEastAsia" w:hAnsi="Arial" w:cstheme="majorBidi"/>
          <w:sz w:val="24"/>
          <w:szCs w:val="24"/>
        </w:rPr>
        <w:t xml:space="preserve">e </w:t>
      </w:r>
      <w:r w:rsidR="005B6698" w:rsidRPr="003D1FBA">
        <w:rPr>
          <w:rFonts w:ascii="Arial" w:eastAsiaTheme="majorEastAsia" w:hAnsi="Arial" w:cstheme="majorBidi"/>
          <w:sz w:val="24"/>
          <w:szCs w:val="24"/>
        </w:rPr>
        <w:t>entrenam</w:t>
      </w:r>
      <w:r w:rsidR="00733ED3">
        <w:rPr>
          <w:rFonts w:ascii="Arial" w:eastAsiaTheme="majorEastAsia" w:hAnsi="Arial" w:cstheme="majorBidi"/>
          <w:sz w:val="24"/>
          <w:szCs w:val="24"/>
        </w:rPr>
        <w:t>i</w:t>
      </w:r>
      <w:r w:rsidR="005B6698" w:rsidRPr="003D1FBA">
        <w:rPr>
          <w:rFonts w:ascii="Arial" w:eastAsiaTheme="majorEastAsia" w:hAnsi="Arial" w:cstheme="majorBidi"/>
          <w:sz w:val="24"/>
          <w:szCs w:val="24"/>
        </w:rPr>
        <w:t>ent</w:t>
      </w:r>
      <w:r w:rsidR="00733ED3">
        <w:rPr>
          <w:rFonts w:ascii="Arial" w:eastAsiaTheme="majorEastAsia" w:hAnsi="Arial" w:cstheme="majorBidi"/>
          <w:sz w:val="24"/>
          <w:szCs w:val="24"/>
        </w:rPr>
        <w:t>o</w:t>
      </w:r>
      <w:r w:rsidR="005B6698" w:rsidRPr="003D1FBA">
        <w:rPr>
          <w:rFonts w:ascii="Arial" w:eastAsiaTheme="majorEastAsia" w:hAnsi="Arial" w:cstheme="majorBidi"/>
          <w:sz w:val="24"/>
          <w:szCs w:val="24"/>
        </w:rPr>
        <w:t xml:space="preserve">, </w:t>
      </w:r>
      <w:r w:rsidR="00733ED3">
        <w:rPr>
          <w:rFonts w:ascii="Arial" w:eastAsiaTheme="majorEastAsia" w:hAnsi="Arial" w:cstheme="majorBidi"/>
          <w:sz w:val="24"/>
          <w:szCs w:val="24"/>
        </w:rPr>
        <w:t>y</w:t>
      </w:r>
      <w:r w:rsidR="005B6698" w:rsidRPr="003D1FBA">
        <w:rPr>
          <w:rFonts w:ascii="Arial" w:eastAsiaTheme="majorEastAsia" w:hAnsi="Arial" w:cstheme="majorBidi"/>
          <w:sz w:val="24"/>
          <w:szCs w:val="24"/>
        </w:rPr>
        <w:t>a</w:t>
      </w:r>
      <w:r w:rsidR="006E5743" w:rsidRPr="003D1FBA">
        <w:rPr>
          <w:rFonts w:ascii="Arial" w:eastAsiaTheme="majorEastAsia" w:hAnsi="Arial" w:cstheme="majorBidi"/>
          <w:sz w:val="24"/>
          <w:szCs w:val="24"/>
        </w:rPr>
        <w:t xml:space="preserve"> que la m</w:t>
      </w:r>
      <w:r w:rsidR="00733ED3">
        <w:rPr>
          <w:rFonts w:ascii="Arial" w:eastAsiaTheme="majorEastAsia" w:hAnsi="Arial" w:cstheme="majorBidi"/>
          <w:sz w:val="24"/>
          <w:szCs w:val="24"/>
        </w:rPr>
        <w:t>ue</w:t>
      </w:r>
      <w:r w:rsidR="006E5743" w:rsidRPr="003D1FBA">
        <w:rPr>
          <w:rFonts w:ascii="Arial" w:eastAsiaTheme="majorEastAsia" w:hAnsi="Arial" w:cstheme="majorBidi"/>
          <w:sz w:val="24"/>
          <w:szCs w:val="24"/>
        </w:rPr>
        <w:t>stra de</w:t>
      </w:r>
      <w:r w:rsidR="00733ED3">
        <w:rPr>
          <w:rFonts w:ascii="Arial" w:eastAsiaTheme="majorEastAsia" w:hAnsi="Arial" w:cstheme="majorBidi"/>
          <w:sz w:val="24"/>
          <w:szCs w:val="24"/>
        </w:rPr>
        <w:t xml:space="preserve">l </w:t>
      </w:r>
      <w:r w:rsidR="006E5743" w:rsidRPr="003D1FBA">
        <w:rPr>
          <w:rFonts w:ascii="Arial" w:eastAsiaTheme="majorEastAsia" w:hAnsi="Arial" w:cstheme="majorBidi"/>
          <w:sz w:val="24"/>
          <w:szCs w:val="24"/>
        </w:rPr>
        <w:t xml:space="preserve">autor </w:t>
      </w:r>
      <w:r w:rsidR="00733ED3">
        <w:rPr>
          <w:rFonts w:ascii="Arial" w:eastAsiaTheme="majorEastAsia" w:hAnsi="Arial" w:cstheme="majorBidi"/>
          <w:sz w:val="24"/>
          <w:szCs w:val="24"/>
        </w:rPr>
        <w:t>fueron</w:t>
      </w:r>
      <w:r w:rsidR="004E0E3C" w:rsidRPr="003D1FBA">
        <w:rPr>
          <w:rFonts w:ascii="Arial" w:eastAsiaTheme="majorEastAsia" w:hAnsi="Arial" w:cstheme="majorBidi"/>
          <w:sz w:val="24"/>
          <w:szCs w:val="24"/>
        </w:rPr>
        <w:t xml:space="preserve"> </w:t>
      </w:r>
      <w:r w:rsidR="00D57459" w:rsidRPr="003D1FBA">
        <w:rPr>
          <w:rFonts w:ascii="Arial" w:eastAsiaTheme="majorEastAsia" w:hAnsi="Arial" w:cstheme="majorBidi"/>
          <w:sz w:val="24"/>
          <w:szCs w:val="24"/>
        </w:rPr>
        <w:t>sujet</w:t>
      </w:r>
      <w:r w:rsidR="00733ED3">
        <w:rPr>
          <w:rFonts w:ascii="Arial" w:eastAsiaTheme="majorEastAsia" w:hAnsi="Arial" w:cstheme="majorBidi"/>
          <w:sz w:val="24"/>
          <w:szCs w:val="24"/>
        </w:rPr>
        <w:t>o</w:t>
      </w:r>
      <w:r w:rsidR="00D57459" w:rsidRPr="003D1FBA">
        <w:rPr>
          <w:rFonts w:ascii="Arial" w:eastAsiaTheme="majorEastAsia" w:hAnsi="Arial" w:cstheme="majorBidi"/>
          <w:sz w:val="24"/>
          <w:szCs w:val="24"/>
        </w:rPr>
        <w:t>s</w:t>
      </w:r>
      <w:r w:rsidR="004E0E3C" w:rsidRPr="003D1FBA">
        <w:rPr>
          <w:rFonts w:ascii="Arial" w:eastAsiaTheme="majorEastAsia" w:hAnsi="Arial" w:cstheme="majorBidi"/>
          <w:sz w:val="24"/>
          <w:szCs w:val="24"/>
        </w:rPr>
        <w:t xml:space="preserve"> acti</w:t>
      </w:r>
      <w:r w:rsidR="00733ED3">
        <w:rPr>
          <w:rFonts w:ascii="Arial" w:eastAsiaTheme="majorEastAsia" w:hAnsi="Arial" w:cstheme="majorBidi"/>
          <w:sz w:val="24"/>
          <w:szCs w:val="24"/>
        </w:rPr>
        <w:t>vo</w:t>
      </w:r>
      <w:r w:rsidR="004E0E3C" w:rsidRPr="003D1FBA">
        <w:rPr>
          <w:rFonts w:ascii="Arial" w:eastAsiaTheme="majorEastAsia" w:hAnsi="Arial" w:cstheme="majorBidi"/>
          <w:sz w:val="24"/>
          <w:szCs w:val="24"/>
        </w:rPr>
        <w:t xml:space="preserve">s </w:t>
      </w:r>
      <w:r w:rsidR="00733ED3">
        <w:rPr>
          <w:rFonts w:ascii="Arial" w:eastAsiaTheme="majorEastAsia" w:hAnsi="Arial" w:cstheme="majorBidi"/>
          <w:sz w:val="24"/>
          <w:szCs w:val="24"/>
        </w:rPr>
        <w:t>y</w:t>
      </w:r>
      <w:r w:rsidR="004E0E3C" w:rsidRPr="003D1FBA">
        <w:rPr>
          <w:rFonts w:ascii="Arial" w:eastAsiaTheme="majorEastAsia" w:hAnsi="Arial" w:cstheme="majorBidi"/>
          <w:sz w:val="24"/>
          <w:szCs w:val="24"/>
        </w:rPr>
        <w:t xml:space="preserve"> la del present</w:t>
      </w:r>
      <w:r w:rsidR="00733ED3">
        <w:rPr>
          <w:rFonts w:ascii="Arial" w:eastAsiaTheme="majorEastAsia" w:hAnsi="Arial" w:cstheme="majorBidi"/>
          <w:sz w:val="24"/>
          <w:szCs w:val="24"/>
        </w:rPr>
        <w:t>e</w:t>
      </w:r>
      <w:r w:rsidR="004E0E3C" w:rsidRPr="003D1FBA">
        <w:rPr>
          <w:rFonts w:ascii="Arial" w:eastAsiaTheme="majorEastAsia" w:hAnsi="Arial" w:cstheme="majorBidi"/>
          <w:sz w:val="24"/>
          <w:szCs w:val="24"/>
        </w:rPr>
        <w:t xml:space="preserve"> estudi</w:t>
      </w:r>
      <w:r w:rsidR="00733ED3">
        <w:rPr>
          <w:rFonts w:ascii="Arial" w:eastAsiaTheme="majorEastAsia" w:hAnsi="Arial" w:cstheme="majorBidi"/>
          <w:sz w:val="24"/>
          <w:szCs w:val="24"/>
        </w:rPr>
        <w:t>o</w:t>
      </w:r>
      <w:r w:rsidR="004E0E3C" w:rsidRPr="003D1FBA">
        <w:rPr>
          <w:rFonts w:ascii="Arial" w:eastAsiaTheme="majorEastAsia" w:hAnsi="Arial" w:cstheme="majorBidi"/>
          <w:sz w:val="24"/>
          <w:szCs w:val="24"/>
        </w:rPr>
        <w:t xml:space="preserve"> jugador</w:t>
      </w:r>
      <w:r w:rsidR="00733ED3">
        <w:rPr>
          <w:rFonts w:ascii="Arial" w:eastAsiaTheme="majorEastAsia" w:hAnsi="Arial" w:cstheme="majorBidi"/>
          <w:sz w:val="24"/>
          <w:szCs w:val="24"/>
        </w:rPr>
        <w:t>a</w:t>
      </w:r>
      <w:r w:rsidR="004E0E3C" w:rsidRPr="003D1FBA">
        <w:rPr>
          <w:rFonts w:ascii="Arial" w:eastAsiaTheme="majorEastAsia" w:hAnsi="Arial" w:cstheme="majorBidi"/>
          <w:sz w:val="24"/>
          <w:szCs w:val="24"/>
        </w:rPr>
        <w:t>s d</w:t>
      </w:r>
      <w:r w:rsidR="00733ED3">
        <w:rPr>
          <w:rFonts w:ascii="Arial" w:eastAsiaTheme="majorEastAsia" w:hAnsi="Arial" w:cstheme="majorBidi"/>
          <w:sz w:val="24"/>
          <w:szCs w:val="24"/>
        </w:rPr>
        <w:t xml:space="preserve">e </w:t>
      </w:r>
      <w:r w:rsidR="004E0E3C" w:rsidRPr="003D1FBA">
        <w:rPr>
          <w:rFonts w:ascii="Arial" w:eastAsiaTheme="majorEastAsia" w:hAnsi="Arial" w:cstheme="majorBidi"/>
          <w:sz w:val="24"/>
          <w:szCs w:val="24"/>
        </w:rPr>
        <w:t>alt</w:t>
      </w:r>
      <w:r w:rsidR="00733ED3">
        <w:rPr>
          <w:rFonts w:ascii="Arial" w:eastAsiaTheme="majorEastAsia" w:hAnsi="Arial" w:cstheme="majorBidi"/>
          <w:sz w:val="24"/>
          <w:szCs w:val="24"/>
        </w:rPr>
        <w:t>o</w:t>
      </w:r>
      <w:r w:rsidR="004E0E3C" w:rsidRPr="003D1FBA">
        <w:rPr>
          <w:rFonts w:ascii="Arial" w:eastAsiaTheme="majorEastAsia" w:hAnsi="Arial" w:cstheme="majorBidi"/>
          <w:sz w:val="24"/>
          <w:szCs w:val="24"/>
        </w:rPr>
        <w:t xml:space="preserve"> rendim</w:t>
      </w:r>
      <w:r w:rsidR="00733ED3">
        <w:rPr>
          <w:rFonts w:ascii="Arial" w:eastAsiaTheme="majorEastAsia" w:hAnsi="Arial" w:cstheme="majorBidi"/>
          <w:sz w:val="24"/>
          <w:szCs w:val="24"/>
        </w:rPr>
        <w:t>i</w:t>
      </w:r>
      <w:r w:rsidR="004E0E3C" w:rsidRPr="003D1FBA">
        <w:rPr>
          <w:rFonts w:ascii="Arial" w:eastAsiaTheme="majorEastAsia" w:hAnsi="Arial" w:cstheme="majorBidi"/>
          <w:sz w:val="24"/>
          <w:szCs w:val="24"/>
        </w:rPr>
        <w:t>ent</w:t>
      </w:r>
      <w:r w:rsidR="00733ED3">
        <w:rPr>
          <w:rFonts w:ascii="Arial" w:eastAsiaTheme="majorEastAsia" w:hAnsi="Arial" w:cstheme="majorBidi"/>
          <w:sz w:val="24"/>
          <w:szCs w:val="24"/>
        </w:rPr>
        <w:t>o</w:t>
      </w:r>
      <w:r w:rsidR="005B6698" w:rsidRPr="003D1FBA">
        <w:rPr>
          <w:rFonts w:ascii="Arial" w:eastAsiaTheme="majorEastAsia" w:hAnsi="Arial" w:cstheme="majorBidi"/>
          <w:sz w:val="24"/>
          <w:szCs w:val="24"/>
        </w:rPr>
        <w:t>.</w:t>
      </w:r>
      <w:r w:rsidR="004E0E3C" w:rsidRPr="003D1FBA">
        <w:rPr>
          <w:rFonts w:ascii="Arial" w:eastAsiaTheme="majorEastAsia" w:hAnsi="Arial" w:cstheme="majorBidi"/>
          <w:sz w:val="24"/>
          <w:szCs w:val="24"/>
        </w:rPr>
        <w:t xml:space="preserve"> </w:t>
      </w:r>
      <w:r w:rsidR="00733ED3">
        <w:rPr>
          <w:rFonts w:ascii="Arial" w:eastAsiaTheme="majorEastAsia" w:hAnsi="Arial" w:cstheme="majorBidi"/>
          <w:sz w:val="24"/>
          <w:szCs w:val="24"/>
        </w:rPr>
        <w:t>De todos modos</w:t>
      </w:r>
      <w:r w:rsidR="004E0E3C" w:rsidRPr="003D1FBA">
        <w:rPr>
          <w:rFonts w:ascii="Arial" w:eastAsiaTheme="majorEastAsia" w:hAnsi="Arial" w:cstheme="majorBidi"/>
          <w:sz w:val="24"/>
          <w:szCs w:val="24"/>
        </w:rPr>
        <w:t>, amb</w:t>
      </w:r>
      <w:r w:rsidR="00733ED3">
        <w:rPr>
          <w:rFonts w:ascii="Arial" w:eastAsiaTheme="majorEastAsia" w:hAnsi="Arial" w:cstheme="majorBidi"/>
          <w:sz w:val="24"/>
          <w:szCs w:val="24"/>
        </w:rPr>
        <w:t>o</w:t>
      </w:r>
      <w:r w:rsidR="004E0E3C" w:rsidRPr="003D1FBA">
        <w:rPr>
          <w:rFonts w:ascii="Arial" w:eastAsiaTheme="majorEastAsia" w:hAnsi="Arial" w:cstheme="majorBidi"/>
          <w:sz w:val="24"/>
          <w:szCs w:val="24"/>
        </w:rPr>
        <w:t>s estudi</w:t>
      </w:r>
      <w:r w:rsidR="00733ED3">
        <w:rPr>
          <w:rFonts w:ascii="Arial" w:eastAsiaTheme="majorEastAsia" w:hAnsi="Arial" w:cstheme="majorBidi"/>
          <w:sz w:val="24"/>
          <w:szCs w:val="24"/>
        </w:rPr>
        <w:t>o</w:t>
      </w:r>
      <w:r w:rsidR="004E0E3C" w:rsidRPr="003D1FBA">
        <w:rPr>
          <w:rFonts w:ascii="Arial" w:eastAsiaTheme="majorEastAsia" w:hAnsi="Arial" w:cstheme="majorBidi"/>
          <w:sz w:val="24"/>
          <w:szCs w:val="24"/>
        </w:rPr>
        <w:t>s registr</w:t>
      </w:r>
      <w:r w:rsidR="00733ED3">
        <w:rPr>
          <w:rFonts w:ascii="Arial" w:eastAsiaTheme="majorEastAsia" w:hAnsi="Arial" w:cstheme="majorBidi"/>
          <w:sz w:val="24"/>
          <w:szCs w:val="24"/>
        </w:rPr>
        <w:t>aro</w:t>
      </w:r>
      <w:r w:rsidR="004E0E3C" w:rsidRPr="003D1FBA">
        <w:rPr>
          <w:rFonts w:ascii="Arial" w:eastAsiaTheme="majorEastAsia" w:hAnsi="Arial" w:cstheme="majorBidi"/>
          <w:sz w:val="24"/>
          <w:szCs w:val="24"/>
        </w:rPr>
        <w:t>n una p</w:t>
      </w:r>
      <w:r w:rsidR="00733ED3">
        <w:rPr>
          <w:rFonts w:ascii="Arial" w:eastAsiaTheme="majorEastAsia" w:hAnsi="Arial" w:cstheme="majorBidi"/>
          <w:sz w:val="24"/>
          <w:szCs w:val="24"/>
        </w:rPr>
        <w:t>é</w:t>
      </w:r>
      <w:r w:rsidR="004E0E3C" w:rsidRPr="003D1FBA">
        <w:rPr>
          <w:rFonts w:ascii="Arial" w:eastAsiaTheme="majorEastAsia" w:hAnsi="Arial" w:cstheme="majorBidi"/>
          <w:sz w:val="24"/>
          <w:szCs w:val="24"/>
        </w:rPr>
        <w:t>rd</w:t>
      </w:r>
      <w:r w:rsidR="00733ED3">
        <w:rPr>
          <w:rFonts w:ascii="Arial" w:eastAsiaTheme="majorEastAsia" w:hAnsi="Arial" w:cstheme="majorBidi"/>
          <w:sz w:val="24"/>
          <w:szCs w:val="24"/>
        </w:rPr>
        <w:t>id</w:t>
      </w:r>
      <w:r w:rsidR="004E0E3C" w:rsidRPr="003D1FBA">
        <w:rPr>
          <w:rFonts w:ascii="Arial" w:eastAsiaTheme="majorEastAsia" w:hAnsi="Arial" w:cstheme="majorBidi"/>
          <w:sz w:val="24"/>
          <w:szCs w:val="24"/>
        </w:rPr>
        <w:t>a de f</w:t>
      </w:r>
      <w:r w:rsidR="00733ED3">
        <w:rPr>
          <w:rFonts w:ascii="Arial" w:eastAsiaTheme="majorEastAsia" w:hAnsi="Arial" w:cstheme="majorBidi"/>
          <w:sz w:val="24"/>
          <w:szCs w:val="24"/>
        </w:rPr>
        <w:t>uerz</w:t>
      </w:r>
      <w:r w:rsidR="004E0E3C" w:rsidRPr="003D1FBA">
        <w:rPr>
          <w:rFonts w:ascii="Arial" w:eastAsiaTheme="majorEastAsia" w:hAnsi="Arial" w:cstheme="majorBidi"/>
          <w:sz w:val="24"/>
          <w:szCs w:val="24"/>
        </w:rPr>
        <w:t>a ma</w:t>
      </w:r>
      <w:r w:rsidR="00733ED3">
        <w:rPr>
          <w:rFonts w:ascii="Arial" w:eastAsiaTheme="majorEastAsia" w:hAnsi="Arial" w:cstheme="majorBidi"/>
          <w:sz w:val="24"/>
          <w:szCs w:val="24"/>
        </w:rPr>
        <w:t>y</w:t>
      </w:r>
      <w:r w:rsidR="004E0E3C" w:rsidRPr="003D1FBA">
        <w:rPr>
          <w:rFonts w:ascii="Arial" w:eastAsiaTheme="majorEastAsia" w:hAnsi="Arial" w:cstheme="majorBidi"/>
          <w:sz w:val="24"/>
          <w:szCs w:val="24"/>
        </w:rPr>
        <w:t>or en l</w:t>
      </w:r>
      <w:r w:rsidR="00733ED3">
        <w:rPr>
          <w:rFonts w:ascii="Arial" w:eastAsiaTheme="majorEastAsia" w:hAnsi="Arial" w:cstheme="majorBidi"/>
          <w:sz w:val="24"/>
          <w:szCs w:val="24"/>
        </w:rPr>
        <w:t>o</w:t>
      </w:r>
      <w:r w:rsidR="004E0E3C" w:rsidRPr="003D1FBA">
        <w:rPr>
          <w:rFonts w:ascii="Arial" w:eastAsiaTheme="majorEastAsia" w:hAnsi="Arial" w:cstheme="majorBidi"/>
          <w:sz w:val="24"/>
          <w:szCs w:val="24"/>
        </w:rPr>
        <w:t>s flexor</w:t>
      </w:r>
      <w:r w:rsidR="00733ED3">
        <w:rPr>
          <w:rFonts w:ascii="Arial" w:eastAsiaTheme="majorEastAsia" w:hAnsi="Arial" w:cstheme="majorBidi"/>
          <w:sz w:val="24"/>
          <w:szCs w:val="24"/>
        </w:rPr>
        <w:t>e</w:t>
      </w:r>
      <w:r w:rsidR="004E0E3C" w:rsidRPr="003D1FBA">
        <w:rPr>
          <w:rFonts w:ascii="Arial" w:eastAsiaTheme="majorEastAsia" w:hAnsi="Arial" w:cstheme="majorBidi"/>
          <w:sz w:val="24"/>
          <w:szCs w:val="24"/>
        </w:rPr>
        <w:t xml:space="preserve">s de </w:t>
      </w:r>
      <w:r w:rsidR="00733ED3">
        <w:rPr>
          <w:rFonts w:ascii="Arial" w:eastAsiaTheme="majorEastAsia" w:hAnsi="Arial" w:cstheme="majorBidi"/>
          <w:sz w:val="24"/>
          <w:szCs w:val="24"/>
        </w:rPr>
        <w:t>rodi</w:t>
      </w:r>
      <w:r w:rsidR="004E0E3C" w:rsidRPr="003D1FBA">
        <w:rPr>
          <w:rFonts w:ascii="Arial" w:eastAsiaTheme="majorEastAsia" w:hAnsi="Arial" w:cstheme="majorBidi"/>
          <w:sz w:val="24"/>
          <w:szCs w:val="24"/>
        </w:rPr>
        <w:t>ll</w:t>
      </w:r>
      <w:r w:rsidR="00733ED3">
        <w:rPr>
          <w:rFonts w:ascii="Arial" w:eastAsiaTheme="majorEastAsia" w:hAnsi="Arial" w:cstheme="majorBidi"/>
          <w:sz w:val="24"/>
          <w:szCs w:val="24"/>
        </w:rPr>
        <w:t>a</w:t>
      </w:r>
      <w:r w:rsidR="00A93A6C" w:rsidRPr="003D1FBA">
        <w:rPr>
          <w:rFonts w:ascii="Arial" w:eastAsiaTheme="majorEastAsia" w:hAnsi="Arial" w:cstheme="majorBidi"/>
          <w:sz w:val="24"/>
          <w:szCs w:val="24"/>
        </w:rPr>
        <w:t xml:space="preserve"> respect</w:t>
      </w:r>
      <w:r w:rsidR="00733ED3">
        <w:rPr>
          <w:rFonts w:ascii="Arial" w:eastAsiaTheme="majorEastAsia" w:hAnsi="Arial" w:cstheme="majorBidi"/>
          <w:sz w:val="24"/>
          <w:szCs w:val="24"/>
        </w:rPr>
        <w:t>o</w:t>
      </w:r>
      <w:r w:rsidR="00A93A6C" w:rsidRPr="003D1FBA">
        <w:rPr>
          <w:rFonts w:ascii="Arial" w:eastAsiaTheme="majorEastAsia" w:hAnsi="Arial" w:cstheme="majorBidi"/>
          <w:sz w:val="24"/>
          <w:szCs w:val="24"/>
        </w:rPr>
        <w:t xml:space="preserve"> </w:t>
      </w:r>
      <w:r w:rsidR="00733ED3">
        <w:rPr>
          <w:rFonts w:ascii="Arial" w:eastAsiaTheme="majorEastAsia" w:hAnsi="Arial" w:cstheme="majorBidi"/>
          <w:sz w:val="24"/>
          <w:szCs w:val="24"/>
        </w:rPr>
        <w:t>lo</w:t>
      </w:r>
      <w:r w:rsidR="00A93A6C" w:rsidRPr="003D1FBA">
        <w:rPr>
          <w:rFonts w:ascii="Arial" w:eastAsiaTheme="majorEastAsia" w:hAnsi="Arial" w:cstheme="majorBidi"/>
          <w:sz w:val="24"/>
          <w:szCs w:val="24"/>
        </w:rPr>
        <w:t>s extensor</w:t>
      </w:r>
      <w:r w:rsidR="00733ED3">
        <w:rPr>
          <w:rFonts w:ascii="Arial" w:eastAsiaTheme="majorEastAsia" w:hAnsi="Arial" w:cstheme="majorBidi"/>
          <w:sz w:val="24"/>
          <w:szCs w:val="24"/>
        </w:rPr>
        <w:t>e</w:t>
      </w:r>
      <w:r w:rsidR="00A93A6C" w:rsidRPr="003D1FBA">
        <w:rPr>
          <w:rFonts w:ascii="Arial" w:eastAsiaTheme="majorEastAsia" w:hAnsi="Arial" w:cstheme="majorBidi"/>
          <w:sz w:val="24"/>
          <w:szCs w:val="24"/>
        </w:rPr>
        <w:t>s.</w:t>
      </w:r>
    </w:p>
    <w:p w:rsidR="004E0E3C" w:rsidRPr="003D1FBA" w:rsidRDefault="007E584F" w:rsidP="00652C28">
      <w:pPr>
        <w:spacing w:line="360" w:lineRule="auto"/>
        <w:jc w:val="both"/>
        <w:rPr>
          <w:rFonts w:ascii="Arial" w:eastAsiaTheme="majorEastAsia" w:hAnsi="Arial" w:cstheme="majorBidi"/>
          <w:sz w:val="24"/>
          <w:szCs w:val="24"/>
        </w:rPr>
      </w:pPr>
      <w:r>
        <w:rPr>
          <w:rFonts w:ascii="Arial" w:eastAsiaTheme="majorEastAsia" w:hAnsi="Arial" w:cstheme="majorBidi"/>
          <w:sz w:val="24"/>
          <w:szCs w:val="24"/>
        </w:rPr>
        <w:t>En cuanto</w:t>
      </w:r>
      <w:r w:rsidR="004E0E3C" w:rsidRPr="003D1FBA">
        <w:rPr>
          <w:rFonts w:ascii="Arial" w:eastAsiaTheme="majorEastAsia" w:hAnsi="Arial" w:cstheme="majorBidi"/>
          <w:sz w:val="24"/>
          <w:szCs w:val="24"/>
        </w:rPr>
        <w:t xml:space="preserve"> a la detecció</w:t>
      </w:r>
      <w:r>
        <w:rPr>
          <w:rFonts w:ascii="Arial" w:eastAsiaTheme="majorEastAsia" w:hAnsi="Arial" w:cstheme="majorBidi"/>
          <w:sz w:val="24"/>
          <w:szCs w:val="24"/>
        </w:rPr>
        <w:t>n</w:t>
      </w:r>
      <w:r w:rsidR="004E0E3C" w:rsidRPr="003D1FBA">
        <w:rPr>
          <w:rFonts w:ascii="Arial" w:eastAsiaTheme="majorEastAsia" w:hAnsi="Arial" w:cstheme="majorBidi"/>
          <w:sz w:val="24"/>
          <w:szCs w:val="24"/>
        </w:rPr>
        <w:t xml:space="preserve"> de la fatiga neuromuscular, vari</w:t>
      </w:r>
      <w:r w:rsidR="003501A0">
        <w:rPr>
          <w:rFonts w:ascii="Arial" w:eastAsiaTheme="majorEastAsia" w:hAnsi="Arial" w:cstheme="majorBidi"/>
          <w:sz w:val="24"/>
          <w:szCs w:val="24"/>
        </w:rPr>
        <w:t>o</w:t>
      </w:r>
      <w:r w:rsidR="004E0E3C" w:rsidRPr="003D1FBA">
        <w:rPr>
          <w:rFonts w:ascii="Arial" w:eastAsiaTheme="majorEastAsia" w:hAnsi="Arial" w:cstheme="majorBidi"/>
          <w:sz w:val="24"/>
          <w:szCs w:val="24"/>
        </w:rPr>
        <w:t>s estudi</w:t>
      </w:r>
      <w:r w:rsidR="003501A0">
        <w:rPr>
          <w:rFonts w:ascii="Arial" w:eastAsiaTheme="majorEastAsia" w:hAnsi="Arial" w:cstheme="majorBidi"/>
          <w:sz w:val="24"/>
          <w:szCs w:val="24"/>
        </w:rPr>
        <w:t>o</w:t>
      </w:r>
      <w:r w:rsidR="004E0E3C" w:rsidRPr="003D1FBA">
        <w:rPr>
          <w:rFonts w:ascii="Arial" w:eastAsiaTheme="majorEastAsia" w:hAnsi="Arial" w:cstheme="majorBidi"/>
          <w:sz w:val="24"/>
          <w:szCs w:val="24"/>
        </w:rPr>
        <w:t>s han e</w:t>
      </w:r>
      <w:r w:rsidR="003501A0">
        <w:rPr>
          <w:rFonts w:ascii="Arial" w:eastAsiaTheme="majorEastAsia" w:hAnsi="Arial" w:cstheme="majorBidi"/>
          <w:sz w:val="24"/>
          <w:szCs w:val="24"/>
        </w:rPr>
        <w:t>legido</w:t>
      </w:r>
      <w:r w:rsidR="004E0E3C" w:rsidRPr="003D1FBA">
        <w:rPr>
          <w:rFonts w:ascii="Arial" w:eastAsiaTheme="majorEastAsia" w:hAnsi="Arial" w:cstheme="majorBidi"/>
          <w:sz w:val="24"/>
          <w:szCs w:val="24"/>
        </w:rPr>
        <w:t xml:space="preserve"> l</w:t>
      </w:r>
      <w:r w:rsidR="003501A0">
        <w:rPr>
          <w:rFonts w:ascii="Arial" w:eastAsiaTheme="majorEastAsia" w:hAnsi="Arial" w:cstheme="majorBidi"/>
          <w:sz w:val="24"/>
          <w:szCs w:val="24"/>
        </w:rPr>
        <w:t xml:space="preserve">a </w:t>
      </w:r>
      <w:r w:rsidR="004E0E3C" w:rsidRPr="003D1FBA">
        <w:rPr>
          <w:rFonts w:ascii="Arial" w:eastAsiaTheme="majorEastAsia" w:hAnsi="Arial" w:cstheme="majorBidi"/>
          <w:sz w:val="24"/>
          <w:szCs w:val="24"/>
        </w:rPr>
        <w:t>escala de percepció</w:t>
      </w:r>
      <w:r w:rsidR="003501A0">
        <w:rPr>
          <w:rFonts w:ascii="Arial" w:eastAsiaTheme="majorEastAsia" w:hAnsi="Arial" w:cstheme="majorBidi"/>
          <w:sz w:val="24"/>
          <w:szCs w:val="24"/>
        </w:rPr>
        <w:t>n</w:t>
      </w:r>
      <w:r w:rsidR="004E0E3C" w:rsidRPr="003D1FBA">
        <w:rPr>
          <w:rFonts w:ascii="Arial" w:eastAsiaTheme="majorEastAsia" w:hAnsi="Arial" w:cstheme="majorBidi"/>
          <w:sz w:val="24"/>
          <w:szCs w:val="24"/>
        </w:rPr>
        <w:t xml:space="preserve"> externa de fatiga (RPE) p</w:t>
      </w:r>
      <w:r w:rsidR="003501A0">
        <w:rPr>
          <w:rFonts w:ascii="Arial" w:eastAsiaTheme="majorEastAsia" w:hAnsi="Arial" w:cstheme="majorBidi"/>
          <w:sz w:val="24"/>
          <w:szCs w:val="24"/>
        </w:rPr>
        <w:t>a</w:t>
      </w:r>
      <w:r w:rsidR="004E0E3C" w:rsidRPr="003D1FBA">
        <w:rPr>
          <w:rFonts w:ascii="Arial" w:eastAsiaTheme="majorEastAsia" w:hAnsi="Arial" w:cstheme="majorBidi"/>
          <w:sz w:val="24"/>
          <w:szCs w:val="24"/>
        </w:rPr>
        <w:t>r</w:t>
      </w:r>
      <w:r w:rsidR="003501A0">
        <w:rPr>
          <w:rFonts w:ascii="Arial" w:eastAsiaTheme="majorEastAsia" w:hAnsi="Arial" w:cstheme="majorBidi"/>
          <w:sz w:val="24"/>
          <w:szCs w:val="24"/>
        </w:rPr>
        <w:t>a</w:t>
      </w:r>
      <w:r w:rsidR="004E0E3C" w:rsidRPr="003D1FBA">
        <w:rPr>
          <w:rFonts w:ascii="Arial" w:eastAsiaTheme="majorEastAsia" w:hAnsi="Arial" w:cstheme="majorBidi"/>
          <w:sz w:val="24"/>
          <w:szCs w:val="24"/>
        </w:rPr>
        <w:t xml:space="preserve"> detectarla.</w:t>
      </w:r>
      <w:r w:rsidR="007E2E79" w:rsidRPr="003D1FBA">
        <w:rPr>
          <w:rFonts w:ascii="Arial" w:eastAsiaTheme="majorEastAsia" w:hAnsi="Arial" w:cstheme="majorBidi"/>
          <w:sz w:val="24"/>
          <w:szCs w:val="24"/>
          <w:vertAlign w:val="superscript"/>
        </w:rPr>
        <w:fldChar w:fldCharType="begin" w:fldLock="1"/>
      </w:r>
      <w:r w:rsidR="00EE7DE8" w:rsidRPr="003D1FBA">
        <w:rPr>
          <w:rFonts w:ascii="Arial" w:eastAsiaTheme="majorEastAsia" w:hAnsi="Arial" w:cstheme="majorBidi"/>
          <w:sz w:val="24"/>
          <w:szCs w:val="24"/>
          <w:vertAlign w:val="superscript"/>
        </w:rPr>
        <w:instrText>ADDIN CSL_CITATION {"citationItems":[{"id":"ITEM-1","itemData":{"DOI":"10.23736/S0022-4707.18.08312-3","ISBN":"0022-4707","ISSN":"1827-1928","PMID":"29619798","abstract":"BACKGROUND Monitoring training load is critical to minimize the risk of overreaching, injury or illness. The purpose of this study was to assess the relationships and variance between perceived internal load and wellness status of elite male volleyball. METHODS Thirteen elite volleyball players were studied during a full competitive season (nine months, 237 training sessions and 37 official matches). Perceived exertion, muscle soreness, stress, fatigue and sleep quality levels were daily measured using session RPE and the Hopper Questionnaire. RESULTS Moderate-to-large correlations were found between weekly training load and perceived status of muscle soreness, fatigue and stress. Stronger correlations were found between weekly training loads than daily training load. Significant greater stress levels in match days than in training were found. No correlations between load and wellness were not found in the last month when players perceived higher levels of stress due to the competition. CONCLUSIONS The analysis of the weekly training load had a higher relationship with players' wellness status in pre-season and middle of the season. In the last part of the season (final matches for the title), despite of a decrease in perceived load of last month of the season, there was an increase stress and fatigue levels. These results suggest the importance of including the impact on the competition when elite athletes are monitored. The results show the monitoring tools used may help in to characterize the training process of teams and the player's acute and chronic responses.","author":[{"dropping-particle":"","family":"Clemente","given":"Filipe M","non-dropping-particle":"","parse-names":false,"suffix":""},{"dropping-particle":"","family":"Mendes","given":"Bruno","non-dropping-particle":"","parse-names":false,"suffix":""},{"dropping-particle":"","family":"Palao","given":"José M","non-dropping-particle":"","parse-names":false,"suffix":""},{"dropping-particle":"","family":"Silvério","given":"André","non-dropping-particle":"","parse-names":false,"suffix":""},{"dropping-particle":"","family":"Carriço","given":"Sandro","non-dropping-particle":"","parse-names":false,"suffix":""},{"dropping-particle":"","family":"Calvete","given":"Francisco","non-dropping-particle":"","parse-names":false,"suffix":""},{"dropping-particle":"","family":"Nakamura","given":"Fábio Y","non-dropping-particle":"","parse-names":false,"suffix":""}],"container-title":"J Sports Med Phys Fitness","id":"ITEM-1","issue":"3","issued":{"date-parts":[["2019"]]},"page":"345-51","title":"Seasonal player wellness and its longitudinal association with internal training load: study in elite volleyball.","type":"article-journal","volume":"59"},"uris":["http://www.mendeley.com/documents/?uuid=3e922b6b-d428-4d8a-878e-c28b7a5764cb"]},{"id":"ITEM-2","itemData":{"author":[{"dropping-particle":"","family":"Freitas","given":"Victor H","non-dropping-particle":"","parse-names":false,"suffix":""},{"dropping-particle":"","family":"Nakamura","given":"Fabio Y","non-dropping-particle":"","parse-names":false,"suffix":""},{"dropping-particle":"","family":"Miloski","given":"Bernardo","non-dropping-particle":"","parse-names":false,"suffix":""},{"dropping-particle":"","family":"Samulski","given":"Dietmar","non-dropping-particle":"","parse-names":false,"suffix":""},{"dropping-particle":"","family":"Mauricio","given":"G","non-dropping-particle":"","parse-names":false,"suffix":""}],"container-title":"J Sports Sci Med","id":"ITEM-2","issue":"3","issued":{"date-parts":[["2014"]]},"page":"571-9","title":"Sensitivity of Physiological and Psychological Markers to Training Load Intensi- fication in Volleyball Players","type":"article-journal","volume":"13"},"uris":["http://www.mendeley.com/documents/?uuid=01a3ecf0-c801-4866-ae14-b1b851b71b48"]},{"id":"ITEM-3","itemData":{"DOI":"10.1249/01.MSS.0000128199.23901.2F","author":[{"dropping-particle":"","family":"Impellizzeri","given":"Franco M","non-dropping-particle":"","parse-names":false,"suffix":""},{"dropping-particle":"","family":"Rampinini","given":"Ermanno","non-dropping-particle":"","parse-names":false,"suffix":""},{"dropping-particle":"","family":"Coutts","given":"Aaron James","non-dropping-particle":"","parse-names":false,"suffix":""},{"dropping-particle":"","family":"Marcora","given":"Samuele M","non-dropping-particle":"","parse-names":false,"suffix":""}],"container-title":"Med Sci Sports Exerc","id":"ITEM-3","issue":"6","issued":{"date-parts":[["2004"]]},"page":"1042-7","title":"Use of RPE-based training load in soccer","type":"article-journal","volume":"36"},"uris":["http://www.mendeley.com/documents/?uuid=8eece266-f073-41b8-8649-c6d0d8bfd706"]}],"mendeley":{"formattedCitation":"(30–32)","manualFormatting":"30–32","plainTextFormattedCitation":"(30–32)","previouslyFormattedCitation":"(30–32)"},"properties":{"noteIndex":0},"schema":"https://github.com/citation-style-language/schema/raw/master/csl-citation.json"}</w:instrText>
      </w:r>
      <w:r w:rsidR="007E2E79" w:rsidRPr="003D1FBA">
        <w:rPr>
          <w:rFonts w:ascii="Arial" w:eastAsiaTheme="majorEastAsia" w:hAnsi="Arial" w:cstheme="majorBidi"/>
          <w:sz w:val="24"/>
          <w:szCs w:val="24"/>
          <w:vertAlign w:val="superscript"/>
        </w:rPr>
        <w:fldChar w:fldCharType="separate"/>
      </w:r>
      <w:r w:rsidR="007E2E79" w:rsidRPr="003D1FBA">
        <w:rPr>
          <w:rFonts w:ascii="Arial" w:eastAsiaTheme="majorEastAsia" w:hAnsi="Arial" w:cstheme="majorBidi"/>
          <w:noProof/>
          <w:sz w:val="24"/>
          <w:szCs w:val="24"/>
          <w:vertAlign w:val="superscript"/>
        </w:rPr>
        <w:t>30–32</w:t>
      </w:r>
      <w:r w:rsidR="007E2E79" w:rsidRPr="003D1FBA">
        <w:rPr>
          <w:rFonts w:ascii="Arial" w:eastAsiaTheme="majorEastAsia" w:hAnsi="Arial" w:cstheme="majorBidi"/>
          <w:sz w:val="24"/>
          <w:szCs w:val="24"/>
          <w:vertAlign w:val="superscript"/>
        </w:rPr>
        <w:fldChar w:fldCharType="end"/>
      </w:r>
      <w:r w:rsidR="004E0E3C" w:rsidRPr="003D1FBA">
        <w:rPr>
          <w:rFonts w:ascii="Arial" w:eastAsiaTheme="majorEastAsia" w:hAnsi="Arial" w:cstheme="majorBidi"/>
          <w:sz w:val="24"/>
          <w:szCs w:val="24"/>
        </w:rPr>
        <w:t xml:space="preserve"> El RPE presenta una correlació</w:t>
      </w:r>
      <w:r w:rsidR="003501A0">
        <w:rPr>
          <w:rFonts w:ascii="Arial" w:eastAsiaTheme="majorEastAsia" w:hAnsi="Arial" w:cstheme="majorBidi"/>
          <w:sz w:val="24"/>
          <w:szCs w:val="24"/>
        </w:rPr>
        <w:t>n</w:t>
      </w:r>
      <w:r w:rsidR="004E0E3C" w:rsidRPr="003D1FBA">
        <w:rPr>
          <w:rFonts w:ascii="Arial" w:eastAsiaTheme="majorEastAsia" w:hAnsi="Arial" w:cstheme="majorBidi"/>
          <w:sz w:val="24"/>
          <w:szCs w:val="24"/>
        </w:rPr>
        <w:t xml:space="preserve"> elevada </w:t>
      </w:r>
      <w:r w:rsidR="003501A0">
        <w:rPr>
          <w:rFonts w:ascii="Arial" w:eastAsiaTheme="majorEastAsia" w:hAnsi="Arial" w:cstheme="majorBidi"/>
          <w:sz w:val="24"/>
          <w:szCs w:val="24"/>
        </w:rPr>
        <w:t>con</w:t>
      </w:r>
      <w:r w:rsidR="004E0E3C" w:rsidRPr="003D1FBA">
        <w:rPr>
          <w:rFonts w:ascii="Arial" w:eastAsiaTheme="majorEastAsia" w:hAnsi="Arial" w:cstheme="majorBidi"/>
          <w:sz w:val="24"/>
          <w:szCs w:val="24"/>
        </w:rPr>
        <w:t xml:space="preserve"> la pres</w:t>
      </w:r>
      <w:r w:rsidR="003501A0">
        <w:rPr>
          <w:rFonts w:ascii="Arial" w:eastAsiaTheme="majorEastAsia" w:hAnsi="Arial" w:cstheme="majorBidi"/>
          <w:sz w:val="24"/>
          <w:szCs w:val="24"/>
        </w:rPr>
        <w:t>e</w:t>
      </w:r>
      <w:r w:rsidR="004E0E3C" w:rsidRPr="003D1FBA">
        <w:rPr>
          <w:rFonts w:ascii="Arial" w:eastAsiaTheme="majorEastAsia" w:hAnsi="Arial" w:cstheme="majorBidi"/>
          <w:sz w:val="24"/>
          <w:szCs w:val="24"/>
        </w:rPr>
        <w:t>ncia de biomarcador</w:t>
      </w:r>
      <w:r w:rsidR="003501A0">
        <w:rPr>
          <w:rFonts w:ascii="Arial" w:eastAsiaTheme="majorEastAsia" w:hAnsi="Arial" w:cstheme="majorBidi"/>
          <w:sz w:val="24"/>
          <w:szCs w:val="24"/>
        </w:rPr>
        <w:t>e</w:t>
      </w:r>
      <w:r w:rsidR="004E0E3C" w:rsidRPr="003D1FBA">
        <w:rPr>
          <w:rFonts w:ascii="Arial" w:eastAsiaTheme="majorEastAsia" w:hAnsi="Arial" w:cstheme="majorBidi"/>
          <w:sz w:val="24"/>
          <w:szCs w:val="24"/>
        </w:rPr>
        <w:t>s de fatiga en sang</w:t>
      </w:r>
      <w:r w:rsidR="003501A0">
        <w:rPr>
          <w:rFonts w:ascii="Arial" w:eastAsiaTheme="majorEastAsia" w:hAnsi="Arial" w:cstheme="majorBidi"/>
          <w:sz w:val="24"/>
          <w:szCs w:val="24"/>
        </w:rPr>
        <w:t>re</w:t>
      </w:r>
      <w:r w:rsidR="004E0E3C" w:rsidRPr="003D1FBA">
        <w:rPr>
          <w:rFonts w:ascii="Arial" w:eastAsiaTheme="majorEastAsia" w:hAnsi="Arial" w:cstheme="majorBidi"/>
          <w:sz w:val="24"/>
          <w:szCs w:val="24"/>
        </w:rPr>
        <w:t xml:space="preserve"> com</w:t>
      </w:r>
      <w:r w:rsidR="003501A0">
        <w:rPr>
          <w:rFonts w:ascii="Arial" w:eastAsiaTheme="majorEastAsia" w:hAnsi="Arial" w:cstheme="majorBidi"/>
          <w:sz w:val="24"/>
          <w:szCs w:val="24"/>
        </w:rPr>
        <w:t>o</w:t>
      </w:r>
      <w:r w:rsidR="004E0E3C" w:rsidRPr="003D1FBA">
        <w:rPr>
          <w:rFonts w:ascii="Arial" w:eastAsiaTheme="majorEastAsia" w:hAnsi="Arial" w:cstheme="majorBidi"/>
          <w:sz w:val="24"/>
          <w:szCs w:val="24"/>
        </w:rPr>
        <w:t xml:space="preserve"> el lactat</w:t>
      </w:r>
      <w:r w:rsidR="003501A0">
        <w:rPr>
          <w:rFonts w:ascii="Arial" w:eastAsiaTheme="majorEastAsia" w:hAnsi="Arial" w:cstheme="majorBidi"/>
          <w:sz w:val="24"/>
          <w:szCs w:val="24"/>
        </w:rPr>
        <w:t>o</w:t>
      </w:r>
      <w:r w:rsidR="004E0E3C" w:rsidRPr="003D1FBA">
        <w:rPr>
          <w:rFonts w:ascii="Arial" w:eastAsiaTheme="majorEastAsia" w:hAnsi="Arial" w:cstheme="majorBidi"/>
          <w:sz w:val="24"/>
          <w:szCs w:val="24"/>
        </w:rPr>
        <w:t xml:space="preserve"> </w:t>
      </w:r>
      <w:r w:rsidR="003501A0">
        <w:rPr>
          <w:rFonts w:ascii="Arial" w:eastAsiaTheme="majorEastAsia" w:hAnsi="Arial" w:cstheme="majorBidi"/>
          <w:sz w:val="24"/>
          <w:szCs w:val="24"/>
        </w:rPr>
        <w:t>y</w:t>
      </w:r>
      <w:r w:rsidR="004E0E3C" w:rsidRPr="003D1FBA">
        <w:rPr>
          <w:rFonts w:ascii="Arial" w:eastAsiaTheme="majorEastAsia" w:hAnsi="Arial" w:cstheme="majorBidi"/>
          <w:sz w:val="24"/>
          <w:szCs w:val="24"/>
        </w:rPr>
        <w:t xml:space="preserve"> </w:t>
      </w:r>
      <w:r w:rsidR="003501A0">
        <w:rPr>
          <w:rFonts w:ascii="Arial" w:eastAsiaTheme="majorEastAsia" w:hAnsi="Arial" w:cstheme="majorBidi"/>
          <w:sz w:val="24"/>
          <w:szCs w:val="24"/>
        </w:rPr>
        <w:t xml:space="preserve">el </w:t>
      </w:r>
      <w:r w:rsidR="004E0E3C" w:rsidRPr="003D1FBA">
        <w:rPr>
          <w:rFonts w:ascii="Arial" w:eastAsiaTheme="majorEastAsia" w:hAnsi="Arial" w:cstheme="majorBidi"/>
          <w:sz w:val="24"/>
          <w:szCs w:val="24"/>
        </w:rPr>
        <w:t>amoníac</w:t>
      </w:r>
      <w:r w:rsidR="003501A0">
        <w:rPr>
          <w:rFonts w:ascii="Arial" w:eastAsiaTheme="majorEastAsia" w:hAnsi="Arial" w:cstheme="majorBidi"/>
          <w:sz w:val="24"/>
          <w:szCs w:val="24"/>
        </w:rPr>
        <w:t>o</w:t>
      </w:r>
      <w:r w:rsidR="007B0C03" w:rsidRPr="003D1FBA">
        <w:rPr>
          <w:rFonts w:ascii="Arial" w:eastAsiaTheme="majorEastAsia" w:hAnsi="Arial" w:cstheme="majorBidi"/>
          <w:sz w:val="24"/>
          <w:szCs w:val="24"/>
        </w:rPr>
        <w:t>.</w:t>
      </w:r>
      <w:r w:rsidR="007E2E79" w:rsidRPr="003D1FBA">
        <w:rPr>
          <w:rFonts w:ascii="Arial" w:eastAsiaTheme="majorEastAsia" w:hAnsi="Arial" w:cstheme="majorBidi"/>
          <w:sz w:val="24"/>
          <w:szCs w:val="24"/>
          <w:vertAlign w:val="superscript"/>
        </w:rPr>
        <w:fldChar w:fldCharType="begin" w:fldLock="1"/>
      </w:r>
      <w:r w:rsidR="00EE7DE8" w:rsidRPr="003D1FBA">
        <w:rPr>
          <w:rFonts w:ascii="Arial" w:eastAsiaTheme="majorEastAsia" w:hAnsi="Arial" w:cstheme="majorBidi"/>
          <w:sz w:val="24"/>
          <w:szCs w:val="24"/>
          <w:vertAlign w:val="superscript"/>
        </w:rPr>
        <w:instrText>ADDIN CSL_CITATION {"citationItems":[{"id":"ITEM-1","itemData":{"DOI":"10.1249/01.MSS.0000128199.23901.2F","author":[{"dropping-particle":"","family":"Impellizzeri","given":"Franco M","non-dropping-particle":"","parse-names":false,"suffix":""},{"dropping-particle":"","family":"Rampinini","given":"Ermanno","non-dropping-particle":"","parse-names":false,"suffix":""},{"dropping-particle":"","family":"Coutts","given":"Aaron James","non-dropping-particle":"","parse-names":false,"suffix":""},{"dropping-particle":"","family":"Marcora","given":"Samuele M","non-dropping-particle":"","parse-names":false,"suffix":""}],"container-title":"Med Sci Sports Exerc","id":"ITEM-1","issue":"6","issued":{"date-parts":[["2004"]]},"page":"1042-7","title":"Use of RPE-based training load in soccer","type":"article-journal","volume":"36"},"uris":["http://www.mendeley.com/documents/?uuid=8eece266-f073-41b8-8649-c6d0d8bfd706"]}],"mendeley":{"formattedCitation":"(30)","manualFormatting":"30","plainTextFormattedCitation":"(30)","previouslyFormattedCitation":"(30)"},"properties":{"noteIndex":0},"schema":"https://github.com/citation-style-language/schema/raw/master/csl-citation.json"}</w:instrText>
      </w:r>
      <w:r w:rsidR="007E2E79" w:rsidRPr="003D1FBA">
        <w:rPr>
          <w:rFonts w:ascii="Arial" w:eastAsiaTheme="majorEastAsia" w:hAnsi="Arial" w:cstheme="majorBidi"/>
          <w:sz w:val="24"/>
          <w:szCs w:val="24"/>
          <w:vertAlign w:val="superscript"/>
        </w:rPr>
        <w:fldChar w:fldCharType="separate"/>
      </w:r>
      <w:r w:rsidR="007E2E79" w:rsidRPr="003D1FBA">
        <w:rPr>
          <w:rFonts w:ascii="Arial" w:eastAsiaTheme="majorEastAsia" w:hAnsi="Arial" w:cstheme="majorBidi"/>
          <w:noProof/>
          <w:sz w:val="24"/>
          <w:szCs w:val="24"/>
          <w:vertAlign w:val="superscript"/>
        </w:rPr>
        <w:t>30</w:t>
      </w:r>
      <w:r w:rsidR="007E2E79" w:rsidRPr="003D1FBA">
        <w:rPr>
          <w:rFonts w:ascii="Arial" w:eastAsiaTheme="majorEastAsia" w:hAnsi="Arial" w:cstheme="majorBidi"/>
          <w:sz w:val="24"/>
          <w:szCs w:val="24"/>
          <w:vertAlign w:val="superscript"/>
        </w:rPr>
        <w:fldChar w:fldCharType="end"/>
      </w:r>
      <w:r w:rsidR="004E0E3C" w:rsidRPr="003D1FBA">
        <w:rPr>
          <w:rFonts w:ascii="Arial" w:eastAsiaTheme="majorEastAsia" w:hAnsi="Arial" w:cstheme="majorBidi"/>
          <w:sz w:val="24"/>
          <w:szCs w:val="24"/>
        </w:rPr>
        <w:t xml:space="preserve"> Al ser significativa la difer</w:t>
      </w:r>
      <w:r w:rsidR="003501A0">
        <w:rPr>
          <w:rFonts w:ascii="Arial" w:eastAsiaTheme="majorEastAsia" w:hAnsi="Arial" w:cstheme="majorBidi"/>
          <w:sz w:val="24"/>
          <w:szCs w:val="24"/>
        </w:rPr>
        <w:t>e</w:t>
      </w:r>
      <w:r w:rsidR="004E0E3C" w:rsidRPr="003D1FBA">
        <w:rPr>
          <w:rFonts w:ascii="Arial" w:eastAsiaTheme="majorEastAsia" w:hAnsi="Arial" w:cstheme="majorBidi"/>
          <w:sz w:val="24"/>
          <w:szCs w:val="24"/>
        </w:rPr>
        <w:t>ncia del valor obt</w:t>
      </w:r>
      <w:r w:rsidR="003501A0">
        <w:rPr>
          <w:rFonts w:ascii="Arial" w:eastAsiaTheme="majorEastAsia" w:hAnsi="Arial" w:cstheme="majorBidi"/>
          <w:sz w:val="24"/>
          <w:szCs w:val="24"/>
        </w:rPr>
        <w:t>enido</w:t>
      </w:r>
      <w:r w:rsidR="004E0E3C" w:rsidRPr="003D1FBA">
        <w:rPr>
          <w:rFonts w:ascii="Arial" w:eastAsiaTheme="majorEastAsia" w:hAnsi="Arial" w:cstheme="majorBidi"/>
          <w:sz w:val="24"/>
          <w:szCs w:val="24"/>
        </w:rPr>
        <w:t xml:space="preserve"> </w:t>
      </w:r>
      <w:r w:rsidR="003501A0">
        <w:rPr>
          <w:rFonts w:ascii="Arial" w:eastAsiaTheme="majorEastAsia" w:hAnsi="Arial" w:cstheme="majorBidi"/>
          <w:sz w:val="24"/>
          <w:szCs w:val="24"/>
        </w:rPr>
        <w:t>en</w:t>
      </w:r>
      <w:r w:rsidR="004E0E3C" w:rsidRPr="003D1FBA">
        <w:rPr>
          <w:rFonts w:ascii="Arial" w:eastAsiaTheme="majorEastAsia" w:hAnsi="Arial" w:cstheme="majorBidi"/>
          <w:sz w:val="24"/>
          <w:szCs w:val="24"/>
        </w:rPr>
        <w:t xml:space="preserve"> l</w:t>
      </w:r>
      <w:r w:rsidR="003501A0">
        <w:rPr>
          <w:rFonts w:ascii="Arial" w:eastAsiaTheme="majorEastAsia" w:hAnsi="Arial" w:cstheme="majorBidi"/>
          <w:sz w:val="24"/>
          <w:szCs w:val="24"/>
        </w:rPr>
        <w:t xml:space="preserve">a </w:t>
      </w:r>
      <w:r w:rsidR="004E0E3C" w:rsidRPr="003D1FBA">
        <w:rPr>
          <w:rFonts w:ascii="Arial" w:eastAsiaTheme="majorEastAsia" w:hAnsi="Arial" w:cstheme="majorBidi"/>
          <w:sz w:val="24"/>
          <w:szCs w:val="24"/>
        </w:rPr>
        <w:t>escala a</w:t>
      </w:r>
      <w:r w:rsidR="003501A0">
        <w:rPr>
          <w:rFonts w:ascii="Arial" w:eastAsiaTheme="majorEastAsia" w:hAnsi="Arial" w:cstheme="majorBidi"/>
          <w:sz w:val="24"/>
          <w:szCs w:val="24"/>
        </w:rPr>
        <w:t>nte</w:t>
      </w:r>
      <w:r w:rsidR="004E0E3C" w:rsidRPr="003D1FBA">
        <w:rPr>
          <w:rFonts w:ascii="Arial" w:eastAsiaTheme="majorEastAsia" w:hAnsi="Arial" w:cstheme="majorBidi"/>
          <w:sz w:val="24"/>
          <w:szCs w:val="24"/>
        </w:rPr>
        <w:t xml:space="preserve">s </w:t>
      </w:r>
      <w:r w:rsidR="003501A0">
        <w:rPr>
          <w:rFonts w:ascii="Arial" w:eastAsiaTheme="majorEastAsia" w:hAnsi="Arial" w:cstheme="majorBidi"/>
          <w:sz w:val="24"/>
          <w:szCs w:val="24"/>
        </w:rPr>
        <w:t>y</w:t>
      </w:r>
      <w:r w:rsidR="004E0E3C" w:rsidRPr="003D1FBA">
        <w:rPr>
          <w:rFonts w:ascii="Arial" w:eastAsiaTheme="majorEastAsia" w:hAnsi="Arial" w:cstheme="majorBidi"/>
          <w:sz w:val="24"/>
          <w:szCs w:val="24"/>
        </w:rPr>
        <w:t xml:space="preserve"> desp</w:t>
      </w:r>
      <w:r w:rsidR="003501A0">
        <w:rPr>
          <w:rFonts w:ascii="Arial" w:eastAsiaTheme="majorEastAsia" w:hAnsi="Arial" w:cstheme="majorBidi"/>
          <w:sz w:val="24"/>
          <w:szCs w:val="24"/>
        </w:rPr>
        <w:t>u</w:t>
      </w:r>
      <w:r w:rsidR="004E0E3C" w:rsidRPr="003D1FBA">
        <w:rPr>
          <w:rFonts w:ascii="Arial" w:eastAsiaTheme="majorEastAsia" w:hAnsi="Arial" w:cstheme="majorBidi"/>
          <w:sz w:val="24"/>
          <w:szCs w:val="24"/>
        </w:rPr>
        <w:t>és de la pr</w:t>
      </w:r>
      <w:r w:rsidR="003501A0">
        <w:rPr>
          <w:rFonts w:ascii="Arial" w:eastAsiaTheme="majorEastAsia" w:hAnsi="Arial" w:cstheme="majorBidi"/>
          <w:sz w:val="24"/>
          <w:szCs w:val="24"/>
        </w:rPr>
        <w:t>ueb</w:t>
      </w:r>
      <w:r w:rsidR="004E0E3C" w:rsidRPr="003D1FBA">
        <w:rPr>
          <w:rFonts w:ascii="Arial" w:eastAsiaTheme="majorEastAsia" w:hAnsi="Arial" w:cstheme="majorBidi"/>
          <w:sz w:val="24"/>
          <w:szCs w:val="24"/>
        </w:rPr>
        <w:t>a fatigant</w:t>
      </w:r>
      <w:r w:rsidR="003501A0">
        <w:rPr>
          <w:rFonts w:ascii="Arial" w:eastAsiaTheme="majorEastAsia" w:hAnsi="Arial" w:cstheme="majorBidi"/>
          <w:sz w:val="24"/>
          <w:szCs w:val="24"/>
        </w:rPr>
        <w:t>e</w:t>
      </w:r>
      <w:r w:rsidR="004E0E3C" w:rsidRPr="003D1FBA">
        <w:rPr>
          <w:rFonts w:ascii="Arial" w:eastAsiaTheme="majorEastAsia" w:hAnsi="Arial" w:cstheme="majorBidi"/>
          <w:sz w:val="24"/>
          <w:szCs w:val="24"/>
        </w:rPr>
        <w:t xml:space="preserve"> (</w:t>
      </w:r>
      <w:r w:rsidR="00B74788" w:rsidRPr="003D1FBA">
        <w:rPr>
          <w:rFonts w:ascii="Arial" w:eastAsiaTheme="majorEastAsia" w:hAnsi="Arial" w:cstheme="majorBidi"/>
          <w:sz w:val="24"/>
          <w:szCs w:val="24"/>
        </w:rPr>
        <w:t xml:space="preserve">p </w:t>
      </w:r>
      <w:r w:rsidR="00B74788" w:rsidRPr="003D1FBA">
        <w:rPr>
          <w:rFonts w:ascii="Arial" w:hAnsi="Arial" w:cs="Arial"/>
          <w:sz w:val="24"/>
        </w:rPr>
        <w:t xml:space="preserve">≤ 0.01), </w:t>
      </w:r>
      <w:r w:rsidR="003501A0">
        <w:rPr>
          <w:rFonts w:ascii="Arial" w:hAnsi="Arial" w:cs="Arial"/>
          <w:sz w:val="24"/>
        </w:rPr>
        <w:t>se</w:t>
      </w:r>
      <w:r w:rsidR="00B74788" w:rsidRPr="003D1FBA">
        <w:rPr>
          <w:rFonts w:ascii="Arial" w:hAnsi="Arial" w:cs="Arial"/>
          <w:sz w:val="24"/>
        </w:rPr>
        <w:t xml:space="preserve"> conclu</w:t>
      </w:r>
      <w:r w:rsidR="003501A0">
        <w:rPr>
          <w:rFonts w:ascii="Arial" w:hAnsi="Arial" w:cs="Arial"/>
          <w:sz w:val="24"/>
        </w:rPr>
        <w:t>ye</w:t>
      </w:r>
      <w:r w:rsidR="00B74788" w:rsidRPr="003D1FBA">
        <w:rPr>
          <w:rFonts w:ascii="Arial" w:hAnsi="Arial" w:cs="Arial"/>
          <w:sz w:val="24"/>
        </w:rPr>
        <w:t xml:space="preserve"> que l</w:t>
      </w:r>
      <w:r w:rsidR="003501A0">
        <w:rPr>
          <w:rFonts w:ascii="Arial" w:hAnsi="Arial" w:cs="Arial"/>
          <w:sz w:val="24"/>
        </w:rPr>
        <w:t>a</w:t>
      </w:r>
      <w:r w:rsidR="00B74788" w:rsidRPr="003D1FBA">
        <w:rPr>
          <w:rFonts w:ascii="Arial" w:hAnsi="Arial" w:cs="Arial"/>
          <w:sz w:val="24"/>
        </w:rPr>
        <w:t>s jugador</w:t>
      </w:r>
      <w:r w:rsidR="003501A0">
        <w:rPr>
          <w:rFonts w:ascii="Arial" w:hAnsi="Arial" w:cs="Arial"/>
          <w:sz w:val="24"/>
        </w:rPr>
        <w:t>a</w:t>
      </w:r>
      <w:r w:rsidR="00B74788" w:rsidRPr="003D1FBA">
        <w:rPr>
          <w:rFonts w:ascii="Arial" w:hAnsi="Arial" w:cs="Arial"/>
          <w:sz w:val="24"/>
        </w:rPr>
        <w:t>s desp</w:t>
      </w:r>
      <w:r w:rsidR="003501A0">
        <w:rPr>
          <w:rFonts w:ascii="Arial" w:hAnsi="Arial" w:cs="Arial"/>
          <w:sz w:val="24"/>
        </w:rPr>
        <w:t>u</w:t>
      </w:r>
      <w:r w:rsidR="00B74788" w:rsidRPr="003D1FBA">
        <w:rPr>
          <w:rFonts w:ascii="Arial" w:hAnsi="Arial" w:cs="Arial"/>
          <w:sz w:val="24"/>
        </w:rPr>
        <w:t>és de realizar el 30-15</w:t>
      </w:r>
      <w:r w:rsidR="00C91705" w:rsidRPr="003D1FBA">
        <w:rPr>
          <w:rFonts w:ascii="Arial" w:hAnsi="Arial" w:cs="Arial"/>
          <w:sz w:val="24"/>
        </w:rPr>
        <w:t xml:space="preserve"> </w:t>
      </w:r>
      <w:r w:rsidR="00B74788" w:rsidRPr="003D1FBA">
        <w:rPr>
          <w:rFonts w:ascii="Arial" w:hAnsi="Arial" w:cs="Arial"/>
          <w:sz w:val="24"/>
        </w:rPr>
        <w:t>IFT, esta</w:t>
      </w:r>
      <w:r w:rsidR="003501A0">
        <w:rPr>
          <w:rFonts w:ascii="Arial" w:hAnsi="Arial" w:cs="Arial"/>
          <w:sz w:val="24"/>
        </w:rPr>
        <w:t>ba</w:t>
      </w:r>
      <w:r w:rsidR="00B74788" w:rsidRPr="003D1FBA">
        <w:rPr>
          <w:rFonts w:ascii="Arial" w:hAnsi="Arial" w:cs="Arial"/>
          <w:sz w:val="24"/>
        </w:rPr>
        <w:t>n fatigad</w:t>
      </w:r>
      <w:r w:rsidR="003501A0">
        <w:rPr>
          <w:rFonts w:ascii="Arial" w:hAnsi="Arial" w:cs="Arial"/>
          <w:sz w:val="24"/>
        </w:rPr>
        <w:t>a</w:t>
      </w:r>
      <w:r w:rsidR="00B74788" w:rsidRPr="003D1FBA">
        <w:rPr>
          <w:rFonts w:ascii="Arial" w:hAnsi="Arial" w:cs="Arial"/>
          <w:sz w:val="24"/>
        </w:rPr>
        <w:t>s.</w:t>
      </w:r>
    </w:p>
    <w:p w:rsidR="00444CE3" w:rsidRPr="003D1FBA" w:rsidRDefault="003501A0" w:rsidP="00652C28">
      <w:pPr>
        <w:spacing w:line="360" w:lineRule="auto"/>
        <w:jc w:val="both"/>
        <w:rPr>
          <w:rFonts w:ascii="Arial" w:eastAsiaTheme="majorEastAsia" w:hAnsi="Arial" w:cstheme="majorBidi"/>
          <w:sz w:val="24"/>
          <w:szCs w:val="24"/>
        </w:rPr>
      </w:pPr>
      <w:r>
        <w:rPr>
          <w:rFonts w:ascii="Arial" w:eastAsiaTheme="majorEastAsia" w:hAnsi="Arial" w:cstheme="majorBidi"/>
          <w:sz w:val="24"/>
          <w:szCs w:val="24"/>
        </w:rPr>
        <w:t>Respecto a la</w:t>
      </w:r>
      <w:r w:rsidR="00D57459" w:rsidRPr="003D1FBA">
        <w:rPr>
          <w:rFonts w:ascii="Arial" w:eastAsiaTheme="majorEastAsia" w:hAnsi="Arial" w:cstheme="majorBidi"/>
          <w:sz w:val="24"/>
          <w:szCs w:val="24"/>
        </w:rPr>
        <w:t>s limitacio</w:t>
      </w:r>
      <w:r>
        <w:rPr>
          <w:rFonts w:ascii="Arial" w:eastAsiaTheme="majorEastAsia" w:hAnsi="Arial" w:cstheme="majorBidi"/>
          <w:sz w:val="24"/>
          <w:szCs w:val="24"/>
        </w:rPr>
        <w:t>ne</w:t>
      </w:r>
      <w:r w:rsidR="00D57459" w:rsidRPr="003D1FBA">
        <w:rPr>
          <w:rFonts w:ascii="Arial" w:eastAsiaTheme="majorEastAsia" w:hAnsi="Arial" w:cstheme="majorBidi"/>
          <w:sz w:val="24"/>
          <w:szCs w:val="24"/>
        </w:rPr>
        <w:t>s del present</w:t>
      </w:r>
      <w:r>
        <w:rPr>
          <w:rFonts w:ascii="Arial" w:eastAsiaTheme="majorEastAsia" w:hAnsi="Arial" w:cstheme="majorBidi"/>
          <w:sz w:val="24"/>
          <w:szCs w:val="24"/>
        </w:rPr>
        <w:t>e</w:t>
      </w:r>
      <w:r w:rsidR="00D57459" w:rsidRPr="003D1FBA">
        <w:rPr>
          <w:rFonts w:ascii="Arial" w:eastAsiaTheme="majorEastAsia" w:hAnsi="Arial" w:cstheme="majorBidi"/>
          <w:sz w:val="24"/>
          <w:szCs w:val="24"/>
        </w:rPr>
        <w:t xml:space="preserve"> estudi</w:t>
      </w:r>
      <w:r>
        <w:rPr>
          <w:rFonts w:ascii="Arial" w:eastAsiaTheme="majorEastAsia" w:hAnsi="Arial" w:cstheme="majorBidi"/>
          <w:sz w:val="24"/>
          <w:szCs w:val="24"/>
        </w:rPr>
        <w:t>o</w:t>
      </w:r>
      <w:r w:rsidR="00D57459" w:rsidRPr="003D1FBA">
        <w:rPr>
          <w:rFonts w:ascii="Arial" w:eastAsiaTheme="majorEastAsia" w:hAnsi="Arial" w:cstheme="majorBidi"/>
          <w:sz w:val="24"/>
          <w:szCs w:val="24"/>
        </w:rPr>
        <w:t xml:space="preserve">, </w:t>
      </w:r>
      <w:r>
        <w:rPr>
          <w:rFonts w:ascii="Arial" w:eastAsiaTheme="majorEastAsia" w:hAnsi="Arial" w:cstheme="majorBidi"/>
          <w:sz w:val="24"/>
          <w:szCs w:val="24"/>
        </w:rPr>
        <w:t>hay que</w:t>
      </w:r>
      <w:r w:rsidR="00D57459" w:rsidRPr="003D1FBA">
        <w:rPr>
          <w:rFonts w:ascii="Arial" w:eastAsiaTheme="majorEastAsia" w:hAnsi="Arial" w:cstheme="majorBidi"/>
          <w:sz w:val="24"/>
          <w:szCs w:val="24"/>
        </w:rPr>
        <w:t xml:space="preserve"> ten</w:t>
      </w:r>
      <w:r>
        <w:rPr>
          <w:rFonts w:ascii="Arial" w:eastAsiaTheme="majorEastAsia" w:hAnsi="Arial" w:cstheme="majorBidi"/>
          <w:sz w:val="24"/>
          <w:szCs w:val="24"/>
        </w:rPr>
        <w:t>e</w:t>
      </w:r>
      <w:r w:rsidR="00D57459" w:rsidRPr="003D1FBA">
        <w:rPr>
          <w:rFonts w:ascii="Arial" w:eastAsiaTheme="majorEastAsia" w:hAnsi="Arial" w:cstheme="majorBidi"/>
          <w:sz w:val="24"/>
          <w:szCs w:val="24"/>
        </w:rPr>
        <w:t>r en c</w:t>
      </w:r>
      <w:r>
        <w:rPr>
          <w:rFonts w:ascii="Arial" w:eastAsiaTheme="majorEastAsia" w:hAnsi="Arial" w:cstheme="majorBidi"/>
          <w:sz w:val="24"/>
          <w:szCs w:val="24"/>
        </w:rPr>
        <w:t>uenta</w:t>
      </w:r>
      <w:r w:rsidR="00444CE3" w:rsidRPr="003D1FBA">
        <w:rPr>
          <w:rFonts w:ascii="Arial" w:eastAsiaTheme="majorEastAsia" w:hAnsi="Arial" w:cstheme="majorBidi"/>
          <w:sz w:val="24"/>
          <w:szCs w:val="24"/>
        </w:rPr>
        <w:t xml:space="preserve"> que no to</w:t>
      </w:r>
      <w:r>
        <w:rPr>
          <w:rFonts w:ascii="Arial" w:eastAsiaTheme="majorEastAsia" w:hAnsi="Arial" w:cstheme="majorBidi"/>
          <w:sz w:val="24"/>
          <w:szCs w:val="24"/>
        </w:rPr>
        <w:t>da</w:t>
      </w:r>
      <w:r w:rsidR="00444CE3" w:rsidRPr="003D1FBA">
        <w:rPr>
          <w:rFonts w:ascii="Arial" w:eastAsiaTheme="majorEastAsia" w:hAnsi="Arial" w:cstheme="majorBidi"/>
          <w:sz w:val="24"/>
          <w:szCs w:val="24"/>
        </w:rPr>
        <w:t>s l</w:t>
      </w:r>
      <w:r>
        <w:rPr>
          <w:rFonts w:ascii="Arial" w:eastAsiaTheme="majorEastAsia" w:hAnsi="Arial" w:cstheme="majorBidi"/>
          <w:sz w:val="24"/>
          <w:szCs w:val="24"/>
        </w:rPr>
        <w:t>a</w:t>
      </w:r>
      <w:r w:rsidR="00444CE3" w:rsidRPr="003D1FBA">
        <w:rPr>
          <w:rFonts w:ascii="Arial" w:eastAsiaTheme="majorEastAsia" w:hAnsi="Arial" w:cstheme="majorBidi"/>
          <w:sz w:val="24"/>
          <w:szCs w:val="24"/>
        </w:rPr>
        <w:t>s jugador</w:t>
      </w:r>
      <w:r>
        <w:rPr>
          <w:rFonts w:ascii="Arial" w:eastAsiaTheme="majorEastAsia" w:hAnsi="Arial" w:cstheme="majorBidi"/>
          <w:sz w:val="24"/>
          <w:szCs w:val="24"/>
        </w:rPr>
        <w:t>a</w:t>
      </w:r>
      <w:r w:rsidR="00444CE3" w:rsidRPr="003D1FBA">
        <w:rPr>
          <w:rFonts w:ascii="Arial" w:eastAsiaTheme="majorEastAsia" w:hAnsi="Arial" w:cstheme="majorBidi"/>
          <w:sz w:val="24"/>
          <w:szCs w:val="24"/>
        </w:rPr>
        <w:t>s</w:t>
      </w:r>
      <w:r>
        <w:rPr>
          <w:rFonts w:ascii="Arial" w:eastAsiaTheme="majorEastAsia" w:hAnsi="Arial" w:cstheme="majorBidi"/>
          <w:sz w:val="24"/>
          <w:szCs w:val="24"/>
        </w:rPr>
        <w:t xml:space="preserve"> hicieron</w:t>
      </w:r>
      <w:r w:rsidR="00444CE3" w:rsidRPr="003D1FBA">
        <w:rPr>
          <w:rFonts w:ascii="Arial" w:eastAsiaTheme="majorEastAsia" w:hAnsi="Arial" w:cstheme="majorBidi"/>
          <w:sz w:val="24"/>
          <w:szCs w:val="24"/>
        </w:rPr>
        <w:t xml:space="preserve"> el test de f</w:t>
      </w:r>
      <w:r>
        <w:rPr>
          <w:rFonts w:ascii="Arial" w:eastAsiaTheme="majorEastAsia" w:hAnsi="Arial" w:cstheme="majorBidi"/>
          <w:sz w:val="24"/>
          <w:szCs w:val="24"/>
        </w:rPr>
        <w:t>uerz</w:t>
      </w:r>
      <w:r w:rsidR="00444CE3" w:rsidRPr="003D1FBA">
        <w:rPr>
          <w:rFonts w:ascii="Arial" w:eastAsiaTheme="majorEastAsia" w:hAnsi="Arial" w:cstheme="majorBidi"/>
          <w:sz w:val="24"/>
          <w:szCs w:val="24"/>
        </w:rPr>
        <w:t>a m</w:t>
      </w:r>
      <w:r>
        <w:rPr>
          <w:rFonts w:ascii="Arial" w:eastAsiaTheme="majorEastAsia" w:hAnsi="Arial" w:cstheme="majorBidi"/>
          <w:sz w:val="24"/>
          <w:szCs w:val="24"/>
        </w:rPr>
        <w:t>á</w:t>
      </w:r>
      <w:r w:rsidR="00444CE3" w:rsidRPr="003D1FBA">
        <w:rPr>
          <w:rFonts w:ascii="Arial" w:eastAsiaTheme="majorEastAsia" w:hAnsi="Arial" w:cstheme="majorBidi"/>
          <w:sz w:val="24"/>
          <w:szCs w:val="24"/>
        </w:rPr>
        <w:t>xima isom</w:t>
      </w:r>
      <w:r>
        <w:rPr>
          <w:rFonts w:ascii="Arial" w:eastAsiaTheme="majorEastAsia" w:hAnsi="Arial" w:cstheme="majorBidi"/>
          <w:sz w:val="24"/>
          <w:szCs w:val="24"/>
        </w:rPr>
        <w:t>é</w:t>
      </w:r>
      <w:r w:rsidR="00444CE3" w:rsidRPr="003D1FBA">
        <w:rPr>
          <w:rFonts w:ascii="Arial" w:eastAsiaTheme="majorEastAsia" w:hAnsi="Arial" w:cstheme="majorBidi"/>
          <w:sz w:val="24"/>
          <w:szCs w:val="24"/>
        </w:rPr>
        <w:t xml:space="preserve">trica </w:t>
      </w:r>
      <w:r>
        <w:rPr>
          <w:rFonts w:ascii="Arial" w:eastAsiaTheme="majorEastAsia" w:hAnsi="Arial" w:cstheme="majorBidi"/>
          <w:sz w:val="24"/>
          <w:szCs w:val="24"/>
        </w:rPr>
        <w:t>a la vez y que tuvieron diferentes tiempos de recuperación después del test fatigante.</w:t>
      </w:r>
    </w:p>
    <w:p w:rsidR="00B74788" w:rsidRPr="003D1FBA" w:rsidRDefault="003501A0" w:rsidP="00652C28">
      <w:pPr>
        <w:spacing w:line="360" w:lineRule="auto"/>
        <w:jc w:val="both"/>
        <w:rPr>
          <w:rFonts w:ascii="Arial" w:eastAsiaTheme="majorEastAsia" w:hAnsi="Arial" w:cstheme="majorBidi"/>
          <w:sz w:val="24"/>
          <w:szCs w:val="24"/>
        </w:rPr>
      </w:pPr>
      <w:r>
        <w:rPr>
          <w:rFonts w:ascii="Arial" w:eastAsiaTheme="majorEastAsia" w:hAnsi="Arial" w:cstheme="majorBidi"/>
          <w:sz w:val="24"/>
          <w:szCs w:val="24"/>
        </w:rPr>
        <w:lastRenderedPageBreak/>
        <w:t>En futuros estudios</w:t>
      </w:r>
      <w:r w:rsidR="00B74788" w:rsidRPr="003D1FBA">
        <w:rPr>
          <w:rFonts w:ascii="Arial" w:eastAsiaTheme="majorEastAsia" w:hAnsi="Arial" w:cstheme="majorBidi"/>
          <w:sz w:val="24"/>
          <w:szCs w:val="24"/>
        </w:rPr>
        <w:t>, ser</w:t>
      </w:r>
      <w:r>
        <w:rPr>
          <w:rFonts w:ascii="Arial" w:eastAsiaTheme="majorEastAsia" w:hAnsi="Arial" w:cstheme="majorBidi"/>
          <w:sz w:val="24"/>
          <w:szCs w:val="24"/>
        </w:rPr>
        <w:t>í</w:t>
      </w:r>
      <w:r w:rsidR="00B74788" w:rsidRPr="003D1FBA">
        <w:rPr>
          <w:rFonts w:ascii="Arial" w:eastAsiaTheme="majorEastAsia" w:hAnsi="Arial" w:cstheme="majorBidi"/>
          <w:sz w:val="24"/>
          <w:szCs w:val="24"/>
        </w:rPr>
        <w:t>a intere</w:t>
      </w:r>
      <w:r>
        <w:rPr>
          <w:rFonts w:ascii="Arial" w:eastAsiaTheme="majorEastAsia" w:hAnsi="Arial" w:cstheme="majorBidi"/>
          <w:sz w:val="24"/>
          <w:szCs w:val="24"/>
        </w:rPr>
        <w:t>sante</w:t>
      </w:r>
      <w:r w:rsidR="00B74788" w:rsidRPr="003D1FBA">
        <w:rPr>
          <w:rFonts w:ascii="Arial" w:eastAsiaTheme="majorEastAsia" w:hAnsi="Arial" w:cstheme="majorBidi"/>
          <w:sz w:val="24"/>
          <w:szCs w:val="24"/>
        </w:rPr>
        <w:t xml:space="preserve"> comparar est</w:t>
      </w:r>
      <w:r>
        <w:rPr>
          <w:rFonts w:ascii="Arial" w:eastAsiaTheme="majorEastAsia" w:hAnsi="Arial" w:cstheme="majorBidi"/>
          <w:sz w:val="24"/>
          <w:szCs w:val="24"/>
        </w:rPr>
        <w:t>o</w:t>
      </w:r>
      <w:r w:rsidR="00B74788" w:rsidRPr="003D1FBA">
        <w:rPr>
          <w:rFonts w:ascii="Arial" w:eastAsiaTheme="majorEastAsia" w:hAnsi="Arial" w:cstheme="majorBidi"/>
          <w:sz w:val="24"/>
          <w:szCs w:val="24"/>
        </w:rPr>
        <w:t>s resulta</w:t>
      </w:r>
      <w:r>
        <w:rPr>
          <w:rFonts w:ascii="Arial" w:eastAsiaTheme="majorEastAsia" w:hAnsi="Arial" w:cstheme="majorBidi"/>
          <w:sz w:val="24"/>
          <w:szCs w:val="24"/>
        </w:rPr>
        <w:t>do</w:t>
      </w:r>
      <w:r w:rsidR="00B74788" w:rsidRPr="003D1FBA">
        <w:rPr>
          <w:rFonts w:ascii="Arial" w:eastAsiaTheme="majorEastAsia" w:hAnsi="Arial" w:cstheme="majorBidi"/>
          <w:sz w:val="24"/>
          <w:szCs w:val="24"/>
        </w:rPr>
        <w:t xml:space="preserve">s </w:t>
      </w:r>
      <w:r>
        <w:rPr>
          <w:rFonts w:ascii="Arial" w:eastAsiaTheme="majorEastAsia" w:hAnsi="Arial" w:cstheme="majorBidi"/>
          <w:sz w:val="24"/>
          <w:szCs w:val="24"/>
        </w:rPr>
        <w:t>con</w:t>
      </w:r>
      <w:r w:rsidR="00B74788" w:rsidRPr="003D1FBA">
        <w:rPr>
          <w:rFonts w:ascii="Arial" w:eastAsiaTheme="majorEastAsia" w:hAnsi="Arial" w:cstheme="majorBidi"/>
          <w:sz w:val="24"/>
          <w:szCs w:val="24"/>
        </w:rPr>
        <w:t xml:space="preserve"> el g</w:t>
      </w:r>
      <w:r>
        <w:rPr>
          <w:rFonts w:ascii="Arial" w:eastAsiaTheme="majorEastAsia" w:hAnsi="Arial" w:cstheme="majorBidi"/>
          <w:sz w:val="24"/>
          <w:szCs w:val="24"/>
        </w:rPr>
        <w:t>é</w:t>
      </w:r>
      <w:r w:rsidR="00B74788" w:rsidRPr="003D1FBA">
        <w:rPr>
          <w:rFonts w:ascii="Arial" w:eastAsiaTheme="majorEastAsia" w:hAnsi="Arial" w:cstheme="majorBidi"/>
          <w:sz w:val="24"/>
          <w:szCs w:val="24"/>
        </w:rPr>
        <w:t>ner</w:t>
      </w:r>
      <w:r>
        <w:rPr>
          <w:rFonts w:ascii="Arial" w:eastAsiaTheme="majorEastAsia" w:hAnsi="Arial" w:cstheme="majorBidi"/>
          <w:sz w:val="24"/>
          <w:szCs w:val="24"/>
        </w:rPr>
        <w:t>o</w:t>
      </w:r>
      <w:r w:rsidR="00B74788" w:rsidRPr="003D1FBA">
        <w:rPr>
          <w:rFonts w:ascii="Arial" w:eastAsiaTheme="majorEastAsia" w:hAnsi="Arial" w:cstheme="majorBidi"/>
          <w:sz w:val="24"/>
          <w:szCs w:val="24"/>
        </w:rPr>
        <w:t xml:space="preserve"> mascul</w:t>
      </w:r>
      <w:r>
        <w:rPr>
          <w:rFonts w:ascii="Arial" w:eastAsiaTheme="majorEastAsia" w:hAnsi="Arial" w:cstheme="majorBidi"/>
          <w:sz w:val="24"/>
          <w:szCs w:val="24"/>
        </w:rPr>
        <w:t>ino</w:t>
      </w:r>
      <w:r w:rsidR="00B74788" w:rsidRPr="003D1FBA">
        <w:rPr>
          <w:rFonts w:ascii="Arial" w:eastAsiaTheme="majorEastAsia" w:hAnsi="Arial" w:cstheme="majorBidi"/>
          <w:sz w:val="24"/>
          <w:szCs w:val="24"/>
        </w:rPr>
        <w:t xml:space="preserve"> </w:t>
      </w:r>
      <w:r>
        <w:rPr>
          <w:rFonts w:ascii="Arial" w:eastAsiaTheme="majorEastAsia" w:hAnsi="Arial" w:cstheme="majorBidi"/>
          <w:sz w:val="24"/>
          <w:szCs w:val="24"/>
        </w:rPr>
        <w:t>y</w:t>
      </w:r>
      <w:r w:rsidR="00B74788" w:rsidRPr="003D1FBA">
        <w:rPr>
          <w:rFonts w:ascii="Arial" w:eastAsiaTheme="majorEastAsia" w:hAnsi="Arial" w:cstheme="majorBidi"/>
          <w:sz w:val="24"/>
          <w:szCs w:val="24"/>
        </w:rPr>
        <w:t xml:space="preserve"> observar si desp</w:t>
      </w:r>
      <w:r>
        <w:rPr>
          <w:rFonts w:ascii="Arial" w:eastAsiaTheme="majorEastAsia" w:hAnsi="Arial" w:cstheme="majorBidi"/>
          <w:sz w:val="24"/>
          <w:szCs w:val="24"/>
        </w:rPr>
        <w:t>u</w:t>
      </w:r>
      <w:r w:rsidR="00B74788" w:rsidRPr="003D1FBA">
        <w:rPr>
          <w:rFonts w:ascii="Arial" w:eastAsiaTheme="majorEastAsia" w:hAnsi="Arial" w:cstheme="majorBidi"/>
          <w:sz w:val="24"/>
          <w:szCs w:val="24"/>
        </w:rPr>
        <w:t>és d</w:t>
      </w:r>
      <w:r>
        <w:rPr>
          <w:rFonts w:ascii="Arial" w:eastAsiaTheme="majorEastAsia" w:hAnsi="Arial" w:cstheme="majorBidi"/>
          <w:sz w:val="24"/>
          <w:szCs w:val="24"/>
        </w:rPr>
        <w:t xml:space="preserve">e </w:t>
      </w:r>
      <w:r w:rsidR="00B74788" w:rsidRPr="003D1FBA">
        <w:rPr>
          <w:rFonts w:ascii="Arial" w:eastAsiaTheme="majorEastAsia" w:hAnsi="Arial" w:cstheme="majorBidi"/>
          <w:sz w:val="24"/>
          <w:szCs w:val="24"/>
        </w:rPr>
        <w:t>un parti</w:t>
      </w:r>
      <w:r>
        <w:rPr>
          <w:rFonts w:ascii="Arial" w:eastAsiaTheme="majorEastAsia" w:hAnsi="Arial" w:cstheme="majorBidi"/>
          <w:sz w:val="24"/>
          <w:szCs w:val="24"/>
        </w:rPr>
        <w:t>do</w:t>
      </w:r>
      <w:r w:rsidR="00B74788" w:rsidRPr="003D1FBA">
        <w:rPr>
          <w:rFonts w:ascii="Arial" w:eastAsiaTheme="majorEastAsia" w:hAnsi="Arial" w:cstheme="majorBidi"/>
          <w:sz w:val="24"/>
          <w:szCs w:val="24"/>
        </w:rPr>
        <w:t xml:space="preserve"> la p</w:t>
      </w:r>
      <w:r>
        <w:rPr>
          <w:rFonts w:ascii="Arial" w:eastAsiaTheme="majorEastAsia" w:hAnsi="Arial" w:cstheme="majorBidi"/>
          <w:sz w:val="24"/>
          <w:szCs w:val="24"/>
        </w:rPr>
        <w:t>é</w:t>
      </w:r>
      <w:r w:rsidR="00B74788" w:rsidRPr="003D1FBA">
        <w:rPr>
          <w:rFonts w:ascii="Arial" w:eastAsiaTheme="majorEastAsia" w:hAnsi="Arial" w:cstheme="majorBidi"/>
          <w:sz w:val="24"/>
          <w:szCs w:val="24"/>
        </w:rPr>
        <w:t>rd</w:t>
      </w:r>
      <w:r>
        <w:rPr>
          <w:rFonts w:ascii="Arial" w:eastAsiaTheme="majorEastAsia" w:hAnsi="Arial" w:cstheme="majorBidi"/>
          <w:sz w:val="24"/>
          <w:szCs w:val="24"/>
        </w:rPr>
        <w:t>id</w:t>
      </w:r>
      <w:r w:rsidR="00B74788" w:rsidRPr="003D1FBA">
        <w:rPr>
          <w:rFonts w:ascii="Arial" w:eastAsiaTheme="majorEastAsia" w:hAnsi="Arial" w:cstheme="majorBidi"/>
          <w:sz w:val="24"/>
          <w:szCs w:val="24"/>
        </w:rPr>
        <w:t>a de f</w:t>
      </w:r>
      <w:r>
        <w:rPr>
          <w:rFonts w:ascii="Arial" w:eastAsiaTheme="majorEastAsia" w:hAnsi="Arial" w:cstheme="majorBidi"/>
          <w:sz w:val="24"/>
          <w:szCs w:val="24"/>
        </w:rPr>
        <w:t>uerz</w:t>
      </w:r>
      <w:r w:rsidR="00B74788" w:rsidRPr="003D1FBA">
        <w:rPr>
          <w:rFonts w:ascii="Arial" w:eastAsiaTheme="majorEastAsia" w:hAnsi="Arial" w:cstheme="majorBidi"/>
          <w:sz w:val="24"/>
          <w:szCs w:val="24"/>
        </w:rPr>
        <w:t xml:space="preserve">a </w:t>
      </w:r>
      <w:r>
        <w:rPr>
          <w:rFonts w:ascii="Arial" w:eastAsiaTheme="majorEastAsia" w:hAnsi="Arial" w:cstheme="majorBidi"/>
          <w:sz w:val="24"/>
          <w:szCs w:val="24"/>
        </w:rPr>
        <w:t>y</w:t>
      </w:r>
      <w:r w:rsidR="00B74788" w:rsidRPr="003D1FBA">
        <w:rPr>
          <w:rFonts w:ascii="Arial" w:eastAsiaTheme="majorEastAsia" w:hAnsi="Arial" w:cstheme="majorBidi"/>
          <w:sz w:val="24"/>
          <w:szCs w:val="24"/>
        </w:rPr>
        <w:t xml:space="preserve"> la variació</w:t>
      </w:r>
      <w:r>
        <w:rPr>
          <w:rFonts w:ascii="Arial" w:eastAsiaTheme="majorEastAsia" w:hAnsi="Arial" w:cstheme="majorBidi"/>
          <w:sz w:val="24"/>
          <w:szCs w:val="24"/>
        </w:rPr>
        <w:t>n</w:t>
      </w:r>
      <w:r w:rsidR="00B74788" w:rsidRPr="003D1FBA">
        <w:rPr>
          <w:rFonts w:ascii="Arial" w:eastAsiaTheme="majorEastAsia" w:hAnsi="Arial" w:cstheme="majorBidi"/>
          <w:sz w:val="24"/>
          <w:szCs w:val="24"/>
        </w:rPr>
        <w:t xml:space="preserve"> en la R</w:t>
      </w:r>
      <w:r>
        <w:rPr>
          <w:rFonts w:ascii="Arial" w:eastAsiaTheme="majorEastAsia" w:hAnsi="Arial" w:cstheme="majorBidi"/>
          <w:sz w:val="24"/>
          <w:szCs w:val="24"/>
        </w:rPr>
        <w:t>a</w:t>
      </w:r>
      <w:r w:rsidR="00B74788" w:rsidRPr="003D1FBA">
        <w:rPr>
          <w:rFonts w:ascii="Arial" w:eastAsiaTheme="majorEastAsia" w:hAnsi="Arial" w:cstheme="majorBidi"/>
          <w:sz w:val="24"/>
          <w:szCs w:val="24"/>
        </w:rPr>
        <w:t>tio I/Q s</w:t>
      </w:r>
      <w:r>
        <w:rPr>
          <w:rFonts w:ascii="Arial" w:eastAsiaTheme="majorEastAsia" w:hAnsi="Arial" w:cstheme="majorBidi"/>
          <w:sz w:val="24"/>
          <w:szCs w:val="24"/>
        </w:rPr>
        <w:t xml:space="preserve">e </w:t>
      </w:r>
      <w:r w:rsidR="00B74788" w:rsidRPr="003D1FBA">
        <w:rPr>
          <w:rFonts w:ascii="Arial" w:eastAsiaTheme="majorEastAsia" w:hAnsi="Arial" w:cstheme="majorBidi"/>
          <w:sz w:val="24"/>
          <w:szCs w:val="24"/>
        </w:rPr>
        <w:t>asimilen a</w:t>
      </w:r>
      <w:r>
        <w:rPr>
          <w:rFonts w:ascii="Arial" w:eastAsiaTheme="majorEastAsia" w:hAnsi="Arial" w:cstheme="majorBidi"/>
          <w:sz w:val="24"/>
          <w:szCs w:val="24"/>
        </w:rPr>
        <w:t xml:space="preserve"> </w:t>
      </w:r>
      <w:r w:rsidR="00B74788" w:rsidRPr="003D1FBA">
        <w:rPr>
          <w:rFonts w:ascii="Arial" w:eastAsiaTheme="majorEastAsia" w:hAnsi="Arial" w:cstheme="majorBidi"/>
          <w:sz w:val="24"/>
          <w:szCs w:val="24"/>
        </w:rPr>
        <w:t>l</w:t>
      </w:r>
      <w:r>
        <w:rPr>
          <w:rFonts w:ascii="Arial" w:eastAsiaTheme="majorEastAsia" w:hAnsi="Arial" w:cstheme="majorBidi"/>
          <w:sz w:val="24"/>
          <w:szCs w:val="24"/>
        </w:rPr>
        <w:t>o</w:t>
      </w:r>
      <w:r w:rsidR="00B74788" w:rsidRPr="003D1FBA">
        <w:rPr>
          <w:rFonts w:ascii="Arial" w:eastAsiaTheme="majorEastAsia" w:hAnsi="Arial" w:cstheme="majorBidi"/>
          <w:sz w:val="24"/>
          <w:szCs w:val="24"/>
        </w:rPr>
        <w:t>s ob</w:t>
      </w:r>
      <w:r>
        <w:rPr>
          <w:rFonts w:ascii="Arial" w:eastAsiaTheme="majorEastAsia" w:hAnsi="Arial" w:cstheme="majorBidi"/>
          <w:sz w:val="24"/>
          <w:szCs w:val="24"/>
        </w:rPr>
        <w:t>tenido</w:t>
      </w:r>
      <w:r w:rsidR="00B74788" w:rsidRPr="003D1FBA">
        <w:rPr>
          <w:rFonts w:ascii="Arial" w:eastAsiaTheme="majorEastAsia" w:hAnsi="Arial" w:cstheme="majorBidi"/>
          <w:sz w:val="24"/>
          <w:szCs w:val="24"/>
        </w:rPr>
        <w:t xml:space="preserve">s </w:t>
      </w:r>
      <w:r>
        <w:rPr>
          <w:rFonts w:ascii="Arial" w:eastAsiaTheme="majorEastAsia" w:hAnsi="Arial" w:cstheme="majorBidi"/>
          <w:sz w:val="24"/>
          <w:szCs w:val="24"/>
        </w:rPr>
        <w:t>en el</w:t>
      </w:r>
      <w:r w:rsidR="00B74788" w:rsidRPr="003D1FBA">
        <w:rPr>
          <w:rFonts w:ascii="Arial" w:eastAsiaTheme="majorEastAsia" w:hAnsi="Arial" w:cstheme="majorBidi"/>
          <w:sz w:val="24"/>
          <w:szCs w:val="24"/>
        </w:rPr>
        <w:t xml:space="preserve"> present</w:t>
      </w:r>
      <w:r>
        <w:rPr>
          <w:rFonts w:ascii="Arial" w:eastAsiaTheme="majorEastAsia" w:hAnsi="Arial" w:cstheme="majorBidi"/>
          <w:sz w:val="24"/>
          <w:szCs w:val="24"/>
        </w:rPr>
        <w:t>e</w:t>
      </w:r>
      <w:r w:rsidR="00B74788" w:rsidRPr="003D1FBA">
        <w:rPr>
          <w:rFonts w:ascii="Arial" w:eastAsiaTheme="majorEastAsia" w:hAnsi="Arial" w:cstheme="majorBidi"/>
          <w:sz w:val="24"/>
          <w:szCs w:val="24"/>
        </w:rPr>
        <w:t xml:space="preserve"> estudi</w:t>
      </w:r>
      <w:r>
        <w:rPr>
          <w:rFonts w:ascii="Arial" w:eastAsiaTheme="majorEastAsia" w:hAnsi="Arial" w:cstheme="majorBidi"/>
          <w:sz w:val="24"/>
          <w:szCs w:val="24"/>
        </w:rPr>
        <w:t>o</w:t>
      </w:r>
      <w:r w:rsidR="00B74788" w:rsidRPr="003D1FBA">
        <w:rPr>
          <w:rFonts w:ascii="Arial" w:eastAsiaTheme="majorEastAsia" w:hAnsi="Arial" w:cstheme="majorBidi"/>
          <w:sz w:val="24"/>
          <w:szCs w:val="24"/>
        </w:rPr>
        <w:t>.</w:t>
      </w:r>
    </w:p>
    <w:p w:rsidR="00B74788" w:rsidRPr="003D1FBA" w:rsidRDefault="00361290" w:rsidP="00652C28">
      <w:pPr>
        <w:spacing w:line="360" w:lineRule="auto"/>
        <w:jc w:val="both"/>
        <w:rPr>
          <w:rFonts w:ascii="Arial" w:eastAsiaTheme="majorEastAsia" w:hAnsi="Arial" w:cstheme="majorBidi"/>
          <w:sz w:val="24"/>
          <w:szCs w:val="24"/>
        </w:rPr>
      </w:pPr>
      <w:bookmarkStart w:id="16" w:name="_Hlk18583204"/>
      <w:r>
        <w:rPr>
          <w:rFonts w:ascii="Arial" w:eastAsiaTheme="majorEastAsia" w:hAnsi="Arial" w:cstheme="majorBidi"/>
          <w:sz w:val="24"/>
          <w:szCs w:val="24"/>
        </w:rPr>
        <w:t>Con</w:t>
      </w:r>
      <w:r w:rsidR="00A3556D" w:rsidRPr="003D1FBA">
        <w:rPr>
          <w:rFonts w:ascii="Arial" w:eastAsiaTheme="majorEastAsia" w:hAnsi="Arial" w:cstheme="majorBidi"/>
          <w:sz w:val="24"/>
          <w:szCs w:val="24"/>
        </w:rPr>
        <w:t xml:space="preserve"> el present</w:t>
      </w:r>
      <w:r>
        <w:rPr>
          <w:rFonts w:ascii="Arial" w:eastAsiaTheme="majorEastAsia" w:hAnsi="Arial" w:cstheme="majorBidi"/>
          <w:sz w:val="24"/>
          <w:szCs w:val="24"/>
        </w:rPr>
        <w:t>e</w:t>
      </w:r>
      <w:r w:rsidR="00A3556D" w:rsidRPr="003D1FBA">
        <w:rPr>
          <w:rFonts w:ascii="Arial" w:eastAsiaTheme="majorEastAsia" w:hAnsi="Arial" w:cstheme="majorBidi"/>
          <w:sz w:val="24"/>
          <w:szCs w:val="24"/>
        </w:rPr>
        <w:t xml:space="preserve"> estudi</w:t>
      </w:r>
      <w:r>
        <w:rPr>
          <w:rFonts w:ascii="Arial" w:eastAsiaTheme="majorEastAsia" w:hAnsi="Arial" w:cstheme="majorBidi"/>
          <w:sz w:val="24"/>
          <w:szCs w:val="24"/>
        </w:rPr>
        <w:t>o</w:t>
      </w:r>
      <w:r w:rsidR="00A3556D" w:rsidRPr="003D1FBA">
        <w:rPr>
          <w:rFonts w:ascii="Arial" w:eastAsiaTheme="majorEastAsia" w:hAnsi="Arial" w:cstheme="majorBidi"/>
          <w:sz w:val="24"/>
          <w:szCs w:val="24"/>
        </w:rPr>
        <w:t xml:space="preserve"> s</w:t>
      </w:r>
      <w:r>
        <w:rPr>
          <w:rFonts w:ascii="Arial" w:eastAsiaTheme="majorEastAsia" w:hAnsi="Arial" w:cstheme="majorBidi"/>
          <w:sz w:val="24"/>
          <w:szCs w:val="24"/>
        </w:rPr>
        <w:t>e</w:t>
      </w:r>
      <w:r w:rsidR="00A3556D" w:rsidRPr="003D1FBA">
        <w:rPr>
          <w:rFonts w:ascii="Arial" w:eastAsiaTheme="majorEastAsia" w:hAnsi="Arial" w:cstheme="majorBidi"/>
          <w:sz w:val="24"/>
          <w:szCs w:val="24"/>
        </w:rPr>
        <w:t xml:space="preserve"> conclu</w:t>
      </w:r>
      <w:r>
        <w:rPr>
          <w:rFonts w:ascii="Arial" w:eastAsiaTheme="majorEastAsia" w:hAnsi="Arial" w:cstheme="majorBidi"/>
          <w:sz w:val="24"/>
          <w:szCs w:val="24"/>
        </w:rPr>
        <w:t>ye</w:t>
      </w:r>
      <w:r w:rsidR="003904D7" w:rsidRPr="003D1FBA">
        <w:rPr>
          <w:rFonts w:ascii="Arial" w:eastAsiaTheme="majorEastAsia" w:hAnsi="Arial" w:cstheme="majorBidi"/>
          <w:sz w:val="24"/>
          <w:szCs w:val="24"/>
        </w:rPr>
        <w:t xml:space="preserve"> que</w:t>
      </w:r>
      <w:r>
        <w:rPr>
          <w:rFonts w:ascii="Arial" w:eastAsiaTheme="majorEastAsia" w:hAnsi="Arial" w:cstheme="majorBidi"/>
          <w:sz w:val="24"/>
          <w:szCs w:val="24"/>
        </w:rPr>
        <w:t>,</w:t>
      </w:r>
      <w:r w:rsidR="003904D7" w:rsidRPr="003D1FBA">
        <w:rPr>
          <w:rFonts w:ascii="Arial" w:eastAsiaTheme="majorEastAsia" w:hAnsi="Arial" w:cstheme="majorBidi"/>
          <w:sz w:val="24"/>
          <w:szCs w:val="24"/>
        </w:rPr>
        <w:t xml:space="preserve"> </w:t>
      </w:r>
      <w:r w:rsidR="00F7520C" w:rsidRPr="003D1FBA">
        <w:rPr>
          <w:rFonts w:ascii="Arial" w:eastAsiaTheme="majorEastAsia" w:hAnsi="Arial" w:cstheme="majorBidi"/>
          <w:sz w:val="24"/>
          <w:szCs w:val="24"/>
        </w:rPr>
        <w:t xml:space="preserve">en </w:t>
      </w:r>
      <w:r w:rsidR="00465993" w:rsidRPr="003D1FBA">
        <w:rPr>
          <w:rFonts w:ascii="Arial" w:eastAsiaTheme="majorEastAsia" w:hAnsi="Arial" w:cstheme="majorBidi"/>
          <w:sz w:val="24"/>
          <w:szCs w:val="24"/>
        </w:rPr>
        <w:t>esta m</w:t>
      </w:r>
      <w:r>
        <w:rPr>
          <w:rFonts w:ascii="Arial" w:eastAsiaTheme="majorEastAsia" w:hAnsi="Arial" w:cstheme="majorBidi"/>
          <w:sz w:val="24"/>
          <w:szCs w:val="24"/>
        </w:rPr>
        <w:t>ue</w:t>
      </w:r>
      <w:r w:rsidR="00465993" w:rsidRPr="003D1FBA">
        <w:rPr>
          <w:rFonts w:ascii="Arial" w:eastAsiaTheme="majorEastAsia" w:hAnsi="Arial" w:cstheme="majorBidi"/>
          <w:sz w:val="24"/>
          <w:szCs w:val="24"/>
        </w:rPr>
        <w:t>str</w:t>
      </w:r>
      <w:r>
        <w:rPr>
          <w:rFonts w:ascii="Arial" w:eastAsiaTheme="majorEastAsia" w:hAnsi="Arial" w:cstheme="majorBidi"/>
          <w:sz w:val="24"/>
          <w:szCs w:val="24"/>
        </w:rPr>
        <w:t>a</w:t>
      </w:r>
      <w:r w:rsidR="00F7520C" w:rsidRPr="003D1FBA">
        <w:rPr>
          <w:rFonts w:ascii="Arial" w:eastAsiaTheme="majorEastAsia" w:hAnsi="Arial" w:cstheme="majorBidi"/>
          <w:sz w:val="24"/>
          <w:szCs w:val="24"/>
        </w:rPr>
        <w:t xml:space="preserve">, </w:t>
      </w:r>
      <w:r w:rsidR="003904D7" w:rsidRPr="003D1FBA">
        <w:rPr>
          <w:rFonts w:ascii="Arial" w:eastAsiaTheme="majorEastAsia" w:hAnsi="Arial" w:cstheme="majorBidi"/>
          <w:sz w:val="24"/>
          <w:szCs w:val="24"/>
        </w:rPr>
        <w:t>desp</w:t>
      </w:r>
      <w:r>
        <w:rPr>
          <w:rFonts w:ascii="Arial" w:eastAsiaTheme="majorEastAsia" w:hAnsi="Arial" w:cstheme="majorBidi"/>
          <w:sz w:val="24"/>
          <w:szCs w:val="24"/>
        </w:rPr>
        <w:t>u</w:t>
      </w:r>
      <w:r w:rsidR="003904D7" w:rsidRPr="003D1FBA">
        <w:rPr>
          <w:rFonts w:ascii="Arial" w:eastAsiaTheme="majorEastAsia" w:hAnsi="Arial" w:cstheme="majorBidi"/>
          <w:sz w:val="24"/>
          <w:szCs w:val="24"/>
        </w:rPr>
        <w:t xml:space="preserve">és </w:t>
      </w:r>
      <w:r w:rsidR="008E3102" w:rsidRPr="003D1FBA">
        <w:rPr>
          <w:rFonts w:ascii="Arial" w:eastAsiaTheme="majorEastAsia" w:hAnsi="Arial" w:cstheme="majorBidi"/>
          <w:sz w:val="24"/>
          <w:szCs w:val="24"/>
        </w:rPr>
        <w:t>del</w:t>
      </w:r>
      <w:r w:rsidR="003904D7" w:rsidRPr="003D1FBA">
        <w:rPr>
          <w:rFonts w:ascii="Arial" w:eastAsiaTheme="majorEastAsia" w:hAnsi="Arial" w:cstheme="majorBidi"/>
          <w:sz w:val="24"/>
          <w:szCs w:val="24"/>
        </w:rPr>
        <w:t xml:space="preserve"> test fatigant</w:t>
      </w:r>
      <w:r>
        <w:rPr>
          <w:rFonts w:ascii="Arial" w:eastAsiaTheme="majorEastAsia" w:hAnsi="Arial" w:cstheme="majorBidi"/>
          <w:sz w:val="24"/>
          <w:szCs w:val="24"/>
        </w:rPr>
        <w:t>e</w:t>
      </w:r>
      <w:r w:rsidR="003904D7" w:rsidRPr="003D1FBA">
        <w:rPr>
          <w:rFonts w:ascii="Arial" w:eastAsiaTheme="majorEastAsia" w:hAnsi="Arial" w:cstheme="majorBidi"/>
          <w:sz w:val="24"/>
          <w:szCs w:val="24"/>
        </w:rPr>
        <w:t xml:space="preserve"> la f</w:t>
      </w:r>
      <w:r>
        <w:rPr>
          <w:rFonts w:ascii="Arial" w:eastAsiaTheme="majorEastAsia" w:hAnsi="Arial" w:cstheme="majorBidi"/>
          <w:sz w:val="24"/>
          <w:szCs w:val="24"/>
        </w:rPr>
        <w:t>uerz</w:t>
      </w:r>
      <w:r w:rsidR="003904D7" w:rsidRPr="003D1FBA">
        <w:rPr>
          <w:rFonts w:ascii="Arial" w:eastAsiaTheme="majorEastAsia" w:hAnsi="Arial" w:cstheme="majorBidi"/>
          <w:sz w:val="24"/>
          <w:szCs w:val="24"/>
        </w:rPr>
        <w:t>a muscular</w:t>
      </w:r>
      <w:r w:rsidR="008E3102" w:rsidRPr="003D1FBA">
        <w:rPr>
          <w:rFonts w:ascii="Arial" w:eastAsiaTheme="majorEastAsia" w:hAnsi="Arial" w:cstheme="majorBidi"/>
          <w:sz w:val="24"/>
          <w:szCs w:val="24"/>
        </w:rPr>
        <w:t xml:space="preserve"> m</w:t>
      </w:r>
      <w:r>
        <w:rPr>
          <w:rFonts w:ascii="Arial" w:eastAsiaTheme="majorEastAsia" w:hAnsi="Arial" w:cstheme="majorBidi"/>
          <w:sz w:val="24"/>
          <w:szCs w:val="24"/>
        </w:rPr>
        <w:t>á</w:t>
      </w:r>
      <w:r w:rsidR="008E3102" w:rsidRPr="003D1FBA">
        <w:rPr>
          <w:rFonts w:ascii="Arial" w:eastAsiaTheme="majorEastAsia" w:hAnsi="Arial" w:cstheme="majorBidi"/>
          <w:sz w:val="24"/>
          <w:szCs w:val="24"/>
        </w:rPr>
        <w:t>xima isom</w:t>
      </w:r>
      <w:r>
        <w:rPr>
          <w:rFonts w:ascii="Arial" w:eastAsiaTheme="majorEastAsia" w:hAnsi="Arial" w:cstheme="majorBidi"/>
          <w:sz w:val="24"/>
          <w:szCs w:val="24"/>
        </w:rPr>
        <w:t>é</w:t>
      </w:r>
      <w:r w:rsidR="008E3102" w:rsidRPr="003D1FBA">
        <w:rPr>
          <w:rFonts w:ascii="Arial" w:eastAsiaTheme="majorEastAsia" w:hAnsi="Arial" w:cstheme="majorBidi"/>
          <w:sz w:val="24"/>
          <w:szCs w:val="24"/>
        </w:rPr>
        <w:t>trica</w:t>
      </w:r>
      <w:r w:rsidR="003904D7" w:rsidRPr="003D1FBA">
        <w:rPr>
          <w:rFonts w:ascii="Arial" w:eastAsiaTheme="majorEastAsia" w:hAnsi="Arial" w:cstheme="majorBidi"/>
          <w:sz w:val="24"/>
          <w:szCs w:val="24"/>
        </w:rPr>
        <w:t xml:space="preserve"> de</w:t>
      </w:r>
      <w:r>
        <w:rPr>
          <w:rFonts w:ascii="Arial" w:eastAsiaTheme="majorEastAsia" w:hAnsi="Arial" w:cstheme="majorBidi"/>
          <w:sz w:val="24"/>
          <w:szCs w:val="24"/>
        </w:rPr>
        <w:t xml:space="preserve"> </w:t>
      </w:r>
      <w:r w:rsidR="003904D7" w:rsidRPr="003D1FBA">
        <w:rPr>
          <w:rFonts w:ascii="Arial" w:eastAsiaTheme="majorEastAsia" w:hAnsi="Arial" w:cstheme="majorBidi"/>
          <w:sz w:val="24"/>
          <w:szCs w:val="24"/>
        </w:rPr>
        <w:t>l</w:t>
      </w:r>
      <w:r>
        <w:rPr>
          <w:rFonts w:ascii="Arial" w:eastAsiaTheme="majorEastAsia" w:hAnsi="Arial" w:cstheme="majorBidi"/>
          <w:sz w:val="24"/>
          <w:szCs w:val="24"/>
        </w:rPr>
        <w:t>o</w:t>
      </w:r>
      <w:r w:rsidR="003904D7" w:rsidRPr="003D1FBA">
        <w:rPr>
          <w:rFonts w:ascii="Arial" w:eastAsiaTheme="majorEastAsia" w:hAnsi="Arial" w:cstheme="majorBidi"/>
          <w:sz w:val="24"/>
          <w:szCs w:val="24"/>
        </w:rPr>
        <w:t>s isquiosural</w:t>
      </w:r>
      <w:r>
        <w:rPr>
          <w:rFonts w:ascii="Arial" w:eastAsiaTheme="majorEastAsia" w:hAnsi="Arial" w:cstheme="majorBidi"/>
          <w:sz w:val="24"/>
          <w:szCs w:val="24"/>
        </w:rPr>
        <w:t>e</w:t>
      </w:r>
      <w:r w:rsidR="003904D7" w:rsidRPr="003D1FBA">
        <w:rPr>
          <w:rFonts w:ascii="Arial" w:eastAsiaTheme="majorEastAsia" w:hAnsi="Arial" w:cstheme="majorBidi"/>
          <w:sz w:val="24"/>
          <w:szCs w:val="24"/>
        </w:rPr>
        <w:t>s</w:t>
      </w:r>
      <w:r w:rsidR="00A50B22" w:rsidRPr="003D1FBA">
        <w:rPr>
          <w:rFonts w:ascii="Arial" w:eastAsiaTheme="majorEastAsia" w:hAnsi="Arial" w:cstheme="majorBidi"/>
          <w:sz w:val="24"/>
          <w:szCs w:val="24"/>
        </w:rPr>
        <w:t xml:space="preserve"> </w:t>
      </w:r>
      <w:r>
        <w:rPr>
          <w:rFonts w:ascii="Arial" w:eastAsiaTheme="majorEastAsia" w:hAnsi="Arial" w:cstheme="majorBidi"/>
          <w:sz w:val="24"/>
          <w:szCs w:val="24"/>
        </w:rPr>
        <w:t>y</w:t>
      </w:r>
      <w:r w:rsidR="00A50B22" w:rsidRPr="003D1FBA">
        <w:rPr>
          <w:rFonts w:ascii="Arial" w:eastAsiaTheme="majorEastAsia" w:hAnsi="Arial" w:cstheme="majorBidi"/>
          <w:sz w:val="24"/>
          <w:szCs w:val="24"/>
        </w:rPr>
        <w:t xml:space="preserve"> de</w:t>
      </w:r>
      <w:r>
        <w:rPr>
          <w:rFonts w:ascii="Arial" w:eastAsiaTheme="majorEastAsia" w:hAnsi="Arial" w:cstheme="majorBidi"/>
          <w:sz w:val="24"/>
          <w:szCs w:val="24"/>
        </w:rPr>
        <w:t xml:space="preserve"> </w:t>
      </w:r>
      <w:r w:rsidR="00A50B22" w:rsidRPr="003D1FBA">
        <w:rPr>
          <w:rFonts w:ascii="Arial" w:eastAsiaTheme="majorEastAsia" w:hAnsi="Arial" w:cstheme="majorBidi"/>
          <w:sz w:val="24"/>
          <w:szCs w:val="24"/>
        </w:rPr>
        <w:t>l</w:t>
      </w:r>
      <w:r>
        <w:rPr>
          <w:rFonts w:ascii="Arial" w:eastAsiaTheme="majorEastAsia" w:hAnsi="Arial" w:cstheme="majorBidi"/>
          <w:sz w:val="24"/>
          <w:szCs w:val="24"/>
        </w:rPr>
        <w:t>o</w:t>
      </w:r>
      <w:r w:rsidR="00A50B22" w:rsidRPr="003D1FBA">
        <w:rPr>
          <w:rFonts w:ascii="Arial" w:eastAsiaTheme="majorEastAsia" w:hAnsi="Arial" w:cstheme="majorBidi"/>
          <w:sz w:val="24"/>
          <w:szCs w:val="24"/>
        </w:rPr>
        <w:t xml:space="preserve">s </w:t>
      </w:r>
      <w:r>
        <w:rPr>
          <w:rFonts w:ascii="Arial" w:eastAsiaTheme="majorEastAsia" w:hAnsi="Arial" w:cstheme="majorBidi"/>
          <w:sz w:val="24"/>
          <w:szCs w:val="24"/>
        </w:rPr>
        <w:t>c</w:t>
      </w:r>
      <w:r w:rsidR="00A50B22" w:rsidRPr="003D1FBA">
        <w:rPr>
          <w:rFonts w:ascii="Arial" w:eastAsiaTheme="majorEastAsia" w:hAnsi="Arial" w:cstheme="majorBidi"/>
          <w:sz w:val="24"/>
          <w:szCs w:val="24"/>
        </w:rPr>
        <w:t>u</w:t>
      </w:r>
      <w:r>
        <w:rPr>
          <w:rFonts w:ascii="Arial" w:eastAsiaTheme="majorEastAsia" w:hAnsi="Arial" w:cstheme="majorBidi"/>
          <w:sz w:val="24"/>
          <w:szCs w:val="24"/>
        </w:rPr>
        <w:t>á</w:t>
      </w:r>
      <w:r w:rsidR="00A50B22" w:rsidRPr="003D1FBA">
        <w:rPr>
          <w:rFonts w:ascii="Arial" w:eastAsiaTheme="majorEastAsia" w:hAnsi="Arial" w:cstheme="majorBidi"/>
          <w:sz w:val="24"/>
          <w:szCs w:val="24"/>
        </w:rPr>
        <w:t>driceps</w:t>
      </w:r>
      <w:r w:rsidR="003904D7" w:rsidRPr="003D1FBA">
        <w:rPr>
          <w:rFonts w:ascii="Arial" w:eastAsiaTheme="majorEastAsia" w:hAnsi="Arial" w:cstheme="majorBidi"/>
          <w:sz w:val="24"/>
          <w:szCs w:val="24"/>
        </w:rPr>
        <w:t xml:space="preserve"> </w:t>
      </w:r>
      <w:r w:rsidR="00A50B22" w:rsidRPr="003D1FBA">
        <w:rPr>
          <w:rFonts w:ascii="Arial" w:eastAsiaTheme="majorEastAsia" w:hAnsi="Arial" w:cstheme="majorBidi"/>
          <w:sz w:val="24"/>
          <w:szCs w:val="24"/>
        </w:rPr>
        <w:t>disminu</w:t>
      </w:r>
      <w:r>
        <w:rPr>
          <w:rFonts w:ascii="Arial" w:eastAsiaTheme="majorEastAsia" w:hAnsi="Arial" w:cstheme="majorBidi"/>
          <w:sz w:val="24"/>
          <w:szCs w:val="24"/>
        </w:rPr>
        <w:t>yen</w:t>
      </w:r>
      <w:r w:rsidR="00A50B22" w:rsidRPr="003D1FBA">
        <w:rPr>
          <w:rFonts w:ascii="Arial" w:eastAsiaTheme="majorEastAsia" w:hAnsi="Arial" w:cstheme="majorBidi"/>
          <w:sz w:val="24"/>
          <w:szCs w:val="24"/>
        </w:rPr>
        <w:t>, l</w:t>
      </w:r>
      <w:r>
        <w:rPr>
          <w:rFonts w:ascii="Arial" w:eastAsiaTheme="majorEastAsia" w:hAnsi="Arial" w:cstheme="majorBidi"/>
          <w:sz w:val="24"/>
          <w:szCs w:val="24"/>
        </w:rPr>
        <w:t>o</w:t>
      </w:r>
      <w:r w:rsidR="00A50B22" w:rsidRPr="003D1FBA">
        <w:rPr>
          <w:rFonts w:ascii="Arial" w:eastAsiaTheme="majorEastAsia" w:hAnsi="Arial" w:cstheme="majorBidi"/>
          <w:sz w:val="24"/>
          <w:szCs w:val="24"/>
        </w:rPr>
        <w:t>s isquios</w:t>
      </w:r>
      <w:r w:rsidR="009F4455" w:rsidRPr="003D1FBA">
        <w:rPr>
          <w:rFonts w:ascii="Arial" w:eastAsiaTheme="majorEastAsia" w:hAnsi="Arial" w:cstheme="majorBidi"/>
          <w:sz w:val="24"/>
          <w:szCs w:val="24"/>
        </w:rPr>
        <w:t>ural</w:t>
      </w:r>
      <w:r>
        <w:rPr>
          <w:rFonts w:ascii="Arial" w:eastAsiaTheme="majorEastAsia" w:hAnsi="Arial" w:cstheme="majorBidi"/>
          <w:sz w:val="24"/>
          <w:szCs w:val="24"/>
        </w:rPr>
        <w:t>e</w:t>
      </w:r>
      <w:r w:rsidR="009F4455" w:rsidRPr="003D1FBA">
        <w:rPr>
          <w:rFonts w:ascii="Arial" w:eastAsiaTheme="majorEastAsia" w:hAnsi="Arial" w:cstheme="majorBidi"/>
          <w:sz w:val="24"/>
          <w:szCs w:val="24"/>
        </w:rPr>
        <w:t>s</w:t>
      </w:r>
      <w:r w:rsidR="00A50B22" w:rsidRPr="003D1FBA">
        <w:rPr>
          <w:rFonts w:ascii="Arial" w:eastAsiaTheme="majorEastAsia" w:hAnsi="Arial" w:cstheme="majorBidi"/>
          <w:sz w:val="24"/>
          <w:szCs w:val="24"/>
        </w:rPr>
        <w:t xml:space="preserve"> </w:t>
      </w:r>
      <w:r w:rsidR="00BD6206" w:rsidRPr="003D1FBA">
        <w:rPr>
          <w:rFonts w:ascii="Arial" w:eastAsiaTheme="majorEastAsia" w:hAnsi="Arial" w:cstheme="majorBidi"/>
          <w:sz w:val="24"/>
          <w:szCs w:val="24"/>
        </w:rPr>
        <w:t>s</w:t>
      </w:r>
      <w:r>
        <w:rPr>
          <w:rFonts w:ascii="Arial" w:eastAsiaTheme="majorEastAsia" w:hAnsi="Arial" w:cstheme="majorBidi"/>
          <w:sz w:val="24"/>
          <w:szCs w:val="24"/>
        </w:rPr>
        <w:t>e</w:t>
      </w:r>
      <w:r w:rsidR="00BD6206" w:rsidRPr="003D1FBA">
        <w:rPr>
          <w:rFonts w:ascii="Arial" w:eastAsiaTheme="majorEastAsia" w:hAnsi="Arial" w:cstheme="majorBidi"/>
          <w:sz w:val="24"/>
          <w:szCs w:val="24"/>
        </w:rPr>
        <w:t xml:space="preserve"> </w:t>
      </w:r>
      <w:r w:rsidR="00A50B22" w:rsidRPr="003D1FBA">
        <w:rPr>
          <w:rFonts w:ascii="Arial" w:eastAsiaTheme="majorEastAsia" w:hAnsi="Arial" w:cstheme="majorBidi"/>
          <w:sz w:val="24"/>
          <w:szCs w:val="24"/>
        </w:rPr>
        <w:t>fatig</w:t>
      </w:r>
      <w:r>
        <w:rPr>
          <w:rFonts w:ascii="Arial" w:eastAsiaTheme="majorEastAsia" w:hAnsi="Arial" w:cstheme="majorBidi"/>
          <w:sz w:val="24"/>
          <w:szCs w:val="24"/>
        </w:rPr>
        <w:t>a</w:t>
      </w:r>
      <w:r w:rsidR="00A50B22" w:rsidRPr="003D1FBA">
        <w:rPr>
          <w:rFonts w:ascii="Arial" w:eastAsiaTheme="majorEastAsia" w:hAnsi="Arial" w:cstheme="majorBidi"/>
          <w:sz w:val="24"/>
          <w:szCs w:val="24"/>
        </w:rPr>
        <w:t>n l</w:t>
      </w:r>
      <w:r>
        <w:rPr>
          <w:rFonts w:ascii="Arial" w:eastAsiaTheme="majorEastAsia" w:hAnsi="Arial" w:cstheme="majorBidi"/>
          <w:sz w:val="24"/>
          <w:szCs w:val="24"/>
        </w:rPr>
        <w:t>igeramente</w:t>
      </w:r>
      <w:r w:rsidR="00A50B22" w:rsidRPr="003D1FBA">
        <w:rPr>
          <w:rFonts w:ascii="Arial" w:eastAsiaTheme="majorEastAsia" w:hAnsi="Arial" w:cstheme="majorBidi"/>
          <w:sz w:val="24"/>
          <w:szCs w:val="24"/>
        </w:rPr>
        <w:t xml:space="preserve"> m</w:t>
      </w:r>
      <w:r>
        <w:rPr>
          <w:rFonts w:ascii="Arial" w:eastAsiaTheme="majorEastAsia" w:hAnsi="Arial" w:cstheme="majorBidi"/>
          <w:sz w:val="24"/>
          <w:szCs w:val="24"/>
        </w:rPr>
        <w:t>á</w:t>
      </w:r>
      <w:r w:rsidR="00A50B22" w:rsidRPr="003D1FBA">
        <w:rPr>
          <w:rFonts w:ascii="Arial" w:eastAsiaTheme="majorEastAsia" w:hAnsi="Arial" w:cstheme="majorBidi"/>
          <w:sz w:val="24"/>
          <w:szCs w:val="24"/>
        </w:rPr>
        <w:t>s que l</w:t>
      </w:r>
      <w:r>
        <w:rPr>
          <w:rFonts w:ascii="Arial" w:eastAsiaTheme="majorEastAsia" w:hAnsi="Arial" w:cstheme="majorBidi"/>
          <w:sz w:val="24"/>
          <w:szCs w:val="24"/>
        </w:rPr>
        <w:t>o</w:t>
      </w:r>
      <w:r w:rsidR="00A50B22" w:rsidRPr="003D1FBA">
        <w:rPr>
          <w:rFonts w:ascii="Arial" w:eastAsiaTheme="majorEastAsia" w:hAnsi="Arial" w:cstheme="majorBidi"/>
          <w:sz w:val="24"/>
          <w:szCs w:val="24"/>
        </w:rPr>
        <w:t xml:space="preserve">s </w:t>
      </w:r>
      <w:r>
        <w:rPr>
          <w:rFonts w:ascii="Arial" w:eastAsiaTheme="majorEastAsia" w:hAnsi="Arial" w:cstheme="majorBidi"/>
          <w:sz w:val="24"/>
          <w:szCs w:val="24"/>
        </w:rPr>
        <w:t>c</w:t>
      </w:r>
      <w:r w:rsidR="00A50B22" w:rsidRPr="003D1FBA">
        <w:rPr>
          <w:rFonts w:ascii="Arial" w:eastAsiaTheme="majorEastAsia" w:hAnsi="Arial" w:cstheme="majorBidi"/>
          <w:sz w:val="24"/>
          <w:szCs w:val="24"/>
        </w:rPr>
        <w:t>u</w:t>
      </w:r>
      <w:r>
        <w:rPr>
          <w:rFonts w:ascii="Arial" w:eastAsiaTheme="majorEastAsia" w:hAnsi="Arial" w:cstheme="majorBidi"/>
          <w:sz w:val="24"/>
          <w:szCs w:val="24"/>
        </w:rPr>
        <w:t>á</w:t>
      </w:r>
      <w:r w:rsidR="00A50B22" w:rsidRPr="003D1FBA">
        <w:rPr>
          <w:rFonts w:ascii="Arial" w:eastAsiaTheme="majorEastAsia" w:hAnsi="Arial" w:cstheme="majorBidi"/>
          <w:sz w:val="24"/>
          <w:szCs w:val="24"/>
        </w:rPr>
        <w:t xml:space="preserve">driceps </w:t>
      </w:r>
      <w:r>
        <w:rPr>
          <w:rFonts w:ascii="Arial" w:eastAsiaTheme="majorEastAsia" w:hAnsi="Arial" w:cstheme="majorBidi"/>
          <w:sz w:val="24"/>
          <w:szCs w:val="24"/>
        </w:rPr>
        <w:t>y</w:t>
      </w:r>
      <w:r w:rsidR="00A50B22" w:rsidRPr="003D1FBA">
        <w:rPr>
          <w:rFonts w:ascii="Arial" w:eastAsiaTheme="majorEastAsia" w:hAnsi="Arial" w:cstheme="majorBidi"/>
          <w:sz w:val="24"/>
          <w:szCs w:val="24"/>
        </w:rPr>
        <w:t xml:space="preserve"> </w:t>
      </w:r>
      <w:r>
        <w:rPr>
          <w:rFonts w:ascii="Arial" w:eastAsiaTheme="majorEastAsia" w:hAnsi="Arial" w:cstheme="majorBidi"/>
          <w:sz w:val="24"/>
          <w:szCs w:val="24"/>
        </w:rPr>
        <w:t xml:space="preserve">consecuentemente, hay </w:t>
      </w:r>
      <w:r w:rsidR="00305DDE" w:rsidRPr="003D1FBA">
        <w:rPr>
          <w:rFonts w:ascii="Arial" w:eastAsiaTheme="majorEastAsia" w:hAnsi="Arial" w:cstheme="majorBidi"/>
          <w:sz w:val="24"/>
          <w:szCs w:val="24"/>
        </w:rPr>
        <w:t>una tend</w:t>
      </w:r>
      <w:r>
        <w:rPr>
          <w:rFonts w:ascii="Arial" w:eastAsiaTheme="majorEastAsia" w:hAnsi="Arial" w:cstheme="majorBidi"/>
          <w:sz w:val="24"/>
          <w:szCs w:val="24"/>
        </w:rPr>
        <w:t>e</w:t>
      </w:r>
      <w:r w:rsidR="00305DDE" w:rsidRPr="003D1FBA">
        <w:rPr>
          <w:rFonts w:ascii="Arial" w:eastAsiaTheme="majorEastAsia" w:hAnsi="Arial" w:cstheme="majorBidi"/>
          <w:sz w:val="24"/>
          <w:szCs w:val="24"/>
        </w:rPr>
        <w:t xml:space="preserve">ncia a que </w:t>
      </w:r>
      <w:r w:rsidR="00A50B22" w:rsidRPr="003D1FBA">
        <w:rPr>
          <w:rFonts w:ascii="Arial" w:eastAsiaTheme="majorEastAsia" w:hAnsi="Arial" w:cstheme="majorBidi"/>
          <w:sz w:val="24"/>
          <w:szCs w:val="24"/>
        </w:rPr>
        <w:t xml:space="preserve">la </w:t>
      </w:r>
      <w:r w:rsidR="009B2053" w:rsidRPr="003D1FBA">
        <w:rPr>
          <w:rFonts w:ascii="Arial" w:eastAsiaTheme="majorEastAsia" w:hAnsi="Arial" w:cstheme="majorBidi"/>
          <w:sz w:val="24"/>
          <w:szCs w:val="24"/>
        </w:rPr>
        <w:t>R</w:t>
      </w:r>
      <w:r>
        <w:rPr>
          <w:rFonts w:ascii="Arial" w:eastAsiaTheme="majorEastAsia" w:hAnsi="Arial" w:cstheme="majorBidi"/>
          <w:sz w:val="24"/>
          <w:szCs w:val="24"/>
        </w:rPr>
        <w:t>a</w:t>
      </w:r>
      <w:r w:rsidR="00A50B22" w:rsidRPr="003D1FBA">
        <w:rPr>
          <w:rFonts w:ascii="Arial" w:eastAsiaTheme="majorEastAsia" w:hAnsi="Arial" w:cstheme="majorBidi"/>
          <w:sz w:val="24"/>
          <w:szCs w:val="24"/>
        </w:rPr>
        <w:t>tio I/Q tamb</w:t>
      </w:r>
      <w:r>
        <w:rPr>
          <w:rFonts w:ascii="Arial" w:eastAsiaTheme="majorEastAsia" w:hAnsi="Arial" w:cstheme="majorBidi"/>
          <w:sz w:val="24"/>
          <w:szCs w:val="24"/>
        </w:rPr>
        <w:t>i</w:t>
      </w:r>
      <w:r w:rsidR="00A50B22" w:rsidRPr="003D1FBA">
        <w:rPr>
          <w:rFonts w:ascii="Arial" w:eastAsiaTheme="majorEastAsia" w:hAnsi="Arial" w:cstheme="majorBidi"/>
          <w:sz w:val="24"/>
          <w:szCs w:val="24"/>
        </w:rPr>
        <w:t>é</w:t>
      </w:r>
      <w:r>
        <w:rPr>
          <w:rFonts w:ascii="Arial" w:eastAsiaTheme="majorEastAsia" w:hAnsi="Arial" w:cstheme="majorBidi"/>
          <w:sz w:val="24"/>
          <w:szCs w:val="24"/>
        </w:rPr>
        <w:t>n</w:t>
      </w:r>
      <w:r w:rsidR="00A50B22" w:rsidRPr="003D1FBA">
        <w:rPr>
          <w:rFonts w:ascii="Arial" w:eastAsiaTheme="majorEastAsia" w:hAnsi="Arial" w:cstheme="majorBidi"/>
          <w:sz w:val="24"/>
          <w:szCs w:val="24"/>
        </w:rPr>
        <w:t xml:space="preserve"> disminu</w:t>
      </w:r>
      <w:r>
        <w:rPr>
          <w:rFonts w:ascii="Arial" w:eastAsiaTheme="majorEastAsia" w:hAnsi="Arial" w:cstheme="majorBidi"/>
          <w:sz w:val="24"/>
          <w:szCs w:val="24"/>
        </w:rPr>
        <w:t>ya</w:t>
      </w:r>
      <w:r w:rsidR="00A50B22" w:rsidRPr="003D1FBA">
        <w:rPr>
          <w:rFonts w:ascii="Arial" w:eastAsiaTheme="majorEastAsia" w:hAnsi="Arial" w:cstheme="majorBidi"/>
          <w:sz w:val="24"/>
          <w:szCs w:val="24"/>
        </w:rPr>
        <w:t xml:space="preserve"> un</w:t>
      </w:r>
      <w:r>
        <w:rPr>
          <w:rFonts w:ascii="Arial" w:eastAsiaTheme="majorEastAsia" w:hAnsi="Arial" w:cstheme="majorBidi"/>
          <w:sz w:val="24"/>
          <w:szCs w:val="24"/>
        </w:rPr>
        <w:t>a</w:t>
      </w:r>
      <w:r w:rsidR="00A50B22" w:rsidRPr="003D1FBA">
        <w:rPr>
          <w:rFonts w:ascii="Arial" w:eastAsiaTheme="majorEastAsia" w:hAnsi="Arial" w:cstheme="majorBidi"/>
          <w:sz w:val="24"/>
          <w:szCs w:val="24"/>
        </w:rPr>
        <w:t xml:space="preserve"> </w:t>
      </w:r>
      <w:r>
        <w:rPr>
          <w:rFonts w:ascii="Arial" w:eastAsiaTheme="majorEastAsia" w:hAnsi="Arial" w:cstheme="majorBidi"/>
          <w:sz w:val="24"/>
          <w:szCs w:val="24"/>
        </w:rPr>
        <w:t>vez</w:t>
      </w:r>
      <w:r w:rsidR="00A50B22" w:rsidRPr="003D1FBA">
        <w:rPr>
          <w:rFonts w:ascii="Arial" w:eastAsiaTheme="majorEastAsia" w:hAnsi="Arial" w:cstheme="majorBidi"/>
          <w:sz w:val="24"/>
          <w:szCs w:val="24"/>
        </w:rPr>
        <w:t xml:space="preserve"> realiza</w:t>
      </w:r>
      <w:r>
        <w:rPr>
          <w:rFonts w:ascii="Arial" w:eastAsiaTheme="majorEastAsia" w:hAnsi="Arial" w:cstheme="majorBidi"/>
          <w:sz w:val="24"/>
          <w:szCs w:val="24"/>
        </w:rPr>
        <w:t>da</w:t>
      </w:r>
      <w:r w:rsidR="00A50B22" w:rsidRPr="003D1FBA">
        <w:rPr>
          <w:rFonts w:ascii="Arial" w:eastAsiaTheme="majorEastAsia" w:hAnsi="Arial" w:cstheme="majorBidi"/>
          <w:sz w:val="24"/>
          <w:szCs w:val="24"/>
        </w:rPr>
        <w:t xml:space="preserve"> el test fatigant</w:t>
      </w:r>
      <w:r>
        <w:rPr>
          <w:rFonts w:ascii="Arial" w:eastAsiaTheme="majorEastAsia" w:hAnsi="Arial" w:cstheme="majorBidi"/>
          <w:sz w:val="24"/>
          <w:szCs w:val="24"/>
        </w:rPr>
        <w:t>e</w:t>
      </w:r>
      <w:r w:rsidR="00A50B22" w:rsidRPr="003D1FBA">
        <w:rPr>
          <w:rFonts w:ascii="Arial" w:eastAsiaTheme="majorEastAsia" w:hAnsi="Arial" w:cstheme="majorBidi"/>
          <w:sz w:val="24"/>
          <w:szCs w:val="24"/>
        </w:rPr>
        <w:t>.</w:t>
      </w:r>
      <w:bookmarkEnd w:id="16"/>
    </w:p>
    <w:p w:rsidR="0090596B" w:rsidRPr="003D1FBA" w:rsidRDefault="00B74788" w:rsidP="00B74788">
      <w:pPr>
        <w:rPr>
          <w:rFonts w:ascii="Arial" w:eastAsiaTheme="majorEastAsia" w:hAnsi="Arial" w:cstheme="majorBidi"/>
          <w:sz w:val="24"/>
          <w:szCs w:val="24"/>
        </w:rPr>
      </w:pPr>
      <w:r w:rsidRPr="003D1FBA">
        <w:rPr>
          <w:rFonts w:ascii="Arial" w:eastAsiaTheme="majorEastAsia" w:hAnsi="Arial" w:cstheme="majorBidi"/>
          <w:sz w:val="24"/>
          <w:szCs w:val="24"/>
        </w:rPr>
        <w:br w:type="page"/>
      </w:r>
    </w:p>
    <w:p w:rsidR="00315369" w:rsidRPr="003D1FBA" w:rsidRDefault="00315369" w:rsidP="00893DC5">
      <w:pPr>
        <w:pStyle w:val="Ttol1"/>
        <w:spacing w:line="360" w:lineRule="auto"/>
        <w:jc w:val="center"/>
      </w:pPr>
      <w:bookmarkStart w:id="17" w:name="_Toc20417708"/>
      <w:r w:rsidRPr="003D1FBA">
        <w:lastRenderedPageBreak/>
        <w:t>Agr</w:t>
      </w:r>
      <w:r w:rsidR="00361290">
        <w:t>adecimien</w:t>
      </w:r>
      <w:r w:rsidRPr="003D1FBA">
        <w:t>t</w:t>
      </w:r>
      <w:r w:rsidR="00361290">
        <w:t>o</w:t>
      </w:r>
      <w:r w:rsidRPr="003D1FBA">
        <w:t>s</w:t>
      </w:r>
      <w:bookmarkEnd w:id="17"/>
    </w:p>
    <w:p w:rsidR="00704849" w:rsidRPr="003D1FBA" w:rsidRDefault="00361290" w:rsidP="00704849">
      <w:pPr>
        <w:spacing w:line="360" w:lineRule="auto"/>
        <w:jc w:val="both"/>
        <w:rPr>
          <w:rFonts w:ascii="Arial" w:eastAsiaTheme="majorEastAsia" w:hAnsi="Arial" w:cstheme="majorBidi"/>
          <w:sz w:val="24"/>
          <w:szCs w:val="24"/>
        </w:rPr>
      </w:pPr>
      <w:r>
        <w:rPr>
          <w:rFonts w:ascii="Arial" w:eastAsiaTheme="majorEastAsia" w:hAnsi="Arial" w:cstheme="majorBidi"/>
          <w:sz w:val="24"/>
          <w:szCs w:val="24"/>
        </w:rPr>
        <w:t>No</w:t>
      </w:r>
      <w:r w:rsidR="00C5258F" w:rsidRPr="003D1FBA">
        <w:rPr>
          <w:rFonts w:ascii="Arial" w:eastAsiaTheme="majorEastAsia" w:hAnsi="Arial" w:cstheme="majorBidi"/>
          <w:sz w:val="24"/>
          <w:szCs w:val="24"/>
        </w:rPr>
        <w:t xml:space="preserve">s </w:t>
      </w:r>
      <w:r>
        <w:rPr>
          <w:rFonts w:ascii="Arial" w:eastAsiaTheme="majorEastAsia" w:hAnsi="Arial" w:cstheme="majorBidi"/>
          <w:sz w:val="24"/>
          <w:szCs w:val="24"/>
        </w:rPr>
        <w:t>gusta</w:t>
      </w:r>
      <w:r w:rsidR="00C0788F" w:rsidRPr="003D1FBA">
        <w:rPr>
          <w:rFonts w:ascii="Arial" w:eastAsiaTheme="majorEastAsia" w:hAnsi="Arial" w:cstheme="majorBidi"/>
          <w:sz w:val="24"/>
          <w:szCs w:val="24"/>
        </w:rPr>
        <w:t>r</w:t>
      </w:r>
      <w:r>
        <w:rPr>
          <w:rFonts w:ascii="Arial" w:eastAsiaTheme="majorEastAsia" w:hAnsi="Arial" w:cstheme="majorBidi"/>
          <w:sz w:val="24"/>
          <w:szCs w:val="24"/>
        </w:rPr>
        <w:t>í</w:t>
      </w:r>
      <w:r w:rsidR="00C0788F" w:rsidRPr="003D1FBA">
        <w:rPr>
          <w:rFonts w:ascii="Arial" w:eastAsiaTheme="majorEastAsia" w:hAnsi="Arial" w:cstheme="majorBidi"/>
          <w:sz w:val="24"/>
          <w:szCs w:val="24"/>
        </w:rPr>
        <w:t>a</w:t>
      </w:r>
      <w:r w:rsidR="00444CE3" w:rsidRPr="003D1FBA">
        <w:rPr>
          <w:rFonts w:ascii="Arial" w:eastAsiaTheme="majorEastAsia" w:hAnsi="Arial" w:cstheme="majorBidi"/>
          <w:sz w:val="24"/>
          <w:szCs w:val="24"/>
        </w:rPr>
        <w:t xml:space="preserve"> expresa</w:t>
      </w:r>
      <w:r w:rsidR="000E5DB0" w:rsidRPr="003D1FBA">
        <w:rPr>
          <w:rFonts w:ascii="Arial" w:eastAsiaTheme="majorEastAsia" w:hAnsi="Arial" w:cstheme="majorBidi"/>
          <w:sz w:val="24"/>
          <w:szCs w:val="24"/>
        </w:rPr>
        <w:t>r</w:t>
      </w:r>
      <w:r w:rsidR="00444CE3" w:rsidRPr="003D1FBA">
        <w:rPr>
          <w:rFonts w:ascii="Arial" w:eastAsiaTheme="majorEastAsia" w:hAnsi="Arial" w:cstheme="majorBidi"/>
          <w:sz w:val="24"/>
          <w:szCs w:val="24"/>
        </w:rPr>
        <w:t xml:space="preserve"> </w:t>
      </w:r>
      <w:r w:rsidR="00C5258F" w:rsidRPr="003D1FBA">
        <w:rPr>
          <w:rFonts w:ascii="Arial" w:eastAsiaTheme="majorEastAsia" w:hAnsi="Arial" w:cstheme="majorBidi"/>
          <w:sz w:val="24"/>
          <w:szCs w:val="24"/>
        </w:rPr>
        <w:t>n</w:t>
      </w:r>
      <w:r>
        <w:rPr>
          <w:rFonts w:ascii="Arial" w:eastAsiaTheme="majorEastAsia" w:hAnsi="Arial" w:cstheme="majorBidi"/>
          <w:sz w:val="24"/>
          <w:szCs w:val="24"/>
        </w:rPr>
        <w:t>uestro</w:t>
      </w:r>
      <w:r w:rsidR="00444CE3" w:rsidRPr="003D1FBA">
        <w:rPr>
          <w:rFonts w:ascii="Arial" w:eastAsiaTheme="majorEastAsia" w:hAnsi="Arial" w:cstheme="majorBidi"/>
          <w:sz w:val="24"/>
          <w:szCs w:val="24"/>
        </w:rPr>
        <w:t xml:space="preserve"> agra</w:t>
      </w:r>
      <w:r>
        <w:rPr>
          <w:rFonts w:ascii="Arial" w:eastAsiaTheme="majorEastAsia" w:hAnsi="Arial" w:cstheme="majorBidi"/>
          <w:sz w:val="24"/>
          <w:szCs w:val="24"/>
        </w:rPr>
        <w:t>deci</w:t>
      </w:r>
      <w:r w:rsidR="00444CE3" w:rsidRPr="003D1FBA">
        <w:rPr>
          <w:rFonts w:ascii="Arial" w:eastAsiaTheme="majorEastAsia" w:hAnsi="Arial" w:cstheme="majorBidi"/>
          <w:sz w:val="24"/>
          <w:szCs w:val="24"/>
        </w:rPr>
        <w:t>m</w:t>
      </w:r>
      <w:r>
        <w:rPr>
          <w:rFonts w:ascii="Arial" w:eastAsiaTheme="majorEastAsia" w:hAnsi="Arial" w:cstheme="majorBidi"/>
          <w:sz w:val="24"/>
          <w:szCs w:val="24"/>
        </w:rPr>
        <w:t>i</w:t>
      </w:r>
      <w:r w:rsidR="00444CE3" w:rsidRPr="003D1FBA">
        <w:rPr>
          <w:rFonts w:ascii="Arial" w:eastAsiaTheme="majorEastAsia" w:hAnsi="Arial" w:cstheme="majorBidi"/>
          <w:sz w:val="24"/>
          <w:szCs w:val="24"/>
        </w:rPr>
        <w:t>ent</w:t>
      </w:r>
      <w:r>
        <w:rPr>
          <w:rFonts w:ascii="Arial" w:eastAsiaTheme="majorEastAsia" w:hAnsi="Arial" w:cstheme="majorBidi"/>
          <w:sz w:val="24"/>
          <w:szCs w:val="24"/>
        </w:rPr>
        <w:t>o</w:t>
      </w:r>
      <w:r w:rsidR="00444CE3" w:rsidRPr="003D1FBA">
        <w:rPr>
          <w:rFonts w:ascii="Arial" w:eastAsiaTheme="majorEastAsia" w:hAnsi="Arial" w:cstheme="majorBidi"/>
          <w:sz w:val="24"/>
          <w:szCs w:val="24"/>
        </w:rPr>
        <w:t xml:space="preserve"> a</w:t>
      </w:r>
      <w:r>
        <w:rPr>
          <w:rFonts w:ascii="Arial" w:eastAsiaTheme="majorEastAsia" w:hAnsi="Arial" w:cstheme="majorBidi"/>
          <w:sz w:val="24"/>
          <w:szCs w:val="24"/>
        </w:rPr>
        <w:t xml:space="preserve">l </w:t>
      </w:r>
      <w:r w:rsidR="00444CE3" w:rsidRPr="003D1FBA">
        <w:rPr>
          <w:rFonts w:ascii="Arial" w:eastAsiaTheme="majorEastAsia" w:hAnsi="Arial" w:cstheme="majorBidi"/>
          <w:sz w:val="24"/>
          <w:szCs w:val="24"/>
        </w:rPr>
        <w:t>equip</w:t>
      </w:r>
      <w:r>
        <w:rPr>
          <w:rFonts w:ascii="Arial" w:eastAsiaTheme="majorEastAsia" w:hAnsi="Arial" w:cstheme="majorBidi"/>
          <w:sz w:val="24"/>
          <w:szCs w:val="24"/>
        </w:rPr>
        <w:t>o</w:t>
      </w:r>
      <w:r w:rsidR="00444CE3" w:rsidRPr="003D1FBA">
        <w:rPr>
          <w:rFonts w:ascii="Arial" w:eastAsiaTheme="majorEastAsia" w:hAnsi="Arial" w:cstheme="majorBidi"/>
          <w:sz w:val="24"/>
          <w:szCs w:val="24"/>
        </w:rPr>
        <w:t xml:space="preserve"> </w:t>
      </w:r>
      <w:r>
        <w:rPr>
          <w:rFonts w:ascii="Arial" w:eastAsiaTheme="majorEastAsia" w:hAnsi="Arial" w:cstheme="majorBidi"/>
          <w:sz w:val="24"/>
          <w:szCs w:val="24"/>
        </w:rPr>
        <w:t>“</w:t>
      </w:r>
      <w:r w:rsidR="00444CE3" w:rsidRPr="003D1FBA">
        <w:rPr>
          <w:rFonts w:ascii="Arial" w:eastAsiaTheme="majorEastAsia" w:hAnsi="Arial" w:cstheme="majorBidi"/>
          <w:sz w:val="24"/>
          <w:szCs w:val="24"/>
        </w:rPr>
        <w:t>Segle X</w:t>
      </w:r>
      <w:r w:rsidR="003B487B" w:rsidRPr="003D1FBA">
        <w:rPr>
          <w:rFonts w:ascii="Arial" w:eastAsiaTheme="majorEastAsia" w:hAnsi="Arial" w:cstheme="majorBidi"/>
          <w:sz w:val="24"/>
          <w:szCs w:val="24"/>
        </w:rPr>
        <w:t>X</w:t>
      </w:r>
      <w:r w:rsidR="00444CE3" w:rsidRPr="003D1FBA">
        <w:rPr>
          <w:rFonts w:ascii="Arial" w:eastAsiaTheme="majorEastAsia" w:hAnsi="Arial" w:cstheme="majorBidi"/>
          <w:sz w:val="24"/>
          <w:szCs w:val="24"/>
        </w:rPr>
        <w:t>I</w:t>
      </w:r>
      <w:r>
        <w:rPr>
          <w:rFonts w:ascii="Arial" w:eastAsiaTheme="majorEastAsia" w:hAnsi="Arial" w:cstheme="majorBidi"/>
          <w:sz w:val="24"/>
          <w:szCs w:val="24"/>
        </w:rPr>
        <w:t>”</w:t>
      </w:r>
      <w:r w:rsidR="00444CE3" w:rsidRPr="003D1FBA">
        <w:rPr>
          <w:rFonts w:ascii="Arial" w:eastAsiaTheme="majorEastAsia" w:hAnsi="Arial" w:cstheme="majorBidi"/>
          <w:sz w:val="24"/>
          <w:szCs w:val="24"/>
        </w:rPr>
        <w:t xml:space="preserve"> </w:t>
      </w:r>
      <w:r>
        <w:rPr>
          <w:rFonts w:ascii="Arial" w:eastAsiaTheme="majorEastAsia" w:hAnsi="Arial" w:cstheme="majorBidi"/>
          <w:sz w:val="24"/>
          <w:szCs w:val="24"/>
        </w:rPr>
        <w:t>y</w:t>
      </w:r>
      <w:r w:rsidR="00444CE3" w:rsidRPr="003D1FBA">
        <w:rPr>
          <w:rFonts w:ascii="Arial" w:eastAsiaTheme="majorEastAsia" w:hAnsi="Arial" w:cstheme="majorBidi"/>
          <w:sz w:val="24"/>
          <w:szCs w:val="24"/>
        </w:rPr>
        <w:t xml:space="preserve"> al</w:t>
      </w:r>
      <w:r w:rsidR="00465993" w:rsidRPr="003D1FBA">
        <w:rPr>
          <w:rFonts w:ascii="Arial" w:eastAsiaTheme="majorEastAsia" w:hAnsi="Arial" w:cstheme="majorBidi"/>
          <w:sz w:val="24"/>
          <w:szCs w:val="24"/>
        </w:rPr>
        <w:t xml:space="preserve"> grup</w:t>
      </w:r>
      <w:r>
        <w:rPr>
          <w:rFonts w:ascii="Arial" w:eastAsiaTheme="majorEastAsia" w:hAnsi="Arial" w:cstheme="majorBidi"/>
          <w:sz w:val="24"/>
          <w:szCs w:val="24"/>
        </w:rPr>
        <w:t>o</w:t>
      </w:r>
      <w:r w:rsidR="00444CE3" w:rsidRPr="003D1FBA">
        <w:rPr>
          <w:rFonts w:ascii="Arial" w:eastAsiaTheme="majorEastAsia" w:hAnsi="Arial" w:cstheme="majorBidi"/>
          <w:sz w:val="24"/>
          <w:szCs w:val="24"/>
        </w:rPr>
        <w:t xml:space="preserve"> de </w:t>
      </w:r>
      <w:r w:rsidR="008B6257" w:rsidRPr="003D1FBA">
        <w:rPr>
          <w:rFonts w:ascii="Arial" w:eastAsiaTheme="majorEastAsia" w:hAnsi="Arial" w:cstheme="majorBidi"/>
          <w:sz w:val="24"/>
          <w:szCs w:val="24"/>
        </w:rPr>
        <w:t>T</w:t>
      </w:r>
      <w:r w:rsidR="00444CE3" w:rsidRPr="003D1FBA">
        <w:rPr>
          <w:rFonts w:ascii="Arial" w:eastAsiaTheme="majorEastAsia" w:hAnsi="Arial" w:cstheme="majorBidi"/>
          <w:sz w:val="24"/>
          <w:szCs w:val="24"/>
        </w:rPr>
        <w:t>ecnificació</w:t>
      </w:r>
      <w:r>
        <w:rPr>
          <w:rFonts w:ascii="Arial" w:eastAsiaTheme="majorEastAsia" w:hAnsi="Arial" w:cstheme="majorBidi"/>
          <w:sz w:val="24"/>
          <w:szCs w:val="24"/>
        </w:rPr>
        <w:t>n</w:t>
      </w:r>
      <w:r w:rsidR="00444CE3" w:rsidRPr="003D1FBA">
        <w:rPr>
          <w:rFonts w:ascii="Arial" w:eastAsiaTheme="majorEastAsia" w:hAnsi="Arial" w:cstheme="majorBidi"/>
          <w:sz w:val="24"/>
          <w:szCs w:val="24"/>
        </w:rPr>
        <w:t xml:space="preserve"> d</w:t>
      </w:r>
      <w:r>
        <w:rPr>
          <w:rFonts w:ascii="Arial" w:eastAsiaTheme="majorEastAsia" w:hAnsi="Arial" w:cstheme="majorBidi"/>
          <w:sz w:val="24"/>
          <w:szCs w:val="24"/>
        </w:rPr>
        <w:t xml:space="preserve">e </w:t>
      </w:r>
      <w:r w:rsidR="00814891">
        <w:rPr>
          <w:rFonts w:ascii="Arial" w:eastAsiaTheme="majorEastAsia" w:hAnsi="Arial" w:cstheme="majorBidi"/>
          <w:sz w:val="24"/>
          <w:szCs w:val="24"/>
        </w:rPr>
        <w:t>balonmano</w:t>
      </w:r>
      <w:r w:rsidR="00444CE3" w:rsidRPr="003D1FBA">
        <w:rPr>
          <w:rFonts w:ascii="Arial" w:eastAsiaTheme="majorEastAsia" w:hAnsi="Arial" w:cstheme="majorBidi"/>
          <w:sz w:val="24"/>
          <w:szCs w:val="24"/>
        </w:rPr>
        <w:t xml:space="preserve"> </w:t>
      </w:r>
      <w:r w:rsidR="00C5258F" w:rsidRPr="003D1FBA">
        <w:rPr>
          <w:rFonts w:ascii="Arial" w:eastAsiaTheme="majorEastAsia" w:hAnsi="Arial" w:cstheme="majorBidi"/>
          <w:sz w:val="24"/>
          <w:szCs w:val="24"/>
        </w:rPr>
        <w:t>p</w:t>
      </w:r>
      <w:r>
        <w:rPr>
          <w:rFonts w:ascii="Arial" w:eastAsiaTheme="majorEastAsia" w:hAnsi="Arial" w:cstheme="majorBidi"/>
          <w:sz w:val="24"/>
          <w:szCs w:val="24"/>
        </w:rPr>
        <w:t>o</w:t>
      </w:r>
      <w:r w:rsidR="00C5258F" w:rsidRPr="003D1FBA">
        <w:rPr>
          <w:rFonts w:ascii="Arial" w:eastAsiaTheme="majorEastAsia" w:hAnsi="Arial" w:cstheme="majorBidi"/>
          <w:sz w:val="24"/>
          <w:szCs w:val="24"/>
        </w:rPr>
        <w:t>r de</w:t>
      </w:r>
      <w:r>
        <w:rPr>
          <w:rFonts w:ascii="Arial" w:eastAsiaTheme="majorEastAsia" w:hAnsi="Arial" w:cstheme="majorBidi"/>
          <w:sz w:val="24"/>
          <w:szCs w:val="24"/>
        </w:rPr>
        <w:t>jar</w:t>
      </w:r>
      <w:r w:rsidR="00C5258F" w:rsidRPr="003D1FBA">
        <w:rPr>
          <w:rFonts w:ascii="Arial" w:eastAsiaTheme="majorEastAsia" w:hAnsi="Arial" w:cstheme="majorBidi"/>
          <w:sz w:val="24"/>
          <w:szCs w:val="24"/>
        </w:rPr>
        <w:t>nos</w:t>
      </w:r>
      <w:r>
        <w:rPr>
          <w:rFonts w:ascii="Arial" w:eastAsiaTheme="majorEastAsia" w:hAnsi="Arial" w:cstheme="majorBidi"/>
          <w:sz w:val="24"/>
          <w:szCs w:val="24"/>
        </w:rPr>
        <w:t xml:space="preserve"> hacer</w:t>
      </w:r>
      <w:r w:rsidR="00C5258F" w:rsidRPr="003D1FBA">
        <w:rPr>
          <w:rFonts w:ascii="Arial" w:eastAsiaTheme="majorEastAsia" w:hAnsi="Arial" w:cstheme="majorBidi"/>
          <w:sz w:val="24"/>
          <w:szCs w:val="24"/>
        </w:rPr>
        <w:t xml:space="preserve"> </w:t>
      </w:r>
      <w:r>
        <w:rPr>
          <w:rFonts w:ascii="Arial" w:eastAsiaTheme="majorEastAsia" w:hAnsi="Arial" w:cstheme="majorBidi"/>
          <w:sz w:val="24"/>
          <w:szCs w:val="24"/>
        </w:rPr>
        <w:t xml:space="preserve">el </w:t>
      </w:r>
      <w:r w:rsidR="00C5258F" w:rsidRPr="003D1FBA">
        <w:rPr>
          <w:rFonts w:ascii="Arial" w:eastAsiaTheme="majorEastAsia" w:hAnsi="Arial" w:cstheme="majorBidi"/>
          <w:sz w:val="24"/>
          <w:szCs w:val="24"/>
        </w:rPr>
        <w:t>estudi</w:t>
      </w:r>
      <w:r>
        <w:rPr>
          <w:rFonts w:ascii="Arial" w:eastAsiaTheme="majorEastAsia" w:hAnsi="Arial" w:cstheme="majorBidi"/>
          <w:sz w:val="24"/>
          <w:szCs w:val="24"/>
        </w:rPr>
        <w:t>o</w:t>
      </w:r>
      <w:r w:rsidR="00465993" w:rsidRPr="003D1FBA">
        <w:rPr>
          <w:rFonts w:ascii="Arial" w:eastAsiaTheme="majorEastAsia" w:hAnsi="Arial" w:cstheme="majorBidi"/>
          <w:sz w:val="24"/>
          <w:szCs w:val="24"/>
        </w:rPr>
        <w:t xml:space="preserve"> </w:t>
      </w:r>
      <w:r>
        <w:rPr>
          <w:rFonts w:ascii="Arial" w:eastAsiaTheme="majorEastAsia" w:hAnsi="Arial" w:cstheme="majorBidi"/>
          <w:sz w:val="24"/>
          <w:szCs w:val="24"/>
        </w:rPr>
        <w:t>y</w:t>
      </w:r>
      <w:r w:rsidR="00454DD8" w:rsidRPr="003D1FBA">
        <w:rPr>
          <w:rFonts w:ascii="Arial" w:eastAsiaTheme="majorEastAsia" w:hAnsi="Arial" w:cstheme="majorBidi"/>
          <w:sz w:val="24"/>
          <w:szCs w:val="24"/>
        </w:rPr>
        <w:t xml:space="preserve"> al Centr</w:t>
      </w:r>
      <w:r>
        <w:rPr>
          <w:rFonts w:ascii="Arial" w:eastAsiaTheme="majorEastAsia" w:hAnsi="Arial" w:cstheme="majorBidi"/>
          <w:sz w:val="24"/>
          <w:szCs w:val="24"/>
        </w:rPr>
        <w:t>o</w:t>
      </w:r>
      <w:r w:rsidR="00454DD8" w:rsidRPr="003D1FBA">
        <w:rPr>
          <w:rFonts w:ascii="Arial" w:eastAsiaTheme="majorEastAsia" w:hAnsi="Arial" w:cstheme="majorBidi"/>
          <w:sz w:val="24"/>
          <w:szCs w:val="24"/>
        </w:rPr>
        <w:t xml:space="preserve"> M</w:t>
      </w:r>
      <w:r>
        <w:rPr>
          <w:rFonts w:ascii="Arial" w:eastAsiaTheme="majorEastAsia" w:hAnsi="Arial" w:cstheme="majorBidi"/>
          <w:sz w:val="24"/>
          <w:szCs w:val="24"/>
        </w:rPr>
        <w:t>é</w:t>
      </w:r>
      <w:r w:rsidR="00454DD8" w:rsidRPr="003D1FBA">
        <w:rPr>
          <w:rFonts w:ascii="Arial" w:eastAsiaTheme="majorEastAsia" w:hAnsi="Arial" w:cstheme="majorBidi"/>
          <w:sz w:val="24"/>
          <w:szCs w:val="24"/>
        </w:rPr>
        <w:t>dic</w:t>
      </w:r>
      <w:r>
        <w:rPr>
          <w:rFonts w:ascii="Arial" w:eastAsiaTheme="majorEastAsia" w:hAnsi="Arial" w:cstheme="majorBidi"/>
          <w:sz w:val="24"/>
          <w:szCs w:val="24"/>
        </w:rPr>
        <w:t>o</w:t>
      </w:r>
      <w:r w:rsidR="00465993" w:rsidRPr="003D1FBA">
        <w:rPr>
          <w:rFonts w:ascii="Arial" w:eastAsiaTheme="majorEastAsia" w:hAnsi="Arial" w:cstheme="majorBidi"/>
          <w:sz w:val="24"/>
          <w:szCs w:val="24"/>
        </w:rPr>
        <w:t xml:space="preserve"> de la </w:t>
      </w:r>
      <w:r w:rsidR="008B6257" w:rsidRPr="003D1FBA">
        <w:rPr>
          <w:rFonts w:ascii="Arial" w:eastAsiaTheme="majorEastAsia" w:hAnsi="Arial" w:cstheme="majorBidi"/>
          <w:sz w:val="24"/>
          <w:szCs w:val="24"/>
        </w:rPr>
        <w:t>Resid</w:t>
      </w:r>
      <w:r>
        <w:rPr>
          <w:rFonts w:ascii="Arial" w:eastAsiaTheme="majorEastAsia" w:hAnsi="Arial" w:cstheme="majorBidi"/>
          <w:sz w:val="24"/>
          <w:szCs w:val="24"/>
        </w:rPr>
        <w:t>e</w:t>
      </w:r>
      <w:r w:rsidR="008B6257" w:rsidRPr="003D1FBA">
        <w:rPr>
          <w:rFonts w:ascii="Arial" w:eastAsiaTheme="majorEastAsia" w:hAnsi="Arial" w:cstheme="majorBidi"/>
          <w:sz w:val="24"/>
          <w:szCs w:val="24"/>
        </w:rPr>
        <w:t xml:space="preserve">ncia Joaquim </w:t>
      </w:r>
      <w:r w:rsidR="00465993" w:rsidRPr="003D1FBA">
        <w:rPr>
          <w:rFonts w:ascii="Arial" w:eastAsiaTheme="majorEastAsia" w:hAnsi="Arial" w:cstheme="majorBidi"/>
          <w:sz w:val="24"/>
          <w:szCs w:val="24"/>
        </w:rPr>
        <w:t>Blume</w:t>
      </w:r>
      <w:r w:rsidR="00454DD8" w:rsidRPr="003D1FBA">
        <w:rPr>
          <w:rFonts w:ascii="Arial" w:eastAsiaTheme="majorEastAsia" w:hAnsi="Arial" w:cstheme="majorBidi"/>
          <w:sz w:val="24"/>
          <w:szCs w:val="24"/>
        </w:rPr>
        <w:t>.</w:t>
      </w:r>
      <w:r w:rsidR="00704849" w:rsidRPr="003D1FBA">
        <w:rPr>
          <w:rFonts w:ascii="Arial" w:hAnsi="Arial" w:cs="Arial"/>
          <w:sz w:val="24"/>
        </w:rPr>
        <w:br w:type="page"/>
      </w:r>
    </w:p>
    <w:p w:rsidR="002A4373" w:rsidRPr="000B6D5B" w:rsidRDefault="002A4373" w:rsidP="00893DC5">
      <w:pPr>
        <w:pStyle w:val="Ttol1"/>
        <w:spacing w:line="360" w:lineRule="auto"/>
        <w:jc w:val="center"/>
        <w:rPr>
          <w:lang w:val="en-GB"/>
        </w:rPr>
      </w:pPr>
      <w:bookmarkStart w:id="18" w:name="_Toc20417709"/>
      <w:r w:rsidRPr="000B6D5B">
        <w:rPr>
          <w:lang w:val="en-GB"/>
        </w:rPr>
        <w:lastRenderedPageBreak/>
        <w:t>Refer</w:t>
      </w:r>
      <w:r w:rsidR="00361290" w:rsidRPr="000B6D5B">
        <w:rPr>
          <w:lang w:val="en-GB"/>
        </w:rPr>
        <w:t>e</w:t>
      </w:r>
      <w:r w:rsidRPr="000B6D5B">
        <w:rPr>
          <w:lang w:val="en-GB"/>
        </w:rPr>
        <w:t>nci</w:t>
      </w:r>
      <w:r w:rsidR="00361290" w:rsidRPr="000B6D5B">
        <w:rPr>
          <w:lang w:val="en-GB"/>
        </w:rPr>
        <w:t>a</w:t>
      </w:r>
      <w:r w:rsidRPr="000B6D5B">
        <w:rPr>
          <w:lang w:val="en-GB"/>
        </w:rPr>
        <w:t>s</w:t>
      </w:r>
      <w:bookmarkEnd w:id="18"/>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3D1FBA">
        <w:rPr>
          <w:rFonts w:ascii="Arial" w:hAnsi="Arial" w:cs="Arial"/>
          <w:sz w:val="24"/>
          <w:szCs w:val="24"/>
        </w:rPr>
        <w:fldChar w:fldCharType="begin" w:fldLock="1"/>
      </w:r>
      <w:r w:rsidRPr="002B505A">
        <w:rPr>
          <w:rFonts w:ascii="Arial" w:hAnsi="Arial" w:cs="Arial"/>
          <w:sz w:val="24"/>
          <w:szCs w:val="24"/>
          <w:lang w:val="en-GB"/>
        </w:rPr>
        <w:instrText xml:space="preserve">ADDIN Mendeley Bibliography CSL_BIBLIOGRAPHY </w:instrText>
      </w:r>
      <w:r w:rsidRPr="003D1FBA">
        <w:rPr>
          <w:rFonts w:ascii="Arial" w:hAnsi="Arial" w:cs="Arial"/>
          <w:sz w:val="24"/>
          <w:szCs w:val="24"/>
        </w:rPr>
        <w:fldChar w:fldCharType="separate"/>
      </w:r>
      <w:r w:rsidRPr="002B505A">
        <w:rPr>
          <w:rFonts w:ascii="Arial" w:hAnsi="Arial" w:cs="Arial"/>
          <w:noProof/>
          <w:sz w:val="24"/>
          <w:szCs w:val="24"/>
          <w:lang w:val="en-GB"/>
        </w:rPr>
        <w:t xml:space="preserve">1. </w:t>
      </w:r>
      <w:r w:rsidRPr="002B505A">
        <w:rPr>
          <w:rFonts w:ascii="Arial" w:hAnsi="Arial" w:cs="Arial"/>
          <w:noProof/>
          <w:sz w:val="24"/>
          <w:szCs w:val="24"/>
          <w:lang w:val="en-GB"/>
        </w:rPr>
        <w:tab/>
        <w:t xml:space="preserve">Petersen W, Braun C, Bock W, Schmidt K, Weimann A, Drescher W, et al. A controlled prospective case control study of a prevention training program in female team handball players: the German experience. Arch Orthop Trauma Surg. 2005;125(9):614–21.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 </w:t>
      </w:r>
      <w:r w:rsidRPr="002B505A">
        <w:rPr>
          <w:rFonts w:ascii="Arial" w:hAnsi="Arial" w:cs="Arial"/>
          <w:noProof/>
          <w:sz w:val="24"/>
          <w:szCs w:val="24"/>
          <w:lang w:val="en-GB"/>
        </w:rPr>
        <w:tab/>
        <w:t xml:space="preserve">Zuckerman S, Wegner A, Roos K, Djoko A, Dompier T, Kerr Z. Injuries sustained in National Collegiate Athletic Association men’s and women’s basketball, 2009/2010–2014/2015. Br J Sport Med. 2018;52(4):216–68.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3. </w:t>
      </w:r>
      <w:r w:rsidRPr="002B505A">
        <w:rPr>
          <w:rFonts w:ascii="Arial" w:hAnsi="Arial" w:cs="Arial"/>
          <w:noProof/>
          <w:sz w:val="24"/>
          <w:szCs w:val="24"/>
          <w:lang w:val="en-GB"/>
        </w:rPr>
        <w:tab/>
        <w:t xml:space="preserve">Taylor JB, Ford KR, Nguyen AD, Terry LN, Hegedus EJ. Prevention of Lower Extremity Injuries in Basketball: A Systematic Review and Meta-Analysis. Sports Health. 2015;7(5):392–8.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4. </w:t>
      </w:r>
      <w:r w:rsidRPr="002B505A">
        <w:rPr>
          <w:rFonts w:ascii="Arial" w:hAnsi="Arial" w:cs="Arial"/>
          <w:noProof/>
          <w:sz w:val="24"/>
          <w:szCs w:val="24"/>
          <w:lang w:val="en-GB"/>
        </w:rPr>
        <w:tab/>
        <w:t xml:space="preserve">Barber F, Kim D, Myer D, Hewett T. Epidemiology of Basketball, Soccer, and Volleyball Injuries in Middle-School Female Athletes. Phys Sport. 2014;42(2):146–53.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5. </w:t>
      </w:r>
      <w:r w:rsidRPr="002B505A">
        <w:rPr>
          <w:rFonts w:ascii="Arial" w:hAnsi="Arial" w:cs="Arial"/>
          <w:noProof/>
          <w:sz w:val="24"/>
          <w:szCs w:val="24"/>
          <w:lang w:val="en-GB"/>
        </w:rPr>
        <w:tab/>
        <w:t xml:space="preserve">Busfield BT, Kharrazi FD, Starkey C, Lombardo SJ, Seegmiller J. Performance Outcomes of Anterior Cruciate Ligament Reconstruction in the National Basketball Association. Arthrosc - J Arthrosc Relat Surg. 2009;25(8):825–30.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6. </w:t>
      </w:r>
      <w:r w:rsidRPr="002B505A">
        <w:rPr>
          <w:rFonts w:ascii="Arial" w:hAnsi="Arial" w:cs="Arial"/>
          <w:noProof/>
          <w:sz w:val="24"/>
          <w:szCs w:val="24"/>
          <w:lang w:val="en-GB"/>
        </w:rPr>
        <w:tab/>
        <w:t xml:space="preserve">Wedderkopp N, Kaltoft M, Lundgaard B, Rosendahl M FK, Wedderkopp N, Kaltoft M, Lundgaard B, Rosendahl M, Froberg K. Injuries in young female players in European team handball. Scand J Med Sci Sport. 1997;7(6):342–7.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7. </w:t>
      </w:r>
      <w:r w:rsidRPr="002B505A">
        <w:rPr>
          <w:rFonts w:ascii="Arial" w:hAnsi="Arial" w:cs="Arial"/>
          <w:noProof/>
          <w:sz w:val="24"/>
          <w:szCs w:val="24"/>
          <w:lang w:val="en-GB"/>
        </w:rPr>
        <w:tab/>
        <w:t xml:space="preserve">Hewett T, Myer G, Ford K, Paterno M, Quatman C. Mechanisms, Prediction, and Prevention of ACL Injuries: Cut Risk With Three Sharpened and Validated Tools. J Orthop Res. 2016;34(11):1843–55.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8. </w:t>
      </w:r>
      <w:r w:rsidRPr="002B505A">
        <w:rPr>
          <w:rFonts w:ascii="Arial" w:hAnsi="Arial" w:cs="Arial"/>
          <w:noProof/>
          <w:sz w:val="24"/>
          <w:szCs w:val="24"/>
          <w:lang w:val="en-GB"/>
        </w:rPr>
        <w:tab/>
        <w:t xml:space="preserve">Myklebust G, Maehlum S, Engebretsen L, Strand T, Solheim E. Registration of cruciate ligament injuries in Norwegian top level team handball. A prospective study covering two seasons. Scand J Med Sci Sport Sci Sport. 1997;7(5):289–92.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9. </w:t>
      </w:r>
      <w:r w:rsidRPr="002B505A">
        <w:rPr>
          <w:rFonts w:ascii="Arial" w:hAnsi="Arial" w:cs="Arial"/>
          <w:noProof/>
          <w:sz w:val="24"/>
          <w:szCs w:val="24"/>
          <w:lang w:val="en-GB"/>
        </w:rPr>
        <w:tab/>
        <w:t xml:space="preserve">Myer GD, Ford KR, Brent JL, Hewett TE. Differential neuromuscular </w:t>
      </w:r>
      <w:r w:rsidRPr="002B505A">
        <w:rPr>
          <w:rFonts w:ascii="Arial" w:hAnsi="Arial" w:cs="Arial"/>
          <w:noProof/>
          <w:sz w:val="24"/>
          <w:szCs w:val="24"/>
          <w:lang w:val="en-GB"/>
        </w:rPr>
        <w:lastRenderedPageBreak/>
        <w:t xml:space="preserve">training effects onACL injury risk factors in"high-risk" versus “low-risk” athletes. BMC Musculoskelet Disord. 2007;8(8):39.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10. </w:t>
      </w:r>
      <w:r w:rsidRPr="002B505A">
        <w:rPr>
          <w:rFonts w:ascii="Arial" w:hAnsi="Arial" w:cs="Arial"/>
          <w:noProof/>
          <w:sz w:val="24"/>
          <w:szCs w:val="24"/>
          <w:lang w:val="en-GB"/>
        </w:rPr>
        <w:tab/>
        <w:t xml:space="preserve">Fort-Vanmeerhaeghe A, Romero-Rodriguez D, Lloyd RS, Kushner A, Myer GD. Integrative neuromuscular training in youth athletes. Part I: Identifying risk factors. Strength Condit J. 2016;38(3):36–48.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11. </w:t>
      </w:r>
      <w:r w:rsidRPr="002B505A">
        <w:rPr>
          <w:rFonts w:ascii="Arial" w:hAnsi="Arial" w:cs="Arial"/>
          <w:noProof/>
          <w:sz w:val="24"/>
          <w:szCs w:val="24"/>
          <w:lang w:val="en-GB"/>
        </w:rPr>
        <w:tab/>
        <w:t xml:space="preserve">Alentorn-Geli E, Mendiguchía J, Samuelsson K, Musahl V, Karlsson J, Cugat R, et al. Prevention of anterior cruciate ligament injuries in sports-Part I: Systematic review of risk factors in male athletes. Knee Surg Sport Traumatol Arthrosc. 2014;22(1):3–15.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12. </w:t>
      </w:r>
      <w:r w:rsidRPr="002B505A">
        <w:rPr>
          <w:rFonts w:ascii="Arial" w:hAnsi="Arial" w:cs="Arial"/>
          <w:noProof/>
          <w:sz w:val="24"/>
          <w:szCs w:val="24"/>
          <w:lang w:val="en-GB"/>
        </w:rPr>
        <w:tab/>
        <w:t xml:space="preserve">Griffin LY, Albohm MJ, Arendt EA, Bahr R, Beynnon BD, DeMaio M, et al. Understanding and preventing noncontact anterior cruciate ligament injuries: A review of the Hunt Valley II Meeting, January 2005. Am J Sport Med. 2006;34(9):1512–32.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13. </w:t>
      </w:r>
      <w:r w:rsidRPr="002B505A">
        <w:rPr>
          <w:rFonts w:ascii="Arial" w:hAnsi="Arial" w:cs="Arial"/>
          <w:noProof/>
          <w:sz w:val="24"/>
          <w:szCs w:val="24"/>
          <w:lang w:val="en-GB"/>
        </w:rPr>
        <w:tab/>
        <w:t xml:space="preserve">Thompson BJ, Cazier CS, Bressel E, Dolny DG. A lower extremity strength-based profile of NCAA Division I women’s basketball and gymnastics athletes: implications for knee joint injury risk assessment. J Sport Sci. 2018;36(15):1749–56.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14. </w:t>
      </w:r>
      <w:r w:rsidRPr="002B505A">
        <w:rPr>
          <w:rFonts w:ascii="Arial" w:hAnsi="Arial" w:cs="Arial"/>
          <w:noProof/>
          <w:sz w:val="24"/>
          <w:szCs w:val="24"/>
          <w:lang w:val="en-GB"/>
        </w:rPr>
        <w:tab/>
        <w:t xml:space="preserve">Borotikar BS, Newcomer R, Koppes R, McLean SG. Combined effects of fatigue and decision making on female lower limb landing postures: Central and peripheral contributions to ACL injury risk. Clin Biomech. 2008;23(1):81–92.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15. </w:t>
      </w:r>
      <w:r w:rsidRPr="002B505A">
        <w:rPr>
          <w:rFonts w:ascii="Arial" w:hAnsi="Arial" w:cs="Arial"/>
          <w:noProof/>
          <w:sz w:val="24"/>
          <w:szCs w:val="24"/>
          <w:lang w:val="en-GB"/>
        </w:rPr>
        <w:tab/>
        <w:t xml:space="preserve">Rahnama N, Reilly T, Lees A, Graham-Smith P. Muscle fatigue induced by exercise simulating the work rate of competitive soccer. J Sport Sci. 2003;21(11):933–42.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16. </w:t>
      </w:r>
      <w:r w:rsidRPr="002B505A">
        <w:rPr>
          <w:rFonts w:ascii="Arial" w:hAnsi="Arial" w:cs="Arial"/>
          <w:noProof/>
          <w:sz w:val="24"/>
          <w:szCs w:val="24"/>
          <w:lang w:val="en-GB"/>
        </w:rPr>
        <w:tab/>
        <w:t xml:space="preserve">Hewett TE, Ford KR, Hoogenboom BJ. Understanding and Preventing Acl Injuries: Current Biomechanical and Epidemiologic Considerations - Update 2010. N Am J Sport Phys Ther. 2010;5(4):234–51.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17. </w:t>
      </w:r>
      <w:r w:rsidRPr="002B505A">
        <w:rPr>
          <w:rFonts w:ascii="Arial" w:hAnsi="Arial" w:cs="Arial"/>
          <w:noProof/>
          <w:sz w:val="24"/>
          <w:szCs w:val="24"/>
          <w:lang w:val="en-GB"/>
        </w:rPr>
        <w:tab/>
        <w:t xml:space="preserve">Rosene JM, Fogarty TD, Mahaffey BL. Isokinetic Hamstrings:Quadriceps Ratios in Intercollegiate Athletes. J Athl Train. 2001;36(4):378–83.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18. </w:t>
      </w:r>
      <w:r w:rsidRPr="002B505A">
        <w:rPr>
          <w:rFonts w:ascii="Arial" w:hAnsi="Arial" w:cs="Arial"/>
          <w:noProof/>
          <w:sz w:val="24"/>
          <w:szCs w:val="24"/>
          <w:lang w:val="en-GB"/>
        </w:rPr>
        <w:tab/>
        <w:t xml:space="preserve">Kabacinski J, Murawa M, Mackala K, Dworak LB. Knee strength ratios in </w:t>
      </w:r>
      <w:r w:rsidRPr="002B505A">
        <w:rPr>
          <w:rFonts w:ascii="Arial" w:hAnsi="Arial" w:cs="Arial"/>
          <w:noProof/>
          <w:sz w:val="24"/>
          <w:szCs w:val="24"/>
          <w:lang w:val="en-GB"/>
        </w:rPr>
        <w:lastRenderedPageBreak/>
        <w:t xml:space="preserve">competitive female athletes. PLoS One. 2018;13(1):1–12.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19. </w:t>
      </w:r>
      <w:r w:rsidRPr="002B505A">
        <w:rPr>
          <w:rFonts w:ascii="Arial" w:hAnsi="Arial" w:cs="Arial"/>
          <w:noProof/>
          <w:sz w:val="24"/>
          <w:szCs w:val="24"/>
          <w:lang w:val="en-GB"/>
        </w:rPr>
        <w:tab/>
        <w:t xml:space="preserve">Whiteley R, Jacobsen P, Prior S, Skazalski C, Otten R, Johnson A. Correlation of isokinetic and novel hand-held dynamometry measures of knee flexion and extension strength testing. J Sci Med Sport. 2012;15(5):444–50.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20. </w:t>
      </w:r>
      <w:r w:rsidRPr="002B505A">
        <w:rPr>
          <w:rFonts w:ascii="Arial" w:hAnsi="Arial" w:cs="Arial"/>
          <w:noProof/>
          <w:sz w:val="24"/>
          <w:szCs w:val="24"/>
          <w:lang w:val="en-GB"/>
        </w:rPr>
        <w:tab/>
        <w:t xml:space="preserve">Peek K, Gatherer D, Bennett KJM, Fransen J, Watsford M. Muscle strength characteristics of the hamstrings and quadriceps in players from a high-level youth football (soccer) Academy. Res Sport Med. 2018;26(3):276–88.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21. </w:t>
      </w:r>
      <w:r w:rsidRPr="002B505A">
        <w:rPr>
          <w:rFonts w:ascii="Arial" w:hAnsi="Arial" w:cs="Arial"/>
          <w:noProof/>
          <w:sz w:val="24"/>
          <w:szCs w:val="24"/>
          <w:lang w:val="en-GB"/>
        </w:rPr>
        <w:tab/>
        <w:t xml:space="preserve">Ahmad CS, Clark AM, Heilmann N, Schoeb JS, Gardner TR, Levine WN. Effect of gender and maturity on quadriceps-to-hamstring strength ratio and anterior cruciate ligament laxity. Am J Sport Med. 2006;34(3):370–4.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22. </w:t>
      </w:r>
      <w:r w:rsidRPr="002B505A">
        <w:rPr>
          <w:rFonts w:ascii="Arial" w:hAnsi="Arial" w:cs="Arial"/>
          <w:noProof/>
          <w:sz w:val="24"/>
          <w:szCs w:val="24"/>
          <w:lang w:val="en-GB"/>
        </w:rPr>
        <w:tab/>
        <w:t xml:space="preserve">Ekstrand J, Hägglund M, Waldén M. Injury incidence and injury patterns in professional football : the UEFA injury study. Br J Sport Med. 2011;45(7):553–8.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23. </w:t>
      </w:r>
      <w:r w:rsidRPr="002B505A">
        <w:rPr>
          <w:rFonts w:ascii="Arial" w:hAnsi="Arial" w:cs="Arial"/>
          <w:noProof/>
          <w:sz w:val="24"/>
          <w:szCs w:val="24"/>
          <w:lang w:val="en-GB"/>
        </w:rPr>
        <w:tab/>
        <w:t xml:space="preserve">Behan FP, Willis S, Pain MTG, Folland JP. Effects of football simulated fatigue on neuromuscular function and whole-body response to disturbances in balance. Scand J Med Sci Sport. 2018;28(12):2547–57.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24. </w:t>
      </w:r>
      <w:r w:rsidRPr="002B505A">
        <w:rPr>
          <w:rFonts w:ascii="Arial" w:hAnsi="Arial" w:cs="Arial"/>
          <w:noProof/>
          <w:sz w:val="24"/>
          <w:szCs w:val="24"/>
          <w:lang w:val="en-GB"/>
        </w:rPr>
        <w:tab/>
        <w:t xml:space="preserve">Pinto M, Blazevich A, Andersen L, Mil-Homens P, Pinto R. Hamstring-to-quadriceps fatigue ratio offers new and different muscle function information than the conventional non-fatigued ratio. Scand J Med Sci Sport. 2017;28(1):282–93.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25. </w:t>
      </w:r>
      <w:r w:rsidRPr="002B505A">
        <w:rPr>
          <w:rFonts w:ascii="Arial" w:hAnsi="Arial" w:cs="Arial"/>
          <w:noProof/>
          <w:sz w:val="24"/>
          <w:szCs w:val="24"/>
          <w:lang w:val="en-GB"/>
        </w:rPr>
        <w:tab/>
        <w:t xml:space="preserve">Buchheit M. The 30-15 Intermittent Fitness Test: 10 year review. Myorobie J. 2010;1:1–9.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26. </w:t>
      </w:r>
      <w:r w:rsidRPr="002B505A">
        <w:rPr>
          <w:rFonts w:ascii="Arial" w:hAnsi="Arial" w:cs="Arial"/>
          <w:noProof/>
          <w:sz w:val="24"/>
          <w:szCs w:val="24"/>
          <w:lang w:val="en-GB"/>
        </w:rPr>
        <w:tab/>
        <w:t xml:space="preserve">Haydar B, Buchheit M. Le 30-15 Intermittent Fitness Test- application pour le Basketball. Pivot. 2009;2–5.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27. </w:t>
      </w:r>
      <w:r w:rsidRPr="002B505A">
        <w:rPr>
          <w:rFonts w:ascii="Arial" w:hAnsi="Arial" w:cs="Arial"/>
          <w:noProof/>
          <w:sz w:val="24"/>
          <w:szCs w:val="24"/>
          <w:lang w:val="en-GB"/>
        </w:rPr>
        <w:tab/>
        <w:t xml:space="preserve">Buchheit M. The 30-15 Intermittent Fitness Test: Accuracy For Individualizing Interval Training of Young Intermittent Sport Players. J Strength Cond Res. 2008;22(2):365–74.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28. </w:t>
      </w:r>
      <w:r w:rsidRPr="002B505A">
        <w:rPr>
          <w:rFonts w:ascii="Arial" w:hAnsi="Arial" w:cs="Arial"/>
          <w:noProof/>
          <w:sz w:val="24"/>
          <w:szCs w:val="24"/>
          <w:lang w:val="en-GB"/>
        </w:rPr>
        <w:tab/>
        <w:t xml:space="preserve">Pallicer-Chenoll M, Serra-Añó P, Cabeza-Ruiz R, Pardo A, Aranda R, González L. Comparison of conventional hamstring/quadriceps ratio </w:t>
      </w:r>
      <w:r w:rsidRPr="002B505A">
        <w:rPr>
          <w:rFonts w:ascii="Arial" w:hAnsi="Arial" w:cs="Arial"/>
          <w:noProof/>
          <w:sz w:val="24"/>
          <w:szCs w:val="24"/>
          <w:lang w:val="en-GB"/>
        </w:rPr>
        <w:lastRenderedPageBreak/>
        <w:t xml:space="preserve">between genders in level-matched soccer players. Rev Andl Med Deport. 2017;10(1):14–8.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29. </w:t>
      </w:r>
      <w:r w:rsidRPr="002B505A">
        <w:rPr>
          <w:rFonts w:ascii="Arial" w:hAnsi="Arial" w:cs="Arial"/>
          <w:noProof/>
          <w:sz w:val="24"/>
          <w:szCs w:val="24"/>
          <w:lang w:val="en-GB"/>
        </w:rPr>
        <w:tab/>
        <w:t xml:space="preserve">Delextrat A, Gregory J, Cohen D. The use of the functional H:Q ratio to assess fatigue in soccer. Int J Sport Med. 2010;31(3):192–7.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30. </w:t>
      </w:r>
      <w:r w:rsidRPr="002B505A">
        <w:rPr>
          <w:rFonts w:ascii="Arial" w:hAnsi="Arial" w:cs="Arial"/>
          <w:noProof/>
          <w:sz w:val="24"/>
          <w:szCs w:val="24"/>
          <w:lang w:val="en-GB"/>
        </w:rPr>
        <w:tab/>
        <w:t xml:space="preserve">Impellizzeri FM, Rampinini E, Coutts AJ, Marcora SM. Use of RPE-based training load in soccer. Med Sci Sport Exerc. 2004;36(6):1042–7. </w:t>
      </w:r>
    </w:p>
    <w:p w:rsidR="00EE7DE8" w:rsidRPr="002B505A" w:rsidRDefault="00EE7DE8" w:rsidP="00EE7DE8">
      <w:pPr>
        <w:widowControl w:val="0"/>
        <w:autoSpaceDE w:val="0"/>
        <w:autoSpaceDN w:val="0"/>
        <w:adjustRightInd w:val="0"/>
        <w:spacing w:line="360" w:lineRule="auto"/>
        <w:ind w:left="640" w:hanging="640"/>
        <w:jc w:val="both"/>
        <w:rPr>
          <w:rFonts w:ascii="Arial" w:hAnsi="Arial" w:cs="Arial"/>
          <w:noProof/>
          <w:sz w:val="24"/>
          <w:szCs w:val="24"/>
          <w:lang w:val="en-GB"/>
        </w:rPr>
      </w:pPr>
      <w:r w:rsidRPr="002B505A">
        <w:rPr>
          <w:rFonts w:ascii="Arial" w:hAnsi="Arial" w:cs="Arial"/>
          <w:noProof/>
          <w:sz w:val="24"/>
          <w:szCs w:val="24"/>
          <w:lang w:val="en-GB"/>
        </w:rPr>
        <w:t xml:space="preserve">31. </w:t>
      </w:r>
      <w:r w:rsidRPr="002B505A">
        <w:rPr>
          <w:rFonts w:ascii="Arial" w:hAnsi="Arial" w:cs="Arial"/>
          <w:noProof/>
          <w:sz w:val="24"/>
          <w:szCs w:val="24"/>
          <w:lang w:val="en-GB"/>
        </w:rPr>
        <w:tab/>
        <w:t xml:space="preserve">Clemente FM, Mendes B, Palao JM, Silvério A, Carriço S, Calvete F, et al. Seasonal player wellness and its longitudinal association with internal training load: study in elite volleyball. J Sport Med Phys Fit [Internet]. 2019;59(3):345–51. </w:t>
      </w:r>
    </w:p>
    <w:p w:rsidR="00EE7DE8" w:rsidRPr="003D1FBA" w:rsidRDefault="00EE7DE8" w:rsidP="00EE7DE8">
      <w:pPr>
        <w:widowControl w:val="0"/>
        <w:autoSpaceDE w:val="0"/>
        <w:autoSpaceDN w:val="0"/>
        <w:adjustRightInd w:val="0"/>
        <w:spacing w:line="360" w:lineRule="auto"/>
        <w:ind w:left="640" w:hanging="640"/>
        <w:jc w:val="both"/>
        <w:rPr>
          <w:rFonts w:ascii="Arial" w:hAnsi="Arial" w:cs="Arial"/>
          <w:noProof/>
          <w:sz w:val="24"/>
        </w:rPr>
      </w:pPr>
      <w:r w:rsidRPr="002B505A">
        <w:rPr>
          <w:rFonts w:ascii="Arial" w:hAnsi="Arial" w:cs="Arial"/>
          <w:noProof/>
          <w:sz w:val="24"/>
          <w:szCs w:val="24"/>
          <w:lang w:val="en-GB"/>
        </w:rPr>
        <w:t xml:space="preserve">32. </w:t>
      </w:r>
      <w:r w:rsidRPr="002B505A">
        <w:rPr>
          <w:rFonts w:ascii="Arial" w:hAnsi="Arial" w:cs="Arial"/>
          <w:noProof/>
          <w:sz w:val="24"/>
          <w:szCs w:val="24"/>
          <w:lang w:val="en-GB"/>
        </w:rPr>
        <w:tab/>
        <w:t xml:space="preserve">Freitas VH, Nakamura FY, Miloski B, Samulski D, Mauricio G. Sensitivity of Physiological and Psychological Markers to Training Load Intensi- fication in Volleyball Players. </w:t>
      </w:r>
      <w:r w:rsidRPr="003D1FBA">
        <w:rPr>
          <w:rFonts w:ascii="Arial" w:hAnsi="Arial" w:cs="Arial"/>
          <w:noProof/>
          <w:sz w:val="24"/>
          <w:szCs w:val="24"/>
        </w:rPr>
        <w:t xml:space="preserve">J Sport Sci Med. 2014;13(3):571–9. </w:t>
      </w:r>
    </w:p>
    <w:p w:rsidR="00704849" w:rsidRPr="003D1FBA" w:rsidRDefault="00EE7DE8" w:rsidP="00051712">
      <w:pPr>
        <w:spacing w:line="360" w:lineRule="auto"/>
        <w:jc w:val="both"/>
        <w:rPr>
          <w:rFonts w:ascii="Arial" w:hAnsi="Arial" w:cs="Arial"/>
          <w:sz w:val="24"/>
          <w:szCs w:val="24"/>
        </w:rPr>
      </w:pPr>
      <w:r w:rsidRPr="003D1FBA">
        <w:rPr>
          <w:rFonts w:ascii="Arial" w:hAnsi="Arial" w:cs="Arial"/>
          <w:sz w:val="24"/>
          <w:szCs w:val="24"/>
        </w:rPr>
        <w:fldChar w:fldCharType="end"/>
      </w:r>
      <w:r w:rsidR="00704849" w:rsidRPr="003D1FBA">
        <w:rPr>
          <w:rFonts w:ascii="Arial" w:hAnsi="Arial" w:cs="Arial"/>
          <w:sz w:val="24"/>
          <w:szCs w:val="24"/>
        </w:rPr>
        <w:br w:type="page"/>
      </w:r>
    </w:p>
    <w:p w:rsidR="00254A4D" w:rsidRPr="003D1FBA" w:rsidRDefault="002A3127" w:rsidP="00D835DC">
      <w:pPr>
        <w:pStyle w:val="Ttol1"/>
        <w:spacing w:line="360" w:lineRule="auto"/>
        <w:jc w:val="both"/>
      </w:pPr>
      <w:bookmarkStart w:id="19" w:name="_Toc20417710"/>
      <w:r w:rsidRPr="003D1FBA">
        <w:lastRenderedPageBreak/>
        <w:t>Ta</w:t>
      </w:r>
      <w:r w:rsidR="00361290">
        <w:t>bla</w:t>
      </w:r>
      <w:r w:rsidRPr="003D1FBA">
        <w:t>s</w:t>
      </w:r>
      <w:bookmarkEnd w:id="19"/>
    </w:p>
    <w:tbl>
      <w:tblPr>
        <w:tblpPr w:leftFromText="141" w:rightFromText="141" w:vertAnchor="text" w:horzAnchor="margin" w:tblpXSpec="center" w:tblpY="179"/>
        <w:tblOverlap w:val="neve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1"/>
        <w:gridCol w:w="1678"/>
        <w:gridCol w:w="64"/>
        <w:gridCol w:w="1752"/>
        <w:gridCol w:w="1745"/>
        <w:gridCol w:w="1751"/>
        <w:gridCol w:w="1643"/>
      </w:tblGrid>
      <w:tr w:rsidR="00A1483F" w:rsidRPr="003D1FBA" w:rsidTr="008748A8">
        <w:trPr>
          <w:cantSplit/>
          <w:trHeight w:val="372"/>
          <w:tblHeader/>
        </w:trPr>
        <w:tc>
          <w:tcPr>
            <w:tcW w:w="9214" w:type="dxa"/>
            <w:gridSpan w:val="7"/>
            <w:tcBorders>
              <w:top w:val="single" w:sz="4" w:space="0" w:color="auto"/>
              <w:left w:val="nil"/>
              <w:bottom w:val="nil"/>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rPr>
                <w:rFonts w:ascii="Arial" w:hAnsi="Arial" w:cs="Arial"/>
                <w:color w:val="000000"/>
                <w:sz w:val="18"/>
                <w:szCs w:val="18"/>
              </w:rPr>
            </w:pPr>
            <w:r w:rsidRPr="003D1FBA">
              <w:rPr>
                <w:rFonts w:ascii="Arial" w:hAnsi="Arial" w:cs="Arial"/>
                <w:sz w:val="18"/>
                <w:szCs w:val="18"/>
              </w:rPr>
              <w:t>Ta</w:t>
            </w:r>
            <w:r w:rsidR="00361290">
              <w:rPr>
                <w:rFonts w:ascii="Arial" w:hAnsi="Arial" w:cs="Arial"/>
                <w:sz w:val="18"/>
                <w:szCs w:val="18"/>
              </w:rPr>
              <w:t>b</w:t>
            </w:r>
            <w:r w:rsidRPr="003D1FBA">
              <w:rPr>
                <w:rFonts w:ascii="Arial" w:hAnsi="Arial" w:cs="Arial"/>
                <w:sz w:val="18"/>
                <w:szCs w:val="18"/>
              </w:rPr>
              <w:t>la 1. Característi</w:t>
            </w:r>
            <w:r w:rsidR="00361290">
              <w:rPr>
                <w:rFonts w:ascii="Arial" w:hAnsi="Arial" w:cs="Arial"/>
                <w:sz w:val="18"/>
                <w:szCs w:val="18"/>
              </w:rPr>
              <w:t>ca</w:t>
            </w:r>
            <w:r w:rsidRPr="003D1FBA">
              <w:rPr>
                <w:rFonts w:ascii="Arial" w:hAnsi="Arial" w:cs="Arial"/>
                <w:sz w:val="18"/>
                <w:szCs w:val="18"/>
              </w:rPr>
              <w:t>s de</w:t>
            </w:r>
            <w:r w:rsidR="00361290">
              <w:rPr>
                <w:rFonts w:ascii="Arial" w:hAnsi="Arial" w:cs="Arial"/>
                <w:sz w:val="18"/>
                <w:szCs w:val="18"/>
              </w:rPr>
              <w:t xml:space="preserve"> </w:t>
            </w:r>
            <w:r w:rsidRPr="003D1FBA">
              <w:rPr>
                <w:rFonts w:ascii="Arial" w:hAnsi="Arial" w:cs="Arial"/>
                <w:sz w:val="18"/>
                <w:szCs w:val="18"/>
              </w:rPr>
              <w:t>l</w:t>
            </w:r>
            <w:r w:rsidR="00361290">
              <w:rPr>
                <w:rFonts w:ascii="Arial" w:hAnsi="Arial" w:cs="Arial"/>
                <w:sz w:val="18"/>
                <w:szCs w:val="18"/>
              </w:rPr>
              <w:t>o</w:t>
            </w:r>
            <w:r w:rsidRPr="003D1FBA">
              <w:rPr>
                <w:rFonts w:ascii="Arial" w:hAnsi="Arial" w:cs="Arial"/>
                <w:sz w:val="18"/>
                <w:szCs w:val="18"/>
              </w:rPr>
              <w:t>s participant</w:t>
            </w:r>
            <w:r w:rsidR="00361290">
              <w:rPr>
                <w:rFonts w:ascii="Arial" w:hAnsi="Arial" w:cs="Arial"/>
                <w:sz w:val="18"/>
                <w:szCs w:val="18"/>
              </w:rPr>
              <w:t>e</w:t>
            </w:r>
            <w:r w:rsidRPr="003D1FBA">
              <w:rPr>
                <w:rFonts w:ascii="Arial" w:hAnsi="Arial" w:cs="Arial"/>
                <w:sz w:val="18"/>
                <w:szCs w:val="18"/>
              </w:rPr>
              <w:t>s (n: 30)</w:t>
            </w:r>
          </w:p>
        </w:tc>
      </w:tr>
      <w:tr w:rsidR="00A1483F" w:rsidRPr="003D1FBA" w:rsidTr="008748A8">
        <w:trPr>
          <w:cantSplit/>
          <w:trHeight w:val="372"/>
          <w:tblHeader/>
        </w:trPr>
        <w:tc>
          <w:tcPr>
            <w:tcW w:w="581" w:type="dxa"/>
            <w:tcBorders>
              <w:top w:val="single" w:sz="4" w:space="0" w:color="auto"/>
              <w:left w:val="nil"/>
              <w:bottom w:val="nil"/>
              <w:right w:val="nil"/>
            </w:tcBorders>
            <w:shd w:val="clear" w:color="auto" w:fill="FFFFFF"/>
            <w:vAlign w:val="center"/>
          </w:tcPr>
          <w:p w:rsidR="00A1483F" w:rsidRPr="003D1FBA" w:rsidRDefault="00A1483F" w:rsidP="008748A8">
            <w:pPr>
              <w:autoSpaceDE w:val="0"/>
              <w:autoSpaceDN w:val="0"/>
              <w:adjustRightInd w:val="0"/>
              <w:spacing w:after="0" w:line="240" w:lineRule="auto"/>
              <w:jc w:val="center"/>
              <w:rPr>
                <w:rFonts w:cstheme="minorHAnsi"/>
                <w:color w:val="000000"/>
                <w:sz w:val="18"/>
                <w:szCs w:val="18"/>
              </w:rPr>
            </w:pPr>
          </w:p>
        </w:tc>
        <w:tc>
          <w:tcPr>
            <w:tcW w:w="3494" w:type="dxa"/>
            <w:gridSpan w:val="3"/>
            <w:tcBorders>
              <w:top w:val="single" w:sz="4" w:space="0" w:color="auto"/>
              <w:left w:val="nil"/>
              <w:bottom w:val="nil"/>
              <w:right w:val="nil"/>
            </w:tcBorders>
            <w:shd w:val="clear" w:color="auto" w:fill="FFFFFF"/>
            <w:vAlign w:val="center"/>
          </w:tcPr>
          <w:p w:rsidR="00A1483F" w:rsidRPr="003D1FBA" w:rsidRDefault="00361290" w:rsidP="008748A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Baloncesto</w:t>
            </w:r>
          </w:p>
        </w:tc>
        <w:tc>
          <w:tcPr>
            <w:tcW w:w="3496" w:type="dxa"/>
            <w:gridSpan w:val="2"/>
            <w:tcBorders>
              <w:top w:val="single" w:sz="4" w:space="0" w:color="auto"/>
              <w:left w:val="nil"/>
              <w:bottom w:val="nil"/>
              <w:right w:val="nil"/>
            </w:tcBorders>
            <w:shd w:val="clear" w:color="auto" w:fill="FFFFFF"/>
            <w:vAlign w:val="center"/>
          </w:tcPr>
          <w:p w:rsidR="00A1483F" w:rsidRPr="003D1FBA" w:rsidRDefault="00814891" w:rsidP="008748A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Balonmano</w:t>
            </w:r>
          </w:p>
        </w:tc>
        <w:tc>
          <w:tcPr>
            <w:tcW w:w="1643" w:type="dxa"/>
            <w:vMerge w:val="restart"/>
            <w:tcBorders>
              <w:top w:val="single" w:sz="4" w:space="0" w:color="auto"/>
              <w:left w:val="nil"/>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Total (n = 30)</w:t>
            </w:r>
          </w:p>
        </w:tc>
      </w:tr>
      <w:tr w:rsidR="00A1483F" w:rsidRPr="003D1FBA" w:rsidTr="008748A8">
        <w:trPr>
          <w:cantSplit/>
          <w:trHeight w:val="417"/>
          <w:tblHeader/>
        </w:trPr>
        <w:tc>
          <w:tcPr>
            <w:tcW w:w="581" w:type="dxa"/>
            <w:tcBorders>
              <w:top w:val="nil"/>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240" w:lineRule="auto"/>
              <w:jc w:val="center"/>
              <w:rPr>
                <w:rFonts w:cstheme="minorHAnsi"/>
                <w:color w:val="000000"/>
                <w:sz w:val="18"/>
                <w:szCs w:val="18"/>
              </w:rPr>
            </w:pPr>
          </w:p>
        </w:tc>
        <w:tc>
          <w:tcPr>
            <w:tcW w:w="1678" w:type="dxa"/>
            <w:tcBorders>
              <w:top w:val="nil"/>
              <w:left w:val="nil"/>
              <w:bottom w:val="single" w:sz="2"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Cadet</w:t>
            </w:r>
            <w:r w:rsidR="00361290">
              <w:rPr>
                <w:rFonts w:ascii="Arial" w:hAnsi="Arial" w:cs="Arial"/>
                <w:color w:val="000000"/>
                <w:sz w:val="18"/>
                <w:szCs w:val="18"/>
              </w:rPr>
              <w:t>e</w:t>
            </w:r>
            <w:r w:rsidRPr="003D1FBA">
              <w:rPr>
                <w:rFonts w:ascii="Arial" w:hAnsi="Arial" w:cs="Arial"/>
                <w:color w:val="000000"/>
                <w:sz w:val="18"/>
                <w:szCs w:val="18"/>
              </w:rPr>
              <w:t xml:space="preserve"> (n = 9)</w:t>
            </w:r>
          </w:p>
        </w:tc>
        <w:tc>
          <w:tcPr>
            <w:tcW w:w="1816" w:type="dxa"/>
            <w:gridSpan w:val="2"/>
            <w:tcBorders>
              <w:top w:val="nil"/>
              <w:left w:val="nil"/>
              <w:bottom w:val="single" w:sz="2"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Juvenil (n = 10)</w:t>
            </w:r>
          </w:p>
        </w:tc>
        <w:tc>
          <w:tcPr>
            <w:tcW w:w="1745" w:type="dxa"/>
            <w:tcBorders>
              <w:top w:val="nil"/>
              <w:left w:val="nil"/>
              <w:bottom w:val="single" w:sz="2"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Cadet</w:t>
            </w:r>
            <w:r w:rsidR="00361290">
              <w:rPr>
                <w:rFonts w:ascii="Arial" w:hAnsi="Arial" w:cs="Arial"/>
                <w:color w:val="000000"/>
                <w:sz w:val="18"/>
                <w:szCs w:val="18"/>
              </w:rPr>
              <w:t>e</w:t>
            </w:r>
            <w:r w:rsidRPr="003D1FBA">
              <w:rPr>
                <w:rFonts w:ascii="Arial" w:hAnsi="Arial" w:cs="Arial"/>
                <w:color w:val="000000"/>
                <w:sz w:val="18"/>
                <w:szCs w:val="18"/>
              </w:rPr>
              <w:t xml:space="preserve"> (n = 4)</w:t>
            </w:r>
          </w:p>
        </w:tc>
        <w:tc>
          <w:tcPr>
            <w:tcW w:w="1751" w:type="dxa"/>
            <w:tcBorders>
              <w:top w:val="nil"/>
              <w:left w:val="nil"/>
              <w:bottom w:val="single" w:sz="2"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Juvenil (n = 7)</w:t>
            </w:r>
          </w:p>
        </w:tc>
        <w:tc>
          <w:tcPr>
            <w:tcW w:w="1643" w:type="dxa"/>
            <w:vMerge/>
            <w:tcBorders>
              <w:left w:val="nil"/>
              <w:bottom w:val="single" w:sz="2" w:space="0" w:color="auto"/>
              <w:right w:val="nil"/>
            </w:tcBorders>
            <w:shd w:val="clear" w:color="auto" w:fill="FFFFFF"/>
          </w:tcPr>
          <w:p w:rsidR="00A1483F" w:rsidRPr="003D1FBA" w:rsidRDefault="00A1483F" w:rsidP="008748A8">
            <w:pPr>
              <w:autoSpaceDE w:val="0"/>
              <w:autoSpaceDN w:val="0"/>
              <w:adjustRightInd w:val="0"/>
              <w:spacing w:after="0" w:line="320" w:lineRule="atLeast"/>
              <w:ind w:left="60" w:right="60"/>
              <w:jc w:val="center"/>
              <w:rPr>
                <w:rFonts w:cstheme="minorHAnsi"/>
                <w:color w:val="000000"/>
                <w:sz w:val="18"/>
                <w:szCs w:val="18"/>
              </w:rPr>
            </w:pPr>
          </w:p>
        </w:tc>
      </w:tr>
      <w:tr w:rsidR="00A1483F" w:rsidRPr="003D1FBA" w:rsidTr="008748A8">
        <w:trPr>
          <w:cantSplit/>
          <w:trHeight w:val="611"/>
          <w:tblHeader/>
        </w:trPr>
        <w:tc>
          <w:tcPr>
            <w:tcW w:w="581" w:type="dxa"/>
            <w:tcBorders>
              <w:top w:val="nil"/>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240" w:lineRule="auto"/>
              <w:jc w:val="center"/>
              <w:rPr>
                <w:rFonts w:cstheme="minorHAnsi"/>
                <w:color w:val="000000"/>
                <w:sz w:val="18"/>
                <w:szCs w:val="18"/>
              </w:rPr>
            </w:pPr>
            <w:r w:rsidRPr="003D1FBA">
              <w:rPr>
                <w:rFonts w:ascii="Arial" w:hAnsi="Arial" w:cs="Arial"/>
                <w:color w:val="000000"/>
                <w:sz w:val="18"/>
                <w:szCs w:val="18"/>
              </w:rPr>
              <w:t>Eda</w:t>
            </w:r>
            <w:r w:rsidR="00361290">
              <w:rPr>
                <w:rFonts w:ascii="Arial" w:hAnsi="Arial" w:cs="Arial"/>
                <w:color w:val="000000"/>
                <w:sz w:val="18"/>
                <w:szCs w:val="18"/>
              </w:rPr>
              <w:t>d</w:t>
            </w:r>
            <w:r w:rsidRPr="003D1FBA">
              <w:rPr>
                <w:rFonts w:ascii="Arial" w:hAnsi="Arial" w:cs="Arial"/>
                <w:color w:val="000000"/>
                <w:sz w:val="18"/>
                <w:szCs w:val="18"/>
              </w:rPr>
              <w:t xml:space="preserve"> (a</w:t>
            </w:r>
            <w:r w:rsidR="00361290">
              <w:rPr>
                <w:rFonts w:ascii="Arial" w:hAnsi="Arial" w:cs="Arial"/>
                <w:color w:val="000000"/>
                <w:sz w:val="18"/>
                <w:szCs w:val="18"/>
              </w:rPr>
              <w:t>ños</w:t>
            </w:r>
            <w:r w:rsidRPr="003D1FBA">
              <w:rPr>
                <w:rFonts w:ascii="Arial" w:hAnsi="Arial" w:cs="Arial"/>
                <w:color w:val="000000"/>
                <w:sz w:val="18"/>
                <w:szCs w:val="18"/>
              </w:rPr>
              <w:t>)</w:t>
            </w:r>
          </w:p>
        </w:tc>
        <w:tc>
          <w:tcPr>
            <w:tcW w:w="1742" w:type="dxa"/>
            <w:gridSpan w:val="2"/>
            <w:tcBorders>
              <w:top w:val="single" w:sz="2" w:space="0" w:color="auto"/>
              <w:left w:val="nil"/>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p>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15.93 ± 0.61</w:t>
            </w:r>
          </w:p>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p>
        </w:tc>
        <w:tc>
          <w:tcPr>
            <w:tcW w:w="1752" w:type="dxa"/>
            <w:tcBorders>
              <w:top w:val="single" w:sz="2"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18.04 ± 0.60</w:t>
            </w:r>
          </w:p>
        </w:tc>
        <w:tc>
          <w:tcPr>
            <w:tcW w:w="1745" w:type="dxa"/>
            <w:tcBorders>
              <w:top w:val="single" w:sz="2"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15.71 ± 0.66</w:t>
            </w:r>
          </w:p>
        </w:tc>
        <w:tc>
          <w:tcPr>
            <w:tcW w:w="1751" w:type="dxa"/>
            <w:tcBorders>
              <w:top w:val="single" w:sz="2"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17.72 ± 0.57</w:t>
            </w:r>
          </w:p>
        </w:tc>
        <w:tc>
          <w:tcPr>
            <w:tcW w:w="1643" w:type="dxa"/>
            <w:tcBorders>
              <w:top w:val="single" w:sz="2"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17.02 ± 1.19</w:t>
            </w:r>
          </w:p>
        </w:tc>
      </w:tr>
      <w:tr w:rsidR="00A1483F" w:rsidRPr="003D1FBA" w:rsidTr="008748A8">
        <w:trPr>
          <w:cantSplit/>
          <w:trHeight w:val="741"/>
          <w:tblHeader/>
        </w:trPr>
        <w:tc>
          <w:tcPr>
            <w:tcW w:w="581" w:type="dxa"/>
            <w:tcBorders>
              <w:top w:val="single" w:sz="4"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Talla (cm)</w:t>
            </w:r>
          </w:p>
        </w:tc>
        <w:tc>
          <w:tcPr>
            <w:tcW w:w="1742" w:type="dxa"/>
            <w:gridSpan w:val="2"/>
            <w:tcBorders>
              <w:left w:val="nil"/>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177.9 ± 7.3</w:t>
            </w:r>
          </w:p>
        </w:tc>
        <w:tc>
          <w:tcPr>
            <w:tcW w:w="1752" w:type="dxa"/>
            <w:tcBorders>
              <w:top w:val="single" w:sz="4"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181.5 ± 7.5</w:t>
            </w:r>
          </w:p>
        </w:tc>
        <w:tc>
          <w:tcPr>
            <w:tcW w:w="1745" w:type="dxa"/>
            <w:tcBorders>
              <w:top w:val="single" w:sz="4"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175.2 ± 5.8</w:t>
            </w:r>
          </w:p>
        </w:tc>
        <w:tc>
          <w:tcPr>
            <w:tcW w:w="1751" w:type="dxa"/>
            <w:tcBorders>
              <w:top w:val="single" w:sz="4"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173.9 ± 5.5</w:t>
            </w:r>
          </w:p>
        </w:tc>
        <w:tc>
          <w:tcPr>
            <w:tcW w:w="1643" w:type="dxa"/>
            <w:tcBorders>
              <w:top w:val="single" w:sz="4"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177.8 ± 7.2</w:t>
            </w:r>
          </w:p>
        </w:tc>
      </w:tr>
      <w:tr w:rsidR="00A1483F" w:rsidRPr="003D1FBA" w:rsidTr="008748A8">
        <w:trPr>
          <w:cantSplit/>
          <w:trHeight w:val="741"/>
          <w:tblHeader/>
        </w:trPr>
        <w:tc>
          <w:tcPr>
            <w:tcW w:w="581" w:type="dxa"/>
            <w:tcBorders>
              <w:top w:val="single" w:sz="4"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Pes</w:t>
            </w:r>
            <w:r w:rsidR="00361290">
              <w:rPr>
                <w:rFonts w:ascii="Arial" w:hAnsi="Arial" w:cs="Arial"/>
                <w:color w:val="000000"/>
                <w:sz w:val="18"/>
                <w:szCs w:val="18"/>
              </w:rPr>
              <w:t>o</w:t>
            </w:r>
          </w:p>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(kg)</w:t>
            </w:r>
          </w:p>
        </w:tc>
        <w:tc>
          <w:tcPr>
            <w:tcW w:w="1742" w:type="dxa"/>
            <w:gridSpan w:val="2"/>
            <w:tcBorders>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71.3 ± 10.1</w:t>
            </w:r>
          </w:p>
        </w:tc>
        <w:tc>
          <w:tcPr>
            <w:tcW w:w="1752" w:type="dxa"/>
            <w:tcBorders>
              <w:top w:val="single" w:sz="4"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71.4 ± 10.9</w:t>
            </w:r>
          </w:p>
        </w:tc>
        <w:tc>
          <w:tcPr>
            <w:tcW w:w="1745" w:type="dxa"/>
            <w:tcBorders>
              <w:top w:val="single" w:sz="4"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63.9 ± 7.6</w:t>
            </w:r>
          </w:p>
        </w:tc>
        <w:tc>
          <w:tcPr>
            <w:tcW w:w="1751" w:type="dxa"/>
            <w:tcBorders>
              <w:top w:val="single" w:sz="4"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64.0 ± 3.8</w:t>
            </w:r>
          </w:p>
        </w:tc>
        <w:tc>
          <w:tcPr>
            <w:tcW w:w="1643" w:type="dxa"/>
            <w:tcBorders>
              <w:top w:val="single" w:sz="4" w:space="0" w:color="auto"/>
              <w:left w:val="nil"/>
              <w:bottom w:val="single" w:sz="4" w:space="0" w:color="auto"/>
              <w:right w:val="nil"/>
            </w:tcBorders>
            <w:shd w:val="clear" w:color="auto" w:fill="FFFFFF"/>
            <w:vAlign w:val="center"/>
          </w:tcPr>
          <w:p w:rsidR="00A1483F" w:rsidRPr="003D1FBA" w:rsidRDefault="00A1483F" w:rsidP="008748A8">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68.6 ± 9.3</w:t>
            </w:r>
          </w:p>
        </w:tc>
      </w:tr>
    </w:tbl>
    <w:p w:rsidR="00A1483F" w:rsidRPr="003D1FBA" w:rsidRDefault="00A1483F" w:rsidP="002A3127">
      <w:pPr>
        <w:rPr>
          <w:rFonts w:ascii="Arial" w:hAnsi="Arial" w:cs="Arial"/>
          <w:sz w:val="24"/>
          <w:szCs w:val="24"/>
        </w:rPr>
      </w:pPr>
    </w:p>
    <w:tbl>
      <w:tblPr>
        <w:tblpPr w:leftFromText="141" w:rightFromText="141" w:vertAnchor="page" w:horzAnchor="margin" w:tblpXSpec="center" w:tblpY="6541"/>
        <w:tblOverlap w:val="never"/>
        <w:tblW w:w="8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48"/>
        <w:gridCol w:w="2889"/>
        <w:gridCol w:w="2889"/>
      </w:tblGrid>
      <w:tr w:rsidR="00A1483F" w:rsidRPr="003D1FBA" w:rsidTr="00CC317F">
        <w:trPr>
          <w:cantSplit/>
          <w:trHeight w:val="346"/>
          <w:tblHeader/>
        </w:trPr>
        <w:tc>
          <w:tcPr>
            <w:tcW w:w="8126" w:type="dxa"/>
            <w:gridSpan w:val="3"/>
            <w:tcBorders>
              <w:top w:val="single" w:sz="4" w:space="0" w:color="auto"/>
              <w:left w:val="nil"/>
              <w:bottom w:val="single" w:sz="2"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right="60"/>
              <w:rPr>
                <w:rFonts w:ascii="Arial" w:hAnsi="Arial" w:cs="Arial"/>
                <w:sz w:val="18"/>
                <w:szCs w:val="18"/>
              </w:rPr>
            </w:pPr>
            <w:r w:rsidRPr="003D1FBA">
              <w:rPr>
                <w:rFonts w:ascii="Arial" w:hAnsi="Arial" w:cs="Arial"/>
                <w:sz w:val="18"/>
                <w:szCs w:val="18"/>
              </w:rPr>
              <w:t>T</w:t>
            </w:r>
            <w:r w:rsidR="00361290">
              <w:rPr>
                <w:rFonts w:ascii="Arial" w:hAnsi="Arial" w:cs="Arial"/>
                <w:sz w:val="18"/>
                <w:szCs w:val="18"/>
              </w:rPr>
              <w:t>ab</w:t>
            </w:r>
            <w:r w:rsidRPr="003D1FBA">
              <w:rPr>
                <w:rFonts w:ascii="Arial" w:hAnsi="Arial" w:cs="Arial"/>
                <w:sz w:val="18"/>
                <w:szCs w:val="18"/>
              </w:rPr>
              <w:t>la 2. R</w:t>
            </w:r>
            <w:r w:rsidR="00361290">
              <w:rPr>
                <w:rFonts w:ascii="Arial" w:hAnsi="Arial" w:cs="Arial"/>
                <w:sz w:val="18"/>
                <w:szCs w:val="18"/>
              </w:rPr>
              <w:t>a</w:t>
            </w:r>
            <w:r w:rsidRPr="003D1FBA">
              <w:rPr>
                <w:rFonts w:ascii="Arial" w:hAnsi="Arial" w:cs="Arial"/>
                <w:sz w:val="18"/>
                <w:szCs w:val="18"/>
              </w:rPr>
              <w:t xml:space="preserve">tio de la </w:t>
            </w:r>
            <w:r w:rsidR="00361290">
              <w:rPr>
                <w:rFonts w:ascii="Arial" w:hAnsi="Arial" w:cs="Arial"/>
                <w:sz w:val="18"/>
                <w:szCs w:val="18"/>
              </w:rPr>
              <w:t>pierna derecha</w:t>
            </w:r>
            <w:r w:rsidRPr="003D1FBA">
              <w:rPr>
                <w:rFonts w:ascii="Arial" w:hAnsi="Arial" w:cs="Arial"/>
                <w:sz w:val="18"/>
                <w:szCs w:val="18"/>
              </w:rPr>
              <w:t xml:space="preserve"> </w:t>
            </w:r>
            <w:r w:rsidR="00361290">
              <w:rPr>
                <w:rFonts w:ascii="Arial" w:hAnsi="Arial" w:cs="Arial"/>
                <w:sz w:val="18"/>
                <w:szCs w:val="18"/>
              </w:rPr>
              <w:t>e izquierda antes</w:t>
            </w:r>
            <w:r w:rsidRPr="003D1FBA">
              <w:rPr>
                <w:rFonts w:ascii="Arial" w:hAnsi="Arial" w:cs="Arial"/>
                <w:sz w:val="18"/>
                <w:szCs w:val="18"/>
              </w:rPr>
              <w:t xml:space="preserve"> </w:t>
            </w:r>
            <w:r w:rsidR="00361290">
              <w:rPr>
                <w:rFonts w:ascii="Arial" w:hAnsi="Arial" w:cs="Arial"/>
                <w:sz w:val="18"/>
                <w:szCs w:val="18"/>
              </w:rPr>
              <w:t>y</w:t>
            </w:r>
            <w:r w:rsidRPr="003D1FBA">
              <w:rPr>
                <w:rFonts w:ascii="Arial" w:hAnsi="Arial" w:cs="Arial"/>
                <w:sz w:val="18"/>
                <w:szCs w:val="18"/>
              </w:rPr>
              <w:t xml:space="preserve"> desp</w:t>
            </w:r>
            <w:r w:rsidR="00361290">
              <w:rPr>
                <w:rFonts w:ascii="Arial" w:hAnsi="Arial" w:cs="Arial"/>
                <w:sz w:val="18"/>
                <w:szCs w:val="18"/>
              </w:rPr>
              <w:t>u</w:t>
            </w:r>
            <w:r w:rsidRPr="003D1FBA">
              <w:rPr>
                <w:rFonts w:ascii="Arial" w:hAnsi="Arial" w:cs="Arial"/>
                <w:sz w:val="18"/>
                <w:szCs w:val="18"/>
              </w:rPr>
              <w:t>és del 30-15IFT</w:t>
            </w:r>
          </w:p>
        </w:tc>
      </w:tr>
      <w:tr w:rsidR="00A1483F" w:rsidRPr="003D1FBA" w:rsidTr="00CC317F">
        <w:trPr>
          <w:cantSplit/>
          <w:trHeight w:val="584"/>
          <w:tblHeader/>
        </w:trPr>
        <w:tc>
          <w:tcPr>
            <w:tcW w:w="2348" w:type="dxa"/>
            <w:tcBorders>
              <w:top w:val="single" w:sz="4" w:space="0" w:color="auto"/>
              <w:left w:val="nil"/>
              <w:bottom w:val="single" w:sz="2" w:space="0" w:color="auto"/>
              <w:right w:val="nil"/>
            </w:tcBorders>
            <w:shd w:val="clear" w:color="auto" w:fill="FFFFFF"/>
            <w:vAlign w:val="center"/>
          </w:tcPr>
          <w:p w:rsidR="00A1483F" w:rsidRPr="003D1FBA" w:rsidRDefault="00A1483F" w:rsidP="00465993">
            <w:pPr>
              <w:autoSpaceDE w:val="0"/>
              <w:autoSpaceDN w:val="0"/>
              <w:adjustRightInd w:val="0"/>
              <w:spacing w:after="0" w:line="240" w:lineRule="auto"/>
              <w:jc w:val="center"/>
              <w:rPr>
                <w:rFonts w:ascii="Times New Roman" w:hAnsi="Times New Roman" w:cs="Times New Roman"/>
                <w:sz w:val="24"/>
                <w:szCs w:val="24"/>
              </w:rPr>
            </w:pPr>
          </w:p>
        </w:tc>
        <w:tc>
          <w:tcPr>
            <w:tcW w:w="2889" w:type="dxa"/>
            <w:tcBorders>
              <w:top w:val="single" w:sz="4" w:space="0" w:color="auto"/>
              <w:left w:val="nil"/>
              <w:bottom w:val="single" w:sz="2"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R</w:t>
            </w:r>
            <w:r w:rsidR="00361290">
              <w:rPr>
                <w:rFonts w:ascii="Arial" w:hAnsi="Arial" w:cs="Arial"/>
                <w:color w:val="000000"/>
                <w:sz w:val="18"/>
                <w:szCs w:val="18"/>
              </w:rPr>
              <w:t>a</w:t>
            </w:r>
            <w:r w:rsidRPr="003D1FBA">
              <w:rPr>
                <w:rFonts w:ascii="Arial" w:hAnsi="Arial" w:cs="Arial"/>
                <w:color w:val="000000"/>
                <w:sz w:val="18"/>
                <w:szCs w:val="18"/>
              </w:rPr>
              <w:t>tio D (n = 30)</w:t>
            </w:r>
          </w:p>
        </w:tc>
        <w:tc>
          <w:tcPr>
            <w:tcW w:w="2889" w:type="dxa"/>
            <w:tcBorders>
              <w:top w:val="single" w:sz="4" w:space="0" w:color="auto"/>
              <w:left w:val="nil"/>
              <w:bottom w:val="single" w:sz="2"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R</w:t>
            </w:r>
            <w:r w:rsidR="00361290">
              <w:rPr>
                <w:rFonts w:ascii="Arial" w:hAnsi="Arial" w:cs="Arial"/>
                <w:color w:val="000000"/>
                <w:sz w:val="18"/>
                <w:szCs w:val="18"/>
              </w:rPr>
              <w:t>a</w:t>
            </w:r>
            <w:r w:rsidRPr="003D1FBA">
              <w:rPr>
                <w:rFonts w:ascii="Arial" w:hAnsi="Arial" w:cs="Arial"/>
                <w:color w:val="000000"/>
                <w:sz w:val="18"/>
                <w:szCs w:val="18"/>
              </w:rPr>
              <w:t xml:space="preserve">tio </w:t>
            </w:r>
            <w:r w:rsidR="004A0F05">
              <w:rPr>
                <w:rFonts w:ascii="Arial" w:hAnsi="Arial" w:cs="Arial"/>
                <w:color w:val="000000"/>
                <w:sz w:val="18"/>
                <w:szCs w:val="18"/>
              </w:rPr>
              <w:t>Iz</w:t>
            </w:r>
            <w:r w:rsidRPr="003D1FBA">
              <w:rPr>
                <w:rFonts w:ascii="Arial" w:hAnsi="Arial" w:cs="Arial"/>
                <w:color w:val="000000"/>
                <w:sz w:val="18"/>
                <w:szCs w:val="18"/>
              </w:rPr>
              <w:t xml:space="preserve"> (n = 30)</w:t>
            </w:r>
          </w:p>
        </w:tc>
      </w:tr>
      <w:tr w:rsidR="00A1483F" w:rsidRPr="003D1FBA" w:rsidTr="00CC317F">
        <w:trPr>
          <w:cantSplit/>
          <w:trHeight w:val="584"/>
          <w:tblHeader/>
        </w:trPr>
        <w:tc>
          <w:tcPr>
            <w:tcW w:w="2348" w:type="dxa"/>
            <w:tcBorders>
              <w:top w:val="single" w:sz="2" w:space="0" w:color="auto"/>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Pr</w:t>
            </w:r>
            <w:r w:rsidR="004A0F05">
              <w:rPr>
                <w:rFonts w:ascii="Arial" w:hAnsi="Arial" w:cs="Arial"/>
                <w:color w:val="000000"/>
                <w:sz w:val="18"/>
                <w:szCs w:val="18"/>
              </w:rPr>
              <w:t>e</w:t>
            </w:r>
            <w:r w:rsidRPr="003D1FBA">
              <w:rPr>
                <w:rFonts w:ascii="Arial" w:hAnsi="Arial" w:cs="Arial"/>
                <w:color w:val="000000"/>
                <w:sz w:val="18"/>
                <w:szCs w:val="18"/>
              </w:rPr>
              <w:t>via 30-15 IFT</w:t>
            </w:r>
          </w:p>
        </w:tc>
        <w:tc>
          <w:tcPr>
            <w:tcW w:w="2889" w:type="dxa"/>
            <w:tcBorders>
              <w:top w:val="single" w:sz="2" w:space="0" w:color="auto"/>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0.523 ± 0.8</w:t>
            </w:r>
          </w:p>
        </w:tc>
        <w:tc>
          <w:tcPr>
            <w:tcW w:w="2889" w:type="dxa"/>
            <w:tcBorders>
              <w:top w:val="single" w:sz="2" w:space="0" w:color="auto"/>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0.512 ± 0.13</w:t>
            </w:r>
          </w:p>
        </w:tc>
      </w:tr>
      <w:tr w:rsidR="00A1483F" w:rsidRPr="003D1FBA" w:rsidTr="00CC317F">
        <w:trPr>
          <w:cantSplit/>
          <w:trHeight w:val="584"/>
          <w:tblHeader/>
        </w:trPr>
        <w:tc>
          <w:tcPr>
            <w:tcW w:w="2348" w:type="dxa"/>
            <w:tcBorders>
              <w:top w:val="nil"/>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Posterior 30-15 IFT</w:t>
            </w:r>
          </w:p>
        </w:tc>
        <w:tc>
          <w:tcPr>
            <w:tcW w:w="2889" w:type="dxa"/>
            <w:tcBorders>
              <w:top w:val="nil"/>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0.506 ± 0.9</w:t>
            </w:r>
          </w:p>
        </w:tc>
        <w:tc>
          <w:tcPr>
            <w:tcW w:w="2889" w:type="dxa"/>
            <w:tcBorders>
              <w:top w:val="nil"/>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0.508 ± 0.13</w:t>
            </w:r>
          </w:p>
        </w:tc>
      </w:tr>
      <w:tr w:rsidR="00A1483F" w:rsidRPr="003D1FBA" w:rsidTr="00CC317F">
        <w:trPr>
          <w:cantSplit/>
          <w:trHeight w:val="584"/>
          <w:tblHeader/>
        </w:trPr>
        <w:tc>
          <w:tcPr>
            <w:tcW w:w="2348" w:type="dxa"/>
            <w:tcBorders>
              <w:top w:val="nil"/>
              <w:left w:val="nil"/>
              <w:bottom w:val="single" w:sz="4"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p-valor</w:t>
            </w:r>
          </w:p>
        </w:tc>
        <w:tc>
          <w:tcPr>
            <w:tcW w:w="2889" w:type="dxa"/>
            <w:tcBorders>
              <w:top w:val="nil"/>
              <w:left w:val="nil"/>
              <w:bottom w:val="single" w:sz="4"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sz w:val="18"/>
                <w:szCs w:val="18"/>
              </w:rPr>
              <w:t xml:space="preserve">≤ </w:t>
            </w:r>
            <w:r w:rsidRPr="003D1FBA">
              <w:rPr>
                <w:rFonts w:ascii="Arial" w:hAnsi="Arial" w:cs="Arial"/>
                <w:color w:val="000000"/>
                <w:sz w:val="18"/>
                <w:szCs w:val="18"/>
              </w:rPr>
              <w:t>0.30</w:t>
            </w:r>
          </w:p>
        </w:tc>
        <w:tc>
          <w:tcPr>
            <w:tcW w:w="2889" w:type="dxa"/>
            <w:tcBorders>
              <w:top w:val="nil"/>
              <w:left w:val="nil"/>
              <w:bottom w:val="single" w:sz="4"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sz w:val="18"/>
                <w:szCs w:val="18"/>
              </w:rPr>
              <w:t xml:space="preserve">≤ </w:t>
            </w:r>
            <w:r w:rsidRPr="003D1FBA">
              <w:rPr>
                <w:rFonts w:ascii="Arial" w:hAnsi="Arial" w:cs="Arial"/>
                <w:color w:val="000000"/>
                <w:sz w:val="18"/>
                <w:szCs w:val="18"/>
              </w:rPr>
              <w:t>0.35</w:t>
            </w:r>
          </w:p>
        </w:tc>
      </w:tr>
      <w:tr w:rsidR="00A1483F" w:rsidRPr="003D1FBA" w:rsidTr="00CC317F">
        <w:trPr>
          <w:cantSplit/>
          <w:trHeight w:val="346"/>
          <w:tblHeader/>
        </w:trPr>
        <w:tc>
          <w:tcPr>
            <w:tcW w:w="8126" w:type="dxa"/>
            <w:gridSpan w:val="3"/>
            <w:tcBorders>
              <w:top w:val="single" w:sz="4" w:space="0" w:color="auto"/>
              <w:left w:val="nil"/>
              <w:bottom w:val="single" w:sz="4"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rPr>
                <w:rFonts w:ascii="Arial" w:hAnsi="Arial" w:cs="Arial"/>
                <w:sz w:val="18"/>
                <w:szCs w:val="18"/>
              </w:rPr>
            </w:pPr>
            <w:r w:rsidRPr="003D1FBA">
              <w:rPr>
                <w:rFonts w:ascii="Arial" w:hAnsi="Arial" w:cs="Arial"/>
                <w:sz w:val="18"/>
                <w:szCs w:val="18"/>
              </w:rPr>
              <w:t>D = d</w:t>
            </w:r>
            <w:r w:rsidR="004A0F05">
              <w:rPr>
                <w:rFonts w:ascii="Arial" w:hAnsi="Arial" w:cs="Arial"/>
                <w:sz w:val="18"/>
                <w:szCs w:val="18"/>
              </w:rPr>
              <w:t>erecha</w:t>
            </w:r>
            <w:r w:rsidRPr="003D1FBA">
              <w:rPr>
                <w:rFonts w:ascii="Arial" w:hAnsi="Arial" w:cs="Arial"/>
                <w:sz w:val="18"/>
                <w:szCs w:val="18"/>
              </w:rPr>
              <w:t xml:space="preserve">; </w:t>
            </w:r>
            <w:r w:rsidR="004A0F05">
              <w:rPr>
                <w:rFonts w:ascii="Arial" w:hAnsi="Arial" w:cs="Arial"/>
                <w:sz w:val="18"/>
                <w:szCs w:val="18"/>
              </w:rPr>
              <w:t>Iz</w:t>
            </w:r>
            <w:r w:rsidRPr="003D1FBA">
              <w:rPr>
                <w:rFonts w:ascii="Arial" w:hAnsi="Arial" w:cs="Arial"/>
                <w:sz w:val="18"/>
                <w:szCs w:val="18"/>
              </w:rPr>
              <w:t xml:space="preserve"> = </w:t>
            </w:r>
            <w:r w:rsidR="004A0F05">
              <w:rPr>
                <w:rFonts w:ascii="Arial" w:hAnsi="Arial" w:cs="Arial"/>
                <w:sz w:val="18"/>
                <w:szCs w:val="18"/>
              </w:rPr>
              <w:t>izquierda</w:t>
            </w:r>
          </w:p>
        </w:tc>
      </w:tr>
    </w:tbl>
    <w:tbl>
      <w:tblPr>
        <w:tblpPr w:leftFromText="141" w:rightFromText="141" w:vertAnchor="text" w:horzAnchor="margin" w:tblpXSpec="center" w:tblpY="4801"/>
        <w:tblW w:w="7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81"/>
        <w:gridCol w:w="1474"/>
        <w:gridCol w:w="1474"/>
        <w:gridCol w:w="1473"/>
        <w:gridCol w:w="1474"/>
      </w:tblGrid>
      <w:tr w:rsidR="00A1483F" w:rsidRPr="003D1FBA" w:rsidTr="00CC317F">
        <w:trPr>
          <w:cantSplit/>
          <w:trHeight w:val="347"/>
          <w:tblHeader/>
        </w:trPr>
        <w:tc>
          <w:tcPr>
            <w:tcW w:w="5000" w:type="pct"/>
            <w:gridSpan w:val="5"/>
            <w:tcBorders>
              <w:top w:val="single" w:sz="4" w:space="0" w:color="auto"/>
              <w:left w:val="nil"/>
              <w:bottom w:val="single" w:sz="2"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rPr>
                <w:rFonts w:ascii="Arial" w:hAnsi="Arial" w:cs="Arial"/>
                <w:color w:val="000000"/>
                <w:sz w:val="18"/>
                <w:szCs w:val="18"/>
              </w:rPr>
            </w:pPr>
            <w:r w:rsidRPr="003D1FBA">
              <w:rPr>
                <w:rFonts w:ascii="Arial" w:hAnsi="Arial" w:cs="Arial"/>
                <w:sz w:val="18"/>
                <w:szCs w:val="18"/>
              </w:rPr>
              <w:t>T</w:t>
            </w:r>
            <w:r w:rsidR="004A0F05">
              <w:rPr>
                <w:rFonts w:ascii="Arial" w:hAnsi="Arial" w:cs="Arial"/>
                <w:sz w:val="18"/>
                <w:szCs w:val="18"/>
              </w:rPr>
              <w:t>ab</w:t>
            </w:r>
            <w:r w:rsidRPr="003D1FBA">
              <w:rPr>
                <w:rFonts w:ascii="Arial" w:hAnsi="Arial" w:cs="Arial"/>
                <w:sz w:val="18"/>
                <w:szCs w:val="18"/>
              </w:rPr>
              <w:t>la 3. F</w:t>
            </w:r>
            <w:r w:rsidR="004A0F05">
              <w:rPr>
                <w:rFonts w:ascii="Arial" w:hAnsi="Arial" w:cs="Arial"/>
                <w:sz w:val="18"/>
                <w:szCs w:val="18"/>
              </w:rPr>
              <w:t>uerz</w:t>
            </w:r>
            <w:r w:rsidRPr="003D1FBA">
              <w:rPr>
                <w:rFonts w:ascii="Arial" w:hAnsi="Arial" w:cs="Arial"/>
                <w:sz w:val="18"/>
                <w:szCs w:val="18"/>
              </w:rPr>
              <w:t xml:space="preserve">a muscular de </w:t>
            </w:r>
            <w:r w:rsidR="004A0F05">
              <w:rPr>
                <w:rFonts w:ascii="Arial" w:hAnsi="Arial" w:cs="Arial"/>
                <w:sz w:val="18"/>
                <w:szCs w:val="18"/>
              </w:rPr>
              <w:t>c</w:t>
            </w:r>
            <w:r w:rsidRPr="003D1FBA">
              <w:rPr>
                <w:rFonts w:ascii="Arial" w:hAnsi="Arial" w:cs="Arial"/>
                <w:sz w:val="18"/>
                <w:szCs w:val="18"/>
              </w:rPr>
              <w:t>u</w:t>
            </w:r>
            <w:r w:rsidR="004A0F05">
              <w:rPr>
                <w:rFonts w:ascii="Arial" w:hAnsi="Arial" w:cs="Arial"/>
                <w:sz w:val="18"/>
                <w:szCs w:val="18"/>
              </w:rPr>
              <w:t>á</w:t>
            </w:r>
            <w:r w:rsidRPr="003D1FBA">
              <w:rPr>
                <w:rFonts w:ascii="Arial" w:hAnsi="Arial" w:cs="Arial"/>
                <w:sz w:val="18"/>
                <w:szCs w:val="18"/>
              </w:rPr>
              <w:t xml:space="preserve">driceps </w:t>
            </w:r>
            <w:r w:rsidR="004A0F05">
              <w:rPr>
                <w:rFonts w:ascii="Arial" w:hAnsi="Arial" w:cs="Arial"/>
                <w:sz w:val="18"/>
                <w:szCs w:val="18"/>
              </w:rPr>
              <w:t>y</w:t>
            </w:r>
            <w:r w:rsidRPr="003D1FBA">
              <w:rPr>
                <w:rFonts w:ascii="Arial" w:hAnsi="Arial" w:cs="Arial"/>
                <w:sz w:val="18"/>
                <w:szCs w:val="18"/>
              </w:rPr>
              <w:t xml:space="preserve"> d</w:t>
            </w:r>
            <w:r w:rsidR="004A0F05">
              <w:rPr>
                <w:rFonts w:ascii="Arial" w:hAnsi="Arial" w:cs="Arial"/>
                <w:sz w:val="18"/>
                <w:szCs w:val="18"/>
              </w:rPr>
              <w:t xml:space="preserve">e </w:t>
            </w:r>
            <w:r w:rsidRPr="003D1FBA">
              <w:rPr>
                <w:rFonts w:ascii="Arial" w:hAnsi="Arial" w:cs="Arial"/>
                <w:sz w:val="18"/>
                <w:szCs w:val="18"/>
              </w:rPr>
              <w:t>isquiosural</w:t>
            </w:r>
            <w:r w:rsidR="004A0F05">
              <w:rPr>
                <w:rFonts w:ascii="Arial" w:hAnsi="Arial" w:cs="Arial"/>
                <w:sz w:val="18"/>
                <w:szCs w:val="18"/>
              </w:rPr>
              <w:t>e</w:t>
            </w:r>
            <w:r w:rsidRPr="003D1FBA">
              <w:rPr>
                <w:rFonts w:ascii="Arial" w:hAnsi="Arial" w:cs="Arial"/>
                <w:sz w:val="18"/>
                <w:szCs w:val="18"/>
              </w:rPr>
              <w:t>s pr</w:t>
            </w:r>
            <w:r w:rsidR="004A0F05">
              <w:rPr>
                <w:rFonts w:ascii="Arial" w:hAnsi="Arial" w:cs="Arial"/>
                <w:sz w:val="18"/>
                <w:szCs w:val="18"/>
              </w:rPr>
              <w:t>e</w:t>
            </w:r>
            <w:r w:rsidRPr="003D1FBA">
              <w:rPr>
                <w:rFonts w:ascii="Arial" w:hAnsi="Arial" w:cs="Arial"/>
                <w:sz w:val="18"/>
                <w:szCs w:val="18"/>
              </w:rPr>
              <w:t xml:space="preserve">via </w:t>
            </w:r>
            <w:r w:rsidR="004A0F05">
              <w:rPr>
                <w:rFonts w:ascii="Arial" w:hAnsi="Arial" w:cs="Arial"/>
                <w:sz w:val="18"/>
                <w:szCs w:val="18"/>
              </w:rPr>
              <w:t>y</w:t>
            </w:r>
            <w:r w:rsidRPr="003D1FBA">
              <w:rPr>
                <w:rFonts w:ascii="Arial" w:hAnsi="Arial" w:cs="Arial"/>
                <w:sz w:val="18"/>
                <w:szCs w:val="18"/>
              </w:rPr>
              <w:t xml:space="preserve"> posterior al 30-15 IFT</w:t>
            </w:r>
          </w:p>
        </w:tc>
      </w:tr>
      <w:tr w:rsidR="00A1483F" w:rsidRPr="003D1FBA" w:rsidTr="00CC317F">
        <w:trPr>
          <w:cantSplit/>
          <w:trHeight w:val="584"/>
          <w:tblHeader/>
        </w:trPr>
        <w:tc>
          <w:tcPr>
            <w:tcW w:w="1109" w:type="pct"/>
            <w:tcBorders>
              <w:top w:val="single" w:sz="4" w:space="0" w:color="auto"/>
              <w:left w:val="nil"/>
              <w:bottom w:val="single" w:sz="2" w:space="0" w:color="auto"/>
              <w:right w:val="nil"/>
            </w:tcBorders>
            <w:shd w:val="clear" w:color="auto" w:fill="FFFFFF"/>
            <w:vAlign w:val="center"/>
          </w:tcPr>
          <w:p w:rsidR="00A1483F" w:rsidRPr="003D1FBA" w:rsidRDefault="00A1483F" w:rsidP="00465993">
            <w:pPr>
              <w:autoSpaceDE w:val="0"/>
              <w:autoSpaceDN w:val="0"/>
              <w:adjustRightInd w:val="0"/>
              <w:spacing w:after="0" w:line="240" w:lineRule="auto"/>
              <w:jc w:val="center"/>
              <w:rPr>
                <w:rFonts w:ascii="Arial" w:hAnsi="Arial" w:cs="Arial"/>
                <w:sz w:val="18"/>
                <w:szCs w:val="18"/>
              </w:rPr>
            </w:pPr>
          </w:p>
        </w:tc>
        <w:tc>
          <w:tcPr>
            <w:tcW w:w="973" w:type="pct"/>
            <w:tcBorders>
              <w:top w:val="single" w:sz="4" w:space="0" w:color="auto"/>
              <w:left w:val="nil"/>
              <w:bottom w:val="single" w:sz="2"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F QD (n = 30)</w:t>
            </w:r>
          </w:p>
        </w:tc>
        <w:tc>
          <w:tcPr>
            <w:tcW w:w="973" w:type="pct"/>
            <w:tcBorders>
              <w:top w:val="single" w:sz="4" w:space="0" w:color="auto"/>
              <w:left w:val="nil"/>
              <w:bottom w:val="single" w:sz="2"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F Q</w:t>
            </w:r>
            <w:r w:rsidR="004A0F05">
              <w:rPr>
                <w:rFonts w:ascii="Arial" w:hAnsi="Arial" w:cs="Arial"/>
                <w:color w:val="000000"/>
                <w:sz w:val="18"/>
                <w:szCs w:val="18"/>
              </w:rPr>
              <w:t>Iz</w:t>
            </w:r>
            <w:r w:rsidRPr="003D1FBA">
              <w:rPr>
                <w:rFonts w:ascii="Arial" w:hAnsi="Arial" w:cs="Arial"/>
                <w:color w:val="000000"/>
                <w:sz w:val="18"/>
                <w:szCs w:val="18"/>
              </w:rPr>
              <w:t xml:space="preserve"> (n = 30)</w:t>
            </w:r>
          </w:p>
        </w:tc>
        <w:tc>
          <w:tcPr>
            <w:tcW w:w="972" w:type="pct"/>
            <w:tcBorders>
              <w:top w:val="single" w:sz="4" w:space="0" w:color="auto"/>
              <w:left w:val="nil"/>
              <w:bottom w:val="single" w:sz="2"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F ID (n = 30)</w:t>
            </w:r>
          </w:p>
        </w:tc>
        <w:tc>
          <w:tcPr>
            <w:tcW w:w="973" w:type="pct"/>
            <w:tcBorders>
              <w:top w:val="single" w:sz="4" w:space="0" w:color="auto"/>
              <w:left w:val="nil"/>
              <w:bottom w:val="single" w:sz="2"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F I</w:t>
            </w:r>
            <w:r w:rsidR="004A0F05">
              <w:rPr>
                <w:rFonts w:ascii="Arial" w:hAnsi="Arial" w:cs="Arial"/>
                <w:color w:val="000000"/>
                <w:sz w:val="18"/>
                <w:szCs w:val="18"/>
              </w:rPr>
              <w:t>Iz</w:t>
            </w:r>
            <w:r w:rsidRPr="003D1FBA">
              <w:rPr>
                <w:rFonts w:ascii="Arial" w:hAnsi="Arial" w:cs="Arial"/>
                <w:color w:val="000000"/>
                <w:sz w:val="18"/>
                <w:szCs w:val="18"/>
              </w:rPr>
              <w:t xml:space="preserve"> (n = 30)</w:t>
            </w:r>
          </w:p>
        </w:tc>
      </w:tr>
      <w:tr w:rsidR="00743ACF" w:rsidRPr="003D1FBA" w:rsidTr="00CC317F">
        <w:trPr>
          <w:cantSplit/>
          <w:trHeight w:val="584"/>
          <w:tblHeader/>
        </w:trPr>
        <w:tc>
          <w:tcPr>
            <w:tcW w:w="1109" w:type="pct"/>
            <w:tcBorders>
              <w:top w:val="single" w:sz="2" w:space="0" w:color="auto"/>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Pr</w:t>
            </w:r>
            <w:r w:rsidR="004A0F05">
              <w:rPr>
                <w:rFonts w:ascii="Arial" w:hAnsi="Arial" w:cs="Arial"/>
                <w:color w:val="000000"/>
                <w:sz w:val="18"/>
                <w:szCs w:val="18"/>
              </w:rPr>
              <w:t>e</w:t>
            </w:r>
            <w:r w:rsidRPr="003D1FBA">
              <w:rPr>
                <w:rFonts w:ascii="Arial" w:hAnsi="Arial" w:cs="Arial"/>
                <w:color w:val="000000"/>
                <w:sz w:val="18"/>
                <w:szCs w:val="18"/>
              </w:rPr>
              <w:t>via 30-15 IFT</w:t>
            </w:r>
          </w:p>
        </w:tc>
        <w:tc>
          <w:tcPr>
            <w:tcW w:w="973" w:type="pct"/>
            <w:tcBorders>
              <w:top w:val="single" w:sz="2" w:space="0" w:color="auto"/>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531N ± 83</w:t>
            </w:r>
          </w:p>
        </w:tc>
        <w:tc>
          <w:tcPr>
            <w:tcW w:w="973" w:type="pct"/>
            <w:tcBorders>
              <w:top w:val="single" w:sz="2" w:space="0" w:color="auto"/>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505N ± 127</w:t>
            </w:r>
          </w:p>
        </w:tc>
        <w:tc>
          <w:tcPr>
            <w:tcW w:w="972" w:type="pct"/>
            <w:tcBorders>
              <w:top w:val="single" w:sz="2" w:space="0" w:color="auto"/>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274N ± 41</w:t>
            </w:r>
          </w:p>
        </w:tc>
        <w:tc>
          <w:tcPr>
            <w:tcW w:w="973" w:type="pct"/>
            <w:tcBorders>
              <w:top w:val="single" w:sz="2" w:space="0" w:color="auto"/>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sz w:val="18"/>
                <w:szCs w:val="18"/>
              </w:rPr>
            </w:pPr>
            <w:r w:rsidRPr="003D1FBA">
              <w:rPr>
                <w:rFonts w:ascii="Arial" w:hAnsi="Arial" w:cs="Arial"/>
                <w:sz w:val="18"/>
                <w:szCs w:val="18"/>
              </w:rPr>
              <w:t xml:space="preserve">267N </w:t>
            </w:r>
            <w:r w:rsidRPr="003D1FBA">
              <w:rPr>
                <w:rFonts w:ascii="Arial" w:hAnsi="Arial" w:cs="Arial"/>
                <w:color w:val="000000"/>
                <w:sz w:val="18"/>
                <w:szCs w:val="18"/>
              </w:rPr>
              <w:t>± 60</w:t>
            </w:r>
          </w:p>
        </w:tc>
      </w:tr>
      <w:tr w:rsidR="00A1483F" w:rsidRPr="003D1FBA" w:rsidTr="00CC317F">
        <w:trPr>
          <w:cantSplit/>
          <w:trHeight w:val="584"/>
          <w:tblHeader/>
        </w:trPr>
        <w:tc>
          <w:tcPr>
            <w:tcW w:w="1109" w:type="pct"/>
            <w:tcBorders>
              <w:top w:val="nil"/>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Posterior 30-15 IFT</w:t>
            </w:r>
          </w:p>
        </w:tc>
        <w:tc>
          <w:tcPr>
            <w:tcW w:w="973" w:type="pct"/>
            <w:tcBorders>
              <w:top w:val="nil"/>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507N ± 91</w:t>
            </w:r>
          </w:p>
        </w:tc>
        <w:tc>
          <w:tcPr>
            <w:tcW w:w="973" w:type="pct"/>
            <w:tcBorders>
              <w:top w:val="nil"/>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477N ± 121</w:t>
            </w:r>
          </w:p>
        </w:tc>
        <w:tc>
          <w:tcPr>
            <w:tcW w:w="972" w:type="pct"/>
            <w:tcBorders>
              <w:top w:val="nil"/>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254N ± 49</w:t>
            </w:r>
          </w:p>
        </w:tc>
        <w:tc>
          <w:tcPr>
            <w:tcW w:w="973" w:type="pct"/>
            <w:tcBorders>
              <w:top w:val="nil"/>
              <w:left w:val="nil"/>
              <w:bottom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247N ± 62</w:t>
            </w:r>
          </w:p>
        </w:tc>
      </w:tr>
      <w:tr w:rsidR="00A1483F" w:rsidRPr="003D1FBA" w:rsidTr="00CC317F">
        <w:trPr>
          <w:cantSplit/>
          <w:trHeight w:val="584"/>
          <w:tblHeader/>
        </w:trPr>
        <w:tc>
          <w:tcPr>
            <w:tcW w:w="1109" w:type="pct"/>
            <w:tcBorders>
              <w:top w:val="nil"/>
              <w:left w:val="nil"/>
              <w:bottom w:val="single" w:sz="4"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p-valor</w:t>
            </w:r>
          </w:p>
        </w:tc>
        <w:tc>
          <w:tcPr>
            <w:tcW w:w="973" w:type="pct"/>
            <w:tcBorders>
              <w:top w:val="nil"/>
              <w:left w:val="nil"/>
              <w:bottom w:val="single" w:sz="4"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sz w:val="18"/>
                <w:szCs w:val="18"/>
              </w:rPr>
              <w:t xml:space="preserve">≤ </w:t>
            </w:r>
            <w:r w:rsidR="004537EC">
              <w:rPr>
                <w:rFonts w:ascii="Arial" w:hAnsi="Arial" w:cs="Arial"/>
                <w:color w:val="000000"/>
                <w:sz w:val="18"/>
                <w:szCs w:val="18"/>
              </w:rPr>
              <w:t>0.</w:t>
            </w:r>
            <w:r w:rsidRPr="003D1FBA">
              <w:rPr>
                <w:rFonts w:ascii="Arial" w:hAnsi="Arial" w:cs="Arial"/>
                <w:color w:val="000000"/>
                <w:sz w:val="18"/>
                <w:szCs w:val="18"/>
              </w:rPr>
              <w:t>05</w:t>
            </w:r>
          </w:p>
        </w:tc>
        <w:tc>
          <w:tcPr>
            <w:tcW w:w="973" w:type="pct"/>
            <w:tcBorders>
              <w:top w:val="nil"/>
              <w:left w:val="nil"/>
              <w:bottom w:val="single" w:sz="4" w:space="0" w:color="auto"/>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sz w:val="18"/>
                <w:szCs w:val="18"/>
              </w:rPr>
              <w:t xml:space="preserve">≤ </w:t>
            </w:r>
            <w:r w:rsidR="004537EC">
              <w:rPr>
                <w:rFonts w:ascii="Arial" w:hAnsi="Arial" w:cs="Arial"/>
                <w:color w:val="000000"/>
                <w:sz w:val="18"/>
                <w:szCs w:val="18"/>
              </w:rPr>
              <w:t>0.</w:t>
            </w:r>
            <w:r w:rsidRPr="003D1FBA">
              <w:rPr>
                <w:rFonts w:ascii="Arial" w:hAnsi="Arial" w:cs="Arial"/>
                <w:color w:val="000000"/>
                <w:sz w:val="18"/>
                <w:szCs w:val="18"/>
              </w:rPr>
              <w:t>01</w:t>
            </w:r>
          </w:p>
        </w:tc>
        <w:tc>
          <w:tcPr>
            <w:tcW w:w="972" w:type="pct"/>
            <w:tcBorders>
              <w:top w:val="nil"/>
              <w:left w:val="nil"/>
              <w:bottom w:val="single" w:sz="4" w:space="0" w:color="auto"/>
              <w:right w:val="nil"/>
            </w:tcBorders>
            <w:shd w:val="clear" w:color="auto" w:fill="FFFFFF"/>
            <w:vAlign w:val="center"/>
          </w:tcPr>
          <w:p w:rsidR="00A1483F" w:rsidRPr="003D1FBA" w:rsidRDefault="004537EC" w:rsidP="00465993">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&lt; 0.</w:t>
            </w:r>
            <w:r w:rsidR="00A1483F" w:rsidRPr="003D1FBA">
              <w:rPr>
                <w:rFonts w:ascii="Arial" w:hAnsi="Arial" w:cs="Arial"/>
                <w:color w:val="000000"/>
                <w:sz w:val="18"/>
                <w:szCs w:val="18"/>
              </w:rPr>
              <w:t>01</w:t>
            </w:r>
          </w:p>
        </w:tc>
        <w:tc>
          <w:tcPr>
            <w:tcW w:w="973" w:type="pct"/>
            <w:tcBorders>
              <w:top w:val="nil"/>
              <w:left w:val="nil"/>
              <w:bottom w:val="single" w:sz="4" w:space="0" w:color="auto"/>
              <w:right w:val="nil"/>
            </w:tcBorders>
            <w:shd w:val="clear" w:color="auto" w:fill="FFFFFF"/>
            <w:vAlign w:val="center"/>
          </w:tcPr>
          <w:p w:rsidR="00A1483F" w:rsidRPr="003D1FBA" w:rsidRDefault="004537EC" w:rsidP="00465993">
            <w:pPr>
              <w:autoSpaceDE w:val="0"/>
              <w:autoSpaceDN w:val="0"/>
              <w:adjustRightInd w:val="0"/>
              <w:spacing w:after="0" w:line="320" w:lineRule="atLeast"/>
              <w:ind w:left="60" w:right="60"/>
              <w:jc w:val="center"/>
              <w:rPr>
                <w:rFonts w:ascii="Arial" w:hAnsi="Arial" w:cs="Arial"/>
                <w:sz w:val="18"/>
                <w:szCs w:val="18"/>
              </w:rPr>
            </w:pPr>
            <w:r>
              <w:rPr>
                <w:rFonts w:ascii="Arial" w:hAnsi="Arial" w:cs="Arial"/>
                <w:color w:val="000000"/>
                <w:sz w:val="18"/>
                <w:szCs w:val="18"/>
              </w:rPr>
              <w:t>&lt; 0.</w:t>
            </w:r>
            <w:r w:rsidR="00A1483F" w:rsidRPr="003D1FBA">
              <w:rPr>
                <w:rFonts w:ascii="Arial" w:hAnsi="Arial" w:cs="Arial"/>
                <w:color w:val="000000"/>
                <w:sz w:val="18"/>
                <w:szCs w:val="18"/>
              </w:rPr>
              <w:t>01</w:t>
            </w:r>
          </w:p>
        </w:tc>
      </w:tr>
      <w:tr w:rsidR="00A1483F" w:rsidRPr="003D1FBA" w:rsidTr="00CC317F">
        <w:trPr>
          <w:cantSplit/>
          <w:trHeight w:val="346"/>
          <w:tblHeader/>
        </w:trPr>
        <w:tc>
          <w:tcPr>
            <w:tcW w:w="5000" w:type="pct"/>
            <w:gridSpan w:val="5"/>
            <w:tcBorders>
              <w:top w:val="single" w:sz="4" w:space="0" w:color="auto"/>
              <w:left w:val="nil"/>
              <w:right w:val="nil"/>
            </w:tcBorders>
            <w:shd w:val="clear" w:color="auto" w:fill="FFFFFF"/>
            <w:vAlign w:val="center"/>
          </w:tcPr>
          <w:p w:rsidR="00A1483F" w:rsidRPr="003D1FBA" w:rsidRDefault="00A1483F" w:rsidP="00465993">
            <w:pPr>
              <w:autoSpaceDE w:val="0"/>
              <w:autoSpaceDN w:val="0"/>
              <w:adjustRightInd w:val="0"/>
              <w:spacing w:after="0" w:line="320" w:lineRule="atLeast"/>
              <w:ind w:left="60" w:right="60"/>
              <w:rPr>
                <w:rFonts w:ascii="Arial" w:hAnsi="Arial" w:cs="Arial"/>
                <w:color w:val="000000"/>
                <w:sz w:val="18"/>
                <w:szCs w:val="18"/>
              </w:rPr>
            </w:pPr>
            <w:r w:rsidRPr="003D1FBA">
              <w:rPr>
                <w:rFonts w:ascii="Arial" w:hAnsi="Arial" w:cs="Arial"/>
                <w:sz w:val="16"/>
                <w:szCs w:val="16"/>
              </w:rPr>
              <w:t>F = f</w:t>
            </w:r>
            <w:r w:rsidR="004A0F05">
              <w:rPr>
                <w:rFonts w:ascii="Arial" w:hAnsi="Arial" w:cs="Arial"/>
                <w:sz w:val="16"/>
                <w:szCs w:val="16"/>
              </w:rPr>
              <w:t>uerza</w:t>
            </w:r>
            <w:r w:rsidRPr="003D1FBA">
              <w:rPr>
                <w:rFonts w:ascii="Arial" w:hAnsi="Arial" w:cs="Arial"/>
                <w:sz w:val="16"/>
                <w:szCs w:val="16"/>
              </w:rPr>
              <w:t xml:space="preserve">; QD = </w:t>
            </w:r>
            <w:r w:rsidR="004A0F05">
              <w:rPr>
                <w:rFonts w:ascii="Arial" w:hAnsi="Arial" w:cs="Arial"/>
                <w:sz w:val="16"/>
                <w:szCs w:val="16"/>
              </w:rPr>
              <w:t>c</w:t>
            </w:r>
            <w:r w:rsidRPr="003D1FBA">
              <w:rPr>
                <w:rFonts w:ascii="Arial" w:hAnsi="Arial" w:cs="Arial"/>
                <w:sz w:val="16"/>
                <w:szCs w:val="16"/>
              </w:rPr>
              <w:t>u</w:t>
            </w:r>
            <w:r w:rsidR="004A0F05">
              <w:rPr>
                <w:rFonts w:ascii="Arial" w:hAnsi="Arial" w:cs="Arial"/>
                <w:sz w:val="16"/>
                <w:szCs w:val="16"/>
              </w:rPr>
              <w:t>á</w:t>
            </w:r>
            <w:r w:rsidRPr="003D1FBA">
              <w:rPr>
                <w:rFonts w:ascii="Arial" w:hAnsi="Arial" w:cs="Arial"/>
                <w:sz w:val="16"/>
                <w:szCs w:val="16"/>
              </w:rPr>
              <w:t>driceps d</w:t>
            </w:r>
            <w:r w:rsidR="004A0F05">
              <w:rPr>
                <w:rFonts w:ascii="Arial" w:hAnsi="Arial" w:cs="Arial"/>
                <w:sz w:val="16"/>
                <w:szCs w:val="16"/>
              </w:rPr>
              <w:t>erecho</w:t>
            </w:r>
            <w:r w:rsidRPr="003D1FBA">
              <w:rPr>
                <w:rFonts w:ascii="Arial" w:hAnsi="Arial" w:cs="Arial"/>
                <w:sz w:val="16"/>
                <w:szCs w:val="16"/>
              </w:rPr>
              <w:t>; Q</w:t>
            </w:r>
            <w:r w:rsidR="004A0F05">
              <w:rPr>
                <w:rFonts w:ascii="Arial" w:hAnsi="Arial" w:cs="Arial"/>
                <w:sz w:val="16"/>
                <w:szCs w:val="16"/>
              </w:rPr>
              <w:t>Iz</w:t>
            </w:r>
            <w:r w:rsidRPr="003D1FBA">
              <w:rPr>
                <w:rFonts w:ascii="Arial" w:hAnsi="Arial" w:cs="Arial"/>
                <w:sz w:val="16"/>
                <w:szCs w:val="16"/>
              </w:rPr>
              <w:t xml:space="preserve"> = </w:t>
            </w:r>
            <w:r w:rsidR="004A0F05">
              <w:rPr>
                <w:rFonts w:ascii="Arial" w:hAnsi="Arial" w:cs="Arial"/>
                <w:sz w:val="16"/>
                <w:szCs w:val="16"/>
              </w:rPr>
              <w:t>c</w:t>
            </w:r>
            <w:r w:rsidRPr="003D1FBA">
              <w:rPr>
                <w:rFonts w:ascii="Arial" w:hAnsi="Arial" w:cs="Arial"/>
                <w:sz w:val="16"/>
                <w:szCs w:val="16"/>
              </w:rPr>
              <w:t>u</w:t>
            </w:r>
            <w:r w:rsidR="004A0F05">
              <w:rPr>
                <w:rFonts w:ascii="Arial" w:hAnsi="Arial" w:cs="Arial"/>
                <w:sz w:val="16"/>
                <w:szCs w:val="16"/>
              </w:rPr>
              <w:t>á</w:t>
            </w:r>
            <w:r w:rsidRPr="003D1FBA">
              <w:rPr>
                <w:rFonts w:ascii="Arial" w:hAnsi="Arial" w:cs="Arial"/>
                <w:sz w:val="16"/>
                <w:szCs w:val="16"/>
              </w:rPr>
              <w:t xml:space="preserve">driceps </w:t>
            </w:r>
            <w:r w:rsidR="004A0F05">
              <w:rPr>
                <w:rFonts w:ascii="Arial" w:hAnsi="Arial" w:cs="Arial"/>
                <w:sz w:val="16"/>
                <w:szCs w:val="16"/>
              </w:rPr>
              <w:t>izquierdo</w:t>
            </w:r>
            <w:r w:rsidRPr="003D1FBA">
              <w:rPr>
                <w:rFonts w:ascii="Arial" w:hAnsi="Arial" w:cs="Arial"/>
                <w:sz w:val="16"/>
                <w:szCs w:val="16"/>
              </w:rPr>
              <w:t>; ID = isquiosural</w:t>
            </w:r>
            <w:r w:rsidR="004A0F05">
              <w:rPr>
                <w:rFonts w:ascii="Arial" w:hAnsi="Arial" w:cs="Arial"/>
                <w:sz w:val="16"/>
                <w:szCs w:val="16"/>
              </w:rPr>
              <w:t>es</w:t>
            </w:r>
            <w:r w:rsidRPr="003D1FBA">
              <w:rPr>
                <w:rFonts w:ascii="Arial" w:hAnsi="Arial" w:cs="Arial"/>
                <w:sz w:val="16"/>
                <w:szCs w:val="16"/>
              </w:rPr>
              <w:t xml:space="preserve"> d</w:t>
            </w:r>
            <w:r w:rsidR="004A0F05">
              <w:rPr>
                <w:rFonts w:ascii="Arial" w:hAnsi="Arial" w:cs="Arial"/>
                <w:sz w:val="16"/>
                <w:szCs w:val="16"/>
              </w:rPr>
              <w:t>erecho</w:t>
            </w:r>
            <w:r w:rsidRPr="003D1FBA">
              <w:rPr>
                <w:rFonts w:ascii="Arial" w:hAnsi="Arial" w:cs="Arial"/>
                <w:sz w:val="16"/>
                <w:szCs w:val="16"/>
              </w:rPr>
              <w:t>; I</w:t>
            </w:r>
            <w:r w:rsidR="004A0F05">
              <w:rPr>
                <w:rFonts w:ascii="Arial" w:hAnsi="Arial" w:cs="Arial"/>
                <w:sz w:val="16"/>
                <w:szCs w:val="16"/>
              </w:rPr>
              <w:t>Iz</w:t>
            </w:r>
            <w:r w:rsidRPr="003D1FBA">
              <w:rPr>
                <w:rFonts w:ascii="Arial" w:hAnsi="Arial" w:cs="Arial"/>
                <w:sz w:val="16"/>
                <w:szCs w:val="16"/>
              </w:rPr>
              <w:t xml:space="preserve"> = isquiosural</w:t>
            </w:r>
            <w:r w:rsidR="004A0F05">
              <w:rPr>
                <w:rFonts w:ascii="Arial" w:hAnsi="Arial" w:cs="Arial"/>
                <w:sz w:val="16"/>
                <w:szCs w:val="16"/>
              </w:rPr>
              <w:t>es</w:t>
            </w:r>
            <w:r w:rsidRPr="003D1FBA">
              <w:rPr>
                <w:rFonts w:ascii="Arial" w:hAnsi="Arial" w:cs="Arial"/>
                <w:sz w:val="16"/>
                <w:szCs w:val="16"/>
              </w:rPr>
              <w:t xml:space="preserve"> </w:t>
            </w:r>
            <w:r w:rsidR="004A0F05">
              <w:rPr>
                <w:rFonts w:ascii="Arial" w:hAnsi="Arial" w:cs="Arial"/>
                <w:sz w:val="16"/>
                <w:szCs w:val="16"/>
              </w:rPr>
              <w:t>izquierdo</w:t>
            </w:r>
          </w:p>
        </w:tc>
      </w:tr>
    </w:tbl>
    <w:p w:rsidR="00743ACF" w:rsidRPr="003D1FBA" w:rsidRDefault="002A3127" w:rsidP="002A3127">
      <w:pPr>
        <w:rPr>
          <w:rFonts w:ascii="Arial" w:hAnsi="Arial" w:cs="Arial"/>
          <w:sz w:val="24"/>
          <w:szCs w:val="24"/>
        </w:rPr>
      </w:pPr>
      <w:r w:rsidRPr="003D1FBA">
        <w:rPr>
          <w:rFonts w:ascii="Arial" w:hAnsi="Arial" w:cs="Arial"/>
          <w:sz w:val="24"/>
          <w:szCs w:val="24"/>
        </w:rPr>
        <w:br w:type="page"/>
      </w:r>
    </w:p>
    <w:p w:rsidR="00D57459" w:rsidRPr="003D1FBA" w:rsidRDefault="00D57459" w:rsidP="00460B65">
      <w:pPr>
        <w:spacing w:line="360" w:lineRule="auto"/>
        <w:jc w:val="both"/>
        <w:rPr>
          <w:rFonts w:ascii="Arial" w:hAnsi="Arial" w:cs="Arial"/>
          <w:sz w:val="24"/>
          <w:szCs w:val="24"/>
        </w:rPr>
      </w:pPr>
    </w:p>
    <w:tbl>
      <w:tblPr>
        <w:tblW w:w="50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90"/>
        <w:gridCol w:w="1386"/>
        <w:gridCol w:w="1385"/>
      </w:tblGrid>
      <w:tr w:rsidR="00D57459" w:rsidRPr="004A0F05" w:rsidTr="00CC317F">
        <w:trPr>
          <w:cantSplit/>
          <w:trHeight w:val="346"/>
          <w:tblHeader/>
          <w:jc w:val="center"/>
        </w:trPr>
        <w:tc>
          <w:tcPr>
            <w:tcW w:w="5061" w:type="dxa"/>
            <w:gridSpan w:val="3"/>
            <w:tcBorders>
              <w:top w:val="single" w:sz="4" w:space="0" w:color="auto"/>
              <w:left w:val="nil"/>
              <w:bottom w:val="single" w:sz="4" w:space="0" w:color="auto"/>
              <w:right w:val="nil"/>
            </w:tcBorders>
            <w:shd w:val="clear" w:color="auto" w:fill="FFFFFF"/>
            <w:vAlign w:val="center"/>
          </w:tcPr>
          <w:p w:rsidR="00D57459" w:rsidRPr="004A0F05" w:rsidRDefault="00D57459" w:rsidP="00D57459">
            <w:pPr>
              <w:autoSpaceDE w:val="0"/>
              <w:autoSpaceDN w:val="0"/>
              <w:adjustRightInd w:val="0"/>
              <w:spacing w:after="0" w:line="320" w:lineRule="atLeast"/>
              <w:ind w:left="60" w:right="60"/>
              <w:rPr>
                <w:rFonts w:ascii="Arial" w:hAnsi="Arial" w:cs="Arial"/>
                <w:color w:val="000000"/>
                <w:sz w:val="18"/>
                <w:szCs w:val="18"/>
              </w:rPr>
            </w:pPr>
            <w:r w:rsidRPr="004A0F05">
              <w:rPr>
                <w:rFonts w:ascii="Arial" w:hAnsi="Arial" w:cs="Arial"/>
                <w:sz w:val="18"/>
                <w:szCs w:val="18"/>
              </w:rPr>
              <w:t>Ta</w:t>
            </w:r>
            <w:r w:rsidR="004A0F05" w:rsidRPr="004A0F05">
              <w:rPr>
                <w:rFonts w:ascii="Arial" w:hAnsi="Arial" w:cs="Arial"/>
                <w:sz w:val="18"/>
                <w:szCs w:val="18"/>
              </w:rPr>
              <w:t>b</w:t>
            </w:r>
            <w:r w:rsidRPr="004A0F05">
              <w:rPr>
                <w:rFonts w:ascii="Arial" w:hAnsi="Arial" w:cs="Arial"/>
                <w:sz w:val="18"/>
                <w:szCs w:val="18"/>
              </w:rPr>
              <w:t>la 4. Valor</w:t>
            </w:r>
            <w:r w:rsidR="004A0F05" w:rsidRPr="004A0F05">
              <w:rPr>
                <w:rFonts w:ascii="Arial" w:hAnsi="Arial" w:cs="Arial"/>
                <w:sz w:val="18"/>
                <w:szCs w:val="18"/>
              </w:rPr>
              <w:t>e</w:t>
            </w:r>
            <w:r w:rsidRPr="004A0F05">
              <w:rPr>
                <w:rFonts w:ascii="Arial" w:hAnsi="Arial" w:cs="Arial"/>
                <w:sz w:val="18"/>
                <w:szCs w:val="18"/>
              </w:rPr>
              <w:t xml:space="preserve">s del RPE pre </w:t>
            </w:r>
            <w:r w:rsidR="004A0F05" w:rsidRPr="004A0F05">
              <w:rPr>
                <w:rFonts w:ascii="Arial" w:hAnsi="Arial" w:cs="Arial"/>
                <w:sz w:val="18"/>
                <w:szCs w:val="18"/>
              </w:rPr>
              <w:t>y</w:t>
            </w:r>
            <w:r w:rsidRPr="004A0F05">
              <w:rPr>
                <w:rFonts w:ascii="Arial" w:hAnsi="Arial" w:cs="Arial"/>
                <w:sz w:val="18"/>
                <w:szCs w:val="18"/>
              </w:rPr>
              <w:t xml:space="preserve"> post 30-15 IFT</w:t>
            </w:r>
          </w:p>
        </w:tc>
      </w:tr>
      <w:tr w:rsidR="00D57459" w:rsidRPr="003D1FBA" w:rsidTr="00CC317F">
        <w:trPr>
          <w:cantSplit/>
          <w:trHeight w:val="584"/>
          <w:tblHeader/>
          <w:jc w:val="center"/>
        </w:trPr>
        <w:tc>
          <w:tcPr>
            <w:tcW w:w="2290" w:type="dxa"/>
            <w:tcBorders>
              <w:top w:val="nil"/>
              <w:left w:val="nil"/>
              <w:bottom w:val="single" w:sz="4" w:space="0" w:color="auto"/>
              <w:right w:val="nil"/>
            </w:tcBorders>
            <w:shd w:val="clear" w:color="auto" w:fill="FFFFFF"/>
            <w:vAlign w:val="center"/>
          </w:tcPr>
          <w:p w:rsidR="00D57459" w:rsidRPr="004A0F05" w:rsidRDefault="00D57459" w:rsidP="00D57459">
            <w:pPr>
              <w:autoSpaceDE w:val="0"/>
              <w:autoSpaceDN w:val="0"/>
              <w:adjustRightInd w:val="0"/>
              <w:spacing w:after="0" w:line="240" w:lineRule="auto"/>
              <w:jc w:val="center"/>
              <w:rPr>
                <w:rFonts w:ascii="Arial" w:hAnsi="Arial" w:cs="Arial"/>
                <w:sz w:val="18"/>
                <w:szCs w:val="18"/>
              </w:rPr>
            </w:pPr>
          </w:p>
        </w:tc>
        <w:tc>
          <w:tcPr>
            <w:tcW w:w="1386" w:type="dxa"/>
            <w:tcBorders>
              <w:top w:val="single" w:sz="4" w:space="0" w:color="auto"/>
              <w:left w:val="nil"/>
              <w:bottom w:val="single" w:sz="4" w:space="0" w:color="auto"/>
              <w:right w:val="nil"/>
            </w:tcBorders>
            <w:shd w:val="clear" w:color="auto" w:fill="FFFFFF"/>
            <w:vAlign w:val="center"/>
          </w:tcPr>
          <w:p w:rsidR="00D57459" w:rsidRPr="003D1FBA" w:rsidRDefault="00D57459" w:rsidP="00D57459">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RPE (n=30)</w:t>
            </w:r>
          </w:p>
        </w:tc>
        <w:tc>
          <w:tcPr>
            <w:tcW w:w="1385" w:type="dxa"/>
            <w:tcBorders>
              <w:top w:val="single" w:sz="4" w:space="0" w:color="auto"/>
              <w:left w:val="nil"/>
              <w:bottom w:val="single" w:sz="4" w:space="0" w:color="auto"/>
              <w:right w:val="nil"/>
            </w:tcBorders>
            <w:shd w:val="clear" w:color="auto" w:fill="FFFFFF"/>
            <w:vAlign w:val="center"/>
          </w:tcPr>
          <w:p w:rsidR="00D57459" w:rsidRPr="003D1FBA" w:rsidRDefault="00D57459" w:rsidP="00D57459">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p-valor</w:t>
            </w:r>
          </w:p>
        </w:tc>
      </w:tr>
      <w:tr w:rsidR="00D57459" w:rsidRPr="003D1FBA" w:rsidTr="00CC317F">
        <w:trPr>
          <w:cantSplit/>
          <w:trHeight w:val="584"/>
          <w:jc w:val="center"/>
        </w:trPr>
        <w:tc>
          <w:tcPr>
            <w:tcW w:w="2290" w:type="dxa"/>
            <w:tcBorders>
              <w:top w:val="single" w:sz="4" w:space="0" w:color="auto"/>
              <w:left w:val="nil"/>
              <w:bottom w:val="nil"/>
              <w:right w:val="nil"/>
            </w:tcBorders>
            <w:shd w:val="clear" w:color="auto" w:fill="FFFFFF"/>
            <w:vAlign w:val="center"/>
          </w:tcPr>
          <w:p w:rsidR="00D57459" w:rsidRPr="003D1FBA" w:rsidRDefault="00D57459" w:rsidP="00D57459">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Pr</w:t>
            </w:r>
            <w:r w:rsidR="004A0F05">
              <w:rPr>
                <w:rFonts w:ascii="Arial" w:hAnsi="Arial" w:cs="Arial"/>
                <w:color w:val="000000"/>
                <w:sz w:val="18"/>
                <w:szCs w:val="18"/>
              </w:rPr>
              <w:t>e</w:t>
            </w:r>
            <w:r w:rsidRPr="003D1FBA">
              <w:rPr>
                <w:rFonts w:ascii="Arial" w:hAnsi="Arial" w:cs="Arial"/>
                <w:color w:val="000000"/>
                <w:sz w:val="18"/>
                <w:szCs w:val="18"/>
              </w:rPr>
              <w:t>via 30-15 IFT</w:t>
            </w:r>
          </w:p>
        </w:tc>
        <w:tc>
          <w:tcPr>
            <w:tcW w:w="1386" w:type="dxa"/>
            <w:tcBorders>
              <w:top w:val="single" w:sz="4" w:space="0" w:color="auto"/>
              <w:left w:val="nil"/>
              <w:bottom w:val="nil"/>
              <w:right w:val="nil"/>
            </w:tcBorders>
            <w:shd w:val="clear" w:color="auto" w:fill="FFFFFF"/>
            <w:vAlign w:val="center"/>
          </w:tcPr>
          <w:p w:rsidR="00D57459" w:rsidRPr="003D1FBA" w:rsidRDefault="00D57459" w:rsidP="00D57459">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 xml:space="preserve">2 </w:t>
            </w:r>
            <w:r w:rsidR="00CC317F" w:rsidRPr="003D1FBA">
              <w:rPr>
                <w:rFonts w:ascii="Arial" w:hAnsi="Arial" w:cs="Arial"/>
                <w:color w:val="000000"/>
                <w:sz w:val="18"/>
                <w:szCs w:val="18"/>
              </w:rPr>
              <w:t>±</w:t>
            </w:r>
            <w:r w:rsidRPr="003D1FBA">
              <w:rPr>
                <w:rFonts w:ascii="Arial" w:hAnsi="Arial" w:cs="Arial"/>
                <w:color w:val="000000"/>
                <w:sz w:val="18"/>
                <w:szCs w:val="18"/>
              </w:rPr>
              <w:t xml:space="preserve"> 2</w:t>
            </w:r>
          </w:p>
        </w:tc>
        <w:tc>
          <w:tcPr>
            <w:tcW w:w="1385" w:type="dxa"/>
            <w:vMerge w:val="restart"/>
            <w:tcBorders>
              <w:top w:val="single" w:sz="4" w:space="0" w:color="auto"/>
              <w:left w:val="nil"/>
              <w:right w:val="nil"/>
            </w:tcBorders>
            <w:shd w:val="clear" w:color="auto" w:fill="FFFFFF"/>
            <w:vAlign w:val="center"/>
          </w:tcPr>
          <w:p w:rsidR="00D57459" w:rsidRPr="003D1FBA" w:rsidRDefault="004537EC" w:rsidP="00D5745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&lt; 0.</w:t>
            </w:r>
            <w:r w:rsidR="00D57459" w:rsidRPr="003D1FBA">
              <w:rPr>
                <w:rFonts w:ascii="Arial" w:hAnsi="Arial" w:cs="Arial"/>
                <w:color w:val="000000"/>
                <w:sz w:val="18"/>
                <w:szCs w:val="18"/>
              </w:rPr>
              <w:t>01</w:t>
            </w:r>
          </w:p>
        </w:tc>
      </w:tr>
      <w:tr w:rsidR="00D57459" w:rsidRPr="003D1FBA" w:rsidTr="00CC317F">
        <w:trPr>
          <w:cantSplit/>
          <w:trHeight w:val="584"/>
          <w:jc w:val="center"/>
        </w:trPr>
        <w:tc>
          <w:tcPr>
            <w:tcW w:w="2290" w:type="dxa"/>
            <w:tcBorders>
              <w:top w:val="nil"/>
              <w:left w:val="nil"/>
              <w:bottom w:val="single" w:sz="4" w:space="0" w:color="auto"/>
              <w:right w:val="nil"/>
            </w:tcBorders>
            <w:shd w:val="clear" w:color="auto" w:fill="FFFFFF"/>
            <w:vAlign w:val="center"/>
          </w:tcPr>
          <w:p w:rsidR="00D57459" w:rsidRPr="003D1FBA" w:rsidRDefault="00D57459" w:rsidP="00D57459">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Posterior 30-15 IFT</w:t>
            </w:r>
          </w:p>
        </w:tc>
        <w:tc>
          <w:tcPr>
            <w:tcW w:w="1386" w:type="dxa"/>
            <w:tcBorders>
              <w:top w:val="nil"/>
              <w:left w:val="nil"/>
              <w:bottom w:val="single" w:sz="4" w:space="0" w:color="auto"/>
              <w:right w:val="nil"/>
            </w:tcBorders>
            <w:shd w:val="clear" w:color="auto" w:fill="FFFFFF"/>
            <w:vAlign w:val="center"/>
          </w:tcPr>
          <w:p w:rsidR="00D57459" w:rsidRPr="003D1FBA" w:rsidRDefault="00D57459" w:rsidP="00D57459">
            <w:pPr>
              <w:autoSpaceDE w:val="0"/>
              <w:autoSpaceDN w:val="0"/>
              <w:adjustRightInd w:val="0"/>
              <w:spacing w:after="0" w:line="320" w:lineRule="atLeast"/>
              <w:ind w:left="60" w:right="60"/>
              <w:jc w:val="center"/>
              <w:rPr>
                <w:rFonts w:ascii="Arial" w:hAnsi="Arial" w:cs="Arial"/>
                <w:color w:val="000000"/>
                <w:sz w:val="18"/>
                <w:szCs w:val="18"/>
              </w:rPr>
            </w:pPr>
            <w:r w:rsidRPr="003D1FBA">
              <w:rPr>
                <w:rFonts w:ascii="Arial" w:hAnsi="Arial" w:cs="Arial"/>
                <w:color w:val="000000"/>
                <w:sz w:val="18"/>
                <w:szCs w:val="18"/>
              </w:rPr>
              <w:t xml:space="preserve">6 </w:t>
            </w:r>
            <w:r w:rsidR="00CC317F" w:rsidRPr="003D1FBA">
              <w:rPr>
                <w:rFonts w:ascii="Arial" w:hAnsi="Arial" w:cs="Arial"/>
                <w:color w:val="000000"/>
                <w:sz w:val="18"/>
                <w:szCs w:val="18"/>
              </w:rPr>
              <w:t>±</w:t>
            </w:r>
            <w:r w:rsidRPr="003D1FBA">
              <w:rPr>
                <w:rFonts w:ascii="Arial" w:hAnsi="Arial" w:cs="Arial"/>
                <w:color w:val="000000"/>
                <w:sz w:val="18"/>
                <w:szCs w:val="18"/>
              </w:rPr>
              <w:t xml:space="preserve"> 2</w:t>
            </w:r>
          </w:p>
        </w:tc>
        <w:tc>
          <w:tcPr>
            <w:tcW w:w="1385" w:type="dxa"/>
            <w:vMerge/>
            <w:tcBorders>
              <w:left w:val="nil"/>
              <w:bottom w:val="single" w:sz="4" w:space="0" w:color="auto"/>
              <w:right w:val="nil"/>
            </w:tcBorders>
            <w:shd w:val="clear" w:color="auto" w:fill="FFFFFF"/>
            <w:vAlign w:val="center"/>
          </w:tcPr>
          <w:p w:rsidR="00D57459" w:rsidRPr="003D1FBA" w:rsidRDefault="00D57459" w:rsidP="00D57459">
            <w:pPr>
              <w:autoSpaceDE w:val="0"/>
              <w:autoSpaceDN w:val="0"/>
              <w:adjustRightInd w:val="0"/>
              <w:spacing w:after="0" w:line="320" w:lineRule="atLeast"/>
              <w:ind w:left="60" w:right="60"/>
              <w:jc w:val="center"/>
              <w:rPr>
                <w:rFonts w:ascii="Arial" w:hAnsi="Arial" w:cs="Arial"/>
                <w:color w:val="000000"/>
                <w:sz w:val="18"/>
                <w:szCs w:val="18"/>
              </w:rPr>
            </w:pPr>
          </w:p>
        </w:tc>
      </w:tr>
      <w:tr w:rsidR="00D57459" w:rsidRPr="003D1FBA" w:rsidTr="00CC317F">
        <w:trPr>
          <w:cantSplit/>
          <w:trHeight w:val="346"/>
          <w:jc w:val="center"/>
        </w:trPr>
        <w:tc>
          <w:tcPr>
            <w:tcW w:w="5061" w:type="dxa"/>
            <w:gridSpan w:val="3"/>
            <w:tcBorders>
              <w:top w:val="single" w:sz="4" w:space="0" w:color="auto"/>
              <w:left w:val="nil"/>
              <w:bottom w:val="single" w:sz="4" w:space="0" w:color="auto"/>
              <w:right w:val="nil"/>
            </w:tcBorders>
            <w:shd w:val="clear" w:color="auto" w:fill="FFFFFF"/>
            <w:vAlign w:val="center"/>
          </w:tcPr>
          <w:p w:rsidR="00D57459" w:rsidRPr="003D1FBA" w:rsidRDefault="00D57459" w:rsidP="00D57459">
            <w:pPr>
              <w:autoSpaceDE w:val="0"/>
              <w:autoSpaceDN w:val="0"/>
              <w:adjustRightInd w:val="0"/>
              <w:spacing w:after="0" w:line="320" w:lineRule="atLeast"/>
              <w:ind w:left="60" w:right="60"/>
              <w:rPr>
                <w:rFonts w:ascii="Arial" w:hAnsi="Arial" w:cs="Arial"/>
                <w:color w:val="000000"/>
                <w:sz w:val="18"/>
                <w:szCs w:val="18"/>
              </w:rPr>
            </w:pPr>
            <w:r w:rsidRPr="003D1FBA">
              <w:rPr>
                <w:rFonts w:ascii="Arial" w:hAnsi="Arial" w:cs="Arial"/>
                <w:sz w:val="18"/>
                <w:szCs w:val="18"/>
              </w:rPr>
              <w:t>RPE = escala de percepció</w:t>
            </w:r>
            <w:r w:rsidR="004A0F05">
              <w:rPr>
                <w:rFonts w:ascii="Arial" w:hAnsi="Arial" w:cs="Arial"/>
                <w:sz w:val="18"/>
                <w:szCs w:val="18"/>
              </w:rPr>
              <w:t>n</w:t>
            </w:r>
            <w:r w:rsidRPr="003D1FBA">
              <w:rPr>
                <w:rFonts w:ascii="Arial" w:hAnsi="Arial" w:cs="Arial"/>
                <w:sz w:val="18"/>
                <w:szCs w:val="18"/>
              </w:rPr>
              <w:t xml:space="preserve"> externa de fatiga</w:t>
            </w:r>
          </w:p>
        </w:tc>
      </w:tr>
    </w:tbl>
    <w:p w:rsidR="002A3127" w:rsidRPr="003D1FBA" w:rsidRDefault="009678C8" w:rsidP="00460B65">
      <w:pPr>
        <w:spacing w:line="360" w:lineRule="auto"/>
        <w:jc w:val="both"/>
        <w:rPr>
          <w:rFonts w:ascii="Arial" w:hAnsi="Arial" w:cs="Arial"/>
          <w:sz w:val="24"/>
          <w:szCs w:val="24"/>
        </w:rPr>
      </w:pPr>
      <w:r w:rsidRPr="003D1FBA">
        <w:rPr>
          <w:rFonts w:ascii="Arial" w:hAnsi="Arial" w:cs="Arial"/>
          <w:sz w:val="24"/>
          <w:szCs w:val="24"/>
        </w:rPr>
        <w:br w:type="page"/>
      </w:r>
    </w:p>
    <w:p w:rsidR="002A3127" w:rsidRPr="003D1FBA" w:rsidRDefault="002A3127" w:rsidP="00893DC5">
      <w:pPr>
        <w:pStyle w:val="Ttol1"/>
        <w:spacing w:line="360" w:lineRule="auto"/>
        <w:jc w:val="both"/>
      </w:pPr>
      <w:bookmarkStart w:id="20" w:name="_Toc20417711"/>
      <w:r w:rsidRPr="003D1FBA">
        <w:lastRenderedPageBreak/>
        <w:t>Figur</w:t>
      </w:r>
      <w:r w:rsidR="004A0F05">
        <w:t>a</w:t>
      </w:r>
      <w:r w:rsidRPr="003D1FBA">
        <w:t>s</w:t>
      </w:r>
      <w:bookmarkEnd w:id="20"/>
    </w:p>
    <w:p w:rsidR="00F64C8F" w:rsidRPr="003D1FBA" w:rsidRDefault="00F64C8F" w:rsidP="00F64C8F"/>
    <w:tbl>
      <w:tblPr>
        <w:tblStyle w:val="Taulaambquadrcula"/>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8F4E79" w:rsidRPr="003D1FBA" w:rsidTr="008F4E79">
        <w:trPr>
          <w:trHeight w:val="432"/>
          <w:jc w:val="center"/>
        </w:trPr>
        <w:tc>
          <w:tcPr>
            <w:tcW w:w="8647" w:type="dxa"/>
          </w:tcPr>
          <w:p w:rsidR="008F4E79" w:rsidRPr="003D1FBA" w:rsidRDefault="008F4E79" w:rsidP="00045D29">
            <w:pPr>
              <w:rPr>
                <w:rFonts w:ascii="Arial" w:hAnsi="Arial" w:cs="Arial"/>
                <w:sz w:val="18"/>
                <w:szCs w:val="18"/>
              </w:rPr>
            </w:pPr>
            <w:r w:rsidRPr="003D1FBA">
              <w:rPr>
                <w:rFonts w:ascii="Arial" w:hAnsi="Arial" w:cs="Arial"/>
                <w:sz w:val="18"/>
                <w:szCs w:val="18"/>
              </w:rPr>
              <w:t xml:space="preserve">Figura 1: </w:t>
            </w:r>
            <w:r w:rsidRPr="003D1FBA">
              <w:rPr>
                <w:rFonts w:ascii="Arial" w:hAnsi="Arial" w:cs="Arial"/>
                <w:b/>
                <w:bCs/>
                <w:sz w:val="18"/>
                <w:szCs w:val="18"/>
              </w:rPr>
              <w:t>Test de f</w:t>
            </w:r>
            <w:r w:rsidR="004A0F05">
              <w:rPr>
                <w:rFonts w:ascii="Arial" w:hAnsi="Arial" w:cs="Arial"/>
                <w:b/>
                <w:bCs/>
                <w:sz w:val="18"/>
                <w:szCs w:val="18"/>
              </w:rPr>
              <w:t>uerz</w:t>
            </w:r>
            <w:r w:rsidRPr="003D1FBA">
              <w:rPr>
                <w:rFonts w:ascii="Arial" w:hAnsi="Arial" w:cs="Arial"/>
                <w:b/>
                <w:bCs/>
                <w:sz w:val="18"/>
                <w:szCs w:val="18"/>
              </w:rPr>
              <w:t>a m</w:t>
            </w:r>
            <w:r w:rsidR="004A0F05">
              <w:rPr>
                <w:rFonts w:ascii="Arial" w:hAnsi="Arial" w:cs="Arial"/>
                <w:b/>
                <w:bCs/>
                <w:sz w:val="18"/>
                <w:szCs w:val="18"/>
              </w:rPr>
              <w:t>á</w:t>
            </w:r>
            <w:r w:rsidRPr="003D1FBA">
              <w:rPr>
                <w:rFonts w:ascii="Arial" w:hAnsi="Arial" w:cs="Arial"/>
                <w:b/>
                <w:bCs/>
                <w:sz w:val="18"/>
                <w:szCs w:val="18"/>
              </w:rPr>
              <w:t>xima isom</w:t>
            </w:r>
            <w:r w:rsidR="004A0F05">
              <w:rPr>
                <w:rFonts w:ascii="Arial" w:hAnsi="Arial" w:cs="Arial"/>
                <w:b/>
                <w:bCs/>
                <w:sz w:val="18"/>
                <w:szCs w:val="18"/>
              </w:rPr>
              <w:t>é</w:t>
            </w:r>
            <w:r w:rsidRPr="003D1FBA">
              <w:rPr>
                <w:rFonts w:ascii="Arial" w:hAnsi="Arial" w:cs="Arial"/>
                <w:b/>
                <w:bCs/>
                <w:sz w:val="18"/>
                <w:szCs w:val="18"/>
              </w:rPr>
              <w:t>trica</w:t>
            </w:r>
            <w:r w:rsidRPr="003D1FBA">
              <w:rPr>
                <w:rFonts w:ascii="Arial" w:hAnsi="Arial" w:cs="Arial"/>
                <w:sz w:val="18"/>
                <w:szCs w:val="18"/>
              </w:rPr>
              <w:t>: Test de f</w:t>
            </w:r>
            <w:r w:rsidR="004A0F05">
              <w:rPr>
                <w:rFonts w:ascii="Arial" w:hAnsi="Arial" w:cs="Arial"/>
                <w:sz w:val="18"/>
                <w:szCs w:val="18"/>
              </w:rPr>
              <w:t>uerz</w:t>
            </w:r>
            <w:r w:rsidRPr="003D1FBA">
              <w:rPr>
                <w:rFonts w:ascii="Arial" w:hAnsi="Arial" w:cs="Arial"/>
                <w:sz w:val="18"/>
                <w:szCs w:val="18"/>
              </w:rPr>
              <w:t>a m</w:t>
            </w:r>
            <w:r w:rsidR="004A0F05">
              <w:rPr>
                <w:rFonts w:ascii="Arial" w:hAnsi="Arial" w:cs="Arial"/>
                <w:sz w:val="18"/>
                <w:szCs w:val="18"/>
              </w:rPr>
              <w:t>á</w:t>
            </w:r>
            <w:r w:rsidRPr="003D1FBA">
              <w:rPr>
                <w:rFonts w:ascii="Arial" w:hAnsi="Arial" w:cs="Arial"/>
                <w:sz w:val="18"/>
                <w:szCs w:val="18"/>
              </w:rPr>
              <w:t>xima isom</w:t>
            </w:r>
            <w:r w:rsidR="004A0F05">
              <w:rPr>
                <w:rFonts w:ascii="Arial" w:hAnsi="Arial" w:cs="Arial"/>
                <w:sz w:val="18"/>
                <w:szCs w:val="18"/>
              </w:rPr>
              <w:t>é</w:t>
            </w:r>
            <w:r w:rsidRPr="003D1FBA">
              <w:rPr>
                <w:rFonts w:ascii="Arial" w:hAnsi="Arial" w:cs="Arial"/>
                <w:sz w:val="18"/>
                <w:szCs w:val="18"/>
              </w:rPr>
              <w:t xml:space="preserve">trica de </w:t>
            </w:r>
            <w:r w:rsidR="004A0F05">
              <w:rPr>
                <w:rFonts w:ascii="Arial" w:hAnsi="Arial" w:cs="Arial"/>
                <w:sz w:val="18"/>
                <w:szCs w:val="18"/>
              </w:rPr>
              <w:t>cuá</w:t>
            </w:r>
            <w:r w:rsidRPr="003D1FBA">
              <w:rPr>
                <w:rFonts w:ascii="Arial" w:hAnsi="Arial" w:cs="Arial"/>
                <w:sz w:val="18"/>
                <w:szCs w:val="18"/>
              </w:rPr>
              <w:t>driceps (</w:t>
            </w:r>
            <w:r w:rsidR="00CE58AF" w:rsidRPr="003D1FBA">
              <w:rPr>
                <w:rFonts w:ascii="Arial" w:hAnsi="Arial" w:cs="Arial"/>
                <w:sz w:val="18"/>
                <w:szCs w:val="18"/>
              </w:rPr>
              <w:t>1a</w:t>
            </w:r>
            <w:r w:rsidRPr="003D1FBA">
              <w:rPr>
                <w:rFonts w:ascii="Arial" w:hAnsi="Arial" w:cs="Arial"/>
                <w:sz w:val="18"/>
                <w:szCs w:val="18"/>
              </w:rPr>
              <w:t xml:space="preserve">) </w:t>
            </w:r>
            <w:r w:rsidR="004A0F05">
              <w:rPr>
                <w:rFonts w:ascii="Arial" w:hAnsi="Arial" w:cs="Arial"/>
                <w:sz w:val="18"/>
                <w:szCs w:val="18"/>
              </w:rPr>
              <w:t>y</w:t>
            </w:r>
            <w:r w:rsidRPr="003D1FBA">
              <w:rPr>
                <w:rFonts w:ascii="Arial" w:hAnsi="Arial" w:cs="Arial"/>
                <w:sz w:val="18"/>
                <w:szCs w:val="18"/>
              </w:rPr>
              <w:t xml:space="preserve"> test de f</w:t>
            </w:r>
            <w:r w:rsidR="004A0F05">
              <w:rPr>
                <w:rFonts w:ascii="Arial" w:hAnsi="Arial" w:cs="Arial"/>
                <w:sz w:val="18"/>
                <w:szCs w:val="18"/>
              </w:rPr>
              <w:t>uerz</w:t>
            </w:r>
            <w:r w:rsidRPr="003D1FBA">
              <w:rPr>
                <w:rFonts w:ascii="Arial" w:hAnsi="Arial" w:cs="Arial"/>
                <w:sz w:val="18"/>
                <w:szCs w:val="18"/>
              </w:rPr>
              <w:t>a m</w:t>
            </w:r>
            <w:r w:rsidR="004A0F05">
              <w:rPr>
                <w:rFonts w:ascii="Arial" w:hAnsi="Arial" w:cs="Arial"/>
                <w:sz w:val="18"/>
                <w:szCs w:val="18"/>
              </w:rPr>
              <w:t>á</w:t>
            </w:r>
            <w:r w:rsidRPr="003D1FBA">
              <w:rPr>
                <w:rFonts w:ascii="Arial" w:hAnsi="Arial" w:cs="Arial"/>
                <w:sz w:val="18"/>
                <w:szCs w:val="18"/>
              </w:rPr>
              <w:t>xima isom</w:t>
            </w:r>
            <w:r w:rsidR="004A0F05">
              <w:rPr>
                <w:rFonts w:ascii="Arial" w:hAnsi="Arial" w:cs="Arial"/>
                <w:sz w:val="18"/>
                <w:szCs w:val="18"/>
              </w:rPr>
              <w:t>é</w:t>
            </w:r>
            <w:r w:rsidRPr="003D1FBA">
              <w:rPr>
                <w:rFonts w:ascii="Arial" w:hAnsi="Arial" w:cs="Arial"/>
                <w:sz w:val="18"/>
                <w:szCs w:val="18"/>
              </w:rPr>
              <w:t>trica d</w:t>
            </w:r>
            <w:r w:rsidR="004A0F05">
              <w:rPr>
                <w:rFonts w:ascii="Arial" w:hAnsi="Arial" w:cs="Arial"/>
                <w:sz w:val="18"/>
                <w:szCs w:val="18"/>
              </w:rPr>
              <w:t xml:space="preserve">e </w:t>
            </w:r>
            <w:r w:rsidRPr="003D1FBA">
              <w:rPr>
                <w:rFonts w:ascii="Arial" w:hAnsi="Arial" w:cs="Arial"/>
                <w:sz w:val="18"/>
                <w:szCs w:val="18"/>
              </w:rPr>
              <w:t>isquiosural</w:t>
            </w:r>
            <w:r w:rsidR="004A0F05">
              <w:rPr>
                <w:rFonts w:ascii="Arial" w:hAnsi="Arial" w:cs="Arial"/>
                <w:sz w:val="18"/>
                <w:szCs w:val="18"/>
              </w:rPr>
              <w:t>e</w:t>
            </w:r>
            <w:r w:rsidRPr="003D1FBA">
              <w:rPr>
                <w:rFonts w:ascii="Arial" w:hAnsi="Arial" w:cs="Arial"/>
                <w:sz w:val="18"/>
                <w:szCs w:val="18"/>
              </w:rPr>
              <w:t>s</w:t>
            </w:r>
            <w:r w:rsidR="00045D29" w:rsidRPr="003D1FBA">
              <w:rPr>
                <w:rFonts w:ascii="Arial" w:hAnsi="Arial" w:cs="Arial"/>
                <w:sz w:val="18"/>
                <w:szCs w:val="18"/>
              </w:rPr>
              <w:t xml:space="preserve"> (</w:t>
            </w:r>
            <w:r w:rsidR="00CE58AF" w:rsidRPr="003D1FBA">
              <w:rPr>
                <w:rFonts w:ascii="Arial" w:hAnsi="Arial" w:cs="Arial"/>
                <w:sz w:val="18"/>
                <w:szCs w:val="18"/>
              </w:rPr>
              <w:t>1b</w:t>
            </w:r>
            <w:r w:rsidR="00045D29" w:rsidRPr="003D1FBA">
              <w:rPr>
                <w:rFonts w:ascii="Arial" w:hAnsi="Arial" w:cs="Arial"/>
                <w:sz w:val="18"/>
                <w:szCs w:val="18"/>
              </w:rPr>
              <w:t>)</w:t>
            </w:r>
            <w:r w:rsidRPr="003D1FBA">
              <w:rPr>
                <w:rFonts w:ascii="Arial" w:hAnsi="Arial" w:cs="Arial"/>
                <w:sz w:val="18"/>
                <w:szCs w:val="18"/>
              </w:rPr>
              <w:t>.</w:t>
            </w:r>
          </w:p>
        </w:tc>
      </w:tr>
    </w:tbl>
    <w:p w:rsidR="002A3127" w:rsidRPr="003D1FBA" w:rsidRDefault="002A3127" w:rsidP="00893DC5">
      <w:pPr>
        <w:rPr>
          <w:rFonts w:ascii="Arial" w:hAnsi="Arial" w:cs="Arial"/>
          <w:sz w:val="24"/>
          <w:szCs w:val="24"/>
        </w:rPr>
      </w:pPr>
      <w:r w:rsidRPr="003D1FBA">
        <w:rPr>
          <w:rFonts w:ascii="Arial" w:hAnsi="Arial" w:cs="Arial"/>
          <w:sz w:val="24"/>
          <w:szCs w:val="24"/>
        </w:rPr>
        <w:br w:type="page"/>
      </w:r>
    </w:p>
    <w:p w:rsidR="002A4373" w:rsidRPr="003D1FBA" w:rsidRDefault="006745FB" w:rsidP="00893DC5">
      <w:pPr>
        <w:pStyle w:val="Ttol1"/>
        <w:spacing w:line="360" w:lineRule="auto"/>
      </w:pPr>
      <w:bookmarkStart w:id="21" w:name="_Toc20417712"/>
      <w:r w:rsidRPr="003D1FBA">
        <w:lastRenderedPageBreak/>
        <w:t>Anex</w:t>
      </w:r>
      <w:r w:rsidR="004A0F05">
        <w:t>o</w:t>
      </w:r>
      <w:r w:rsidRPr="003D1FBA">
        <w:t>s</w:t>
      </w:r>
      <w:bookmarkEnd w:id="21"/>
    </w:p>
    <w:p w:rsidR="005C4B83" w:rsidRPr="003D1FBA" w:rsidRDefault="006745FB" w:rsidP="008E3102">
      <w:pPr>
        <w:pStyle w:val="Ttol2"/>
        <w:spacing w:line="360" w:lineRule="auto"/>
      </w:pPr>
      <w:bookmarkStart w:id="22" w:name="_Toc20417713"/>
      <w:r w:rsidRPr="003D1FBA">
        <w:t>Anex</w:t>
      </w:r>
      <w:r w:rsidR="004A0F05">
        <w:t>o</w:t>
      </w:r>
      <w:r w:rsidRPr="003D1FBA">
        <w:t xml:space="preserve"> 1: </w:t>
      </w:r>
      <w:r w:rsidR="004A0F05">
        <w:t>Calentamiento</w:t>
      </w:r>
      <w:r w:rsidR="005C4B83" w:rsidRPr="003D1FBA">
        <w:t xml:space="preserve"> realiz</w:t>
      </w:r>
      <w:r w:rsidR="004A0F05">
        <w:t>ado</w:t>
      </w:r>
      <w:r w:rsidR="005C4B83" w:rsidRPr="003D1FBA">
        <w:t xml:space="preserve"> an</w:t>
      </w:r>
      <w:r w:rsidR="004A0F05">
        <w:t>te</w:t>
      </w:r>
      <w:r w:rsidR="005C4B83" w:rsidRPr="003D1FBA">
        <w:t>s de la presa de da</w:t>
      </w:r>
      <w:r w:rsidR="004A0F05">
        <w:t>to</w:t>
      </w:r>
      <w:r w:rsidR="005C4B83" w:rsidRPr="003D1FBA">
        <w:t>s a l</w:t>
      </w:r>
      <w:r w:rsidR="004A0F05">
        <w:t>a</w:t>
      </w:r>
      <w:r w:rsidR="005C4B83" w:rsidRPr="003D1FBA">
        <w:t xml:space="preserve">s </w:t>
      </w:r>
      <w:r w:rsidR="004A0F05">
        <w:t>de</w:t>
      </w:r>
      <w:r w:rsidR="005C4B83" w:rsidRPr="003D1FBA">
        <w:t>portist</w:t>
      </w:r>
      <w:r w:rsidR="004A0F05">
        <w:t>a</w:t>
      </w:r>
      <w:r w:rsidR="005C4B83" w:rsidRPr="003D1FBA">
        <w:t>s.</w:t>
      </w:r>
      <w:bookmarkEnd w:id="22"/>
    </w:p>
    <w:p w:rsidR="005C4B83" w:rsidRPr="003D1FBA" w:rsidRDefault="004A0F05" w:rsidP="008E3102">
      <w:pPr>
        <w:spacing w:line="360" w:lineRule="auto"/>
        <w:jc w:val="both"/>
        <w:rPr>
          <w:rFonts w:ascii="Arial" w:hAnsi="Arial" w:cs="Arial"/>
          <w:sz w:val="24"/>
        </w:rPr>
      </w:pPr>
      <w:r>
        <w:rPr>
          <w:rFonts w:ascii="Arial" w:hAnsi="Arial" w:cs="Arial"/>
          <w:sz w:val="24"/>
        </w:rPr>
        <w:t>El calentamiento</w:t>
      </w:r>
      <w:r w:rsidR="005C4B83" w:rsidRPr="003D1FBA">
        <w:rPr>
          <w:rFonts w:ascii="Arial" w:hAnsi="Arial" w:cs="Arial"/>
          <w:sz w:val="24"/>
        </w:rPr>
        <w:t xml:space="preserve"> dura de 8-10 minut</w:t>
      </w:r>
      <w:r>
        <w:rPr>
          <w:rFonts w:ascii="Arial" w:hAnsi="Arial" w:cs="Arial"/>
          <w:sz w:val="24"/>
        </w:rPr>
        <w:t>o</w:t>
      </w:r>
      <w:r w:rsidR="005C4B83" w:rsidRPr="003D1FBA">
        <w:rPr>
          <w:rFonts w:ascii="Arial" w:hAnsi="Arial" w:cs="Arial"/>
          <w:sz w:val="24"/>
        </w:rPr>
        <w:t>s, s</w:t>
      </w:r>
      <w:r>
        <w:rPr>
          <w:rFonts w:ascii="Arial" w:hAnsi="Arial" w:cs="Arial"/>
          <w:sz w:val="24"/>
        </w:rPr>
        <w:t>e</w:t>
      </w:r>
      <w:r w:rsidR="005C4B83" w:rsidRPr="003D1FBA">
        <w:rPr>
          <w:rFonts w:ascii="Arial" w:hAnsi="Arial" w:cs="Arial"/>
          <w:sz w:val="24"/>
        </w:rPr>
        <w:t xml:space="preserve"> </w:t>
      </w:r>
      <w:r>
        <w:rPr>
          <w:rFonts w:ascii="Arial" w:hAnsi="Arial" w:cs="Arial"/>
          <w:sz w:val="24"/>
        </w:rPr>
        <w:t>hizo</w:t>
      </w:r>
      <w:r w:rsidR="005C4B83" w:rsidRPr="003D1FBA">
        <w:rPr>
          <w:rFonts w:ascii="Arial" w:hAnsi="Arial" w:cs="Arial"/>
          <w:sz w:val="24"/>
        </w:rPr>
        <w:t xml:space="preserve"> entre d</w:t>
      </w:r>
      <w:r>
        <w:rPr>
          <w:rFonts w:ascii="Arial" w:hAnsi="Arial" w:cs="Arial"/>
          <w:sz w:val="24"/>
        </w:rPr>
        <w:t>o</w:t>
      </w:r>
      <w:r w:rsidR="005C4B83" w:rsidRPr="003D1FBA">
        <w:rPr>
          <w:rFonts w:ascii="Arial" w:hAnsi="Arial" w:cs="Arial"/>
          <w:sz w:val="24"/>
        </w:rPr>
        <w:t xml:space="preserve">s </w:t>
      </w:r>
      <w:r w:rsidRPr="003D1FBA">
        <w:rPr>
          <w:rFonts w:ascii="Arial" w:hAnsi="Arial" w:cs="Arial"/>
          <w:sz w:val="24"/>
        </w:rPr>
        <w:t>l</w:t>
      </w:r>
      <w:r>
        <w:rPr>
          <w:rFonts w:ascii="Arial" w:hAnsi="Arial" w:cs="Arial"/>
          <w:sz w:val="24"/>
        </w:rPr>
        <w:t>í</w:t>
      </w:r>
      <w:r w:rsidRPr="003D1FBA">
        <w:rPr>
          <w:rFonts w:ascii="Arial" w:hAnsi="Arial" w:cs="Arial"/>
          <w:sz w:val="24"/>
        </w:rPr>
        <w:t>n</w:t>
      </w:r>
      <w:r>
        <w:rPr>
          <w:rFonts w:ascii="Arial" w:hAnsi="Arial" w:cs="Arial"/>
          <w:sz w:val="24"/>
        </w:rPr>
        <w:t>ea</w:t>
      </w:r>
      <w:r w:rsidRPr="003D1FBA">
        <w:rPr>
          <w:rFonts w:ascii="Arial" w:hAnsi="Arial" w:cs="Arial"/>
          <w:sz w:val="24"/>
        </w:rPr>
        <w:t>s</w:t>
      </w:r>
      <w:r w:rsidR="005C4B83" w:rsidRPr="003D1FBA">
        <w:rPr>
          <w:rFonts w:ascii="Arial" w:hAnsi="Arial" w:cs="Arial"/>
          <w:sz w:val="24"/>
        </w:rPr>
        <w:t xml:space="preserve"> a 15m. Cada e</w:t>
      </w:r>
      <w:r>
        <w:rPr>
          <w:rFonts w:ascii="Arial" w:hAnsi="Arial" w:cs="Arial"/>
          <w:sz w:val="24"/>
        </w:rPr>
        <w:t>jercicio</w:t>
      </w:r>
      <w:r w:rsidR="005C4B83" w:rsidRPr="003D1FBA">
        <w:rPr>
          <w:rFonts w:ascii="Arial" w:hAnsi="Arial" w:cs="Arial"/>
          <w:sz w:val="24"/>
        </w:rPr>
        <w:t xml:space="preserve"> s</w:t>
      </w:r>
      <w:r>
        <w:rPr>
          <w:rFonts w:ascii="Arial" w:hAnsi="Arial" w:cs="Arial"/>
          <w:sz w:val="24"/>
        </w:rPr>
        <w:t>e</w:t>
      </w:r>
      <w:r w:rsidR="005C4B83" w:rsidRPr="003D1FBA">
        <w:rPr>
          <w:rFonts w:ascii="Arial" w:hAnsi="Arial" w:cs="Arial"/>
          <w:sz w:val="24"/>
        </w:rPr>
        <w:t xml:space="preserve"> </w:t>
      </w:r>
      <w:r>
        <w:rPr>
          <w:rFonts w:ascii="Arial" w:hAnsi="Arial" w:cs="Arial"/>
          <w:sz w:val="24"/>
        </w:rPr>
        <w:t>hace</w:t>
      </w:r>
      <w:r w:rsidR="005C4B83" w:rsidRPr="003D1FBA">
        <w:rPr>
          <w:rFonts w:ascii="Arial" w:hAnsi="Arial" w:cs="Arial"/>
          <w:sz w:val="24"/>
        </w:rPr>
        <w:t xml:space="preserve"> de lín</w:t>
      </w:r>
      <w:r>
        <w:rPr>
          <w:rFonts w:ascii="Arial" w:hAnsi="Arial" w:cs="Arial"/>
          <w:sz w:val="24"/>
        </w:rPr>
        <w:t>e</w:t>
      </w:r>
      <w:r w:rsidR="005C4B83" w:rsidRPr="003D1FBA">
        <w:rPr>
          <w:rFonts w:ascii="Arial" w:hAnsi="Arial" w:cs="Arial"/>
          <w:sz w:val="24"/>
        </w:rPr>
        <w:t>a a lín</w:t>
      </w:r>
      <w:r>
        <w:rPr>
          <w:rFonts w:ascii="Arial" w:hAnsi="Arial" w:cs="Arial"/>
          <w:sz w:val="24"/>
        </w:rPr>
        <w:t>e</w:t>
      </w:r>
      <w:r w:rsidR="005C4B83" w:rsidRPr="003D1FBA">
        <w:rPr>
          <w:rFonts w:ascii="Arial" w:hAnsi="Arial" w:cs="Arial"/>
          <w:sz w:val="24"/>
        </w:rPr>
        <w:t>a.</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Caminan</w:t>
      </w:r>
      <w:r w:rsidR="004A0F05">
        <w:rPr>
          <w:rFonts w:ascii="Arial" w:hAnsi="Arial" w:cs="Arial"/>
          <w:sz w:val="24"/>
        </w:rPr>
        <w:t xml:space="preserve">do </w:t>
      </w:r>
      <w:r w:rsidRPr="003D1FBA">
        <w:rPr>
          <w:rFonts w:ascii="Arial" w:hAnsi="Arial" w:cs="Arial"/>
          <w:sz w:val="24"/>
        </w:rPr>
        <w:t>movim</w:t>
      </w:r>
      <w:r w:rsidR="004A0F05">
        <w:rPr>
          <w:rFonts w:ascii="Arial" w:hAnsi="Arial" w:cs="Arial"/>
          <w:sz w:val="24"/>
        </w:rPr>
        <w:t>i</w:t>
      </w:r>
      <w:r w:rsidRPr="003D1FBA">
        <w:rPr>
          <w:rFonts w:ascii="Arial" w:hAnsi="Arial" w:cs="Arial"/>
          <w:sz w:val="24"/>
        </w:rPr>
        <w:t>ent</w:t>
      </w:r>
      <w:r w:rsidR="004A0F05">
        <w:rPr>
          <w:rFonts w:ascii="Arial" w:hAnsi="Arial" w:cs="Arial"/>
          <w:sz w:val="24"/>
        </w:rPr>
        <w:t>o</w:t>
      </w:r>
      <w:r w:rsidRPr="003D1FBA">
        <w:rPr>
          <w:rFonts w:ascii="Arial" w:hAnsi="Arial" w:cs="Arial"/>
          <w:sz w:val="24"/>
        </w:rPr>
        <w:t>s de bra</w:t>
      </w:r>
      <w:r w:rsidR="004A0F05">
        <w:rPr>
          <w:rFonts w:ascii="Arial" w:hAnsi="Arial" w:cs="Arial"/>
          <w:sz w:val="24"/>
        </w:rPr>
        <w:t>zo</w:t>
      </w:r>
      <w:r w:rsidRPr="003D1FBA">
        <w:rPr>
          <w:rFonts w:ascii="Arial" w:hAnsi="Arial" w:cs="Arial"/>
          <w:sz w:val="24"/>
        </w:rPr>
        <w:t xml:space="preserve">s </w:t>
      </w:r>
      <w:r w:rsidR="004A0F05">
        <w:rPr>
          <w:rFonts w:ascii="Arial" w:hAnsi="Arial" w:cs="Arial"/>
          <w:sz w:val="24"/>
        </w:rPr>
        <w:t>marcando bien la pisada</w:t>
      </w:r>
      <w:r w:rsidRPr="003D1FBA">
        <w:rPr>
          <w:rFonts w:ascii="Arial" w:hAnsi="Arial" w:cs="Arial"/>
          <w:sz w:val="24"/>
        </w:rPr>
        <w:t xml:space="preserve">: </w:t>
      </w:r>
      <w:r w:rsidR="004A0F05">
        <w:rPr>
          <w:rFonts w:ascii="Arial" w:hAnsi="Arial" w:cs="Arial"/>
          <w:sz w:val="24"/>
        </w:rPr>
        <w:t>ida hacia delante</w:t>
      </w:r>
      <w:r w:rsidRPr="003D1FBA">
        <w:rPr>
          <w:rFonts w:ascii="Arial" w:hAnsi="Arial" w:cs="Arial"/>
          <w:sz w:val="24"/>
        </w:rPr>
        <w:t xml:space="preserve">, </w:t>
      </w:r>
      <w:r w:rsidR="004A0F05">
        <w:rPr>
          <w:rFonts w:ascii="Arial" w:hAnsi="Arial" w:cs="Arial"/>
          <w:sz w:val="24"/>
        </w:rPr>
        <w:t>vuelta hacia atrás, ida</w:t>
      </w:r>
      <w:r w:rsidRPr="003D1FBA">
        <w:rPr>
          <w:rFonts w:ascii="Arial" w:hAnsi="Arial" w:cs="Arial"/>
          <w:sz w:val="24"/>
        </w:rPr>
        <w:t xml:space="preserve"> cr</w:t>
      </w:r>
      <w:r w:rsidR="004A0F05">
        <w:rPr>
          <w:rFonts w:ascii="Arial" w:hAnsi="Arial" w:cs="Arial"/>
          <w:sz w:val="24"/>
        </w:rPr>
        <w:t>uzado</w:t>
      </w:r>
      <w:r w:rsidRPr="003D1FBA">
        <w:rPr>
          <w:rFonts w:ascii="Arial" w:hAnsi="Arial" w:cs="Arial"/>
          <w:sz w:val="24"/>
        </w:rPr>
        <w:t xml:space="preserve">, </w:t>
      </w:r>
      <w:r w:rsidR="004A0F05">
        <w:rPr>
          <w:rFonts w:ascii="Arial" w:hAnsi="Arial" w:cs="Arial"/>
          <w:sz w:val="24"/>
        </w:rPr>
        <w:t>vuelta</w:t>
      </w:r>
      <w:r w:rsidRPr="003D1FBA">
        <w:rPr>
          <w:rFonts w:ascii="Arial" w:hAnsi="Arial" w:cs="Arial"/>
          <w:sz w:val="24"/>
        </w:rPr>
        <w:t xml:space="preserve"> </w:t>
      </w:r>
      <w:r w:rsidR="004A0F05">
        <w:rPr>
          <w:rFonts w:ascii="Arial" w:hAnsi="Arial" w:cs="Arial"/>
          <w:sz w:val="24"/>
        </w:rPr>
        <w:t>contrario a delante y atrás</w:t>
      </w:r>
      <w:r w:rsidRPr="003D1FBA">
        <w:rPr>
          <w:rFonts w:ascii="Arial" w:hAnsi="Arial" w:cs="Arial"/>
          <w:sz w:val="24"/>
        </w:rPr>
        <w:t>.</w:t>
      </w:r>
    </w:p>
    <w:p w:rsidR="005C4B83" w:rsidRPr="003D1FBA" w:rsidRDefault="005C4B83" w:rsidP="005C4B83">
      <w:pPr>
        <w:pStyle w:val="Pargrafdellista"/>
        <w:numPr>
          <w:ilvl w:val="0"/>
          <w:numId w:val="3"/>
        </w:numPr>
        <w:spacing w:line="360" w:lineRule="auto"/>
        <w:jc w:val="both"/>
        <w:rPr>
          <w:rFonts w:ascii="Arial" w:hAnsi="Arial" w:cs="Arial"/>
          <w:sz w:val="24"/>
        </w:rPr>
      </w:pPr>
      <w:r w:rsidRPr="004A0F05">
        <w:rPr>
          <w:rFonts w:ascii="Arial" w:hAnsi="Arial" w:cs="Arial"/>
          <w:sz w:val="24"/>
        </w:rPr>
        <w:t>Trot</w:t>
      </w:r>
      <w:r w:rsidR="004A0F05" w:rsidRPr="004A0F05">
        <w:rPr>
          <w:rFonts w:ascii="Arial" w:hAnsi="Arial" w:cs="Arial"/>
          <w:sz w:val="24"/>
        </w:rPr>
        <w:t>e</w:t>
      </w:r>
      <w:r w:rsidRPr="004A0F05">
        <w:rPr>
          <w:rFonts w:ascii="Arial" w:hAnsi="Arial" w:cs="Arial"/>
          <w:sz w:val="24"/>
        </w:rPr>
        <w:t xml:space="preserve"> </w:t>
      </w:r>
      <w:r w:rsidR="004A0F05" w:rsidRPr="004A0F05">
        <w:rPr>
          <w:rFonts w:ascii="Arial" w:hAnsi="Arial" w:cs="Arial"/>
          <w:sz w:val="24"/>
        </w:rPr>
        <w:t>hacia delante y vuelta de espaldas</w:t>
      </w:r>
      <w:r w:rsidRPr="004A0F05">
        <w:rPr>
          <w:rFonts w:ascii="Arial" w:hAnsi="Arial" w:cs="Arial"/>
          <w:sz w:val="24"/>
        </w:rPr>
        <w:t xml:space="preserve">. </w:t>
      </w:r>
      <w:r w:rsidRPr="003D1FBA">
        <w:rPr>
          <w:rFonts w:ascii="Arial" w:hAnsi="Arial" w:cs="Arial"/>
          <w:sz w:val="24"/>
        </w:rPr>
        <w:t>X2</w:t>
      </w:r>
    </w:p>
    <w:p w:rsidR="005C4B83" w:rsidRPr="003D1FBA" w:rsidRDefault="004A0F05" w:rsidP="005C4B83">
      <w:pPr>
        <w:pStyle w:val="Pargrafdellista"/>
        <w:numPr>
          <w:ilvl w:val="0"/>
          <w:numId w:val="3"/>
        </w:numPr>
        <w:spacing w:line="360" w:lineRule="auto"/>
        <w:jc w:val="both"/>
        <w:rPr>
          <w:rFonts w:ascii="Arial" w:hAnsi="Arial" w:cs="Arial"/>
          <w:sz w:val="24"/>
        </w:rPr>
      </w:pPr>
      <w:r>
        <w:rPr>
          <w:rFonts w:ascii="Arial" w:hAnsi="Arial" w:cs="Arial"/>
          <w:sz w:val="24"/>
        </w:rPr>
        <w:t>Id</w:t>
      </w:r>
      <w:r w:rsidR="005C4B83" w:rsidRPr="003D1FBA">
        <w:rPr>
          <w:rFonts w:ascii="Arial" w:hAnsi="Arial" w:cs="Arial"/>
          <w:sz w:val="24"/>
        </w:rPr>
        <w:t xml:space="preserve">a </w:t>
      </w:r>
      <w:r w:rsidR="008E3102" w:rsidRPr="003D1FBA">
        <w:rPr>
          <w:rFonts w:ascii="Arial" w:hAnsi="Arial" w:cs="Arial"/>
          <w:sz w:val="24"/>
        </w:rPr>
        <w:t>“</w:t>
      </w:r>
      <w:r w:rsidR="005C4B83" w:rsidRPr="003D1FBA">
        <w:rPr>
          <w:rFonts w:ascii="Arial" w:hAnsi="Arial" w:cs="Arial"/>
          <w:i/>
          <w:iCs/>
          <w:sz w:val="24"/>
        </w:rPr>
        <w:t>Skipping</w:t>
      </w:r>
      <w:r w:rsidR="008E3102" w:rsidRPr="003D1FBA">
        <w:rPr>
          <w:rFonts w:ascii="Arial" w:hAnsi="Arial" w:cs="Arial"/>
          <w:sz w:val="24"/>
        </w:rPr>
        <w:t>”</w:t>
      </w:r>
      <w:r w:rsidR="005C4B83" w:rsidRPr="003D1FBA">
        <w:rPr>
          <w:rFonts w:ascii="Arial" w:hAnsi="Arial" w:cs="Arial"/>
          <w:sz w:val="24"/>
        </w:rPr>
        <w:t xml:space="preserve"> </w:t>
      </w:r>
      <w:r>
        <w:rPr>
          <w:rFonts w:ascii="Arial" w:hAnsi="Arial" w:cs="Arial"/>
          <w:sz w:val="24"/>
        </w:rPr>
        <w:t>y</w:t>
      </w:r>
      <w:r w:rsidR="005C4B83" w:rsidRPr="003D1FBA">
        <w:rPr>
          <w:rFonts w:ascii="Arial" w:hAnsi="Arial" w:cs="Arial"/>
          <w:sz w:val="24"/>
        </w:rPr>
        <w:t xml:space="preserve"> </w:t>
      </w:r>
      <w:r>
        <w:rPr>
          <w:rFonts w:ascii="Arial" w:hAnsi="Arial" w:cs="Arial"/>
          <w:sz w:val="24"/>
        </w:rPr>
        <w:t>vuelt</w:t>
      </w:r>
      <w:r w:rsidR="005C4B83" w:rsidRPr="003D1FBA">
        <w:rPr>
          <w:rFonts w:ascii="Arial" w:hAnsi="Arial" w:cs="Arial"/>
          <w:sz w:val="24"/>
        </w:rPr>
        <w:t>a talon</w:t>
      </w:r>
      <w:r>
        <w:rPr>
          <w:rFonts w:ascii="Arial" w:hAnsi="Arial" w:cs="Arial"/>
          <w:sz w:val="24"/>
        </w:rPr>
        <w:t>es</w:t>
      </w:r>
      <w:r w:rsidR="005C4B83" w:rsidRPr="003D1FBA">
        <w:rPr>
          <w:rFonts w:ascii="Arial" w:hAnsi="Arial" w:cs="Arial"/>
          <w:sz w:val="24"/>
        </w:rPr>
        <w:t xml:space="preserve"> al cul</w:t>
      </w:r>
      <w:r>
        <w:rPr>
          <w:rFonts w:ascii="Arial" w:hAnsi="Arial" w:cs="Arial"/>
          <w:sz w:val="24"/>
        </w:rPr>
        <w:t>o</w:t>
      </w:r>
      <w:r w:rsidR="005C4B83" w:rsidRPr="003D1FBA">
        <w:rPr>
          <w:rFonts w:ascii="Arial" w:hAnsi="Arial" w:cs="Arial"/>
          <w:sz w:val="24"/>
        </w:rPr>
        <w:t>. X2</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Despla</w:t>
      </w:r>
      <w:r w:rsidR="004A0F05">
        <w:rPr>
          <w:rFonts w:ascii="Arial" w:hAnsi="Arial" w:cs="Arial"/>
          <w:sz w:val="24"/>
        </w:rPr>
        <w:t xml:space="preserve">zamiento </w:t>
      </w:r>
      <w:r w:rsidRPr="003D1FBA">
        <w:rPr>
          <w:rFonts w:ascii="Arial" w:hAnsi="Arial" w:cs="Arial"/>
          <w:sz w:val="24"/>
        </w:rPr>
        <w:t>lateral. X2</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Despla</w:t>
      </w:r>
      <w:r w:rsidR="004A0F05">
        <w:rPr>
          <w:rFonts w:ascii="Arial" w:hAnsi="Arial" w:cs="Arial"/>
          <w:sz w:val="24"/>
        </w:rPr>
        <w:t>zamiento</w:t>
      </w:r>
      <w:r w:rsidRPr="003D1FBA">
        <w:rPr>
          <w:rFonts w:ascii="Arial" w:hAnsi="Arial" w:cs="Arial"/>
          <w:sz w:val="24"/>
        </w:rPr>
        <w:t xml:space="preserve"> lateral cr</w:t>
      </w:r>
      <w:r w:rsidR="004A0F05">
        <w:rPr>
          <w:rFonts w:ascii="Arial" w:hAnsi="Arial" w:cs="Arial"/>
          <w:sz w:val="24"/>
        </w:rPr>
        <w:t>uzando</w:t>
      </w:r>
      <w:r w:rsidRPr="003D1FBA">
        <w:rPr>
          <w:rFonts w:ascii="Arial" w:hAnsi="Arial" w:cs="Arial"/>
          <w:sz w:val="24"/>
        </w:rPr>
        <w:t xml:space="preserve"> (“carioca”). x2</w:t>
      </w:r>
    </w:p>
    <w:p w:rsidR="005C4B83" w:rsidRPr="003D1FBA" w:rsidRDefault="004A0F05" w:rsidP="005C4B83">
      <w:pPr>
        <w:pStyle w:val="Pargrafdellista"/>
        <w:numPr>
          <w:ilvl w:val="0"/>
          <w:numId w:val="3"/>
        </w:numPr>
        <w:spacing w:line="360" w:lineRule="auto"/>
        <w:jc w:val="both"/>
        <w:rPr>
          <w:rFonts w:ascii="Arial" w:hAnsi="Arial" w:cs="Arial"/>
          <w:sz w:val="24"/>
        </w:rPr>
      </w:pPr>
      <w:r>
        <w:rPr>
          <w:rFonts w:ascii="Arial" w:hAnsi="Arial" w:cs="Arial"/>
          <w:sz w:val="24"/>
        </w:rPr>
        <w:t>Lanzamiento de pierna avanzando</w:t>
      </w:r>
      <w:r w:rsidR="005C4B83" w:rsidRPr="003D1FBA">
        <w:rPr>
          <w:rFonts w:ascii="Arial" w:hAnsi="Arial" w:cs="Arial"/>
          <w:sz w:val="24"/>
        </w:rPr>
        <w:t>.</w:t>
      </w:r>
    </w:p>
    <w:p w:rsidR="005C4B83" w:rsidRPr="003D1FBA" w:rsidRDefault="004A0F05" w:rsidP="005C4B83">
      <w:pPr>
        <w:pStyle w:val="Pargrafdellista"/>
        <w:numPr>
          <w:ilvl w:val="0"/>
          <w:numId w:val="3"/>
        </w:numPr>
        <w:spacing w:line="360" w:lineRule="auto"/>
        <w:jc w:val="both"/>
        <w:rPr>
          <w:rFonts w:ascii="Arial" w:hAnsi="Arial" w:cs="Arial"/>
          <w:sz w:val="24"/>
        </w:rPr>
      </w:pPr>
      <w:r>
        <w:rPr>
          <w:rFonts w:ascii="Arial" w:hAnsi="Arial" w:cs="Arial"/>
          <w:sz w:val="24"/>
        </w:rPr>
        <w:t>Á</w:t>
      </w:r>
      <w:r w:rsidR="005C4B83" w:rsidRPr="003D1FBA">
        <w:rPr>
          <w:rFonts w:ascii="Arial" w:hAnsi="Arial" w:cs="Arial"/>
          <w:sz w:val="24"/>
        </w:rPr>
        <w:t>ngel o “deadlift” avan</w:t>
      </w:r>
      <w:r w:rsidR="00562436">
        <w:rPr>
          <w:rFonts w:ascii="Arial" w:hAnsi="Arial" w:cs="Arial"/>
          <w:sz w:val="24"/>
        </w:rPr>
        <w:t>za</w:t>
      </w:r>
      <w:r w:rsidR="005C4B83" w:rsidRPr="003D1FBA">
        <w:rPr>
          <w:rFonts w:ascii="Arial" w:hAnsi="Arial" w:cs="Arial"/>
          <w:sz w:val="24"/>
        </w:rPr>
        <w:t>n</w:t>
      </w:r>
      <w:r w:rsidR="00562436">
        <w:rPr>
          <w:rFonts w:ascii="Arial" w:hAnsi="Arial" w:cs="Arial"/>
          <w:sz w:val="24"/>
        </w:rPr>
        <w:t>do</w:t>
      </w:r>
      <w:r w:rsidR="005C4B83" w:rsidRPr="003D1FBA">
        <w:rPr>
          <w:rFonts w:ascii="Arial" w:hAnsi="Arial" w:cs="Arial"/>
          <w:sz w:val="24"/>
        </w:rPr>
        <w:t>.</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Piramidal avan</w:t>
      </w:r>
      <w:r w:rsidR="00562436">
        <w:rPr>
          <w:rFonts w:ascii="Arial" w:hAnsi="Arial" w:cs="Arial"/>
          <w:sz w:val="24"/>
        </w:rPr>
        <w:t>zando</w:t>
      </w:r>
      <w:r w:rsidRPr="003D1FBA">
        <w:rPr>
          <w:rFonts w:ascii="Arial" w:hAnsi="Arial" w:cs="Arial"/>
          <w:sz w:val="24"/>
        </w:rPr>
        <w:t>.</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Ca</w:t>
      </w:r>
      <w:r w:rsidR="00562436">
        <w:rPr>
          <w:rFonts w:ascii="Arial" w:hAnsi="Arial" w:cs="Arial"/>
          <w:sz w:val="24"/>
        </w:rPr>
        <w:t>mbio</w:t>
      </w:r>
      <w:r w:rsidRPr="003D1FBA">
        <w:rPr>
          <w:rFonts w:ascii="Arial" w:hAnsi="Arial" w:cs="Arial"/>
          <w:sz w:val="24"/>
        </w:rPr>
        <w:t>s de direcció</w:t>
      </w:r>
      <w:r w:rsidR="00562436">
        <w:rPr>
          <w:rFonts w:ascii="Arial" w:hAnsi="Arial" w:cs="Arial"/>
          <w:sz w:val="24"/>
        </w:rPr>
        <w:t>n</w:t>
      </w:r>
      <w:r w:rsidRPr="003D1FBA">
        <w:rPr>
          <w:rFonts w:ascii="Arial" w:hAnsi="Arial" w:cs="Arial"/>
          <w:sz w:val="24"/>
        </w:rPr>
        <w:t>. X2</w:t>
      </w:r>
    </w:p>
    <w:p w:rsidR="005C4B83" w:rsidRPr="00562436" w:rsidRDefault="005C4B83" w:rsidP="005C4B83">
      <w:pPr>
        <w:pStyle w:val="Pargrafdellista"/>
        <w:numPr>
          <w:ilvl w:val="0"/>
          <w:numId w:val="3"/>
        </w:numPr>
        <w:spacing w:line="360" w:lineRule="auto"/>
        <w:jc w:val="both"/>
        <w:rPr>
          <w:rFonts w:ascii="Arial" w:hAnsi="Arial" w:cs="Arial"/>
          <w:sz w:val="24"/>
        </w:rPr>
      </w:pPr>
      <w:r w:rsidRPr="00562436">
        <w:rPr>
          <w:rFonts w:ascii="Arial" w:hAnsi="Arial" w:cs="Arial"/>
          <w:sz w:val="24"/>
        </w:rPr>
        <w:t>Lunge ava</w:t>
      </w:r>
      <w:r w:rsidR="00562436" w:rsidRPr="00562436">
        <w:rPr>
          <w:rFonts w:ascii="Arial" w:hAnsi="Arial" w:cs="Arial"/>
          <w:sz w:val="24"/>
        </w:rPr>
        <w:t>nzando con</w:t>
      </w:r>
      <w:r w:rsidRPr="00562436">
        <w:rPr>
          <w:rFonts w:ascii="Arial" w:hAnsi="Arial" w:cs="Arial"/>
          <w:sz w:val="24"/>
        </w:rPr>
        <w:t xml:space="preserve"> </w:t>
      </w:r>
      <w:r w:rsidR="00562436" w:rsidRPr="00562436">
        <w:rPr>
          <w:rFonts w:ascii="Arial" w:hAnsi="Arial" w:cs="Arial"/>
          <w:sz w:val="24"/>
        </w:rPr>
        <w:t xml:space="preserve">los </w:t>
      </w:r>
      <w:r w:rsidRPr="00562436">
        <w:rPr>
          <w:rFonts w:ascii="Arial" w:hAnsi="Arial" w:cs="Arial"/>
          <w:sz w:val="24"/>
        </w:rPr>
        <w:t>bra</w:t>
      </w:r>
      <w:r w:rsidR="00562436" w:rsidRPr="00562436">
        <w:rPr>
          <w:rFonts w:ascii="Arial" w:hAnsi="Arial" w:cs="Arial"/>
          <w:sz w:val="24"/>
        </w:rPr>
        <w:t>z</w:t>
      </w:r>
      <w:r w:rsidRPr="00562436">
        <w:rPr>
          <w:rFonts w:ascii="Arial" w:hAnsi="Arial" w:cs="Arial"/>
          <w:sz w:val="24"/>
        </w:rPr>
        <w:t>os a</w:t>
      </w:r>
      <w:r w:rsidR="00562436" w:rsidRPr="00562436">
        <w:rPr>
          <w:rFonts w:ascii="Arial" w:hAnsi="Arial" w:cs="Arial"/>
          <w:sz w:val="24"/>
        </w:rPr>
        <w:t>rriba, ida y vue</w:t>
      </w:r>
      <w:r w:rsidR="00562436">
        <w:rPr>
          <w:rFonts w:ascii="Arial" w:hAnsi="Arial" w:cs="Arial"/>
          <w:sz w:val="24"/>
        </w:rPr>
        <w:t>lta</w:t>
      </w:r>
      <w:r w:rsidRPr="00562436">
        <w:rPr>
          <w:rFonts w:ascii="Arial" w:hAnsi="Arial" w:cs="Arial"/>
          <w:sz w:val="24"/>
        </w:rPr>
        <w:t>.</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Squat</w:t>
      </w:r>
      <w:r w:rsidR="00562436">
        <w:rPr>
          <w:rFonts w:ascii="Arial" w:hAnsi="Arial" w:cs="Arial"/>
          <w:sz w:val="24"/>
        </w:rPr>
        <w:t xml:space="preserve"> en el sitio</w:t>
      </w:r>
      <w:r w:rsidRPr="003D1FBA">
        <w:rPr>
          <w:rFonts w:ascii="Arial" w:hAnsi="Arial" w:cs="Arial"/>
          <w:sz w:val="24"/>
        </w:rPr>
        <w:t>. X5</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 xml:space="preserve">Squat lateral </w:t>
      </w:r>
      <w:r w:rsidR="00562436">
        <w:rPr>
          <w:rFonts w:ascii="Arial" w:hAnsi="Arial" w:cs="Arial"/>
          <w:sz w:val="24"/>
        </w:rPr>
        <w:t>en el sitio</w:t>
      </w:r>
      <w:r w:rsidRPr="003D1FBA">
        <w:rPr>
          <w:rFonts w:ascii="Arial" w:hAnsi="Arial" w:cs="Arial"/>
          <w:sz w:val="24"/>
        </w:rPr>
        <w:t>. X5 ca</w:t>
      </w:r>
      <w:r w:rsidR="00562436">
        <w:rPr>
          <w:rFonts w:ascii="Arial" w:hAnsi="Arial" w:cs="Arial"/>
          <w:sz w:val="24"/>
        </w:rPr>
        <w:t>da lado</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Tensió</w:t>
      </w:r>
      <w:r w:rsidR="00562436">
        <w:rPr>
          <w:rFonts w:ascii="Arial" w:hAnsi="Arial" w:cs="Arial"/>
          <w:sz w:val="24"/>
        </w:rPr>
        <w:t>n</w:t>
      </w:r>
      <w:r w:rsidRPr="003D1FBA">
        <w:rPr>
          <w:rFonts w:ascii="Arial" w:hAnsi="Arial" w:cs="Arial"/>
          <w:sz w:val="24"/>
        </w:rPr>
        <w:t xml:space="preserve"> activa d</w:t>
      </w:r>
      <w:r w:rsidR="00562436">
        <w:rPr>
          <w:rFonts w:ascii="Arial" w:hAnsi="Arial" w:cs="Arial"/>
          <w:sz w:val="24"/>
        </w:rPr>
        <w:t xml:space="preserve">e </w:t>
      </w:r>
      <w:r w:rsidRPr="003D1FBA">
        <w:rPr>
          <w:rFonts w:ascii="Arial" w:hAnsi="Arial" w:cs="Arial"/>
          <w:sz w:val="24"/>
        </w:rPr>
        <w:t>Isquiosural</w:t>
      </w:r>
      <w:r w:rsidR="00562436">
        <w:rPr>
          <w:rFonts w:ascii="Arial" w:hAnsi="Arial" w:cs="Arial"/>
          <w:sz w:val="24"/>
        </w:rPr>
        <w:t>e</w:t>
      </w:r>
      <w:r w:rsidRPr="003D1FBA">
        <w:rPr>
          <w:rFonts w:ascii="Arial" w:hAnsi="Arial" w:cs="Arial"/>
          <w:sz w:val="24"/>
        </w:rPr>
        <w:t>s.</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Tensió</w:t>
      </w:r>
      <w:r w:rsidR="00562436">
        <w:rPr>
          <w:rFonts w:ascii="Arial" w:hAnsi="Arial" w:cs="Arial"/>
          <w:sz w:val="24"/>
        </w:rPr>
        <w:t>n</w:t>
      </w:r>
      <w:r w:rsidRPr="003D1FBA">
        <w:rPr>
          <w:rFonts w:ascii="Arial" w:hAnsi="Arial" w:cs="Arial"/>
          <w:sz w:val="24"/>
        </w:rPr>
        <w:t xml:space="preserve"> activa tr</w:t>
      </w:r>
      <w:r w:rsidR="00443407" w:rsidRPr="003D1FBA">
        <w:rPr>
          <w:rFonts w:ascii="Arial" w:hAnsi="Arial" w:cs="Arial"/>
          <w:sz w:val="24"/>
        </w:rPr>
        <w:t>í</w:t>
      </w:r>
      <w:r w:rsidRPr="003D1FBA">
        <w:rPr>
          <w:rFonts w:ascii="Arial" w:hAnsi="Arial" w:cs="Arial"/>
          <w:sz w:val="24"/>
        </w:rPr>
        <w:t>cep</w:t>
      </w:r>
      <w:r w:rsidR="00443407" w:rsidRPr="003D1FBA">
        <w:rPr>
          <w:rFonts w:ascii="Arial" w:hAnsi="Arial" w:cs="Arial"/>
          <w:sz w:val="24"/>
        </w:rPr>
        <w:t>s</w:t>
      </w:r>
      <w:r w:rsidR="002B7938" w:rsidRPr="003D1FBA">
        <w:rPr>
          <w:rFonts w:ascii="Arial" w:hAnsi="Arial" w:cs="Arial"/>
          <w:sz w:val="24"/>
        </w:rPr>
        <w:t xml:space="preserve"> </w:t>
      </w:r>
      <w:r w:rsidRPr="003D1FBA">
        <w:rPr>
          <w:rFonts w:ascii="Arial" w:hAnsi="Arial" w:cs="Arial"/>
          <w:sz w:val="24"/>
        </w:rPr>
        <w:t>sural</w:t>
      </w:r>
      <w:r w:rsidR="00562436">
        <w:rPr>
          <w:rFonts w:ascii="Arial" w:hAnsi="Arial" w:cs="Arial"/>
          <w:sz w:val="24"/>
        </w:rPr>
        <w:t>e</w:t>
      </w:r>
      <w:r w:rsidRPr="003D1FBA">
        <w:rPr>
          <w:rFonts w:ascii="Arial" w:hAnsi="Arial" w:cs="Arial"/>
          <w:sz w:val="24"/>
        </w:rPr>
        <w:t>s.</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Ti</w:t>
      </w:r>
      <w:r w:rsidR="00562436">
        <w:rPr>
          <w:rFonts w:ascii="Arial" w:hAnsi="Arial" w:cs="Arial"/>
          <w:sz w:val="24"/>
        </w:rPr>
        <w:t>jera</w:t>
      </w:r>
      <w:r w:rsidRPr="003D1FBA">
        <w:rPr>
          <w:rFonts w:ascii="Arial" w:hAnsi="Arial" w:cs="Arial"/>
          <w:sz w:val="24"/>
        </w:rPr>
        <w:t>s c</w:t>
      </w:r>
      <w:r w:rsidR="00562436">
        <w:rPr>
          <w:rFonts w:ascii="Arial" w:hAnsi="Arial" w:cs="Arial"/>
          <w:sz w:val="24"/>
        </w:rPr>
        <w:t>o</w:t>
      </w:r>
      <w:r w:rsidRPr="003D1FBA">
        <w:rPr>
          <w:rFonts w:ascii="Arial" w:hAnsi="Arial" w:cs="Arial"/>
          <w:sz w:val="24"/>
        </w:rPr>
        <w:t>rt</w:t>
      </w:r>
      <w:r w:rsidR="00562436">
        <w:rPr>
          <w:rFonts w:ascii="Arial" w:hAnsi="Arial" w:cs="Arial"/>
          <w:sz w:val="24"/>
        </w:rPr>
        <w:t>a</w:t>
      </w:r>
      <w:r w:rsidRPr="003D1FBA">
        <w:rPr>
          <w:rFonts w:ascii="Arial" w:hAnsi="Arial" w:cs="Arial"/>
          <w:sz w:val="24"/>
        </w:rPr>
        <w:t>s x 6”</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Ti</w:t>
      </w:r>
      <w:r w:rsidR="00562436">
        <w:rPr>
          <w:rFonts w:ascii="Arial" w:hAnsi="Arial" w:cs="Arial"/>
          <w:sz w:val="24"/>
        </w:rPr>
        <w:t xml:space="preserve">jeras </w:t>
      </w:r>
      <w:r w:rsidRPr="003D1FBA">
        <w:rPr>
          <w:rFonts w:ascii="Arial" w:hAnsi="Arial" w:cs="Arial"/>
          <w:sz w:val="24"/>
        </w:rPr>
        <w:t>larg</w:t>
      </w:r>
      <w:r w:rsidR="00562436">
        <w:rPr>
          <w:rFonts w:ascii="Arial" w:hAnsi="Arial" w:cs="Arial"/>
          <w:sz w:val="24"/>
        </w:rPr>
        <w:t>a</w:t>
      </w:r>
      <w:r w:rsidRPr="003D1FBA">
        <w:rPr>
          <w:rFonts w:ascii="Arial" w:hAnsi="Arial" w:cs="Arial"/>
          <w:sz w:val="24"/>
        </w:rPr>
        <w:t>s x 6”</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Salt</w:t>
      </w:r>
      <w:r w:rsidR="00562436">
        <w:rPr>
          <w:rFonts w:ascii="Arial" w:hAnsi="Arial" w:cs="Arial"/>
          <w:sz w:val="24"/>
        </w:rPr>
        <w:t>o</w:t>
      </w:r>
      <w:r w:rsidRPr="003D1FBA">
        <w:rPr>
          <w:rFonts w:ascii="Arial" w:hAnsi="Arial" w:cs="Arial"/>
          <w:sz w:val="24"/>
        </w:rPr>
        <w:t xml:space="preserve"> vertical:</w:t>
      </w:r>
    </w:p>
    <w:p w:rsidR="005C4B83" w:rsidRPr="003D1FBA" w:rsidRDefault="005C4B83" w:rsidP="005C4B83">
      <w:pPr>
        <w:pStyle w:val="Pargrafdellista"/>
        <w:numPr>
          <w:ilvl w:val="1"/>
          <w:numId w:val="3"/>
        </w:numPr>
        <w:spacing w:line="360" w:lineRule="auto"/>
        <w:jc w:val="both"/>
        <w:rPr>
          <w:rFonts w:ascii="Arial" w:hAnsi="Arial" w:cs="Arial"/>
          <w:sz w:val="24"/>
        </w:rPr>
      </w:pPr>
      <w:r w:rsidRPr="003D1FBA">
        <w:rPr>
          <w:rFonts w:ascii="Arial" w:hAnsi="Arial" w:cs="Arial"/>
          <w:sz w:val="24"/>
        </w:rPr>
        <w:t xml:space="preserve">2 </w:t>
      </w:r>
      <w:r w:rsidR="00562436">
        <w:rPr>
          <w:rFonts w:ascii="Arial" w:hAnsi="Arial" w:cs="Arial"/>
          <w:sz w:val="24"/>
        </w:rPr>
        <w:t>piernas</w:t>
      </w:r>
      <w:r w:rsidRPr="003D1FBA">
        <w:rPr>
          <w:rFonts w:ascii="Arial" w:hAnsi="Arial" w:cs="Arial"/>
          <w:sz w:val="24"/>
        </w:rPr>
        <w:t xml:space="preserve"> a 2 </w:t>
      </w:r>
      <w:r w:rsidR="00562436">
        <w:rPr>
          <w:rFonts w:ascii="Arial" w:hAnsi="Arial" w:cs="Arial"/>
          <w:sz w:val="24"/>
        </w:rPr>
        <w:t>piernas</w:t>
      </w:r>
      <w:r w:rsidRPr="003D1FBA">
        <w:rPr>
          <w:rFonts w:ascii="Arial" w:hAnsi="Arial" w:cs="Arial"/>
          <w:sz w:val="24"/>
        </w:rPr>
        <w:t xml:space="preserve"> x2</w:t>
      </w:r>
    </w:p>
    <w:p w:rsidR="005C4B83" w:rsidRPr="003D1FBA" w:rsidRDefault="005C4B83" w:rsidP="005C4B83">
      <w:pPr>
        <w:pStyle w:val="Pargrafdellista"/>
        <w:numPr>
          <w:ilvl w:val="1"/>
          <w:numId w:val="3"/>
        </w:numPr>
        <w:spacing w:line="360" w:lineRule="auto"/>
        <w:jc w:val="both"/>
        <w:rPr>
          <w:rFonts w:ascii="Arial" w:hAnsi="Arial" w:cs="Arial"/>
          <w:sz w:val="24"/>
        </w:rPr>
      </w:pPr>
      <w:r w:rsidRPr="003D1FBA">
        <w:rPr>
          <w:rFonts w:ascii="Arial" w:hAnsi="Arial" w:cs="Arial"/>
          <w:sz w:val="24"/>
        </w:rPr>
        <w:t xml:space="preserve">2 </w:t>
      </w:r>
      <w:r w:rsidR="00562436">
        <w:rPr>
          <w:rFonts w:ascii="Arial" w:hAnsi="Arial" w:cs="Arial"/>
          <w:sz w:val="24"/>
        </w:rPr>
        <w:t>piernas</w:t>
      </w:r>
      <w:r w:rsidR="00562436" w:rsidRPr="003D1FBA">
        <w:rPr>
          <w:rFonts w:ascii="Arial" w:hAnsi="Arial" w:cs="Arial"/>
          <w:sz w:val="24"/>
        </w:rPr>
        <w:t xml:space="preserve"> </w:t>
      </w:r>
      <w:r w:rsidRPr="003D1FBA">
        <w:rPr>
          <w:rFonts w:ascii="Arial" w:hAnsi="Arial" w:cs="Arial"/>
          <w:sz w:val="24"/>
        </w:rPr>
        <w:t xml:space="preserve">a 1 </w:t>
      </w:r>
      <w:r w:rsidR="00562436">
        <w:rPr>
          <w:rFonts w:ascii="Arial" w:hAnsi="Arial" w:cs="Arial"/>
          <w:sz w:val="24"/>
        </w:rPr>
        <w:t>piernas</w:t>
      </w:r>
      <w:r w:rsidR="00562436" w:rsidRPr="003D1FBA">
        <w:rPr>
          <w:rFonts w:ascii="Arial" w:hAnsi="Arial" w:cs="Arial"/>
          <w:sz w:val="24"/>
        </w:rPr>
        <w:t xml:space="preserve"> </w:t>
      </w:r>
      <w:r w:rsidRPr="003D1FBA">
        <w:rPr>
          <w:rFonts w:ascii="Arial" w:hAnsi="Arial" w:cs="Arial"/>
          <w:sz w:val="24"/>
        </w:rPr>
        <w:t>(dos p</w:t>
      </w:r>
      <w:r w:rsidR="00562436">
        <w:rPr>
          <w:rFonts w:ascii="Arial" w:hAnsi="Arial" w:cs="Arial"/>
          <w:sz w:val="24"/>
        </w:rPr>
        <w:t>o</w:t>
      </w:r>
      <w:r w:rsidRPr="003D1FBA">
        <w:rPr>
          <w:rFonts w:ascii="Arial" w:hAnsi="Arial" w:cs="Arial"/>
          <w:sz w:val="24"/>
        </w:rPr>
        <w:t xml:space="preserve">r </w:t>
      </w:r>
      <w:r w:rsidR="00562436">
        <w:rPr>
          <w:rFonts w:ascii="Arial" w:hAnsi="Arial" w:cs="Arial"/>
          <w:sz w:val="24"/>
        </w:rPr>
        <w:t>pierna</w:t>
      </w:r>
      <w:r w:rsidRPr="003D1FBA">
        <w:rPr>
          <w:rFonts w:ascii="Arial" w:hAnsi="Arial" w:cs="Arial"/>
          <w:sz w:val="24"/>
        </w:rPr>
        <w:t>)</w:t>
      </w:r>
    </w:p>
    <w:p w:rsidR="005C4B83" w:rsidRPr="003D1FBA" w:rsidRDefault="005C4B83" w:rsidP="005C4B83">
      <w:pPr>
        <w:pStyle w:val="Pargrafdellista"/>
        <w:numPr>
          <w:ilvl w:val="1"/>
          <w:numId w:val="3"/>
        </w:numPr>
        <w:spacing w:line="360" w:lineRule="auto"/>
        <w:jc w:val="both"/>
        <w:rPr>
          <w:rFonts w:ascii="Arial" w:hAnsi="Arial" w:cs="Arial"/>
          <w:sz w:val="24"/>
        </w:rPr>
      </w:pPr>
      <w:r w:rsidRPr="003D1FBA">
        <w:rPr>
          <w:rFonts w:ascii="Arial" w:hAnsi="Arial" w:cs="Arial"/>
          <w:sz w:val="24"/>
        </w:rPr>
        <w:t xml:space="preserve">1 </w:t>
      </w:r>
      <w:r w:rsidR="00562436">
        <w:rPr>
          <w:rFonts w:ascii="Arial" w:hAnsi="Arial" w:cs="Arial"/>
          <w:sz w:val="24"/>
        </w:rPr>
        <w:t xml:space="preserve">pierna </w:t>
      </w:r>
      <w:r w:rsidRPr="003D1FBA">
        <w:rPr>
          <w:rFonts w:ascii="Arial" w:hAnsi="Arial" w:cs="Arial"/>
          <w:sz w:val="24"/>
        </w:rPr>
        <w:t xml:space="preserve">a 1 </w:t>
      </w:r>
      <w:r w:rsidR="00562436">
        <w:rPr>
          <w:rFonts w:ascii="Arial" w:hAnsi="Arial" w:cs="Arial"/>
          <w:sz w:val="24"/>
        </w:rPr>
        <w:t>pierna</w:t>
      </w:r>
      <w:r w:rsidR="00562436" w:rsidRPr="003D1FBA">
        <w:rPr>
          <w:rFonts w:ascii="Arial" w:hAnsi="Arial" w:cs="Arial"/>
          <w:sz w:val="24"/>
        </w:rPr>
        <w:t xml:space="preserve"> </w:t>
      </w:r>
      <w:r w:rsidRPr="003D1FBA">
        <w:rPr>
          <w:rFonts w:ascii="Arial" w:hAnsi="Arial" w:cs="Arial"/>
          <w:sz w:val="24"/>
        </w:rPr>
        <w:t xml:space="preserve">(dos per </w:t>
      </w:r>
      <w:r w:rsidR="00562436">
        <w:rPr>
          <w:rFonts w:ascii="Arial" w:hAnsi="Arial" w:cs="Arial"/>
          <w:sz w:val="24"/>
        </w:rPr>
        <w:t>pierna</w:t>
      </w:r>
      <w:r w:rsidRPr="003D1FBA">
        <w:rPr>
          <w:rFonts w:ascii="Arial" w:hAnsi="Arial" w:cs="Arial"/>
          <w:sz w:val="24"/>
        </w:rPr>
        <w:t>)</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Skipping</w:t>
      </w:r>
      <w:r w:rsidR="00562436">
        <w:rPr>
          <w:rFonts w:ascii="Arial" w:hAnsi="Arial" w:cs="Arial"/>
          <w:sz w:val="24"/>
        </w:rPr>
        <w:t xml:space="preserve"> en el sitio y </w:t>
      </w:r>
      <w:r w:rsidRPr="003D1FBA">
        <w:rPr>
          <w:rFonts w:ascii="Arial" w:hAnsi="Arial" w:cs="Arial"/>
          <w:sz w:val="24"/>
        </w:rPr>
        <w:t>progresi</w:t>
      </w:r>
      <w:r w:rsidR="00562436">
        <w:rPr>
          <w:rFonts w:ascii="Arial" w:hAnsi="Arial" w:cs="Arial"/>
          <w:sz w:val="24"/>
        </w:rPr>
        <w:t>vo</w:t>
      </w:r>
      <w:r w:rsidRPr="003D1FBA">
        <w:rPr>
          <w:rFonts w:ascii="Arial" w:hAnsi="Arial" w:cs="Arial"/>
          <w:sz w:val="24"/>
        </w:rPr>
        <w:t xml:space="preserve"> al estímul</w:t>
      </w:r>
      <w:r w:rsidR="00562436">
        <w:rPr>
          <w:rFonts w:ascii="Arial" w:hAnsi="Arial" w:cs="Arial"/>
          <w:sz w:val="24"/>
        </w:rPr>
        <w:t>o</w:t>
      </w:r>
      <w:r w:rsidRPr="003D1FBA">
        <w:rPr>
          <w:rFonts w:ascii="Arial" w:hAnsi="Arial" w:cs="Arial"/>
          <w:sz w:val="24"/>
        </w:rPr>
        <w:t xml:space="preserve"> acústic</w:t>
      </w:r>
      <w:r w:rsidR="00562436">
        <w:rPr>
          <w:rFonts w:ascii="Arial" w:hAnsi="Arial" w:cs="Arial"/>
          <w:sz w:val="24"/>
        </w:rPr>
        <w:t>o</w:t>
      </w:r>
    </w:p>
    <w:p w:rsidR="005C4B83" w:rsidRPr="00562436" w:rsidRDefault="005C4B83" w:rsidP="005C4B83">
      <w:pPr>
        <w:pStyle w:val="Pargrafdellista"/>
        <w:numPr>
          <w:ilvl w:val="0"/>
          <w:numId w:val="3"/>
        </w:numPr>
        <w:spacing w:line="360" w:lineRule="auto"/>
        <w:jc w:val="both"/>
        <w:rPr>
          <w:rFonts w:ascii="Arial" w:hAnsi="Arial" w:cs="Arial"/>
          <w:sz w:val="24"/>
        </w:rPr>
      </w:pPr>
      <w:r w:rsidRPr="00562436">
        <w:rPr>
          <w:rFonts w:ascii="Arial" w:hAnsi="Arial" w:cs="Arial"/>
          <w:sz w:val="24"/>
        </w:rPr>
        <w:t xml:space="preserve">Skipping </w:t>
      </w:r>
      <w:r w:rsidR="00562436" w:rsidRPr="00562436">
        <w:rPr>
          <w:rFonts w:ascii="Arial" w:hAnsi="Arial" w:cs="Arial"/>
          <w:sz w:val="24"/>
        </w:rPr>
        <w:t>en el sitio</w:t>
      </w:r>
      <w:r w:rsidRPr="00562436">
        <w:rPr>
          <w:rFonts w:ascii="Arial" w:hAnsi="Arial" w:cs="Arial"/>
          <w:sz w:val="24"/>
        </w:rPr>
        <w:t xml:space="preserve"> </w:t>
      </w:r>
      <w:r w:rsidR="00562436" w:rsidRPr="00562436">
        <w:rPr>
          <w:rFonts w:ascii="Arial" w:hAnsi="Arial" w:cs="Arial"/>
          <w:sz w:val="24"/>
        </w:rPr>
        <w:t>y</w:t>
      </w:r>
      <w:r w:rsidRPr="00562436">
        <w:rPr>
          <w:rFonts w:ascii="Arial" w:hAnsi="Arial" w:cs="Arial"/>
          <w:sz w:val="24"/>
        </w:rPr>
        <w:t xml:space="preserve"> sprint al estímul</w:t>
      </w:r>
      <w:r w:rsidR="00562436" w:rsidRPr="00562436">
        <w:rPr>
          <w:rFonts w:ascii="Arial" w:hAnsi="Arial" w:cs="Arial"/>
          <w:sz w:val="24"/>
        </w:rPr>
        <w:t>o</w:t>
      </w:r>
      <w:r w:rsidRPr="00562436">
        <w:rPr>
          <w:rFonts w:ascii="Arial" w:hAnsi="Arial" w:cs="Arial"/>
          <w:sz w:val="24"/>
        </w:rPr>
        <w:t xml:space="preserve"> acústic</w:t>
      </w:r>
      <w:r w:rsidR="00562436" w:rsidRPr="00562436">
        <w:rPr>
          <w:rFonts w:ascii="Arial" w:hAnsi="Arial" w:cs="Arial"/>
          <w:sz w:val="24"/>
        </w:rPr>
        <w:t>o</w:t>
      </w:r>
      <w:r w:rsidRPr="00562436">
        <w:rPr>
          <w:rFonts w:ascii="Arial" w:hAnsi="Arial" w:cs="Arial"/>
          <w:sz w:val="24"/>
        </w:rPr>
        <w:t>.</w:t>
      </w:r>
    </w:p>
    <w:p w:rsidR="005C4B83" w:rsidRPr="003D1FBA" w:rsidRDefault="005C4B83" w:rsidP="005C4B83">
      <w:pPr>
        <w:pStyle w:val="Pargrafdellista"/>
        <w:numPr>
          <w:ilvl w:val="0"/>
          <w:numId w:val="3"/>
        </w:numPr>
        <w:spacing w:line="360" w:lineRule="auto"/>
        <w:jc w:val="both"/>
        <w:rPr>
          <w:rFonts w:ascii="Arial" w:hAnsi="Arial" w:cs="Arial"/>
          <w:sz w:val="24"/>
        </w:rPr>
      </w:pPr>
      <w:r w:rsidRPr="003D1FBA">
        <w:rPr>
          <w:rFonts w:ascii="Arial" w:hAnsi="Arial" w:cs="Arial"/>
          <w:sz w:val="24"/>
        </w:rPr>
        <w:t>3 s</w:t>
      </w:r>
      <w:r w:rsidR="00562436">
        <w:rPr>
          <w:rFonts w:ascii="Arial" w:hAnsi="Arial" w:cs="Arial"/>
          <w:sz w:val="24"/>
        </w:rPr>
        <w:t>e</w:t>
      </w:r>
      <w:r w:rsidRPr="003D1FBA">
        <w:rPr>
          <w:rFonts w:ascii="Arial" w:hAnsi="Arial" w:cs="Arial"/>
          <w:sz w:val="24"/>
        </w:rPr>
        <w:t>ries de carrera de zona A a zona B</w:t>
      </w:r>
    </w:p>
    <w:p w:rsidR="005C4B83" w:rsidRPr="003D1FBA" w:rsidRDefault="005C4B83" w:rsidP="005C4B83">
      <w:pPr>
        <w:pStyle w:val="Pargrafdellista"/>
        <w:numPr>
          <w:ilvl w:val="1"/>
          <w:numId w:val="3"/>
        </w:numPr>
        <w:spacing w:line="360" w:lineRule="auto"/>
        <w:jc w:val="both"/>
        <w:rPr>
          <w:rFonts w:ascii="Arial" w:hAnsi="Arial" w:cs="Arial"/>
          <w:sz w:val="24"/>
        </w:rPr>
      </w:pPr>
      <w:r w:rsidRPr="003D1FBA">
        <w:rPr>
          <w:rFonts w:ascii="Arial" w:hAnsi="Arial" w:cs="Arial"/>
          <w:sz w:val="24"/>
        </w:rPr>
        <w:t xml:space="preserve">1a: </w:t>
      </w:r>
      <w:r w:rsidR="00562436">
        <w:rPr>
          <w:rFonts w:ascii="Arial" w:hAnsi="Arial" w:cs="Arial"/>
          <w:sz w:val="24"/>
        </w:rPr>
        <w:t>ida</w:t>
      </w:r>
      <w:r w:rsidRPr="003D1FBA">
        <w:rPr>
          <w:rFonts w:ascii="Arial" w:hAnsi="Arial" w:cs="Arial"/>
          <w:sz w:val="24"/>
        </w:rPr>
        <w:t xml:space="preserve"> </w:t>
      </w:r>
      <w:r w:rsidR="00562436">
        <w:rPr>
          <w:rFonts w:ascii="Arial" w:hAnsi="Arial" w:cs="Arial"/>
          <w:sz w:val="24"/>
        </w:rPr>
        <w:t>y</w:t>
      </w:r>
      <w:r w:rsidRPr="003D1FBA">
        <w:rPr>
          <w:rFonts w:ascii="Arial" w:hAnsi="Arial" w:cs="Arial"/>
          <w:sz w:val="24"/>
        </w:rPr>
        <w:t xml:space="preserve"> </w:t>
      </w:r>
      <w:r w:rsidR="00562436">
        <w:rPr>
          <w:rFonts w:ascii="Arial" w:hAnsi="Arial" w:cs="Arial"/>
          <w:sz w:val="24"/>
        </w:rPr>
        <w:t>vuelta</w:t>
      </w:r>
      <w:r w:rsidRPr="003D1FBA">
        <w:rPr>
          <w:rFonts w:ascii="Arial" w:hAnsi="Arial" w:cs="Arial"/>
          <w:sz w:val="24"/>
        </w:rPr>
        <w:t xml:space="preserve"> 3 </w:t>
      </w:r>
      <w:r w:rsidR="00562436">
        <w:rPr>
          <w:rFonts w:ascii="Arial" w:hAnsi="Arial" w:cs="Arial"/>
          <w:sz w:val="24"/>
        </w:rPr>
        <w:t>veces</w:t>
      </w:r>
      <w:r w:rsidRPr="003D1FBA">
        <w:rPr>
          <w:rFonts w:ascii="Arial" w:hAnsi="Arial" w:cs="Arial"/>
          <w:sz w:val="24"/>
        </w:rPr>
        <w:t xml:space="preserve"> al 70%</w:t>
      </w:r>
    </w:p>
    <w:p w:rsidR="005C4B83" w:rsidRPr="003D1FBA" w:rsidRDefault="005C4B83" w:rsidP="005C4B83">
      <w:pPr>
        <w:pStyle w:val="Pargrafdellista"/>
        <w:numPr>
          <w:ilvl w:val="1"/>
          <w:numId w:val="3"/>
        </w:numPr>
        <w:spacing w:line="360" w:lineRule="auto"/>
        <w:jc w:val="both"/>
        <w:rPr>
          <w:rFonts w:ascii="Arial" w:hAnsi="Arial" w:cs="Arial"/>
          <w:sz w:val="24"/>
        </w:rPr>
      </w:pPr>
      <w:r w:rsidRPr="003D1FBA">
        <w:rPr>
          <w:rFonts w:ascii="Arial" w:hAnsi="Arial" w:cs="Arial"/>
          <w:sz w:val="24"/>
        </w:rPr>
        <w:t xml:space="preserve">2a: </w:t>
      </w:r>
      <w:r w:rsidR="00562436">
        <w:rPr>
          <w:rFonts w:ascii="Arial" w:hAnsi="Arial" w:cs="Arial"/>
          <w:sz w:val="24"/>
        </w:rPr>
        <w:t>ida</w:t>
      </w:r>
      <w:r w:rsidR="00562436" w:rsidRPr="003D1FBA">
        <w:rPr>
          <w:rFonts w:ascii="Arial" w:hAnsi="Arial" w:cs="Arial"/>
          <w:sz w:val="24"/>
        </w:rPr>
        <w:t xml:space="preserve"> </w:t>
      </w:r>
      <w:r w:rsidR="00562436">
        <w:rPr>
          <w:rFonts w:ascii="Arial" w:hAnsi="Arial" w:cs="Arial"/>
          <w:sz w:val="24"/>
        </w:rPr>
        <w:t>y</w:t>
      </w:r>
      <w:r w:rsidR="00562436" w:rsidRPr="003D1FBA">
        <w:rPr>
          <w:rFonts w:ascii="Arial" w:hAnsi="Arial" w:cs="Arial"/>
          <w:sz w:val="24"/>
        </w:rPr>
        <w:t xml:space="preserve"> </w:t>
      </w:r>
      <w:r w:rsidR="00562436">
        <w:rPr>
          <w:rFonts w:ascii="Arial" w:hAnsi="Arial" w:cs="Arial"/>
          <w:sz w:val="24"/>
        </w:rPr>
        <w:t>vuelta</w:t>
      </w:r>
      <w:r w:rsidR="00562436" w:rsidRPr="003D1FBA">
        <w:rPr>
          <w:rFonts w:ascii="Arial" w:hAnsi="Arial" w:cs="Arial"/>
          <w:sz w:val="24"/>
        </w:rPr>
        <w:t xml:space="preserve"> </w:t>
      </w:r>
      <w:r w:rsidRPr="003D1FBA">
        <w:rPr>
          <w:rFonts w:ascii="Arial" w:hAnsi="Arial" w:cs="Arial"/>
          <w:sz w:val="24"/>
        </w:rPr>
        <w:t xml:space="preserve">3 </w:t>
      </w:r>
      <w:r w:rsidR="00562436">
        <w:rPr>
          <w:rFonts w:ascii="Arial" w:hAnsi="Arial" w:cs="Arial"/>
          <w:sz w:val="24"/>
        </w:rPr>
        <w:t>veces</w:t>
      </w:r>
      <w:r w:rsidRPr="003D1FBA">
        <w:rPr>
          <w:rFonts w:ascii="Arial" w:hAnsi="Arial" w:cs="Arial"/>
          <w:sz w:val="24"/>
        </w:rPr>
        <w:t xml:space="preserve"> al 80%</w:t>
      </w:r>
    </w:p>
    <w:p w:rsidR="005C4B83" w:rsidRPr="003D1FBA" w:rsidRDefault="005C4B83" w:rsidP="000A124D">
      <w:pPr>
        <w:pStyle w:val="Pargrafdellista"/>
        <w:numPr>
          <w:ilvl w:val="1"/>
          <w:numId w:val="3"/>
        </w:numPr>
        <w:spacing w:line="360" w:lineRule="auto"/>
        <w:jc w:val="both"/>
        <w:rPr>
          <w:rFonts w:ascii="Arial" w:hAnsi="Arial" w:cs="Arial"/>
          <w:sz w:val="24"/>
        </w:rPr>
      </w:pPr>
      <w:r w:rsidRPr="003D1FBA">
        <w:rPr>
          <w:rFonts w:ascii="Arial" w:hAnsi="Arial" w:cs="Arial"/>
          <w:sz w:val="24"/>
        </w:rPr>
        <w:t xml:space="preserve">3a: </w:t>
      </w:r>
      <w:r w:rsidR="00562436">
        <w:rPr>
          <w:rFonts w:ascii="Arial" w:hAnsi="Arial" w:cs="Arial"/>
          <w:sz w:val="24"/>
        </w:rPr>
        <w:t>ida</w:t>
      </w:r>
      <w:r w:rsidR="00562436" w:rsidRPr="003D1FBA">
        <w:rPr>
          <w:rFonts w:ascii="Arial" w:hAnsi="Arial" w:cs="Arial"/>
          <w:sz w:val="24"/>
        </w:rPr>
        <w:t xml:space="preserve"> </w:t>
      </w:r>
      <w:r w:rsidR="00562436">
        <w:rPr>
          <w:rFonts w:ascii="Arial" w:hAnsi="Arial" w:cs="Arial"/>
          <w:sz w:val="24"/>
        </w:rPr>
        <w:t>y</w:t>
      </w:r>
      <w:r w:rsidR="00562436" w:rsidRPr="003D1FBA">
        <w:rPr>
          <w:rFonts w:ascii="Arial" w:hAnsi="Arial" w:cs="Arial"/>
          <w:sz w:val="24"/>
        </w:rPr>
        <w:t xml:space="preserve"> </w:t>
      </w:r>
      <w:r w:rsidR="00562436">
        <w:rPr>
          <w:rFonts w:ascii="Arial" w:hAnsi="Arial" w:cs="Arial"/>
          <w:sz w:val="24"/>
        </w:rPr>
        <w:t>vuelta</w:t>
      </w:r>
      <w:r w:rsidR="00562436" w:rsidRPr="003D1FBA">
        <w:rPr>
          <w:rFonts w:ascii="Arial" w:hAnsi="Arial" w:cs="Arial"/>
          <w:sz w:val="24"/>
        </w:rPr>
        <w:t xml:space="preserve"> </w:t>
      </w:r>
      <w:r w:rsidRPr="003D1FBA">
        <w:rPr>
          <w:rFonts w:ascii="Arial" w:hAnsi="Arial" w:cs="Arial"/>
          <w:sz w:val="24"/>
        </w:rPr>
        <w:t xml:space="preserve">3 </w:t>
      </w:r>
      <w:r w:rsidR="00562436">
        <w:rPr>
          <w:rFonts w:ascii="Arial" w:hAnsi="Arial" w:cs="Arial"/>
          <w:sz w:val="24"/>
        </w:rPr>
        <w:t>veces</w:t>
      </w:r>
      <w:r w:rsidRPr="003D1FBA">
        <w:rPr>
          <w:rFonts w:ascii="Arial" w:hAnsi="Arial" w:cs="Arial"/>
          <w:sz w:val="24"/>
        </w:rPr>
        <w:t xml:space="preserve"> al 95%</w:t>
      </w:r>
      <w:r w:rsidR="000A124D" w:rsidRPr="003D1FBA">
        <w:rPr>
          <w:rFonts w:ascii="Arial" w:hAnsi="Arial" w:cs="Arial"/>
          <w:sz w:val="24"/>
        </w:rPr>
        <w:br w:type="page"/>
      </w:r>
    </w:p>
    <w:p w:rsidR="00EE7DE8" w:rsidRPr="003D1FBA" w:rsidRDefault="00C91705" w:rsidP="00C91705">
      <w:pPr>
        <w:spacing w:line="360" w:lineRule="auto"/>
        <w:jc w:val="both"/>
        <w:rPr>
          <w:rFonts w:ascii="Arial" w:eastAsiaTheme="majorEastAsia" w:hAnsi="Arial" w:cstheme="majorBidi"/>
          <w:bCs/>
          <w:sz w:val="24"/>
          <w:szCs w:val="24"/>
        </w:rPr>
      </w:pPr>
      <w:bookmarkStart w:id="23" w:name="_Toc20417714"/>
      <w:r w:rsidRPr="003D1FBA">
        <w:rPr>
          <w:rStyle w:val="Ttol2Car"/>
        </w:rPr>
        <w:lastRenderedPageBreak/>
        <w:t>Anex</w:t>
      </w:r>
      <w:r w:rsidR="00562436">
        <w:rPr>
          <w:rStyle w:val="Ttol2Car"/>
        </w:rPr>
        <w:t>o</w:t>
      </w:r>
      <w:r w:rsidRPr="003D1FBA">
        <w:rPr>
          <w:rStyle w:val="Ttol2Car"/>
        </w:rPr>
        <w:t xml:space="preserve"> 2: Ta</w:t>
      </w:r>
      <w:r w:rsidR="00562436">
        <w:rPr>
          <w:rStyle w:val="Ttol2Car"/>
        </w:rPr>
        <w:t>b</w:t>
      </w:r>
      <w:r w:rsidRPr="003D1FBA">
        <w:rPr>
          <w:rStyle w:val="Ttol2Car"/>
        </w:rPr>
        <w:t>la d</w:t>
      </w:r>
      <w:r w:rsidR="00562436">
        <w:rPr>
          <w:rStyle w:val="Ttol2Car"/>
        </w:rPr>
        <w:t xml:space="preserve">e la </w:t>
      </w:r>
      <w:r w:rsidRPr="003D1FBA">
        <w:rPr>
          <w:rStyle w:val="Ttol2Car"/>
        </w:rPr>
        <w:t>escala de percepció</w:t>
      </w:r>
      <w:r w:rsidR="00562436">
        <w:rPr>
          <w:rStyle w:val="Ttol2Car"/>
        </w:rPr>
        <w:t>n</w:t>
      </w:r>
      <w:r w:rsidRPr="003D1FBA">
        <w:rPr>
          <w:rStyle w:val="Ttol2Car"/>
        </w:rPr>
        <w:t xml:space="preserve"> externa de fatiga (RPE)</w:t>
      </w:r>
      <w:r w:rsidR="00EE7DE8" w:rsidRPr="003D1FBA">
        <w:rPr>
          <w:rFonts w:ascii="Arial" w:eastAsiaTheme="majorEastAsia" w:hAnsi="Arial" w:cstheme="majorBidi"/>
          <w:bCs/>
          <w:sz w:val="24"/>
          <w:szCs w:val="24"/>
        </w:rPr>
        <w:t xml:space="preserve"> </w:t>
      </w:r>
      <w:r w:rsidR="00EE7DE8" w:rsidRPr="003D1FBA">
        <w:rPr>
          <w:rFonts w:ascii="Arial" w:eastAsiaTheme="majorEastAsia" w:hAnsi="Arial" w:cstheme="majorBidi"/>
          <w:bCs/>
          <w:sz w:val="24"/>
          <w:szCs w:val="24"/>
          <w:vertAlign w:val="superscript"/>
        </w:rPr>
        <w:fldChar w:fldCharType="begin" w:fldLock="1"/>
      </w:r>
      <w:r w:rsidR="00EE7DE8" w:rsidRPr="003D1FBA">
        <w:rPr>
          <w:rFonts w:ascii="Arial" w:eastAsiaTheme="majorEastAsia" w:hAnsi="Arial" w:cstheme="majorBidi"/>
          <w:bCs/>
          <w:sz w:val="24"/>
          <w:szCs w:val="24"/>
          <w:vertAlign w:val="superscript"/>
        </w:rPr>
        <w:instrText>ADDIN CSL_CITATION {"citationItems":[{"id":"ITEM-1","itemData":{"DOI":"10.1249/01.MSS.0000128199.23901.2F","author":[{"dropping-particle":"","family":"Impellizzeri","given":"Franco M","non-dropping-particle":"","parse-names":false,"suffix":""},{"dropping-particle":"","family":"Rampinini","given":"Ermanno","non-dropping-particle":"","parse-names":false,"suffix":""},{"dropping-particle":"","family":"Coutts","given":"Aaron James","non-dropping-particle":"","parse-names":false,"suffix":""},{"dropping-particle":"","family":"Marcora","given":"Samuele M","non-dropping-particle":"","parse-names":false,"suffix":""}],"container-title":"Med Sci Sports Exerc","id":"ITEM-1","issue":"6","issued":{"date-parts":[["2004"]]},"page":"1042-7","title":"Use of RPE-based training load in soccer","type":"article-journal","volume":"36"},"uris":["http://www.mendeley.com/documents/?uuid=8eece266-f073-41b8-8649-c6d0d8bfd706"]}],"mendeley":{"formattedCitation":"(30)","manualFormatting":"30","plainTextFormattedCitation":"(30)","previouslyFormattedCitation":"(30)"},"properties":{"noteIndex":0},"schema":"https://github.com/citation-style-language/schema/raw/master/csl-citation.json"}</w:instrText>
      </w:r>
      <w:r w:rsidR="00EE7DE8" w:rsidRPr="003D1FBA">
        <w:rPr>
          <w:rFonts w:ascii="Arial" w:eastAsiaTheme="majorEastAsia" w:hAnsi="Arial" w:cstheme="majorBidi"/>
          <w:bCs/>
          <w:sz w:val="24"/>
          <w:szCs w:val="24"/>
          <w:vertAlign w:val="superscript"/>
        </w:rPr>
        <w:fldChar w:fldCharType="separate"/>
      </w:r>
      <w:r w:rsidR="00EE7DE8" w:rsidRPr="003D1FBA">
        <w:rPr>
          <w:rFonts w:ascii="Arial" w:eastAsiaTheme="majorEastAsia" w:hAnsi="Arial" w:cstheme="majorBidi"/>
          <w:bCs/>
          <w:noProof/>
          <w:sz w:val="24"/>
          <w:szCs w:val="24"/>
          <w:vertAlign w:val="superscript"/>
        </w:rPr>
        <w:t>30</w:t>
      </w:r>
      <w:r w:rsidR="00EE7DE8" w:rsidRPr="003D1FBA">
        <w:rPr>
          <w:rFonts w:ascii="Arial" w:eastAsiaTheme="majorEastAsia" w:hAnsi="Arial" w:cstheme="majorBidi"/>
          <w:bCs/>
          <w:sz w:val="24"/>
          <w:szCs w:val="24"/>
          <w:vertAlign w:val="superscript"/>
        </w:rPr>
        <w:fldChar w:fldCharType="end"/>
      </w: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C91705" w:rsidRPr="003D1FBA" w:rsidTr="00465993">
        <w:tc>
          <w:tcPr>
            <w:tcW w:w="8494" w:type="dxa"/>
          </w:tcPr>
          <w:p w:rsidR="00C91705" w:rsidRPr="003D1FBA" w:rsidRDefault="00C91705" w:rsidP="00465993">
            <w:pPr>
              <w:spacing w:line="360" w:lineRule="auto"/>
              <w:jc w:val="center"/>
              <w:rPr>
                <w:rFonts w:ascii="Arial" w:eastAsiaTheme="majorEastAsia" w:hAnsi="Arial" w:cstheme="majorBidi"/>
                <w:bCs/>
                <w:sz w:val="18"/>
                <w:szCs w:val="18"/>
              </w:rPr>
            </w:pPr>
            <w:r w:rsidRPr="003D1FBA">
              <w:rPr>
                <w:rFonts w:ascii="Arial" w:eastAsiaTheme="majorEastAsia" w:hAnsi="Arial" w:cstheme="majorBidi"/>
                <w:bCs/>
                <w:sz w:val="18"/>
                <w:szCs w:val="18"/>
              </w:rPr>
              <w:t>Ta</w:t>
            </w:r>
            <w:r w:rsidR="00562436">
              <w:rPr>
                <w:rFonts w:ascii="Arial" w:eastAsiaTheme="majorEastAsia" w:hAnsi="Arial" w:cstheme="majorBidi"/>
                <w:bCs/>
                <w:sz w:val="18"/>
                <w:szCs w:val="18"/>
              </w:rPr>
              <w:t>b</w:t>
            </w:r>
            <w:r w:rsidRPr="003D1FBA">
              <w:rPr>
                <w:rFonts w:ascii="Arial" w:eastAsiaTheme="majorEastAsia" w:hAnsi="Arial" w:cstheme="majorBidi"/>
                <w:bCs/>
                <w:sz w:val="18"/>
                <w:szCs w:val="18"/>
              </w:rPr>
              <w:t>la 5</w:t>
            </w:r>
          </w:p>
        </w:tc>
      </w:tr>
      <w:tr w:rsidR="00C91705" w:rsidRPr="003D1FBA" w:rsidTr="00465993">
        <w:tc>
          <w:tcPr>
            <w:tcW w:w="8494" w:type="dxa"/>
          </w:tcPr>
          <w:p w:rsidR="00C91705" w:rsidRPr="003D1FBA" w:rsidRDefault="00C91705" w:rsidP="00465993">
            <w:pPr>
              <w:spacing w:line="360" w:lineRule="auto"/>
              <w:jc w:val="center"/>
              <w:rPr>
                <w:rFonts w:ascii="Arial" w:eastAsiaTheme="majorEastAsia" w:hAnsi="Arial" w:cstheme="majorBidi"/>
                <w:bCs/>
                <w:sz w:val="18"/>
                <w:szCs w:val="18"/>
              </w:rPr>
            </w:pPr>
            <w:r w:rsidRPr="003D1FBA">
              <w:rPr>
                <w:rFonts w:ascii="Arial" w:eastAsiaTheme="majorEastAsia" w:hAnsi="Arial" w:cstheme="majorBidi"/>
                <w:bCs/>
                <w:sz w:val="18"/>
                <w:szCs w:val="18"/>
              </w:rPr>
              <w:t>Escala de percepció</w:t>
            </w:r>
            <w:r w:rsidR="00562436">
              <w:rPr>
                <w:rFonts w:ascii="Arial" w:eastAsiaTheme="majorEastAsia" w:hAnsi="Arial" w:cstheme="majorBidi"/>
                <w:bCs/>
                <w:sz w:val="18"/>
                <w:szCs w:val="18"/>
              </w:rPr>
              <w:t>n</w:t>
            </w:r>
            <w:r w:rsidRPr="003D1FBA">
              <w:rPr>
                <w:rFonts w:ascii="Arial" w:eastAsiaTheme="majorEastAsia" w:hAnsi="Arial" w:cstheme="majorBidi"/>
                <w:bCs/>
                <w:sz w:val="18"/>
                <w:szCs w:val="18"/>
              </w:rPr>
              <w:t xml:space="preserve"> externa de fatiga</w:t>
            </w:r>
          </w:p>
        </w:tc>
      </w:tr>
      <w:tr w:rsidR="00C91705" w:rsidRPr="003D1FBA" w:rsidTr="00465993">
        <w:tc>
          <w:tcPr>
            <w:tcW w:w="8494" w:type="dxa"/>
          </w:tcPr>
          <w:tbl>
            <w:tblPr>
              <w:tblStyle w:val="Taulaambquadrcula"/>
              <w:tblW w:w="0" w:type="auto"/>
              <w:jc w:val="center"/>
              <w:tblBorders>
                <w:left w:val="none" w:sz="0" w:space="0" w:color="auto"/>
                <w:right w:val="none" w:sz="0" w:space="0" w:color="auto"/>
              </w:tblBorders>
              <w:tblLook w:val="04A0" w:firstRow="1" w:lastRow="0" w:firstColumn="1" w:lastColumn="0" w:noHBand="0" w:noVBand="1"/>
            </w:tblPr>
            <w:tblGrid>
              <w:gridCol w:w="2038"/>
              <w:gridCol w:w="4090"/>
            </w:tblGrid>
            <w:tr w:rsidR="00C91705" w:rsidRPr="003D1FBA" w:rsidTr="00465993">
              <w:trPr>
                <w:trHeight w:val="299"/>
                <w:jc w:val="center"/>
              </w:trPr>
              <w:tc>
                <w:tcPr>
                  <w:tcW w:w="6128" w:type="dxa"/>
                  <w:gridSpan w:val="2"/>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Escala RPE</w:t>
                  </w:r>
                </w:p>
              </w:tc>
            </w:tr>
            <w:tr w:rsidR="00C91705" w:rsidRPr="003D1FBA" w:rsidTr="00465993">
              <w:trPr>
                <w:trHeight w:val="299"/>
                <w:jc w:val="center"/>
              </w:trPr>
              <w:tc>
                <w:tcPr>
                  <w:tcW w:w="2038" w:type="dxa"/>
                  <w:tcBorders>
                    <w:right w:val="nil"/>
                  </w:tcBorders>
                  <w:shd w:val="clear" w:color="auto" w:fill="31D331"/>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1</w:t>
                  </w:r>
                </w:p>
              </w:tc>
              <w:tc>
                <w:tcPr>
                  <w:tcW w:w="4090" w:type="dxa"/>
                  <w:tcBorders>
                    <w:left w:val="nil"/>
                  </w:tcBorders>
                  <w:vAlign w:val="center"/>
                </w:tcPr>
                <w:p w:rsidR="00C91705" w:rsidRPr="003D1FBA" w:rsidRDefault="00562436" w:rsidP="00465993">
                  <w:pPr>
                    <w:jc w:val="center"/>
                    <w:rPr>
                      <w:rFonts w:ascii="Arial" w:hAnsi="Arial" w:cs="Arial"/>
                      <w:sz w:val="24"/>
                      <w:szCs w:val="24"/>
                    </w:rPr>
                  </w:pPr>
                  <w:r>
                    <w:rPr>
                      <w:rFonts w:ascii="Arial" w:hAnsi="Arial" w:cs="Arial"/>
                      <w:sz w:val="24"/>
                      <w:szCs w:val="24"/>
                    </w:rPr>
                    <w:t>Nada</w:t>
                  </w:r>
                </w:p>
              </w:tc>
            </w:tr>
            <w:tr w:rsidR="00C91705" w:rsidRPr="003D1FBA" w:rsidTr="00465993">
              <w:trPr>
                <w:trHeight w:val="299"/>
                <w:jc w:val="center"/>
              </w:trPr>
              <w:tc>
                <w:tcPr>
                  <w:tcW w:w="2038" w:type="dxa"/>
                  <w:tcBorders>
                    <w:right w:val="nil"/>
                  </w:tcBorders>
                  <w:shd w:val="clear" w:color="auto" w:fill="31D331"/>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2</w:t>
                  </w:r>
                </w:p>
              </w:tc>
              <w:tc>
                <w:tcPr>
                  <w:tcW w:w="4090" w:type="dxa"/>
                  <w:tcBorders>
                    <w:left w:val="nil"/>
                  </w:tcBorders>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Esf</w:t>
                  </w:r>
                  <w:r w:rsidR="00562436">
                    <w:rPr>
                      <w:rFonts w:ascii="Arial" w:hAnsi="Arial" w:cs="Arial"/>
                      <w:sz w:val="24"/>
                      <w:szCs w:val="24"/>
                    </w:rPr>
                    <w:t>uerzo</w:t>
                  </w:r>
                  <w:r w:rsidRPr="003D1FBA">
                    <w:rPr>
                      <w:rFonts w:ascii="Arial" w:hAnsi="Arial" w:cs="Arial"/>
                      <w:sz w:val="24"/>
                      <w:szCs w:val="24"/>
                    </w:rPr>
                    <w:t xml:space="preserve"> m</w:t>
                  </w:r>
                  <w:r w:rsidR="00562436">
                    <w:rPr>
                      <w:rFonts w:ascii="Arial" w:hAnsi="Arial" w:cs="Arial"/>
                      <w:sz w:val="24"/>
                      <w:szCs w:val="24"/>
                    </w:rPr>
                    <w:t>uy</w:t>
                  </w:r>
                  <w:r w:rsidRPr="003D1FBA">
                    <w:rPr>
                      <w:rFonts w:ascii="Arial" w:hAnsi="Arial" w:cs="Arial"/>
                      <w:sz w:val="24"/>
                      <w:szCs w:val="24"/>
                    </w:rPr>
                    <w:t xml:space="preserve"> sua</w:t>
                  </w:r>
                  <w:r w:rsidR="00562436">
                    <w:rPr>
                      <w:rFonts w:ascii="Arial" w:hAnsi="Arial" w:cs="Arial"/>
                      <w:sz w:val="24"/>
                      <w:szCs w:val="24"/>
                    </w:rPr>
                    <w:t>ve</w:t>
                  </w:r>
                </w:p>
              </w:tc>
            </w:tr>
            <w:tr w:rsidR="00C91705" w:rsidRPr="003D1FBA" w:rsidTr="00465993">
              <w:trPr>
                <w:trHeight w:val="299"/>
                <w:jc w:val="center"/>
              </w:trPr>
              <w:tc>
                <w:tcPr>
                  <w:tcW w:w="2038" w:type="dxa"/>
                  <w:tcBorders>
                    <w:right w:val="nil"/>
                  </w:tcBorders>
                  <w:shd w:val="clear" w:color="auto" w:fill="31D331"/>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3</w:t>
                  </w:r>
                </w:p>
              </w:tc>
              <w:tc>
                <w:tcPr>
                  <w:tcW w:w="4090" w:type="dxa"/>
                  <w:tcBorders>
                    <w:left w:val="nil"/>
                  </w:tcBorders>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Su</w:t>
                  </w:r>
                  <w:r w:rsidR="00562436">
                    <w:rPr>
                      <w:rFonts w:ascii="Arial" w:hAnsi="Arial" w:cs="Arial"/>
                      <w:sz w:val="24"/>
                      <w:szCs w:val="24"/>
                    </w:rPr>
                    <w:t>ave</w:t>
                  </w:r>
                </w:p>
              </w:tc>
            </w:tr>
            <w:tr w:rsidR="00C91705" w:rsidRPr="003D1FBA" w:rsidTr="00465993">
              <w:trPr>
                <w:trHeight w:val="299"/>
                <w:jc w:val="center"/>
              </w:trPr>
              <w:tc>
                <w:tcPr>
                  <w:tcW w:w="2038" w:type="dxa"/>
                  <w:tcBorders>
                    <w:right w:val="nil"/>
                  </w:tcBorders>
                  <w:shd w:val="clear" w:color="auto" w:fill="FFFF00"/>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4</w:t>
                  </w:r>
                </w:p>
              </w:tc>
              <w:tc>
                <w:tcPr>
                  <w:tcW w:w="4090" w:type="dxa"/>
                  <w:tcBorders>
                    <w:left w:val="nil"/>
                  </w:tcBorders>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C</w:t>
                  </w:r>
                  <w:r w:rsidR="00562436">
                    <w:rPr>
                      <w:rFonts w:ascii="Arial" w:hAnsi="Arial" w:cs="Arial"/>
                      <w:sz w:val="24"/>
                      <w:szCs w:val="24"/>
                    </w:rPr>
                    <w:t>ómodo</w:t>
                  </w:r>
                </w:p>
              </w:tc>
            </w:tr>
            <w:tr w:rsidR="00C91705" w:rsidRPr="003D1FBA" w:rsidTr="00465993">
              <w:trPr>
                <w:trHeight w:val="299"/>
                <w:jc w:val="center"/>
              </w:trPr>
              <w:tc>
                <w:tcPr>
                  <w:tcW w:w="2038" w:type="dxa"/>
                  <w:tcBorders>
                    <w:right w:val="nil"/>
                  </w:tcBorders>
                  <w:shd w:val="clear" w:color="auto" w:fill="FFFF00"/>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5</w:t>
                  </w:r>
                </w:p>
              </w:tc>
              <w:tc>
                <w:tcPr>
                  <w:tcW w:w="4090" w:type="dxa"/>
                  <w:tcBorders>
                    <w:left w:val="nil"/>
                  </w:tcBorders>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Un</w:t>
                  </w:r>
                  <w:r w:rsidR="00562436">
                    <w:rPr>
                      <w:rFonts w:ascii="Arial" w:hAnsi="Arial" w:cs="Arial"/>
                      <w:sz w:val="24"/>
                      <w:szCs w:val="24"/>
                    </w:rPr>
                    <w:t xml:space="preserve"> poco</w:t>
                  </w:r>
                  <w:r w:rsidRPr="003D1FBA">
                    <w:rPr>
                      <w:rFonts w:ascii="Arial" w:hAnsi="Arial" w:cs="Arial"/>
                      <w:sz w:val="24"/>
                      <w:szCs w:val="24"/>
                    </w:rPr>
                    <w:t xml:space="preserve"> du</w:t>
                  </w:r>
                  <w:r w:rsidR="00562436">
                    <w:rPr>
                      <w:rFonts w:ascii="Arial" w:hAnsi="Arial" w:cs="Arial"/>
                      <w:sz w:val="24"/>
                      <w:szCs w:val="24"/>
                    </w:rPr>
                    <w:t>ro</w:t>
                  </w:r>
                </w:p>
              </w:tc>
            </w:tr>
            <w:tr w:rsidR="00C91705" w:rsidRPr="003D1FBA" w:rsidTr="00465993">
              <w:trPr>
                <w:trHeight w:val="299"/>
                <w:jc w:val="center"/>
              </w:trPr>
              <w:tc>
                <w:tcPr>
                  <w:tcW w:w="2038" w:type="dxa"/>
                  <w:tcBorders>
                    <w:right w:val="nil"/>
                  </w:tcBorders>
                  <w:shd w:val="clear" w:color="auto" w:fill="FFC000"/>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6</w:t>
                  </w:r>
                </w:p>
              </w:tc>
              <w:tc>
                <w:tcPr>
                  <w:tcW w:w="4090" w:type="dxa"/>
                  <w:tcBorders>
                    <w:left w:val="nil"/>
                  </w:tcBorders>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Dur</w:t>
                  </w:r>
                  <w:r w:rsidR="00562436">
                    <w:rPr>
                      <w:rFonts w:ascii="Arial" w:hAnsi="Arial" w:cs="Arial"/>
                      <w:sz w:val="24"/>
                      <w:szCs w:val="24"/>
                    </w:rPr>
                    <w:t>o</w:t>
                  </w:r>
                </w:p>
              </w:tc>
            </w:tr>
            <w:tr w:rsidR="00C91705" w:rsidRPr="003D1FBA" w:rsidTr="00465993">
              <w:trPr>
                <w:trHeight w:val="316"/>
                <w:jc w:val="center"/>
              </w:trPr>
              <w:tc>
                <w:tcPr>
                  <w:tcW w:w="2038" w:type="dxa"/>
                  <w:tcBorders>
                    <w:right w:val="nil"/>
                  </w:tcBorders>
                  <w:shd w:val="clear" w:color="auto" w:fill="FFC000"/>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7</w:t>
                  </w:r>
                </w:p>
              </w:tc>
              <w:tc>
                <w:tcPr>
                  <w:tcW w:w="4090" w:type="dxa"/>
                  <w:tcBorders>
                    <w:left w:val="nil"/>
                  </w:tcBorders>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Bastant</w:t>
                  </w:r>
                  <w:r w:rsidR="00562436">
                    <w:rPr>
                      <w:rFonts w:ascii="Arial" w:hAnsi="Arial" w:cs="Arial"/>
                      <w:sz w:val="24"/>
                      <w:szCs w:val="24"/>
                    </w:rPr>
                    <w:t>e</w:t>
                  </w:r>
                  <w:r w:rsidRPr="003D1FBA">
                    <w:rPr>
                      <w:rFonts w:ascii="Arial" w:hAnsi="Arial" w:cs="Arial"/>
                      <w:sz w:val="24"/>
                      <w:szCs w:val="24"/>
                    </w:rPr>
                    <w:t xml:space="preserve"> Dur</w:t>
                  </w:r>
                  <w:r w:rsidR="00562436">
                    <w:rPr>
                      <w:rFonts w:ascii="Arial" w:hAnsi="Arial" w:cs="Arial"/>
                      <w:sz w:val="24"/>
                      <w:szCs w:val="24"/>
                    </w:rPr>
                    <w:t>o</w:t>
                  </w:r>
                </w:p>
              </w:tc>
            </w:tr>
            <w:tr w:rsidR="00C91705" w:rsidRPr="003D1FBA" w:rsidTr="00465993">
              <w:trPr>
                <w:trHeight w:val="299"/>
                <w:jc w:val="center"/>
              </w:trPr>
              <w:tc>
                <w:tcPr>
                  <w:tcW w:w="2038" w:type="dxa"/>
                  <w:tcBorders>
                    <w:right w:val="nil"/>
                  </w:tcBorders>
                  <w:shd w:val="clear" w:color="auto" w:fill="FC8604"/>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8</w:t>
                  </w:r>
                </w:p>
              </w:tc>
              <w:tc>
                <w:tcPr>
                  <w:tcW w:w="4090" w:type="dxa"/>
                  <w:tcBorders>
                    <w:left w:val="nil"/>
                  </w:tcBorders>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M</w:t>
                  </w:r>
                  <w:r w:rsidR="00562436">
                    <w:rPr>
                      <w:rFonts w:ascii="Arial" w:hAnsi="Arial" w:cs="Arial"/>
                      <w:sz w:val="24"/>
                      <w:szCs w:val="24"/>
                    </w:rPr>
                    <w:t>uy</w:t>
                  </w:r>
                  <w:r w:rsidRPr="003D1FBA">
                    <w:rPr>
                      <w:rFonts w:ascii="Arial" w:hAnsi="Arial" w:cs="Arial"/>
                      <w:sz w:val="24"/>
                      <w:szCs w:val="24"/>
                    </w:rPr>
                    <w:t xml:space="preserve"> dur</w:t>
                  </w:r>
                  <w:r w:rsidR="00562436">
                    <w:rPr>
                      <w:rFonts w:ascii="Arial" w:hAnsi="Arial" w:cs="Arial"/>
                      <w:sz w:val="24"/>
                      <w:szCs w:val="24"/>
                    </w:rPr>
                    <w:t>o</w:t>
                  </w:r>
                </w:p>
              </w:tc>
            </w:tr>
            <w:tr w:rsidR="00C91705" w:rsidRPr="003D1FBA" w:rsidTr="00465993">
              <w:trPr>
                <w:trHeight w:val="299"/>
                <w:jc w:val="center"/>
              </w:trPr>
              <w:tc>
                <w:tcPr>
                  <w:tcW w:w="2038" w:type="dxa"/>
                  <w:tcBorders>
                    <w:right w:val="nil"/>
                  </w:tcBorders>
                  <w:shd w:val="clear" w:color="auto" w:fill="FC8604"/>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9</w:t>
                  </w:r>
                </w:p>
              </w:tc>
              <w:tc>
                <w:tcPr>
                  <w:tcW w:w="4090" w:type="dxa"/>
                  <w:tcBorders>
                    <w:left w:val="nil"/>
                  </w:tcBorders>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Extremadament</w:t>
                  </w:r>
                  <w:r w:rsidR="00562436">
                    <w:rPr>
                      <w:rFonts w:ascii="Arial" w:hAnsi="Arial" w:cs="Arial"/>
                      <w:sz w:val="24"/>
                      <w:szCs w:val="24"/>
                    </w:rPr>
                    <w:t>e</w:t>
                  </w:r>
                  <w:r w:rsidRPr="003D1FBA">
                    <w:rPr>
                      <w:rFonts w:ascii="Arial" w:hAnsi="Arial" w:cs="Arial"/>
                      <w:sz w:val="24"/>
                      <w:szCs w:val="24"/>
                    </w:rPr>
                    <w:t xml:space="preserve"> dur</w:t>
                  </w:r>
                  <w:r w:rsidR="00562436">
                    <w:rPr>
                      <w:rFonts w:ascii="Arial" w:hAnsi="Arial" w:cs="Arial"/>
                      <w:sz w:val="24"/>
                      <w:szCs w:val="24"/>
                    </w:rPr>
                    <w:t>o</w:t>
                  </w:r>
                </w:p>
              </w:tc>
            </w:tr>
            <w:tr w:rsidR="00C91705" w:rsidRPr="003D1FBA" w:rsidTr="00465993">
              <w:trPr>
                <w:trHeight w:val="282"/>
                <w:jc w:val="center"/>
              </w:trPr>
              <w:tc>
                <w:tcPr>
                  <w:tcW w:w="2038" w:type="dxa"/>
                  <w:tcBorders>
                    <w:right w:val="nil"/>
                  </w:tcBorders>
                  <w:shd w:val="clear" w:color="auto" w:fill="FF0000"/>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10</w:t>
                  </w:r>
                </w:p>
              </w:tc>
              <w:tc>
                <w:tcPr>
                  <w:tcW w:w="4090" w:type="dxa"/>
                  <w:tcBorders>
                    <w:left w:val="nil"/>
                  </w:tcBorders>
                  <w:vAlign w:val="center"/>
                </w:tcPr>
                <w:p w:rsidR="00C91705" w:rsidRPr="003D1FBA" w:rsidRDefault="00C91705" w:rsidP="00465993">
                  <w:pPr>
                    <w:jc w:val="center"/>
                    <w:rPr>
                      <w:rFonts w:ascii="Arial" w:hAnsi="Arial" w:cs="Arial"/>
                      <w:sz w:val="24"/>
                      <w:szCs w:val="24"/>
                    </w:rPr>
                  </w:pPr>
                  <w:r w:rsidRPr="003D1FBA">
                    <w:rPr>
                      <w:rFonts w:ascii="Arial" w:hAnsi="Arial" w:cs="Arial"/>
                      <w:sz w:val="24"/>
                      <w:szCs w:val="24"/>
                    </w:rPr>
                    <w:t>Esf</w:t>
                  </w:r>
                  <w:r w:rsidR="00562436">
                    <w:rPr>
                      <w:rFonts w:ascii="Arial" w:hAnsi="Arial" w:cs="Arial"/>
                      <w:sz w:val="24"/>
                      <w:szCs w:val="24"/>
                    </w:rPr>
                    <w:t>uerzo máximo</w:t>
                  </w:r>
                </w:p>
              </w:tc>
            </w:tr>
          </w:tbl>
          <w:p w:rsidR="00C91705" w:rsidRPr="003D1FBA" w:rsidRDefault="00C91705" w:rsidP="00465993">
            <w:pPr>
              <w:spacing w:line="360" w:lineRule="auto"/>
              <w:jc w:val="both"/>
              <w:rPr>
                <w:rFonts w:ascii="Arial" w:eastAsiaTheme="majorEastAsia" w:hAnsi="Arial" w:cstheme="majorBidi"/>
                <w:bCs/>
                <w:sz w:val="24"/>
                <w:szCs w:val="24"/>
                <w:u w:val="single"/>
              </w:rPr>
            </w:pPr>
          </w:p>
        </w:tc>
      </w:tr>
    </w:tbl>
    <w:p w:rsidR="00C91705" w:rsidRPr="003D1FBA" w:rsidRDefault="00C91705">
      <w:pPr>
        <w:rPr>
          <w:rStyle w:val="Ttol2Car"/>
        </w:rPr>
      </w:pPr>
      <w:r w:rsidRPr="003D1FBA">
        <w:rPr>
          <w:rStyle w:val="Ttol2Car"/>
        </w:rPr>
        <w:br w:type="page"/>
      </w:r>
    </w:p>
    <w:p w:rsidR="00EE7DE8" w:rsidRPr="00562436" w:rsidRDefault="0090596B" w:rsidP="0090596B">
      <w:pPr>
        <w:spacing w:line="360" w:lineRule="auto"/>
        <w:jc w:val="both"/>
        <w:rPr>
          <w:rFonts w:ascii="Arial" w:eastAsiaTheme="majorEastAsia" w:hAnsi="Arial" w:cstheme="majorBidi"/>
          <w:sz w:val="24"/>
          <w:szCs w:val="26"/>
          <w:u w:val="single"/>
          <w:vertAlign w:val="superscript"/>
        </w:rPr>
      </w:pPr>
      <w:r w:rsidRPr="00562436">
        <w:rPr>
          <w:rStyle w:val="Ttol2Car"/>
        </w:rPr>
        <w:lastRenderedPageBreak/>
        <w:t>Anex</w:t>
      </w:r>
      <w:r w:rsidR="00562436" w:rsidRPr="00562436">
        <w:rPr>
          <w:rStyle w:val="Ttol2Car"/>
        </w:rPr>
        <w:t>o</w:t>
      </w:r>
      <w:r w:rsidRPr="00562436">
        <w:rPr>
          <w:rStyle w:val="Ttol2Car"/>
        </w:rPr>
        <w:t xml:space="preserve"> </w:t>
      </w:r>
      <w:r w:rsidR="00C91705" w:rsidRPr="00562436">
        <w:rPr>
          <w:rStyle w:val="Ttol2Car"/>
        </w:rPr>
        <w:t>3</w:t>
      </w:r>
      <w:r w:rsidRPr="00562436">
        <w:rPr>
          <w:rStyle w:val="Ttol2Car"/>
        </w:rPr>
        <w:t>: Test de fatiga intermitent</w:t>
      </w:r>
      <w:r w:rsidR="00562436" w:rsidRPr="00562436">
        <w:rPr>
          <w:rStyle w:val="Ttol2Car"/>
        </w:rPr>
        <w:t>e</w:t>
      </w:r>
      <w:r w:rsidRPr="00562436">
        <w:rPr>
          <w:rStyle w:val="Ttol2Car"/>
        </w:rPr>
        <w:t xml:space="preserve"> 30-15</w:t>
      </w:r>
      <w:bookmarkEnd w:id="23"/>
      <w:r w:rsidR="00837114" w:rsidRPr="00562436">
        <w:rPr>
          <w:rStyle w:val="Ttol2Car"/>
        </w:rPr>
        <w:t xml:space="preserve"> </w:t>
      </w:r>
      <w:r w:rsidR="00EE7DE8" w:rsidRPr="003D1FBA">
        <w:rPr>
          <w:rStyle w:val="Ttol2Car"/>
          <w:vertAlign w:val="superscript"/>
        </w:rPr>
        <w:fldChar w:fldCharType="begin" w:fldLock="1"/>
      </w:r>
      <w:r w:rsidR="00EE7DE8" w:rsidRPr="00562436">
        <w:rPr>
          <w:rStyle w:val="Ttol2Car"/>
          <w:vertAlign w:val="superscript"/>
        </w:rPr>
        <w:instrText>ADDIN CSL_CITATION {"citationItems":[{"id":"ITEM-1","itemData":{"author":[{"dropping-particle":"","family":"Haydar","given":"B","non-dropping-particle":"","parse-names":false,"suffix":""},{"dropping-particle":"","family":"Buchheit","given":"M","non-dropping-particle":"","parse-names":false,"suffix":""}],"container-title":"Pivot","id":"ITEM-1","issued":{"date-parts":[["2009"]]},"page":"2-5","title":"Le 30-15 Intermittent Fitness Test- application pour le Basketball.","type":"article-magazine"},"uris":["http://www.mendeley.com/documents/?uuid=fa9a15db-1013-4454-8ceb-4c3ac10e27f2"]}],"mendeley":{"formattedCitation":"(26)","manualFormatting":"26","plainTextFormattedCitation":"(26)","previouslyFormattedCitation":"(26)"},"properties":{"noteIndex":0},"schema":"https://github.com/citation-style-language/schema/raw/master/csl-citation.json"}</w:instrText>
      </w:r>
      <w:r w:rsidR="00EE7DE8" w:rsidRPr="003D1FBA">
        <w:rPr>
          <w:rStyle w:val="Ttol2Car"/>
          <w:vertAlign w:val="superscript"/>
        </w:rPr>
        <w:fldChar w:fldCharType="separate"/>
      </w:r>
      <w:r w:rsidR="00EE7DE8" w:rsidRPr="00562436">
        <w:rPr>
          <w:rStyle w:val="Ttol2Car"/>
          <w:noProof/>
          <w:u w:val="none"/>
          <w:vertAlign w:val="superscript"/>
        </w:rPr>
        <w:t>26</w:t>
      </w:r>
      <w:r w:rsidR="00EE7DE8" w:rsidRPr="003D1FBA">
        <w:rPr>
          <w:rStyle w:val="Ttol2Car"/>
          <w:vertAlign w:val="superscript"/>
        </w:rPr>
        <w:fldChar w:fldCharType="end"/>
      </w:r>
    </w:p>
    <w:p w:rsidR="0090596B" w:rsidRPr="003D1FBA" w:rsidRDefault="0090596B" w:rsidP="0090596B">
      <w:pPr>
        <w:spacing w:line="360" w:lineRule="auto"/>
        <w:jc w:val="both"/>
        <w:rPr>
          <w:rFonts w:ascii="Arial" w:hAnsi="Arial" w:cs="Arial"/>
          <w:sz w:val="24"/>
        </w:rPr>
      </w:pPr>
      <w:r w:rsidRPr="003D1FBA">
        <w:rPr>
          <w:rFonts w:ascii="Arial" w:hAnsi="Arial" w:cs="Arial"/>
          <w:sz w:val="24"/>
        </w:rPr>
        <w:t xml:space="preserve">A </w:t>
      </w:r>
      <w:r w:rsidR="0000154C" w:rsidRPr="003D1FBA">
        <w:rPr>
          <w:rFonts w:ascii="Arial" w:hAnsi="Arial" w:cs="Arial"/>
          <w:sz w:val="24"/>
        </w:rPr>
        <w:t>continuació</w:t>
      </w:r>
      <w:r w:rsidR="0000154C">
        <w:rPr>
          <w:rFonts w:ascii="Arial" w:hAnsi="Arial" w:cs="Arial"/>
          <w:sz w:val="24"/>
        </w:rPr>
        <w:t>n,</w:t>
      </w:r>
      <w:r w:rsidRPr="003D1FBA">
        <w:rPr>
          <w:rFonts w:ascii="Arial" w:hAnsi="Arial" w:cs="Arial"/>
          <w:sz w:val="24"/>
        </w:rPr>
        <w:t xml:space="preserve"> </w:t>
      </w:r>
      <w:r w:rsidR="00562436">
        <w:rPr>
          <w:rFonts w:ascii="Arial" w:hAnsi="Arial" w:cs="Arial"/>
          <w:sz w:val="24"/>
        </w:rPr>
        <w:t>en</w:t>
      </w:r>
      <w:r w:rsidRPr="003D1FBA">
        <w:rPr>
          <w:rFonts w:ascii="Arial" w:hAnsi="Arial" w:cs="Arial"/>
          <w:sz w:val="24"/>
        </w:rPr>
        <w:t xml:space="preserve"> la Figura </w:t>
      </w:r>
      <w:r w:rsidR="00704849" w:rsidRPr="003D1FBA">
        <w:rPr>
          <w:rFonts w:ascii="Arial" w:hAnsi="Arial" w:cs="Arial"/>
          <w:sz w:val="24"/>
        </w:rPr>
        <w:t>2</w:t>
      </w:r>
      <w:r w:rsidR="0000154C">
        <w:rPr>
          <w:rFonts w:ascii="Arial" w:hAnsi="Arial" w:cs="Arial"/>
          <w:sz w:val="24"/>
        </w:rPr>
        <w:t>,</w:t>
      </w:r>
      <w:r w:rsidRPr="003D1FBA">
        <w:rPr>
          <w:rFonts w:ascii="Arial" w:hAnsi="Arial" w:cs="Arial"/>
          <w:sz w:val="24"/>
        </w:rPr>
        <w:t xml:space="preserve"> </w:t>
      </w:r>
      <w:r w:rsidR="0000154C">
        <w:rPr>
          <w:rFonts w:ascii="Arial" w:hAnsi="Arial" w:cs="Arial"/>
          <w:sz w:val="24"/>
        </w:rPr>
        <w:t>encontra</w:t>
      </w:r>
      <w:r w:rsidRPr="003D1FBA">
        <w:rPr>
          <w:rFonts w:ascii="Arial" w:hAnsi="Arial" w:cs="Arial"/>
          <w:sz w:val="24"/>
        </w:rPr>
        <w:t>m</w:t>
      </w:r>
      <w:r w:rsidR="0000154C">
        <w:rPr>
          <w:rFonts w:ascii="Arial" w:hAnsi="Arial" w:cs="Arial"/>
          <w:sz w:val="24"/>
        </w:rPr>
        <w:t>os</w:t>
      </w:r>
      <w:r w:rsidRPr="003D1FBA">
        <w:rPr>
          <w:rFonts w:ascii="Arial" w:hAnsi="Arial" w:cs="Arial"/>
          <w:sz w:val="24"/>
        </w:rPr>
        <w:t xml:space="preserve"> </w:t>
      </w:r>
      <w:r w:rsidR="0000154C">
        <w:rPr>
          <w:rFonts w:ascii="Arial" w:hAnsi="Arial" w:cs="Arial"/>
          <w:sz w:val="24"/>
        </w:rPr>
        <w:t>e</w:t>
      </w:r>
      <w:r w:rsidRPr="003D1FBA">
        <w:rPr>
          <w:rFonts w:ascii="Arial" w:hAnsi="Arial" w:cs="Arial"/>
          <w:sz w:val="24"/>
        </w:rPr>
        <w:t>l test de fatiga intermitent</w:t>
      </w:r>
      <w:r w:rsidR="0000154C">
        <w:rPr>
          <w:rFonts w:ascii="Arial" w:hAnsi="Arial" w:cs="Arial"/>
          <w:sz w:val="24"/>
        </w:rPr>
        <w:t>e</w:t>
      </w:r>
      <w:r w:rsidRPr="003D1FBA">
        <w:rPr>
          <w:rFonts w:ascii="Arial" w:hAnsi="Arial" w:cs="Arial"/>
          <w:sz w:val="24"/>
        </w:rPr>
        <w:t xml:space="preserve"> 30-15 adapta</w:t>
      </w:r>
      <w:r w:rsidR="0000154C">
        <w:rPr>
          <w:rFonts w:ascii="Arial" w:hAnsi="Arial" w:cs="Arial"/>
          <w:sz w:val="24"/>
        </w:rPr>
        <w:t>do</w:t>
      </w:r>
      <w:r w:rsidRPr="003D1FBA">
        <w:rPr>
          <w:rFonts w:ascii="Arial" w:hAnsi="Arial" w:cs="Arial"/>
          <w:sz w:val="24"/>
        </w:rPr>
        <w:t xml:space="preserve"> al b</w:t>
      </w:r>
      <w:r w:rsidR="0000154C">
        <w:rPr>
          <w:rFonts w:ascii="Arial" w:hAnsi="Arial" w:cs="Arial"/>
          <w:sz w:val="24"/>
        </w:rPr>
        <w:t>aloncesto</w:t>
      </w:r>
      <w:r w:rsidRPr="003D1FBA">
        <w:rPr>
          <w:rFonts w:ascii="Arial" w:hAnsi="Arial" w:cs="Arial"/>
          <w:sz w:val="24"/>
        </w:rPr>
        <w:t xml:space="preserve"> </w:t>
      </w:r>
      <w:r w:rsidR="0000154C">
        <w:rPr>
          <w:rFonts w:ascii="Arial" w:hAnsi="Arial" w:cs="Arial"/>
          <w:sz w:val="24"/>
        </w:rPr>
        <w:t>con</w:t>
      </w:r>
      <w:r w:rsidRPr="003D1FBA">
        <w:rPr>
          <w:rFonts w:ascii="Arial" w:hAnsi="Arial" w:cs="Arial"/>
          <w:sz w:val="24"/>
        </w:rPr>
        <w:t xml:space="preserve"> una separació</w:t>
      </w:r>
      <w:r w:rsidR="0000154C">
        <w:rPr>
          <w:rFonts w:ascii="Arial" w:hAnsi="Arial" w:cs="Arial"/>
          <w:sz w:val="24"/>
        </w:rPr>
        <w:t>n</w:t>
      </w:r>
      <w:r w:rsidRPr="003D1FBA">
        <w:rPr>
          <w:rFonts w:ascii="Arial" w:hAnsi="Arial" w:cs="Arial"/>
          <w:sz w:val="24"/>
        </w:rPr>
        <w:t xml:space="preserve"> entre lín</w:t>
      </w:r>
      <w:r w:rsidR="0000154C">
        <w:rPr>
          <w:rFonts w:ascii="Arial" w:hAnsi="Arial" w:cs="Arial"/>
          <w:sz w:val="24"/>
        </w:rPr>
        <w:t>ea</w:t>
      </w:r>
      <w:r w:rsidRPr="003D1FBA">
        <w:rPr>
          <w:rFonts w:ascii="Arial" w:hAnsi="Arial" w:cs="Arial"/>
          <w:sz w:val="24"/>
        </w:rPr>
        <w:t>s de 28m.</w:t>
      </w:r>
    </w:p>
    <w:p w:rsidR="0090596B" w:rsidRPr="003D1FBA" w:rsidRDefault="0090596B" w:rsidP="0090596B">
      <w:pPr>
        <w:pStyle w:val="Llegenda"/>
        <w:keepNext/>
        <w:jc w:val="center"/>
        <w:rPr>
          <w:rFonts w:ascii="Arial" w:hAnsi="Arial" w:cs="Arial"/>
          <w:i w:val="0"/>
          <w:iCs w:val="0"/>
          <w:color w:val="auto"/>
          <w:sz w:val="20"/>
          <w:szCs w:val="14"/>
        </w:rPr>
      </w:pPr>
      <w:r w:rsidRPr="003D1FBA">
        <w:rPr>
          <w:rFonts w:ascii="Arial" w:hAnsi="Arial" w:cs="Arial"/>
          <w:i w:val="0"/>
          <w:iCs w:val="0"/>
          <w:color w:val="auto"/>
          <w:sz w:val="20"/>
          <w:szCs w:val="14"/>
        </w:rPr>
        <w:t xml:space="preserve">Figura </w:t>
      </w:r>
      <w:r w:rsidR="00704849" w:rsidRPr="003D1FBA">
        <w:rPr>
          <w:rFonts w:ascii="Arial" w:hAnsi="Arial" w:cs="Arial"/>
          <w:i w:val="0"/>
          <w:iCs w:val="0"/>
          <w:color w:val="auto"/>
          <w:sz w:val="20"/>
          <w:szCs w:val="14"/>
        </w:rPr>
        <w:t>2</w:t>
      </w:r>
    </w:p>
    <w:p w:rsidR="0090596B" w:rsidRPr="003D1FBA" w:rsidRDefault="0090596B" w:rsidP="0090596B">
      <w:pPr>
        <w:jc w:val="center"/>
        <w:rPr>
          <w:rFonts w:ascii="Arial" w:hAnsi="Arial" w:cs="Arial"/>
          <w:iCs/>
          <w:sz w:val="18"/>
          <w:szCs w:val="18"/>
        </w:rPr>
      </w:pPr>
      <w:r w:rsidRPr="003D1FBA">
        <w:rPr>
          <w:rFonts w:ascii="Arial" w:hAnsi="Arial" w:cs="Arial"/>
          <w:iCs/>
          <w:sz w:val="18"/>
          <w:szCs w:val="18"/>
        </w:rPr>
        <w:t>Test de fatiga intermitent</w:t>
      </w:r>
      <w:r w:rsidR="0000154C">
        <w:rPr>
          <w:rFonts w:ascii="Arial" w:hAnsi="Arial" w:cs="Arial"/>
          <w:iCs/>
          <w:sz w:val="18"/>
          <w:szCs w:val="18"/>
        </w:rPr>
        <w:t>e</w:t>
      </w:r>
      <w:r w:rsidRPr="003D1FBA">
        <w:rPr>
          <w:rFonts w:ascii="Arial" w:hAnsi="Arial" w:cs="Arial"/>
          <w:iCs/>
          <w:sz w:val="18"/>
          <w:szCs w:val="18"/>
        </w:rPr>
        <w:t xml:space="preserve"> 30-15 p</w:t>
      </w:r>
      <w:r w:rsidR="0000154C">
        <w:rPr>
          <w:rFonts w:ascii="Arial" w:hAnsi="Arial" w:cs="Arial"/>
          <w:iCs/>
          <w:sz w:val="18"/>
          <w:szCs w:val="18"/>
        </w:rPr>
        <w:t>ara</w:t>
      </w:r>
      <w:r w:rsidRPr="003D1FBA">
        <w:rPr>
          <w:rFonts w:ascii="Arial" w:hAnsi="Arial" w:cs="Arial"/>
          <w:iCs/>
          <w:sz w:val="18"/>
          <w:szCs w:val="18"/>
        </w:rPr>
        <w:t xml:space="preserve"> b</w:t>
      </w:r>
      <w:r w:rsidR="0000154C">
        <w:rPr>
          <w:rFonts w:ascii="Arial" w:hAnsi="Arial" w:cs="Arial"/>
          <w:iCs/>
          <w:sz w:val="18"/>
          <w:szCs w:val="18"/>
        </w:rPr>
        <w:t>aloncesto</w:t>
      </w:r>
    </w:p>
    <w:p w:rsidR="005C4B83" w:rsidRPr="00562436" w:rsidRDefault="00443407" w:rsidP="00562436">
      <w:pPr>
        <w:spacing w:line="360" w:lineRule="auto"/>
        <w:jc w:val="center"/>
        <w:rPr>
          <w:rFonts w:ascii="Arial" w:hAnsi="Arial" w:cs="Arial"/>
          <w:sz w:val="24"/>
        </w:rPr>
      </w:pPr>
      <w:r w:rsidRPr="003D1FBA">
        <w:rPr>
          <w:rFonts w:ascii="Arial" w:hAnsi="Arial" w:cs="Arial"/>
          <w:sz w:val="24"/>
        </w:rPr>
        <w:t>“</w:t>
      </w:r>
      <w:r w:rsidR="00F64C8F" w:rsidRPr="003D1FBA">
        <w:rPr>
          <w:rFonts w:ascii="Arial" w:hAnsi="Arial" w:cs="Arial"/>
          <w:sz w:val="24"/>
        </w:rPr>
        <w:t>FIGURA 2 AQUÍ</w:t>
      </w:r>
      <w:r w:rsidRPr="003D1FBA">
        <w:rPr>
          <w:rFonts w:ascii="Arial" w:hAnsi="Arial" w:cs="Arial"/>
          <w:sz w:val="24"/>
        </w:rPr>
        <w:t>”</w:t>
      </w:r>
    </w:p>
    <w:sectPr w:rsidR="005C4B83" w:rsidRPr="00562436" w:rsidSect="0037092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786" w:rsidRDefault="004F1786" w:rsidP="00315369">
      <w:pPr>
        <w:spacing w:after="0" w:line="240" w:lineRule="auto"/>
      </w:pPr>
      <w:r>
        <w:separator/>
      </w:r>
    </w:p>
  </w:endnote>
  <w:endnote w:type="continuationSeparator" w:id="0">
    <w:p w:rsidR="004F1786" w:rsidRDefault="004F1786" w:rsidP="0031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361290" w:rsidTr="006F3B30">
      <w:tc>
        <w:tcPr>
          <w:tcW w:w="8494" w:type="dxa"/>
          <w:vAlign w:val="center"/>
        </w:tcPr>
        <w:p w:rsidR="00361290" w:rsidRDefault="00361290" w:rsidP="006F3B30">
          <w:pPr>
            <w:pStyle w:val="Peu"/>
            <w:jc w:val="center"/>
          </w:pPr>
          <w:r>
            <w:fldChar w:fldCharType="begin"/>
          </w:r>
          <w:r>
            <w:instrText>PAGE   \* MERGEFORMAT</w:instrText>
          </w:r>
          <w:r>
            <w:fldChar w:fldCharType="separate"/>
          </w:r>
          <w:r w:rsidR="000C44EA">
            <w:rPr>
              <w:noProof/>
            </w:rPr>
            <w:t>2</w:t>
          </w:r>
          <w:r>
            <w:fldChar w:fldCharType="end"/>
          </w:r>
        </w:p>
      </w:tc>
    </w:tr>
  </w:tbl>
  <w:p w:rsidR="00361290" w:rsidRDefault="0036129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786" w:rsidRDefault="004F1786" w:rsidP="00315369">
      <w:pPr>
        <w:spacing w:after="0" w:line="240" w:lineRule="auto"/>
      </w:pPr>
      <w:r>
        <w:separator/>
      </w:r>
    </w:p>
  </w:footnote>
  <w:footnote w:type="continuationSeparator" w:id="0">
    <w:p w:rsidR="004F1786" w:rsidRDefault="004F1786" w:rsidP="00315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69A"/>
    <w:multiLevelType w:val="hybridMultilevel"/>
    <w:tmpl w:val="3184FF14"/>
    <w:lvl w:ilvl="0" w:tplc="6090DBFC">
      <w:numFmt w:val="bullet"/>
      <w:lvlText w:val="-"/>
      <w:lvlJc w:val="left"/>
      <w:pPr>
        <w:ind w:left="720" w:hanging="360"/>
      </w:pPr>
      <w:rPr>
        <w:rFonts w:ascii="Calibri" w:eastAsiaTheme="minorHAnsi" w:hAnsi="Calibri" w:cs="Calibri" w:hint="default"/>
        <w:lang w:val="es-ES"/>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CAE4828"/>
    <w:multiLevelType w:val="hybridMultilevel"/>
    <w:tmpl w:val="0908D228"/>
    <w:lvl w:ilvl="0" w:tplc="08A4EE6A">
      <w:numFmt w:val="bullet"/>
      <w:lvlText w:val=""/>
      <w:lvlJc w:val="left"/>
      <w:pPr>
        <w:ind w:left="720" w:hanging="360"/>
      </w:pPr>
      <w:rPr>
        <w:rFonts w:ascii="Symbol" w:eastAsiaTheme="minorHAnsi" w:hAnsi="Symbo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5D4B3C"/>
    <w:multiLevelType w:val="hybridMultilevel"/>
    <w:tmpl w:val="F47033F4"/>
    <w:lvl w:ilvl="0" w:tplc="0C0A0001">
      <w:start w:val="1"/>
      <w:numFmt w:val="bullet"/>
      <w:lvlText w:val=""/>
      <w:lvlJc w:val="left"/>
      <w:pPr>
        <w:ind w:left="793" w:hanging="360"/>
      </w:pPr>
      <w:rPr>
        <w:rFonts w:ascii="Symbol" w:hAnsi="Symbol" w:hint="default"/>
      </w:rPr>
    </w:lvl>
    <w:lvl w:ilvl="1" w:tplc="0C0A0003" w:tentative="1">
      <w:start w:val="1"/>
      <w:numFmt w:val="bullet"/>
      <w:lvlText w:val="o"/>
      <w:lvlJc w:val="left"/>
      <w:pPr>
        <w:ind w:left="1513" w:hanging="360"/>
      </w:pPr>
      <w:rPr>
        <w:rFonts w:ascii="Courier New" w:hAnsi="Courier New" w:cs="Courier New" w:hint="default"/>
      </w:rPr>
    </w:lvl>
    <w:lvl w:ilvl="2" w:tplc="0C0A0005" w:tentative="1">
      <w:start w:val="1"/>
      <w:numFmt w:val="bullet"/>
      <w:lvlText w:val=""/>
      <w:lvlJc w:val="left"/>
      <w:pPr>
        <w:ind w:left="2233" w:hanging="360"/>
      </w:pPr>
      <w:rPr>
        <w:rFonts w:ascii="Wingdings" w:hAnsi="Wingdings" w:hint="default"/>
      </w:rPr>
    </w:lvl>
    <w:lvl w:ilvl="3" w:tplc="0C0A0001" w:tentative="1">
      <w:start w:val="1"/>
      <w:numFmt w:val="bullet"/>
      <w:lvlText w:val=""/>
      <w:lvlJc w:val="left"/>
      <w:pPr>
        <w:ind w:left="2953" w:hanging="360"/>
      </w:pPr>
      <w:rPr>
        <w:rFonts w:ascii="Symbol" w:hAnsi="Symbol" w:hint="default"/>
      </w:rPr>
    </w:lvl>
    <w:lvl w:ilvl="4" w:tplc="0C0A0003" w:tentative="1">
      <w:start w:val="1"/>
      <w:numFmt w:val="bullet"/>
      <w:lvlText w:val="o"/>
      <w:lvlJc w:val="left"/>
      <w:pPr>
        <w:ind w:left="3673" w:hanging="360"/>
      </w:pPr>
      <w:rPr>
        <w:rFonts w:ascii="Courier New" w:hAnsi="Courier New" w:cs="Courier New" w:hint="default"/>
      </w:rPr>
    </w:lvl>
    <w:lvl w:ilvl="5" w:tplc="0C0A0005" w:tentative="1">
      <w:start w:val="1"/>
      <w:numFmt w:val="bullet"/>
      <w:lvlText w:val=""/>
      <w:lvlJc w:val="left"/>
      <w:pPr>
        <w:ind w:left="4393" w:hanging="360"/>
      </w:pPr>
      <w:rPr>
        <w:rFonts w:ascii="Wingdings" w:hAnsi="Wingdings" w:hint="default"/>
      </w:rPr>
    </w:lvl>
    <w:lvl w:ilvl="6" w:tplc="0C0A0001" w:tentative="1">
      <w:start w:val="1"/>
      <w:numFmt w:val="bullet"/>
      <w:lvlText w:val=""/>
      <w:lvlJc w:val="left"/>
      <w:pPr>
        <w:ind w:left="5113" w:hanging="360"/>
      </w:pPr>
      <w:rPr>
        <w:rFonts w:ascii="Symbol" w:hAnsi="Symbol" w:hint="default"/>
      </w:rPr>
    </w:lvl>
    <w:lvl w:ilvl="7" w:tplc="0C0A0003" w:tentative="1">
      <w:start w:val="1"/>
      <w:numFmt w:val="bullet"/>
      <w:lvlText w:val="o"/>
      <w:lvlJc w:val="left"/>
      <w:pPr>
        <w:ind w:left="5833" w:hanging="360"/>
      </w:pPr>
      <w:rPr>
        <w:rFonts w:ascii="Courier New" w:hAnsi="Courier New" w:cs="Courier New" w:hint="default"/>
      </w:rPr>
    </w:lvl>
    <w:lvl w:ilvl="8" w:tplc="0C0A0005" w:tentative="1">
      <w:start w:val="1"/>
      <w:numFmt w:val="bullet"/>
      <w:lvlText w:val=""/>
      <w:lvlJc w:val="left"/>
      <w:pPr>
        <w:ind w:left="6553" w:hanging="360"/>
      </w:pPr>
      <w:rPr>
        <w:rFonts w:ascii="Wingdings" w:hAnsi="Wingdings" w:hint="default"/>
      </w:rPr>
    </w:lvl>
  </w:abstractNum>
  <w:abstractNum w:abstractNumId="3" w15:restartNumberingAfterBreak="0">
    <w:nsid w:val="6BAF69E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4D"/>
    <w:rsid w:val="0000154C"/>
    <w:rsid w:val="00006E3E"/>
    <w:rsid w:val="00014338"/>
    <w:rsid w:val="00017409"/>
    <w:rsid w:val="00021C36"/>
    <w:rsid w:val="00025981"/>
    <w:rsid w:val="00030539"/>
    <w:rsid w:val="00030B58"/>
    <w:rsid w:val="00041EA4"/>
    <w:rsid w:val="00045D29"/>
    <w:rsid w:val="00047169"/>
    <w:rsid w:val="00051712"/>
    <w:rsid w:val="00053B6F"/>
    <w:rsid w:val="00053D76"/>
    <w:rsid w:val="000676C2"/>
    <w:rsid w:val="00070FB8"/>
    <w:rsid w:val="00076131"/>
    <w:rsid w:val="000775F3"/>
    <w:rsid w:val="000817E9"/>
    <w:rsid w:val="00081B6D"/>
    <w:rsid w:val="000863BF"/>
    <w:rsid w:val="00090405"/>
    <w:rsid w:val="00090F64"/>
    <w:rsid w:val="000A1116"/>
    <w:rsid w:val="000A124D"/>
    <w:rsid w:val="000B6D5B"/>
    <w:rsid w:val="000C44EA"/>
    <w:rsid w:val="000E31F1"/>
    <w:rsid w:val="000E5DB0"/>
    <w:rsid w:val="000F484F"/>
    <w:rsid w:val="00103453"/>
    <w:rsid w:val="001045C8"/>
    <w:rsid w:val="001105D5"/>
    <w:rsid w:val="0011153B"/>
    <w:rsid w:val="00114055"/>
    <w:rsid w:val="00117021"/>
    <w:rsid w:val="001170AA"/>
    <w:rsid w:val="0013730A"/>
    <w:rsid w:val="00142132"/>
    <w:rsid w:val="0014793D"/>
    <w:rsid w:val="00147D40"/>
    <w:rsid w:val="00156427"/>
    <w:rsid w:val="001614FF"/>
    <w:rsid w:val="00173700"/>
    <w:rsid w:val="00175525"/>
    <w:rsid w:val="001768BD"/>
    <w:rsid w:val="0017719A"/>
    <w:rsid w:val="0018399D"/>
    <w:rsid w:val="001A097F"/>
    <w:rsid w:val="001B069C"/>
    <w:rsid w:val="001B34B8"/>
    <w:rsid w:val="001B37CC"/>
    <w:rsid w:val="001B6EC7"/>
    <w:rsid w:val="001C2800"/>
    <w:rsid w:val="001C4673"/>
    <w:rsid w:val="001C4834"/>
    <w:rsid w:val="001C525F"/>
    <w:rsid w:val="001D1BBD"/>
    <w:rsid w:val="001D5F4F"/>
    <w:rsid w:val="001D655A"/>
    <w:rsid w:val="001D6C31"/>
    <w:rsid w:val="001D73A5"/>
    <w:rsid w:val="001D74B0"/>
    <w:rsid w:val="001E251F"/>
    <w:rsid w:val="001F032F"/>
    <w:rsid w:val="001F5D1E"/>
    <w:rsid w:val="00205A79"/>
    <w:rsid w:val="00212812"/>
    <w:rsid w:val="00212E4E"/>
    <w:rsid w:val="00216B05"/>
    <w:rsid w:val="002172D9"/>
    <w:rsid w:val="00222AE2"/>
    <w:rsid w:val="00242654"/>
    <w:rsid w:val="00243000"/>
    <w:rsid w:val="00245EC2"/>
    <w:rsid w:val="00253B5A"/>
    <w:rsid w:val="00254A4D"/>
    <w:rsid w:val="002604F7"/>
    <w:rsid w:val="0027003E"/>
    <w:rsid w:val="00270DA1"/>
    <w:rsid w:val="002715CC"/>
    <w:rsid w:val="002763A4"/>
    <w:rsid w:val="002809AA"/>
    <w:rsid w:val="002846C9"/>
    <w:rsid w:val="00284E77"/>
    <w:rsid w:val="00294AD1"/>
    <w:rsid w:val="00297A3E"/>
    <w:rsid w:val="002A3127"/>
    <w:rsid w:val="002A4373"/>
    <w:rsid w:val="002B1985"/>
    <w:rsid w:val="002B505A"/>
    <w:rsid w:val="002B7938"/>
    <w:rsid w:val="002C1A08"/>
    <w:rsid w:val="002C47A3"/>
    <w:rsid w:val="002C71C3"/>
    <w:rsid w:val="002D09A5"/>
    <w:rsid w:val="002E7E85"/>
    <w:rsid w:val="002F0C0F"/>
    <w:rsid w:val="002F2FBA"/>
    <w:rsid w:val="002F7D49"/>
    <w:rsid w:val="003009BE"/>
    <w:rsid w:val="00300A4D"/>
    <w:rsid w:val="00305DDE"/>
    <w:rsid w:val="00313568"/>
    <w:rsid w:val="00315050"/>
    <w:rsid w:val="00315369"/>
    <w:rsid w:val="00325790"/>
    <w:rsid w:val="0032759D"/>
    <w:rsid w:val="00331548"/>
    <w:rsid w:val="003412DF"/>
    <w:rsid w:val="00347F4F"/>
    <w:rsid w:val="003501A0"/>
    <w:rsid w:val="00355C6E"/>
    <w:rsid w:val="00361290"/>
    <w:rsid w:val="0036733A"/>
    <w:rsid w:val="003700A3"/>
    <w:rsid w:val="00370921"/>
    <w:rsid w:val="003726B9"/>
    <w:rsid w:val="00377128"/>
    <w:rsid w:val="0038307F"/>
    <w:rsid w:val="003904D7"/>
    <w:rsid w:val="00390DF5"/>
    <w:rsid w:val="00395E18"/>
    <w:rsid w:val="003A2CA9"/>
    <w:rsid w:val="003B21E9"/>
    <w:rsid w:val="003B342C"/>
    <w:rsid w:val="003B45FB"/>
    <w:rsid w:val="003B487B"/>
    <w:rsid w:val="003C0A27"/>
    <w:rsid w:val="003C15B5"/>
    <w:rsid w:val="003C3FE2"/>
    <w:rsid w:val="003C7D89"/>
    <w:rsid w:val="003D0239"/>
    <w:rsid w:val="003D1FBA"/>
    <w:rsid w:val="003D3088"/>
    <w:rsid w:val="003E5654"/>
    <w:rsid w:val="003E6E5C"/>
    <w:rsid w:val="003E7CB3"/>
    <w:rsid w:val="003F480C"/>
    <w:rsid w:val="003F6BCA"/>
    <w:rsid w:val="003F6FA7"/>
    <w:rsid w:val="004014FD"/>
    <w:rsid w:val="00417A85"/>
    <w:rsid w:val="00436493"/>
    <w:rsid w:val="00443407"/>
    <w:rsid w:val="00444CE3"/>
    <w:rsid w:val="004456A4"/>
    <w:rsid w:val="00450A6E"/>
    <w:rsid w:val="00451D02"/>
    <w:rsid w:val="00452255"/>
    <w:rsid w:val="004537EC"/>
    <w:rsid w:val="00454DD8"/>
    <w:rsid w:val="00457161"/>
    <w:rsid w:val="00457F33"/>
    <w:rsid w:val="00460B65"/>
    <w:rsid w:val="00465993"/>
    <w:rsid w:val="004715F5"/>
    <w:rsid w:val="004837F6"/>
    <w:rsid w:val="00485080"/>
    <w:rsid w:val="004A0F05"/>
    <w:rsid w:val="004A1919"/>
    <w:rsid w:val="004A1DD7"/>
    <w:rsid w:val="004A39DB"/>
    <w:rsid w:val="004B0367"/>
    <w:rsid w:val="004B1DA9"/>
    <w:rsid w:val="004B4386"/>
    <w:rsid w:val="004C113A"/>
    <w:rsid w:val="004C375E"/>
    <w:rsid w:val="004C6A83"/>
    <w:rsid w:val="004D5F41"/>
    <w:rsid w:val="004E0E3C"/>
    <w:rsid w:val="004E2583"/>
    <w:rsid w:val="004E6127"/>
    <w:rsid w:val="004F1786"/>
    <w:rsid w:val="005056CA"/>
    <w:rsid w:val="005125A3"/>
    <w:rsid w:val="005356C7"/>
    <w:rsid w:val="00547B04"/>
    <w:rsid w:val="00560C52"/>
    <w:rsid w:val="00562436"/>
    <w:rsid w:val="00567B3F"/>
    <w:rsid w:val="00572AEB"/>
    <w:rsid w:val="005803B0"/>
    <w:rsid w:val="00583641"/>
    <w:rsid w:val="005A23A2"/>
    <w:rsid w:val="005A7A2D"/>
    <w:rsid w:val="005B29AE"/>
    <w:rsid w:val="005B34D6"/>
    <w:rsid w:val="005B440E"/>
    <w:rsid w:val="005B6698"/>
    <w:rsid w:val="005C4B83"/>
    <w:rsid w:val="005C641D"/>
    <w:rsid w:val="005C7778"/>
    <w:rsid w:val="005D3A0D"/>
    <w:rsid w:val="005D48D2"/>
    <w:rsid w:val="005E1AE2"/>
    <w:rsid w:val="005F556A"/>
    <w:rsid w:val="005F74E4"/>
    <w:rsid w:val="006021C5"/>
    <w:rsid w:val="00616147"/>
    <w:rsid w:val="00623473"/>
    <w:rsid w:val="00640F3C"/>
    <w:rsid w:val="006432A4"/>
    <w:rsid w:val="00647ABD"/>
    <w:rsid w:val="00652C28"/>
    <w:rsid w:val="0065586A"/>
    <w:rsid w:val="00655EEE"/>
    <w:rsid w:val="006576BC"/>
    <w:rsid w:val="00665D8D"/>
    <w:rsid w:val="00667CF4"/>
    <w:rsid w:val="00673A84"/>
    <w:rsid w:val="006745FB"/>
    <w:rsid w:val="00682CB2"/>
    <w:rsid w:val="00685EEB"/>
    <w:rsid w:val="00692D55"/>
    <w:rsid w:val="0069473C"/>
    <w:rsid w:val="006A37EB"/>
    <w:rsid w:val="006B7792"/>
    <w:rsid w:val="006C06A7"/>
    <w:rsid w:val="006C20FD"/>
    <w:rsid w:val="006C2FC8"/>
    <w:rsid w:val="006D204E"/>
    <w:rsid w:val="006D3551"/>
    <w:rsid w:val="006D4D39"/>
    <w:rsid w:val="006E5743"/>
    <w:rsid w:val="006E735E"/>
    <w:rsid w:val="006F1D3F"/>
    <w:rsid w:val="006F1F26"/>
    <w:rsid w:val="006F2D40"/>
    <w:rsid w:val="006F3B30"/>
    <w:rsid w:val="00704849"/>
    <w:rsid w:val="00704B6D"/>
    <w:rsid w:val="00715248"/>
    <w:rsid w:val="007156A7"/>
    <w:rsid w:val="00732915"/>
    <w:rsid w:val="00733ED3"/>
    <w:rsid w:val="00741E70"/>
    <w:rsid w:val="00743ACF"/>
    <w:rsid w:val="007466DC"/>
    <w:rsid w:val="007512E1"/>
    <w:rsid w:val="007515E3"/>
    <w:rsid w:val="00753464"/>
    <w:rsid w:val="0075444E"/>
    <w:rsid w:val="00755554"/>
    <w:rsid w:val="00757310"/>
    <w:rsid w:val="00763511"/>
    <w:rsid w:val="0077576A"/>
    <w:rsid w:val="007937C0"/>
    <w:rsid w:val="007A1C4A"/>
    <w:rsid w:val="007B0C03"/>
    <w:rsid w:val="007B559C"/>
    <w:rsid w:val="007B6EBC"/>
    <w:rsid w:val="007D0C3E"/>
    <w:rsid w:val="007D6B22"/>
    <w:rsid w:val="007E1DE4"/>
    <w:rsid w:val="007E2E79"/>
    <w:rsid w:val="007E584F"/>
    <w:rsid w:val="00814891"/>
    <w:rsid w:val="0081498D"/>
    <w:rsid w:val="0083058C"/>
    <w:rsid w:val="00837114"/>
    <w:rsid w:val="00845EB8"/>
    <w:rsid w:val="00872FE5"/>
    <w:rsid w:val="0087310B"/>
    <w:rsid w:val="008748A8"/>
    <w:rsid w:val="00874B18"/>
    <w:rsid w:val="00874C4D"/>
    <w:rsid w:val="00885F99"/>
    <w:rsid w:val="00892F5E"/>
    <w:rsid w:val="00893239"/>
    <w:rsid w:val="00893DC5"/>
    <w:rsid w:val="008955DF"/>
    <w:rsid w:val="008B2AC4"/>
    <w:rsid w:val="008B6257"/>
    <w:rsid w:val="008B6C02"/>
    <w:rsid w:val="008B7D3A"/>
    <w:rsid w:val="008C15A3"/>
    <w:rsid w:val="008C4C72"/>
    <w:rsid w:val="008C6C0E"/>
    <w:rsid w:val="008D3AAB"/>
    <w:rsid w:val="008D5D10"/>
    <w:rsid w:val="008E3102"/>
    <w:rsid w:val="008F1DE6"/>
    <w:rsid w:val="008F4E79"/>
    <w:rsid w:val="00901B21"/>
    <w:rsid w:val="0090596B"/>
    <w:rsid w:val="00905A21"/>
    <w:rsid w:val="00916994"/>
    <w:rsid w:val="009227B7"/>
    <w:rsid w:val="009260C8"/>
    <w:rsid w:val="0093454D"/>
    <w:rsid w:val="00936704"/>
    <w:rsid w:val="00952150"/>
    <w:rsid w:val="009678C8"/>
    <w:rsid w:val="00976106"/>
    <w:rsid w:val="00976819"/>
    <w:rsid w:val="009A7CCC"/>
    <w:rsid w:val="009B2053"/>
    <w:rsid w:val="009B6CDB"/>
    <w:rsid w:val="009C04C0"/>
    <w:rsid w:val="009C4454"/>
    <w:rsid w:val="009D0528"/>
    <w:rsid w:val="009D1BB7"/>
    <w:rsid w:val="009D471D"/>
    <w:rsid w:val="009D731B"/>
    <w:rsid w:val="009E6A19"/>
    <w:rsid w:val="009F139E"/>
    <w:rsid w:val="009F263A"/>
    <w:rsid w:val="009F4455"/>
    <w:rsid w:val="009F4BF9"/>
    <w:rsid w:val="009F5247"/>
    <w:rsid w:val="009F5DE6"/>
    <w:rsid w:val="00A10EF5"/>
    <w:rsid w:val="00A1483F"/>
    <w:rsid w:val="00A220A3"/>
    <w:rsid w:val="00A24545"/>
    <w:rsid w:val="00A2708A"/>
    <w:rsid w:val="00A33043"/>
    <w:rsid w:val="00A3556D"/>
    <w:rsid w:val="00A37D3B"/>
    <w:rsid w:val="00A400A7"/>
    <w:rsid w:val="00A4765A"/>
    <w:rsid w:val="00A5071D"/>
    <w:rsid w:val="00A50B22"/>
    <w:rsid w:val="00A5238B"/>
    <w:rsid w:val="00A5612F"/>
    <w:rsid w:val="00A61A71"/>
    <w:rsid w:val="00A62B99"/>
    <w:rsid w:val="00A66C21"/>
    <w:rsid w:val="00A67123"/>
    <w:rsid w:val="00A74BE8"/>
    <w:rsid w:val="00A87879"/>
    <w:rsid w:val="00A90D0B"/>
    <w:rsid w:val="00A90F3E"/>
    <w:rsid w:val="00A934FD"/>
    <w:rsid w:val="00A93A6C"/>
    <w:rsid w:val="00A96D35"/>
    <w:rsid w:val="00AA0382"/>
    <w:rsid w:val="00AA3493"/>
    <w:rsid w:val="00AA3A67"/>
    <w:rsid w:val="00AB04D7"/>
    <w:rsid w:val="00AC076D"/>
    <w:rsid w:val="00AD3CBF"/>
    <w:rsid w:val="00AE04C8"/>
    <w:rsid w:val="00AE1450"/>
    <w:rsid w:val="00AE1725"/>
    <w:rsid w:val="00AE5D21"/>
    <w:rsid w:val="00AF19E8"/>
    <w:rsid w:val="00AF29FE"/>
    <w:rsid w:val="00AF5D06"/>
    <w:rsid w:val="00B01AAC"/>
    <w:rsid w:val="00B05665"/>
    <w:rsid w:val="00B121EE"/>
    <w:rsid w:val="00B13F7A"/>
    <w:rsid w:val="00B14C71"/>
    <w:rsid w:val="00B21161"/>
    <w:rsid w:val="00B265EC"/>
    <w:rsid w:val="00B3308C"/>
    <w:rsid w:val="00B36AAE"/>
    <w:rsid w:val="00B449F7"/>
    <w:rsid w:val="00B51258"/>
    <w:rsid w:val="00B51EC9"/>
    <w:rsid w:val="00B573BB"/>
    <w:rsid w:val="00B638A0"/>
    <w:rsid w:val="00B74788"/>
    <w:rsid w:val="00B81796"/>
    <w:rsid w:val="00B8471E"/>
    <w:rsid w:val="00B8648D"/>
    <w:rsid w:val="00B87E0E"/>
    <w:rsid w:val="00BA26EB"/>
    <w:rsid w:val="00BA4788"/>
    <w:rsid w:val="00BA6DF4"/>
    <w:rsid w:val="00BB41FE"/>
    <w:rsid w:val="00BB6AAA"/>
    <w:rsid w:val="00BD6206"/>
    <w:rsid w:val="00BD785A"/>
    <w:rsid w:val="00BF40F7"/>
    <w:rsid w:val="00BF5C7C"/>
    <w:rsid w:val="00C0788F"/>
    <w:rsid w:val="00C16896"/>
    <w:rsid w:val="00C22603"/>
    <w:rsid w:val="00C2275F"/>
    <w:rsid w:val="00C22AC6"/>
    <w:rsid w:val="00C25E21"/>
    <w:rsid w:val="00C447EA"/>
    <w:rsid w:val="00C50876"/>
    <w:rsid w:val="00C5258F"/>
    <w:rsid w:val="00C55D85"/>
    <w:rsid w:val="00C63883"/>
    <w:rsid w:val="00C769D4"/>
    <w:rsid w:val="00C82551"/>
    <w:rsid w:val="00C91705"/>
    <w:rsid w:val="00CA0FA3"/>
    <w:rsid w:val="00CB4A95"/>
    <w:rsid w:val="00CB5A57"/>
    <w:rsid w:val="00CB75ED"/>
    <w:rsid w:val="00CB7800"/>
    <w:rsid w:val="00CC1D9E"/>
    <w:rsid w:val="00CC317F"/>
    <w:rsid w:val="00CC4B95"/>
    <w:rsid w:val="00CD301C"/>
    <w:rsid w:val="00CE0574"/>
    <w:rsid w:val="00CE3C8D"/>
    <w:rsid w:val="00CE58AF"/>
    <w:rsid w:val="00CF2586"/>
    <w:rsid w:val="00D019F8"/>
    <w:rsid w:val="00D05F6C"/>
    <w:rsid w:val="00D07A20"/>
    <w:rsid w:val="00D16B5C"/>
    <w:rsid w:val="00D36D81"/>
    <w:rsid w:val="00D4013C"/>
    <w:rsid w:val="00D55729"/>
    <w:rsid w:val="00D57459"/>
    <w:rsid w:val="00D57717"/>
    <w:rsid w:val="00D67D86"/>
    <w:rsid w:val="00D75C94"/>
    <w:rsid w:val="00D835DC"/>
    <w:rsid w:val="00D8653F"/>
    <w:rsid w:val="00D914D3"/>
    <w:rsid w:val="00D926B0"/>
    <w:rsid w:val="00D93E1F"/>
    <w:rsid w:val="00DB49D5"/>
    <w:rsid w:val="00DB6526"/>
    <w:rsid w:val="00DC7E5E"/>
    <w:rsid w:val="00DD05CD"/>
    <w:rsid w:val="00DD079F"/>
    <w:rsid w:val="00DD6F93"/>
    <w:rsid w:val="00DD7151"/>
    <w:rsid w:val="00DD7FD4"/>
    <w:rsid w:val="00DE0FB9"/>
    <w:rsid w:val="00DE308B"/>
    <w:rsid w:val="00DE4746"/>
    <w:rsid w:val="00DE52FB"/>
    <w:rsid w:val="00DF48AA"/>
    <w:rsid w:val="00DF694F"/>
    <w:rsid w:val="00DF6A6E"/>
    <w:rsid w:val="00DF7CF1"/>
    <w:rsid w:val="00E01C31"/>
    <w:rsid w:val="00E1144E"/>
    <w:rsid w:val="00E11E06"/>
    <w:rsid w:val="00E13AD5"/>
    <w:rsid w:val="00E1784E"/>
    <w:rsid w:val="00E205A3"/>
    <w:rsid w:val="00E34944"/>
    <w:rsid w:val="00E433B6"/>
    <w:rsid w:val="00E45698"/>
    <w:rsid w:val="00E51452"/>
    <w:rsid w:val="00E56E91"/>
    <w:rsid w:val="00E76998"/>
    <w:rsid w:val="00E824EE"/>
    <w:rsid w:val="00E8591F"/>
    <w:rsid w:val="00E95ECB"/>
    <w:rsid w:val="00EA2611"/>
    <w:rsid w:val="00EB7F00"/>
    <w:rsid w:val="00ED0263"/>
    <w:rsid w:val="00EE1A46"/>
    <w:rsid w:val="00EE1C0C"/>
    <w:rsid w:val="00EE7DE8"/>
    <w:rsid w:val="00F044AD"/>
    <w:rsid w:val="00F27E04"/>
    <w:rsid w:val="00F31208"/>
    <w:rsid w:val="00F5200D"/>
    <w:rsid w:val="00F52658"/>
    <w:rsid w:val="00F558B9"/>
    <w:rsid w:val="00F56165"/>
    <w:rsid w:val="00F64C8F"/>
    <w:rsid w:val="00F70604"/>
    <w:rsid w:val="00F7187D"/>
    <w:rsid w:val="00F721D4"/>
    <w:rsid w:val="00F743A3"/>
    <w:rsid w:val="00F7520C"/>
    <w:rsid w:val="00F87479"/>
    <w:rsid w:val="00F93A97"/>
    <w:rsid w:val="00F9567B"/>
    <w:rsid w:val="00F96D15"/>
    <w:rsid w:val="00FC07DE"/>
    <w:rsid w:val="00FC4616"/>
    <w:rsid w:val="00FD1E0D"/>
    <w:rsid w:val="00FD76BC"/>
    <w:rsid w:val="00FE5B10"/>
    <w:rsid w:val="00FE7E23"/>
    <w:rsid w:val="00FF24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94235"/>
  <w15:chartTrackingRefBased/>
  <w15:docId w15:val="{B3B0EA3F-7C77-456A-A7B3-2DA8E756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uiPriority w:val="9"/>
    <w:qFormat/>
    <w:rsid w:val="00893DC5"/>
    <w:pPr>
      <w:keepNext/>
      <w:keepLines/>
      <w:spacing w:before="240" w:after="0"/>
      <w:outlineLvl w:val="0"/>
    </w:pPr>
    <w:rPr>
      <w:rFonts w:ascii="Arial" w:eastAsiaTheme="majorEastAsia" w:hAnsi="Arial" w:cstheme="majorBidi"/>
      <w:b/>
      <w:sz w:val="32"/>
      <w:szCs w:val="32"/>
      <w:u w:val="single"/>
    </w:rPr>
  </w:style>
  <w:style w:type="paragraph" w:styleId="Ttol2">
    <w:name w:val="heading 2"/>
    <w:basedOn w:val="Normal"/>
    <w:next w:val="Normal"/>
    <w:link w:val="Ttol2Car"/>
    <w:uiPriority w:val="9"/>
    <w:unhideWhenUsed/>
    <w:qFormat/>
    <w:rsid w:val="00270DA1"/>
    <w:pPr>
      <w:keepNext/>
      <w:keepLines/>
      <w:spacing w:before="40" w:after="0"/>
      <w:outlineLvl w:val="1"/>
    </w:pPr>
    <w:rPr>
      <w:rFonts w:ascii="Arial" w:eastAsiaTheme="majorEastAsia" w:hAnsi="Arial" w:cstheme="majorBidi"/>
      <w:sz w:val="24"/>
      <w:szCs w:val="26"/>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
    <w:rsid w:val="00270DA1"/>
    <w:rPr>
      <w:rFonts w:ascii="Arial" w:eastAsiaTheme="majorEastAsia" w:hAnsi="Arial" w:cstheme="majorBidi"/>
      <w:sz w:val="24"/>
      <w:szCs w:val="26"/>
      <w:u w:val="single"/>
    </w:rPr>
  </w:style>
  <w:style w:type="character" w:styleId="Nmerodelnia">
    <w:name w:val="line number"/>
    <w:basedOn w:val="Tipusdelletraperdefectedelpargraf"/>
    <w:uiPriority w:val="99"/>
    <w:semiHidden/>
    <w:unhideWhenUsed/>
    <w:rsid w:val="001B069C"/>
  </w:style>
  <w:style w:type="paragraph" w:styleId="Peu">
    <w:name w:val="footer"/>
    <w:basedOn w:val="Normal"/>
    <w:link w:val="PeuCar"/>
    <w:uiPriority w:val="99"/>
    <w:unhideWhenUsed/>
    <w:rsid w:val="00457F3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457F33"/>
  </w:style>
  <w:style w:type="paragraph" w:styleId="Capalera">
    <w:name w:val="header"/>
    <w:basedOn w:val="Normal"/>
    <w:link w:val="CapaleraCar"/>
    <w:uiPriority w:val="99"/>
    <w:unhideWhenUsed/>
    <w:rsid w:val="00315369"/>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315369"/>
  </w:style>
  <w:style w:type="paragraph" w:styleId="Pargrafdellista">
    <w:name w:val="List Paragraph"/>
    <w:basedOn w:val="Normal"/>
    <w:uiPriority w:val="34"/>
    <w:qFormat/>
    <w:rsid w:val="00E824EE"/>
    <w:pPr>
      <w:ind w:left="720"/>
      <w:contextualSpacing/>
    </w:pPr>
  </w:style>
  <w:style w:type="table" w:styleId="Taulaambquadrcula">
    <w:name w:val="Table Grid"/>
    <w:basedOn w:val="Taulanormal"/>
    <w:uiPriority w:val="39"/>
    <w:rsid w:val="0067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Tipusdelletraperdefectedelpargraf"/>
    <w:link w:val="Ttol1"/>
    <w:uiPriority w:val="9"/>
    <w:rsid w:val="00893DC5"/>
    <w:rPr>
      <w:rFonts w:ascii="Arial" w:eastAsiaTheme="majorEastAsia" w:hAnsi="Arial" w:cstheme="majorBidi"/>
      <w:b/>
      <w:sz w:val="32"/>
      <w:szCs w:val="32"/>
      <w:u w:val="single"/>
    </w:rPr>
  </w:style>
  <w:style w:type="paragraph" w:styleId="Textdeglobus">
    <w:name w:val="Balloon Text"/>
    <w:basedOn w:val="Normal"/>
    <w:link w:val="TextdeglobusCar"/>
    <w:uiPriority w:val="99"/>
    <w:semiHidden/>
    <w:unhideWhenUsed/>
    <w:rsid w:val="009F4455"/>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9F4455"/>
    <w:rPr>
      <w:rFonts w:ascii="Segoe UI" w:hAnsi="Segoe UI" w:cs="Segoe UI"/>
      <w:sz w:val="18"/>
      <w:szCs w:val="18"/>
    </w:rPr>
  </w:style>
  <w:style w:type="paragraph" w:styleId="Llegenda">
    <w:name w:val="caption"/>
    <w:basedOn w:val="Normal"/>
    <w:next w:val="Normal"/>
    <w:uiPriority w:val="35"/>
    <w:unhideWhenUsed/>
    <w:qFormat/>
    <w:rsid w:val="0090596B"/>
    <w:pPr>
      <w:spacing w:after="200" w:line="240" w:lineRule="auto"/>
    </w:pPr>
    <w:rPr>
      <w:i/>
      <w:iCs/>
      <w:color w:val="44546A" w:themeColor="text2"/>
      <w:sz w:val="18"/>
      <w:szCs w:val="18"/>
    </w:rPr>
  </w:style>
  <w:style w:type="paragraph" w:styleId="TtoldelIDC">
    <w:name w:val="TOC Heading"/>
    <w:basedOn w:val="Ttol1"/>
    <w:next w:val="Normal"/>
    <w:uiPriority w:val="39"/>
    <w:unhideWhenUsed/>
    <w:qFormat/>
    <w:rsid w:val="00242654"/>
    <w:pPr>
      <w:outlineLvl w:val="9"/>
    </w:pPr>
    <w:rPr>
      <w:rFonts w:asciiTheme="majorHAnsi" w:hAnsiTheme="majorHAnsi"/>
      <w:b w:val="0"/>
      <w:color w:val="2F5496" w:themeColor="accent1" w:themeShade="BF"/>
      <w:u w:val="none"/>
      <w:lang w:eastAsia="es-ES"/>
    </w:rPr>
  </w:style>
  <w:style w:type="paragraph" w:styleId="IDC1">
    <w:name w:val="toc 1"/>
    <w:basedOn w:val="Normal"/>
    <w:next w:val="Normal"/>
    <w:autoRedefine/>
    <w:uiPriority w:val="39"/>
    <w:unhideWhenUsed/>
    <w:rsid w:val="00242654"/>
    <w:pPr>
      <w:spacing w:after="100"/>
    </w:pPr>
  </w:style>
  <w:style w:type="paragraph" w:styleId="IDC2">
    <w:name w:val="toc 2"/>
    <w:basedOn w:val="Normal"/>
    <w:next w:val="Normal"/>
    <w:autoRedefine/>
    <w:uiPriority w:val="39"/>
    <w:unhideWhenUsed/>
    <w:rsid w:val="00242654"/>
    <w:pPr>
      <w:spacing w:after="100"/>
      <w:ind w:left="220"/>
    </w:pPr>
  </w:style>
  <w:style w:type="character" w:styleId="Enlla">
    <w:name w:val="Hyperlink"/>
    <w:basedOn w:val="Tipusdelletraperdefectedelpargraf"/>
    <w:uiPriority w:val="99"/>
    <w:unhideWhenUsed/>
    <w:rsid w:val="00242654"/>
    <w:rPr>
      <w:color w:val="0563C1" w:themeColor="hyperlink"/>
      <w:u w:val="single"/>
    </w:rPr>
  </w:style>
  <w:style w:type="character" w:customStyle="1" w:styleId="UnresolvedMention">
    <w:name w:val="Unresolved Mention"/>
    <w:basedOn w:val="Tipusdelletraperdefectedelpargraf"/>
    <w:uiPriority w:val="99"/>
    <w:semiHidden/>
    <w:unhideWhenUsed/>
    <w:rsid w:val="00E433B6"/>
    <w:rPr>
      <w:color w:val="605E5C"/>
      <w:shd w:val="clear" w:color="auto" w:fill="E1DFDD"/>
    </w:rPr>
  </w:style>
  <w:style w:type="character" w:styleId="mfasi">
    <w:name w:val="Emphasis"/>
    <w:basedOn w:val="Tipusdelletraperdefectedelpargraf"/>
    <w:uiPriority w:val="20"/>
    <w:qFormat/>
    <w:rsid w:val="008B6C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45E35-B8C7-4843-B623-FD0A247A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29125</Words>
  <Characters>166013</Characters>
  <Application>Microsoft Office Word</Application>
  <DocSecurity>0</DocSecurity>
  <Lines>1383</Lines>
  <Paragraphs>389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LeTuS NeVoT CaSaS</dc:creator>
  <cp:keywords/>
  <dc:description/>
  <cp:lastModifiedBy>Pujol Marzo, Montserrat</cp:lastModifiedBy>
  <cp:revision>2</cp:revision>
  <cp:lastPrinted>2020-05-07T18:29:00Z</cp:lastPrinted>
  <dcterms:created xsi:type="dcterms:W3CDTF">2020-12-11T09:22:00Z</dcterms:created>
  <dcterms:modified xsi:type="dcterms:W3CDTF">2020-12-11T09:22:00Z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7baa1fe1-5860-378f-b298-cc360a281d03</vt:lpwstr>
  </property>
</Properties>
</file>