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6AE" w:rsidRPr="007C543A" w:rsidRDefault="004A66AE" w:rsidP="004A66AE">
      <w:pPr>
        <w:pStyle w:val="Prrafodelista"/>
        <w:numPr>
          <w:ilvl w:val="0"/>
          <w:numId w:val="1"/>
        </w:numPr>
        <w:spacing w:after="0" w:line="240" w:lineRule="auto"/>
        <w:rPr>
          <w:rFonts w:ascii="Verdana" w:hAnsi="Verdana"/>
          <w:sz w:val="17"/>
          <w:szCs w:val="17"/>
        </w:rPr>
      </w:pPr>
      <w:r w:rsidRPr="007C543A">
        <w:rPr>
          <w:rFonts w:ascii="Verdana" w:hAnsi="Verdana"/>
          <w:sz w:val="17"/>
          <w:szCs w:val="17"/>
        </w:rPr>
        <w:t>Revisiones de Temas Monográficos</w:t>
      </w:r>
    </w:p>
    <w:p w:rsidR="004A66AE" w:rsidRPr="007C543A" w:rsidRDefault="004A66AE" w:rsidP="004A66AE">
      <w:pPr>
        <w:pStyle w:val="Prrafodelista"/>
        <w:numPr>
          <w:ilvl w:val="0"/>
          <w:numId w:val="1"/>
        </w:numPr>
        <w:spacing w:after="0" w:line="240" w:lineRule="auto"/>
        <w:rPr>
          <w:rFonts w:ascii="Verdana" w:hAnsi="Verdana"/>
          <w:sz w:val="17"/>
          <w:szCs w:val="17"/>
        </w:rPr>
      </w:pPr>
      <w:r w:rsidRPr="007C543A">
        <w:rPr>
          <w:rFonts w:ascii="Verdana" w:hAnsi="Verdana"/>
          <w:sz w:val="17"/>
          <w:szCs w:val="17"/>
        </w:rPr>
        <w:t>Casos Clínicos</w:t>
      </w:r>
    </w:p>
    <w:p w:rsidR="004A66AE" w:rsidRPr="007C543A" w:rsidRDefault="004A66AE" w:rsidP="004A66AE">
      <w:pPr>
        <w:pStyle w:val="Prrafodelista"/>
        <w:numPr>
          <w:ilvl w:val="0"/>
          <w:numId w:val="1"/>
        </w:numPr>
        <w:spacing w:after="0" w:line="240" w:lineRule="auto"/>
        <w:rPr>
          <w:rFonts w:ascii="Verdana" w:hAnsi="Verdana"/>
          <w:sz w:val="17"/>
          <w:szCs w:val="17"/>
        </w:rPr>
      </w:pPr>
      <w:r w:rsidRPr="007C543A">
        <w:rPr>
          <w:rFonts w:ascii="Verdana" w:hAnsi="Verdana"/>
          <w:sz w:val="17"/>
          <w:szCs w:val="17"/>
        </w:rPr>
        <w:t>Caso clínico cerrado (con plazo abierto para comentarios antes de la comunicar la resolución del caso)</w:t>
      </w:r>
    </w:p>
    <w:p w:rsidR="004A66AE" w:rsidRPr="007C543A" w:rsidRDefault="004A66AE" w:rsidP="004A66AE">
      <w:pPr>
        <w:pStyle w:val="Prrafodelista"/>
        <w:numPr>
          <w:ilvl w:val="0"/>
          <w:numId w:val="1"/>
        </w:numPr>
        <w:spacing w:after="0" w:line="240" w:lineRule="auto"/>
        <w:rPr>
          <w:rFonts w:ascii="Verdana" w:hAnsi="Verdana"/>
          <w:sz w:val="17"/>
          <w:szCs w:val="17"/>
        </w:rPr>
      </w:pPr>
      <w:r w:rsidRPr="007C543A">
        <w:rPr>
          <w:rFonts w:ascii="Verdana" w:hAnsi="Verdana"/>
          <w:sz w:val="17"/>
          <w:szCs w:val="17"/>
        </w:rPr>
        <w:t>Imágenes Nefrológicas</w:t>
      </w:r>
    </w:p>
    <w:p w:rsidR="004A66AE" w:rsidRPr="007C543A" w:rsidRDefault="004A66AE" w:rsidP="004A66AE">
      <w:pPr>
        <w:pStyle w:val="Prrafodelista"/>
        <w:numPr>
          <w:ilvl w:val="0"/>
          <w:numId w:val="1"/>
        </w:numPr>
        <w:spacing w:after="0" w:line="240" w:lineRule="auto"/>
        <w:rPr>
          <w:rFonts w:ascii="Verdana" w:hAnsi="Verdana"/>
          <w:sz w:val="17"/>
          <w:szCs w:val="17"/>
        </w:rPr>
      </w:pPr>
      <w:r w:rsidRPr="007C543A">
        <w:rPr>
          <w:rFonts w:ascii="Verdana" w:hAnsi="Verdana"/>
          <w:sz w:val="17"/>
          <w:szCs w:val="17"/>
        </w:rPr>
        <w:t>Nefrología Basada en la Evidencia</w:t>
      </w:r>
    </w:p>
    <w:p w:rsidR="004A66AE" w:rsidRPr="007C543A" w:rsidRDefault="004A66AE" w:rsidP="004A66AE">
      <w:pPr>
        <w:pStyle w:val="Prrafodelista"/>
        <w:numPr>
          <w:ilvl w:val="1"/>
          <w:numId w:val="1"/>
        </w:numPr>
        <w:spacing w:after="0" w:line="240" w:lineRule="auto"/>
        <w:rPr>
          <w:rFonts w:ascii="Verdana" w:hAnsi="Verdana"/>
          <w:sz w:val="17"/>
          <w:szCs w:val="17"/>
        </w:rPr>
      </w:pPr>
      <w:r w:rsidRPr="007C543A">
        <w:rPr>
          <w:rFonts w:ascii="Verdana" w:hAnsi="Verdana"/>
          <w:sz w:val="17"/>
          <w:szCs w:val="17"/>
        </w:rPr>
        <w:t>Resúmenes estructurados</w:t>
      </w:r>
    </w:p>
    <w:p w:rsidR="004A66AE" w:rsidRPr="007C543A" w:rsidRDefault="004A66AE" w:rsidP="004A66AE">
      <w:pPr>
        <w:pStyle w:val="Prrafodelista"/>
        <w:numPr>
          <w:ilvl w:val="1"/>
          <w:numId w:val="1"/>
        </w:numPr>
        <w:spacing w:after="0" w:line="240" w:lineRule="auto"/>
        <w:rPr>
          <w:rFonts w:ascii="Verdana" w:hAnsi="Verdana"/>
          <w:sz w:val="17"/>
          <w:szCs w:val="17"/>
        </w:rPr>
      </w:pPr>
      <w:r w:rsidRPr="007C543A">
        <w:rPr>
          <w:rFonts w:ascii="Verdana" w:hAnsi="Verdana"/>
          <w:sz w:val="17"/>
          <w:szCs w:val="17"/>
        </w:rPr>
        <w:t>Resolución de problemas clínicos basados en la evidencia</w:t>
      </w:r>
    </w:p>
    <w:p w:rsidR="004A66AE" w:rsidRPr="007C543A" w:rsidRDefault="004A66AE" w:rsidP="004A66AE">
      <w:pPr>
        <w:pStyle w:val="Prrafodelista"/>
        <w:numPr>
          <w:ilvl w:val="1"/>
          <w:numId w:val="1"/>
        </w:numPr>
        <w:spacing w:after="0" w:line="240" w:lineRule="auto"/>
        <w:rPr>
          <w:rFonts w:ascii="Verdana" w:hAnsi="Verdana"/>
          <w:sz w:val="17"/>
          <w:szCs w:val="17"/>
        </w:rPr>
      </w:pPr>
      <w:r w:rsidRPr="007C543A">
        <w:rPr>
          <w:rFonts w:ascii="Verdana" w:hAnsi="Verdana"/>
          <w:sz w:val="17"/>
          <w:szCs w:val="17"/>
        </w:rPr>
        <w:t>Revisiones sistemáticas</w:t>
      </w:r>
    </w:p>
    <w:p w:rsidR="004A66AE" w:rsidRPr="007C543A" w:rsidRDefault="004A66AE" w:rsidP="004A66AE">
      <w:pPr>
        <w:pStyle w:val="Prrafodelista"/>
        <w:numPr>
          <w:ilvl w:val="1"/>
          <w:numId w:val="1"/>
        </w:numPr>
        <w:spacing w:after="0" w:line="240" w:lineRule="auto"/>
        <w:rPr>
          <w:rFonts w:ascii="Verdana" w:hAnsi="Verdana"/>
          <w:sz w:val="17"/>
          <w:szCs w:val="17"/>
        </w:rPr>
      </w:pPr>
      <w:r w:rsidRPr="007C543A">
        <w:rPr>
          <w:rFonts w:ascii="Verdana" w:hAnsi="Verdana"/>
          <w:sz w:val="17"/>
          <w:szCs w:val="17"/>
        </w:rPr>
        <w:t>Notas metodológicas</w:t>
      </w:r>
    </w:p>
    <w:p w:rsidR="004A66AE" w:rsidRPr="007C543A" w:rsidRDefault="004A66AE" w:rsidP="004A66AE">
      <w:pPr>
        <w:pStyle w:val="Prrafodelista"/>
        <w:numPr>
          <w:ilvl w:val="0"/>
          <w:numId w:val="1"/>
        </w:numPr>
        <w:spacing w:after="0" w:line="240" w:lineRule="auto"/>
        <w:rPr>
          <w:rFonts w:ascii="Verdana" w:hAnsi="Verdana"/>
          <w:sz w:val="17"/>
          <w:szCs w:val="17"/>
        </w:rPr>
      </w:pPr>
      <w:proofErr w:type="spellStart"/>
      <w:r w:rsidRPr="007C543A">
        <w:rPr>
          <w:rFonts w:ascii="Verdana" w:hAnsi="Verdana"/>
          <w:sz w:val="17"/>
          <w:szCs w:val="17"/>
        </w:rPr>
        <w:t>Minisecciones</w:t>
      </w:r>
      <w:proofErr w:type="spellEnd"/>
    </w:p>
    <w:p w:rsidR="004A66AE" w:rsidRPr="007C543A" w:rsidRDefault="004A66AE" w:rsidP="004A66AE">
      <w:pPr>
        <w:pStyle w:val="Prrafodelista"/>
        <w:numPr>
          <w:ilvl w:val="1"/>
          <w:numId w:val="1"/>
        </w:numPr>
        <w:spacing w:after="0" w:line="240" w:lineRule="auto"/>
        <w:rPr>
          <w:rFonts w:ascii="Verdana" w:hAnsi="Verdana"/>
          <w:sz w:val="17"/>
          <w:szCs w:val="17"/>
        </w:rPr>
      </w:pPr>
      <w:r w:rsidRPr="007C543A">
        <w:rPr>
          <w:rFonts w:ascii="Verdana" w:hAnsi="Verdana"/>
          <w:sz w:val="17"/>
          <w:szCs w:val="17"/>
        </w:rPr>
        <w:t xml:space="preserve">Recursos </w:t>
      </w:r>
      <w:r>
        <w:rPr>
          <w:rFonts w:ascii="Verdana" w:hAnsi="Verdana"/>
          <w:sz w:val="17"/>
          <w:szCs w:val="17"/>
        </w:rPr>
        <w:t>w</w:t>
      </w:r>
      <w:r w:rsidRPr="007C543A">
        <w:rPr>
          <w:rFonts w:ascii="Verdana" w:hAnsi="Verdana"/>
          <w:sz w:val="17"/>
          <w:szCs w:val="17"/>
        </w:rPr>
        <w:t>eb destacados</w:t>
      </w:r>
    </w:p>
    <w:p w:rsidR="004A66AE" w:rsidRPr="007C543A" w:rsidRDefault="004A66AE" w:rsidP="004A66AE">
      <w:pPr>
        <w:pStyle w:val="Prrafodelista"/>
        <w:numPr>
          <w:ilvl w:val="1"/>
          <w:numId w:val="1"/>
        </w:numPr>
        <w:spacing w:after="0" w:line="240" w:lineRule="auto"/>
        <w:rPr>
          <w:rFonts w:ascii="Verdana" w:hAnsi="Verdana"/>
          <w:sz w:val="17"/>
          <w:szCs w:val="17"/>
        </w:rPr>
      </w:pPr>
      <w:r w:rsidRPr="007C543A">
        <w:rPr>
          <w:rFonts w:ascii="Verdana" w:hAnsi="Verdana"/>
          <w:sz w:val="17"/>
          <w:szCs w:val="17"/>
        </w:rPr>
        <w:t>Recursos GEN</w:t>
      </w:r>
      <w:r>
        <w:rPr>
          <w:rFonts w:ascii="Verdana" w:hAnsi="Verdana"/>
          <w:sz w:val="17"/>
          <w:szCs w:val="17"/>
        </w:rPr>
        <w:t>-</w:t>
      </w:r>
      <w:r w:rsidRPr="007C543A">
        <w:rPr>
          <w:rFonts w:ascii="Verdana" w:hAnsi="Verdana"/>
          <w:sz w:val="17"/>
          <w:szCs w:val="17"/>
        </w:rPr>
        <w:t>S.E.N. de interés.</w:t>
      </w:r>
    </w:p>
    <w:p w:rsidR="004A66AE" w:rsidRPr="007C543A" w:rsidRDefault="004A66AE" w:rsidP="004A66AE">
      <w:pPr>
        <w:pStyle w:val="Prrafodelista"/>
        <w:numPr>
          <w:ilvl w:val="1"/>
          <w:numId w:val="1"/>
        </w:numPr>
        <w:spacing w:after="0" w:line="240" w:lineRule="auto"/>
        <w:rPr>
          <w:rFonts w:ascii="Verdana" w:hAnsi="Verdana"/>
          <w:sz w:val="17"/>
          <w:szCs w:val="17"/>
        </w:rPr>
      </w:pPr>
      <w:proofErr w:type="spellStart"/>
      <w:r w:rsidRPr="007C543A">
        <w:rPr>
          <w:rFonts w:ascii="Verdana" w:hAnsi="Verdana"/>
          <w:sz w:val="17"/>
          <w:szCs w:val="17"/>
        </w:rPr>
        <w:t>Nefroquiz</w:t>
      </w:r>
      <w:proofErr w:type="spellEnd"/>
    </w:p>
    <w:p w:rsidR="004A66AE" w:rsidRPr="007C543A" w:rsidRDefault="004A66AE" w:rsidP="004A66AE">
      <w:pPr>
        <w:pStyle w:val="Prrafodelista"/>
        <w:numPr>
          <w:ilvl w:val="0"/>
          <w:numId w:val="1"/>
        </w:numPr>
        <w:spacing w:after="0" w:line="240" w:lineRule="auto"/>
        <w:rPr>
          <w:rFonts w:ascii="Verdana" w:hAnsi="Verdana"/>
          <w:sz w:val="17"/>
          <w:szCs w:val="17"/>
        </w:rPr>
      </w:pPr>
      <w:proofErr w:type="spellStart"/>
      <w:r w:rsidRPr="007C543A">
        <w:rPr>
          <w:rFonts w:ascii="Verdana" w:hAnsi="Verdana"/>
          <w:sz w:val="17"/>
          <w:szCs w:val="17"/>
        </w:rPr>
        <w:t>Nefropatología</w:t>
      </w:r>
      <w:proofErr w:type="spellEnd"/>
    </w:p>
    <w:p w:rsidR="00A71CB5" w:rsidRDefault="00A71CB5">
      <w:bookmarkStart w:id="0" w:name="_GoBack"/>
      <w:bookmarkEnd w:id="0"/>
    </w:p>
    <w:sectPr w:rsidR="00A71C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F0F62"/>
    <w:multiLevelType w:val="hybridMultilevel"/>
    <w:tmpl w:val="D742B8FA"/>
    <w:lvl w:ilvl="0" w:tplc="F0CEAD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6AE"/>
    <w:rsid w:val="000540C8"/>
    <w:rsid w:val="003F018B"/>
    <w:rsid w:val="004A66AE"/>
    <w:rsid w:val="004D5A36"/>
    <w:rsid w:val="00792F2B"/>
    <w:rsid w:val="00A71CB5"/>
    <w:rsid w:val="00BA75BC"/>
    <w:rsid w:val="00F7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66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6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Euromedice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Principal</cp:lastModifiedBy>
  <cp:revision>1</cp:revision>
  <dcterms:created xsi:type="dcterms:W3CDTF">2013-09-03T13:51:00Z</dcterms:created>
  <dcterms:modified xsi:type="dcterms:W3CDTF">2013-09-03T13:52:00Z</dcterms:modified>
</cp:coreProperties>
</file>